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88" w:lineRule="auto"/>
        <w:rPr>
          <w:rFonts w:ascii="黑体" w:hAnsi="黑体" w:eastAsia="黑体" w:cs="黑体"/>
          <w:bCs/>
          <w:color w:val="auto"/>
          <w:spacing w:val="20"/>
          <w:sz w:val="44"/>
          <w:szCs w:val="44"/>
          <w:highlight w:val="none"/>
        </w:rPr>
      </w:pPr>
      <w:r>
        <w:rPr>
          <w:rFonts w:hint="eastAsia" w:ascii="黑体" w:hAnsi="黑体" w:eastAsia="黑体" w:cs="黑体"/>
          <w:bCs/>
          <w:color w:val="auto"/>
          <w:spacing w:val="20"/>
          <w:sz w:val="44"/>
          <w:szCs w:val="44"/>
          <w:highlight w:val="none"/>
        </w:rPr>
        <w:t xml:space="preserve">苏锡通园区2026年度综合行政执法大队装配式厕所采购及安装公开招标采购项目</w:t>
      </w:r>
      <w:r/>
    </w:p>
    <w:p>
      <w:pPr>
        <w:jc w:val="center"/>
        <w:spacing w:line="288" w:lineRule="auto"/>
        <w:rPr>
          <w:rFonts w:ascii="黑体" w:hAnsi="黑体" w:eastAsia="黑体" w:cs="黑体"/>
          <w:bCs/>
          <w:color w:val="auto"/>
          <w:spacing w:val="20"/>
          <w:sz w:val="52"/>
          <w:szCs w:val="52"/>
          <w:highlight w:val="none"/>
        </w:rPr>
      </w:pPr>
      <w:r>
        <w:rPr>
          <w:rFonts w:ascii="黑体" w:hAnsi="黑体" w:eastAsia="黑体" w:cs="黑体"/>
          <w:bCs/>
          <w:color w:val="auto"/>
          <w:spacing w:val="20"/>
          <w:sz w:val="52"/>
          <w:szCs w:val="52"/>
          <w:highlight w:val="none"/>
        </w:rPr>
      </w:r>
      <w:r/>
    </w:p>
    <w:p>
      <w:pPr>
        <w:jc w:val="center"/>
        <w:spacing w:line="288" w:lineRule="auto"/>
        <w:rPr>
          <w:rFonts w:ascii="黑体" w:hAnsi="黑体" w:eastAsia="黑体" w:cs="黑体"/>
          <w:bCs/>
          <w:color w:val="auto"/>
          <w:sz w:val="100"/>
          <w:szCs w:val="100"/>
          <w:highlight w:val="none"/>
        </w:rPr>
      </w:pPr>
      <w:r>
        <w:rPr>
          <w:rFonts w:hint="eastAsia" w:ascii="黑体" w:hAnsi="黑体" w:eastAsia="黑体" w:cs="黑体"/>
          <w:bCs/>
          <w:color w:val="auto"/>
          <w:sz w:val="100"/>
          <w:szCs w:val="100"/>
          <w:highlight w:val="none"/>
        </w:rPr>
        <w:t xml:space="preserve">政府采购招标文件</w:t>
      </w:r>
      <w:r/>
    </w:p>
    <w:p>
      <w:pPr>
        <w:pStyle w:val="1023"/>
        <w:spacing w:line="288" w:lineRule="auto"/>
        <w:rPr>
          <w:rFonts w:ascii="黑体" w:hAnsi="黑体" w:eastAsia="黑体" w:cs="黑体"/>
          <w:b w:val="0"/>
          <w:bCs/>
          <w:color w:val="auto"/>
          <w:highlight w:val="none"/>
        </w:rPr>
      </w:pPr>
      <w:r>
        <w:rPr>
          <w:rFonts w:ascii="黑体" w:hAnsi="黑体" w:eastAsia="黑体" w:cs="黑体"/>
          <w:b w:val="0"/>
          <w:bCs/>
          <w:color w:val="auto"/>
          <w:highlight w:val="none"/>
        </w:rPr>
      </w:r>
      <w:r/>
    </w:p>
    <w:p>
      <w:pPr>
        <w:pStyle w:val="1023"/>
        <w:jc w:val="both"/>
        <w:spacing w:line="288" w:lineRule="auto"/>
        <w:rPr>
          <w:rFonts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t xml:space="preserve">项目编号：JSZC-320693-NTRT-G2026-0002 </w:t>
      </w:r>
      <w:r/>
    </w:p>
    <w:p>
      <w:pPr>
        <w:jc w:val="center"/>
        <w:spacing w:line="288" w:lineRule="auto"/>
        <w:rPr>
          <w:rFonts w:ascii="黑体" w:hAnsi="黑体" w:eastAsia="黑体" w:cs="黑体"/>
          <w:bCs/>
          <w:color w:val="auto"/>
          <w:sz w:val="30"/>
          <w:highlight w:val="none"/>
        </w:rPr>
      </w:pPr>
      <w:r>
        <w:rPr>
          <w:rFonts w:ascii="黑体" w:hAnsi="黑体" w:eastAsia="黑体" w:cs="黑体"/>
          <w:bCs/>
          <w:color w:val="auto"/>
          <w:sz w:val="30"/>
          <w:highlight w:val="none"/>
        </w:rPr>
      </w:r>
      <w:r/>
    </w:p>
    <w:p>
      <w:pPr>
        <w:jc w:val="center"/>
        <w:spacing w:line="288" w:lineRule="auto"/>
        <w:rPr>
          <w:rFonts w:ascii="黑体" w:hAnsi="黑体" w:eastAsia="黑体" w:cs="黑体"/>
          <w:bCs/>
          <w:color w:val="auto"/>
          <w:sz w:val="36"/>
          <w:highlight w:val="none"/>
        </w:rPr>
      </w:pPr>
      <w:r>
        <w:rPr>
          <w:rFonts w:ascii="黑体" w:hAnsi="黑体" w:eastAsia="黑体" w:cs="黑体"/>
          <w:bCs/>
          <w:color w:val="auto"/>
          <w:sz w:val="36"/>
          <w:highlight w:val="none"/>
        </w:rPr>
      </w:r>
      <w:r/>
    </w:p>
    <w:p>
      <w:pPr>
        <w:jc w:val="center"/>
        <w:spacing w:line="288" w:lineRule="auto"/>
        <w:rPr>
          <w:rFonts w:ascii="黑体" w:hAnsi="黑体" w:eastAsia="黑体" w:cs="黑体"/>
          <w:bCs/>
          <w:color w:val="auto"/>
          <w:sz w:val="36"/>
          <w:highlight w:val="none"/>
        </w:rPr>
      </w:pPr>
      <w:r>
        <w:rPr>
          <w:rFonts w:ascii="黑体" w:hAnsi="黑体" w:eastAsia="黑体" w:cs="黑体"/>
          <w:bCs/>
          <w:color w:val="auto"/>
          <w:sz w:val="36"/>
          <w:highlight w:val="none"/>
        </w:rPr>
      </w:r>
      <w:r/>
    </w:p>
    <w:p>
      <w:pPr>
        <w:jc w:val="center"/>
        <w:spacing w:line="288" w:lineRule="auto"/>
        <w:rPr>
          <w:rFonts w:ascii="黑体" w:hAnsi="黑体" w:eastAsia="黑体" w:cs="黑体"/>
          <w:bCs/>
          <w:color w:val="auto"/>
          <w:sz w:val="32"/>
          <w:highlight w:val="none"/>
        </w:rPr>
      </w:pPr>
      <w:r>
        <w:rPr>
          <w:rFonts w:ascii="黑体" w:hAnsi="黑体" w:eastAsia="黑体" w:cs="黑体"/>
          <w:bCs/>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7" o:title=""/>
          </v:shape>
          <o:OLEObject DrawAspect="Content" r:id="rId18" ObjectID="_1525045" ProgID="MS_ClipArt_Gallery" ShapeID="_x0000_i5" Type="Embed"/>
        </w:object>
      </w:r>
      <w:r/>
    </w:p>
    <w:p>
      <w:pPr>
        <w:jc w:val="center"/>
        <w:spacing w:line="288" w:lineRule="auto"/>
        <w:rPr>
          <w:rFonts w:ascii="黑体" w:hAnsi="黑体" w:eastAsia="黑体" w:cs="黑体"/>
          <w:bCs/>
          <w:color w:val="auto"/>
          <w:sz w:val="32"/>
          <w:highlight w:val="none"/>
        </w:rPr>
      </w:pPr>
      <w:r>
        <w:rPr>
          <w:rFonts w:ascii="黑体" w:hAnsi="黑体" w:eastAsia="黑体" w:cs="黑体"/>
          <w:bCs/>
          <w:color w:val="auto"/>
          <w:sz w:val="32"/>
          <w:highlight w:val="none"/>
        </w:rPr>
      </w:r>
      <w:r/>
    </w:p>
    <w:p>
      <w:pPr>
        <w:jc w:val="center"/>
        <w:spacing w:line="288" w:lineRule="auto"/>
        <w:rPr>
          <w:rFonts w:ascii="黑体" w:hAnsi="黑体" w:eastAsia="黑体" w:cs="黑体"/>
          <w:bCs/>
          <w:color w:val="auto"/>
          <w:sz w:val="32"/>
          <w:highlight w:val="none"/>
        </w:rPr>
      </w:pPr>
      <w:r>
        <w:rPr>
          <w:rFonts w:ascii="黑体" w:hAnsi="黑体" w:eastAsia="黑体" w:cs="黑体"/>
          <w:bCs/>
          <w:color w:val="auto"/>
          <w:sz w:val="32"/>
          <w:highlight w:val="none"/>
        </w:rPr>
      </w:r>
      <w:r/>
    </w:p>
    <w:p>
      <w:pPr>
        <w:spacing w:line="288" w:lineRule="auto"/>
        <w:rPr>
          <w:rFonts w:ascii="黑体" w:hAnsi="黑体" w:eastAsia="黑体" w:cs="黑体"/>
          <w:bCs/>
          <w:color w:val="auto"/>
          <w:spacing w:val="-12"/>
          <w:sz w:val="32"/>
          <w:szCs w:val="32"/>
          <w:highlight w:val="none"/>
        </w:rPr>
      </w:pPr>
      <w:r>
        <w:rPr>
          <w:rFonts w:hint="eastAsia" w:ascii="黑体" w:hAnsi="黑体" w:eastAsia="黑体" w:cs="黑体"/>
          <w:bCs/>
          <w:color w:val="auto"/>
          <w:spacing w:val="-12"/>
          <w:sz w:val="32"/>
          <w:szCs w:val="32"/>
          <w:highlight w:val="none"/>
        </w:rPr>
        <w:t xml:space="preserve">招标人: 江苏南通苏锡通科技产业园区综合行政执法大队</w:t>
      </w:r>
      <w:r/>
    </w:p>
    <w:p>
      <w:pPr>
        <w:spacing w:line="288" w:lineRule="auto"/>
        <w:rPr>
          <w:rFonts w:ascii="黑体" w:hAnsi="黑体" w:eastAsia="黑体" w:cs="黑体"/>
          <w:bCs/>
          <w:color w:val="auto"/>
          <w:spacing w:val="-12"/>
          <w:sz w:val="32"/>
          <w:szCs w:val="32"/>
          <w:highlight w:val="none"/>
        </w:rPr>
      </w:pPr>
      <w:r>
        <w:rPr>
          <w:rFonts w:hint="eastAsia" w:ascii="黑体" w:hAnsi="黑体" w:eastAsia="黑体" w:cs="黑体"/>
          <w:bCs/>
          <w:color w:val="auto"/>
          <w:spacing w:val="-12"/>
          <w:sz w:val="32"/>
          <w:szCs w:val="32"/>
          <w:highlight w:val="none"/>
        </w:rPr>
        <w:t xml:space="preserve">招标代理机构:南通润通项目管理有限公司  </w:t>
      </w:r>
      <w:r/>
    </w:p>
    <w:p>
      <w:pPr>
        <w:spacing w:line="288" w:lineRule="auto"/>
        <w:rPr>
          <w:rFonts w:ascii="黑体" w:hAnsi="黑体" w:eastAsia="黑体" w:cs="黑体"/>
          <w:bCs/>
          <w:color w:val="auto"/>
          <w:sz w:val="26"/>
          <w:szCs w:val="28"/>
          <w:highlight w:val="none"/>
          <w:u w:val="single"/>
        </w:rPr>
      </w:pPr>
      <w:r>
        <w:rPr>
          <w:rFonts w:hint="eastAsia" w:ascii="黑体" w:hAnsi="黑体" w:eastAsia="黑体" w:cs="黑体"/>
          <w:bCs/>
          <w:color w:val="auto"/>
          <w:spacing w:val="-12"/>
          <w:sz w:val="32"/>
          <w:szCs w:val="32"/>
          <w:highlight w:val="none"/>
        </w:rPr>
        <w:t xml:space="preserve">日         期 : 2026年</w:t>
      </w:r>
      <w:r>
        <w:rPr>
          <w:rFonts w:hint="eastAsia" w:ascii="黑体" w:hAnsi="黑体" w:eastAsia="黑体" w:cs="黑体"/>
          <w:bCs/>
          <w:color w:val="auto"/>
          <w:spacing w:val="-12"/>
          <w:sz w:val="32"/>
          <w:szCs w:val="32"/>
          <w:highlight w:val="none"/>
          <w:lang w:val="en-US" w:eastAsia="zh-CN"/>
        </w:rPr>
        <w:t xml:space="preserve">5</w:t>
      </w:r>
      <w:r>
        <w:rPr>
          <w:rFonts w:hint="eastAsia" w:ascii="黑体" w:hAnsi="黑体" w:eastAsia="黑体" w:cs="黑体"/>
          <w:bCs/>
          <w:color w:val="auto"/>
          <w:spacing w:val="-12"/>
          <w:sz w:val="32"/>
          <w:szCs w:val="32"/>
          <w:highlight w:val="none"/>
        </w:rPr>
        <w:t xml:space="preserve">月 </w:t>
      </w:r>
      <w:r/>
    </w:p>
    <w:p>
      <w:pP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br w:type="page" w:clear="all"/>
      </w:r>
      <w:r>
        <mc:AlternateContent>
          <mc:Choice Requires="wpg">
            <w:drawing>
              <wp:inline xmlns:wp="http://schemas.openxmlformats.org/drawingml/2006/wordprocessingDrawing" distT="0" distB="0" distL="0" distR="0">
                <wp:extent cx="5414645" cy="6515100"/>
                <wp:effectExtent l="0" t="0" r="10795" b="762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9"/>
                        <a:stretch/>
                      </pic:blipFill>
                      <pic:spPr bwMode="auto">
                        <a:xfrm>
                          <a:off x="0" y="0"/>
                          <a:ext cx="5414645" cy="651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6.3pt;height:513.0pt;mso-wrap-distance-left:0.0pt;mso-wrap-distance-top:0.0pt;mso-wrap-distance-right:0.0pt;mso-wrap-distance-bottom:0.0pt;" stroked="f">
                <v:path textboxrect="0,0,0,0"/>
                <v:imagedata r:id="rId19" o:title=""/>
              </v:shape>
            </w:pict>
          </mc:Fallback>
        </mc:AlternateContent>
      </w:r>
      <w:r>
        <w:rPr>
          <w:rFonts w:hint="eastAsia" w:ascii="黑体" w:hAnsi="黑体" w:eastAsia="黑体" w:cs="黑体"/>
          <w:bCs/>
          <w:color w:val="auto"/>
          <w:sz w:val="44"/>
          <w:szCs w:val="44"/>
          <w:highlight w:val="none"/>
        </w:rPr>
        <w:br w:type="page" w:clear="all"/>
      </w:r>
      <w:r/>
    </w:p>
    <w:p>
      <w:pPr>
        <w:jc w:val="cente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 xml:space="preserve">目 录</w:t>
      </w:r>
      <w:r/>
    </w:p>
    <w:p>
      <w:pPr>
        <w:jc w:val="cente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第一部分  投标邀请</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第二部分  投标须知</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第三部分  项目需求</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第四部分  开标和评标</w:t>
      </w:r>
      <w:r/>
    </w:p>
    <w:p>
      <w:pPr>
        <w:ind w:firstLine="640"/>
        <w:spacing w:line="288" w:lineRule="auto"/>
        <w:tabs>
          <w:tab w:val="left" w:pos="7740" w:leader="none"/>
        </w:tabs>
        <w:rPr>
          <w:rFonts w:ascii="黑体" w:hAnsi="黑体" w:eastAsia="黑体" w:cs="黑体"/>
          <w:bCs/>
          <w:color w:val="auto"/>
          <w:spacing w:val="2"/>
          <w:sz w:val="32"/>
          <w:szCs w:val="32"/>
          <w:highlight w:val="none"/>
        </w:rPr>
      </w:pPr>
      <w:r>
        <w:rPr>
          <w:rFonts w:hint="eastAsia" w:ascii="黑体" w:hAnsi="黑体" w:eastAsia="黑体" w:cs="黑体"/>
          <w:bCs/>
          <w:color w:val="auto"/>
          <w:sz w:val="32"/>
          <w:szCs w:val="32"/>
          <w:highlight w:val="none"/>
        </w:rPr>
        <w:t xml:space="preserve">第五部分  投标文件组成</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tabs>
          <w:tab w:val="left" w:pos="7740" w:leader="none"/>
        </w:tabs>
        <w:rPr>
          <w:rFonts w:ascii="黑体" w:hAnsi="黑体" w:eastAsia="黑体" w:cs="黑体"/>
          <w:bCs/>
          <w:color w:val="auto"/>
          <w:spacing w:val="2"/>
          <w:sz w:val="32"/>
          <w:szCs w:val="32"/>
          <w:highlight w:val="none"/>
        </w:rPr>
      </w:pPr>
      <w:r>
        <w:rPr>
          <w:rFonts w:ascii="黑体" w:hAnsi="黑体" w:eastAsia="黑体" w:cs="黑体"/>
          <w:bCs/>
          <w:color w:val="auto"/>
          <w:spacing w:val="2"/>
          <w:sz w:val="32"/>
          <w:szCs w:val="32"/>
          <w:highlight w:val="none"/>
        </w:rPr>
      </w:r>
      <w:r/>
    </w:p>
    <w:p>
      <w:pPr>
        <w:spacing w:line="288" w:lineRule="auto"/>
        <w:tabs>
          <w:tab w:val="left" w:pos="7740" w:leader="none"/>
        </w:tabs>
        <w:rPr>
          <w:rFonts w:ascii="黑体" w:hAnsi="黑体" w:eastAsia="黑体" w:cs="黑体"/>
          <w:bCs/>
          <w:color w:val="auto"/>
          <w:spacing w:val="2"/>
          <w:sz w:val="32"/>
          <w:szCs w:val="32"/>
          <w:highlight w:val="none"/>
        </w:rPr>
      </w:pPr>
      <w:r>
        <w:rPr>
          <w:rFonts w:ascii="黑体" w:hAnsi="黑体" w:eastAsia="黑体" w:cs="黑体"/>
          <w:bCs/>
          <w:color w:val="auto"/>
          <w:spacing w:val="2"/>
          <w:sz w:val="32"/>
          <w:szCs w:val="32"/>
          <w:highlight w:val="none"/>
        </w:rPr>
      </w:r>
      <w:r/>
    </w:p>
    <w:p>
      <w:pPr>
        <w:spacing w:line="288" w:lineRule="auto"/>
        <w:tabs>
          <w:tab w:val="left" w:pos="7740" w:leader="none"/>
        </w:tabs>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spacing w:line="288" w:lineRule="auto"/>
        <w:rPr>
          <w:rFonts w:ascii="黑体" w:hAnsi="黑体" w:eastAsia="黑体" w:cs="黑体"/>
          <w:bCs/>
          <w:color w:val="auto"/>
          <w:sz w:val="44"/>
          <w:szCs w:val="44"/>
          <w:highlight w:val="none"/>
        </w:rPr>
        <w:outlineLvl w:val="0"/>
      </w:pPr>
      <w:r>
        <w:rPr>
          <w:rFonts w:ascii="黑体" w:hAnsi="黑体" w:eastAsia="黑体" w:cs="黑体"/>
          <w:bCs/>
          <w:color w:val="auto"/>
          <w:sz w:val="44"/>
          <w:szCs w:val="44"/>
          <w:highlight w:val="none"/>
        </w:rPr>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br w:type="page" w:clear="all"/>
      </w:r>
      <w:r>
        <w:rPr>
          <w:rFonts w:hint="eastAsia" w:ascii="黑体" w:hAnsi="黑体" w:eastAsia="黑体" w:cs="黑体"/>
          <w:bCs/>
          <w:color w:val="auto"/>
          <w:sz w:val="36"/>
          <w:szCs w:val="36"/>
          <w:highlight w:val="none"/>
        </w:rPr>
        <w:t xml:space="preserve">第一部分  </w:t>
      </w:r>
      <w:bookmarkStart w:id="0" w:name="OLE_LINK5"/>
      <w:r/>
      <w:bookmarkStart w:id="1" w:name="OLE_LINK7"/>
      <w:r>
        <w:rPr>
          <w:rFonts w:hint="eastAsia" w:ascii="黑体" w:hAnsi="黑体" w:eastAsia="黑体" w:cs="黑体"/>
          <w:bCs/>
          <w:color w:val="auto"/>
          <w:sz w:val="36"/>
          <w:szCs w:val="36"/>
          <w:highlight w:val="none"/>
        </w:rPr>
        <w:t xml:space="preserve">投标邀请</w:t>
      </w:r>
      <w:r/>
    </w:p>
    <w:p>
      <w:pPr>
        <w:ind w:firstLine="560"/>
        <w:jc w:val="left"/>
        <w:spacing w:line="288" w:lineRule="auto"/>
        <w:rPr>
          <w:rFonts w:ascii="黑体" w:hAnsi="黑体" w:eastAsia="黑体" w:cs="黑体"/>
          <w:bCs/>
          <w:color w:val="auto"/>
          <w:sz w:val="28"/>
          <w:szCs w:val="28"/>
          <w:highlight w:val="none"/>
        </w:rPr>
      </w:pPr>
      <w:r/>
      <w:bookmarkStart w:id="2" w:name="OLE_LINK6"/>
      <w:r>
        <w:rPr>
          <w:rFonts w:hint="eastAsia" w:ascii="黑体" w:hAnsi="黑体" w:eastAsia="黑体" w:cs="黑体"/>
          <w:bCs/>
          <w:color w:val="auto"/>
          <w:sz w:val="28"/>
          <w:szCs w:val="28"/>
          <w:highlight w:val="none"/>
        </w:rPr>
        <w:t xml:space="preserve">受江苏南通苏锡通科技产业园区综合行政执法大队的委托，南通润通项目管理有限公司就苏锡通园区2026年度综合行政执法大队装配式厕所采购及安装公开招标采购项目(项目编号:JSZC-320693-NTRT-G2026-0002)进行公开招标采购，欢迎符合条件的投标单位投标。</w:t>
      </w:r>
      <w:r/>
    </w:p>
    <w:p>
      <w:pPr>
        <w:ind w:firstLine="560"/>
        <w:spacing w:line="288" w:lineRule="auto"/>
        <w:rPr>
          <w:rFonts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项目概况</w:t>
      </w:r>
      <w:r/>
    </w:p>
    <w:p>
      <w:pPr>
        <w:ind w:firstLine="560"/>
        <w:spacing w:line="288" w:lineRule="auto"/>
        <w:rPr>
          <w:rFonts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苏锡通园区2026年度综合行政执法大队装配式厕所采购及安装公开招标采购项目的潜在投标单位应在江苏政府采购网获取招标文件，并于2026年</w:t>
      </w:r>
      <w:r>
        <w:rPr>
          <w:rFonts w:hint="eastAsia" w:ascii="黑体" w:hAnsi="黑体" w:eastAsia="黑体" w:cs="黑体"/>
          <w:bCs/>
          <w:color w:val="auto"/>
          <w:sz w:val="28"/>
          <w:szCs w:val="28"/>
          <w:highlight w:val="none"/>
          <w:lang w:val="en-US" w:eastAsia="zh-CN"/>
        </w:rPr>
        <w:t xml:space="preserve">6</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lang w:val="en-US" w:eastAsia="zh-CN"/>
        </w:rPr>
        <w:t xml:space="preserve">17</w:t>
      </w:r>
      <w:r>
        <w:rPr>
          <w:rFonts w:hint="eastAsia" w:ascii="黑体" w:hAnsi="黑体" w:eastAsia="黑体" w:cs="黑体"/>
          <w:bCs/>
          <w:color w:val="auto"/>
          <w:sz w:val="28"/>
          <w:szCs w:val="28"/>
          <w:highlight w:val="none"/>
        </w:rPr>
        <w:t xml:space="preserve">日 </w:t>
      </w:r>
      <w:r>
        <w:rPr>
          <w:rFonts w:hint="eastAsia" w:ascii="黑体" w:hAnsi="黑体" w:eastAsia="黑体" w:cs="黑体"/>
          <w:bCs/>
          <w:color w:val="auto"/>
          <w:sz w:val="28"/>
          <w:szCs w:val="28"/>
          <w:highlight w:val="none"/>
          <w:lang w:val="en-US" w:eastAsia="zh-CN"/>
        </w:rPr>
        <w:t xml:space="preserve">14</w:t>
      </w:r>
      <w:r>
        <w:rPr>
          <w:rFonts w:hint="eastAsia" w:ascii="黑体" w:hAnsi="黑体" w:eastAsia="黑体" w:cs="黑体"/>
          <w:bCs/>
          <w:color w:val="auto"/>
          <w:sz w:val="28"/>
          <w:szCs w:val="28"/>
          <w:highlight w:val="none"/>
        </w:rPr>
        <w:t xml:space="preserve">点</w:t>
      </w:r>
      <w:r>
        <w:rPr>
          <w:rFonts w:hint="eastAsia" w:ascii="黑体" w:hAnsi="黑体" w:eastAsia="黑体" w:cs="黑体"/>
          <w:bCs/>
          <w:color w:val="auto"/>
          <w:sz w:val="28"/>
          <w:szCs w:val="28"/>
          <w:highlight w:val="none"/>
          <w:lang w:val="en-US" w:eastAsia="zh-CN"/>
        </w:rPr>
        <w:t xml:space="preserve">0</w:t>
      </w:r>
      <w:r>
        <w:rPr>
          <w:rFonts w:hint="eastAsia" w:ascii="黑体" w:hAnsi="黑体" w:eastAsia="黑体" w:cs="黑体"/>
          <w:bCs/>
          <w:color w:val="auto"/>
          <w:sz w:val="28"/>
          <w:szCs w:val="28"/>
          <w:highlight w:val="none"/>
        </w:rPr>
        <w:t xml:space="preserve">0分（北京时间）前递交投标文件。</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一、项目基本情况</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1、项目编号：JSZC-320693-NTRT-G2026-0002</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2、项目名称：苏锡通园区2026年度综合行政执法大队装配式厕所采购及安装公开招标采购项目</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3、采购方式：公开招标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4、项目类型：货物</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5、所属行业：工业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6、预算金额：220万元。</w:t>
      </w:r>
      <w:r/>
    </w:p>
    <w:p>
      <w:pPr>
        <w:pStyle w:val="819"/>
        <w:ind w:firstLine="560"/>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highlight w:val="none"/>
        </w:rPr>
        <w:t xml:space="preserve">7、最高限价：</w:t>
      </w:r>
      <w:r>
        <w:rPr>
          <w:rFonts w:hint="eastAsia" w:ascii="黑体" w:hAnsi="黑体" w:eastAsia="黑体" w:cs="黑体"/>
          <w:bCs/>
          <w:color w:val="auto"/>
          <w:sz w:val="28"/>
          <w:szCs w:val="28"/>
          <w:highlight w:val="none"/>
        </w:rPr>
        <w:t xml:space="preserve">本项目最高限价220万元，投标报价超过最高限价的均为无效报价，按照无效投标处理。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8、采购需求：</w:t>
      </w:r>
      <w:r>
        <w:rPr>
          <w:rFonts w:hint="eastAsia" w:ascii="黑体" w:hAnsi="黑体" w:eastAsia="黑体" w:cs="黑体"/>
          <w:color w:val="auto"/>
          <w:spacing w:val="-2"/>
          <w:sz w:val="28"/>
          <w:szCs w:val="28"/>
          <w:highlight w:val="none"/>
        </w:rPr>
        <w:t xml:space="preserve">苏锡通园区综合行政执法大队装配式厕所采购及安装，</w:t>
      </w:r>
      <w:r>
        <w:rPr>
          <w:rFonts w:hint="eastAsia" w:ascii="黑体" w:hAnsi="黑体" w:eastAsia="黑体" w:cs="黑体"/>
          <w:b/>
          <w:color w:val="auto"/>
          <w:sz w:val="28"/>
          <w:szCs w:val="28"/>
          <w:highlight w:val="none"/>
          <w:u w:val="single"/>
        </w:rPr>
        <w:t xml:space="preserve">本项目核心产品：装配式厕所，</w:t>
      </w:r>
      <w:r>
        <w:rPr>
          <w:rFonts w:hint="eastAsia" w:ascii="黑体" w:hAnsi="黑体" w:eastAsia="黑体" w:cs="黑体"/>
          <w:bCs/>
          <w:color w:val="auto"/>
          <w:sz w:val="28"/>
          <w:szCs w:val="28"/>
          <w:highlight w:val="none"/>
        </w:rPr>
        <w:t xml:space="preserve">详见采购文件，请仔细研究。</w:t>
      </w:r>
      <w:r/>
    </w:p>
    <w:tbl>
      <w:tblPr>
        <w:tblStyle w:val="1153"/>
        <w:tblW w:w="84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87"/>
        <w:gridCol w:w="1476"/>
        <w:gridCol w:w="1201"/>
        <w:gridCol w:w="3418"/>
      </w:tblGrid>
      <w:tr>
        <w:trPr>
          <w:trHeight w:val="1096"/>
        </w:trPr>
        <w:tc>
          <w:tcPr>
            <w:tcW w:w="2387"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37"/>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产品名称</w:t>
            </w:r>
            <w:r/>
          </w:p>
        </w:tc>
        <w:tc>
          <w:tcPr>
            <w:tcW w:w="1476" w:type="dxa"/>
            <w:textDirection w:val="lrTb"/>
            <w:noWrap w:val="false"/>
          </w:tcPr>
          <w:p>
            <w:pPr>
              <w:ind w:left="342" w:right="174" w:hanging="160"/>
              <w:spacing w:before="227"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厕所数量</w:t>
            </w:r>
            <w:r>
              <w:rPr>
                <w:rFonts w:hint="eastAsia" w:ascii="黑体" w:hAnsi="黑体" w:eastAsia="黑体" w:cs="黑体"/>
                <w:color w:val="auto"/>
                <w:spacing w:val="1"/>
                <w:sz w:val="28"/>
                <w:szCs w:val="28"/>
                <w:highlight w:val="none"/>
              </w:rPr>
              <w:t xml:space="preserve"> </w:t>
            </w:r>
            <w:r>
              <w:rPr>
                <w:rFonts w:hint="eastAsia" w:ascii="黑体" w:hAnsi="黑体" w:eastAsia="黑体" w:cs="黑体"/>
                <w:b/>
                <w:bCs/>
                <w:color w:val="auto"/>
                <w:spacing w:val="-13"/>
                <w:sz w:val="28"/>
                <w:szCs w:val="28"/>
                <w:highlight w:val="none"/>
              </w:rPr>
              <w:t xml:space="preserve">（座）</w:t>
            </w:r>
            <w:r/>
          </w:p>
        </w:tc>
        <w:tc>
          <w:tcPr>
            <w:tcW w:w="1201" w:type="dxa"/>
            <w:textDirection w:val="lrTb"/>
            <w:noWrap w:val="false"/>
          </w:tcPr>
          <w:p>
            <w:pPr>
              <w:ind w:left="464" w:right="177" w:hanging="280"/>
              <w:spacing w:before="46"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厕所面</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3"/>
                <w:sz w:val="28"/>
                <w:szCs w:val="28"/>
                <w:highlight w:val="none"/>
              </w:rPr>
              <w:t xml:space="preserve">积</w:t>
            </w:r>
            <w:r/>
          </w:p>
          <w:p>
            <w:pPr>
              <w:ind w:left="205"/>
              <w:spacing w:before="24" w:line="288" w:lineRule="auto"/>
              <w:rPr>
                <w:rFonts w:ascii="黑体" w:hAnsi="黑体" w:eastAsia="黑体" w:cs="黑体"/>
                <w:color w:val="auto"/>
                <w:sz w:val="28"/>
                <w:szCs w:val="28"/>
                <w:highlight w:val="none"/>
              </w:rPr>
            </w:pPr>
            <w:r>
              <w:rPr>
                <w:rFonts w:hint="eastAsia" w:ascii="黑体" w:hAnsi="黑体" w:eastAsia="黑体" w:cs="黑体"/>
                <w:b/>
                <w:bCs/>
                <w:color w:val="auto"/>
                <w:spacing w:val="-20"/>
                <w:sz w:val="28"/>
                <w:szCs w:val="28"/>
                <w:highlight w:val="none"/>
              </w:rPr>
              <w:t xml:space="preserve">（㎡）</w:t>
            </w:r>
            <w:r/>
          </w:p>
        </w:tc>
        <w:tc>
          <w:tcPr>
            <w:tcW w:w="3418"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1153"/>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厕所地址</w:t>
            </w:r>
            <w:r/>
          </w:p>
        </w:tc>
      </w:tr>
      <w:tr>
        <w:trPr>
          <w:trHeight w:val="1093"/>
        </w:trPr>
        <w:tc>
          <w:tcPr>
            <w:tcW w:w="2387" w:type="dxa"/>
            <w:textDirection w:val="lrTb"/>
            <w:noWrap w:val="false"/>
          </w:tcPr>
          <w:p>
            <w:pPr>
              <w:ind w:left="225"/>
              <w:spacing w:before="44"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苏锡通园区综合行政执法大队装配式厕所采购及安装</w:t>
            </w:r>
            <w:r/>
          </w:p>
        </w:tc>
        <w:tc>
          <w:tcPr>
            <w:tcW w:w="1476"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90"/>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5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ind w:left="117" w:right="105" w:firstLine="4"/>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苏锡通园区江海街道、张芝山镇，具体地址以招标人确认的建设地址为</w:t>
            </w:r>
            <w:r>
              <w:rPr>
                <w:rFonts w:hint="eastAsia" w:ascii="黑体" w:hAnsi="黑体" w:eastAsia="黑体" w:cs="黑体"/>
                <w:color w:val="auto"/>
                <w:spacing w:val="-5"/>
                <w:sz w:val="28"/>
                <w:szCs w:val="28"/>
                <w:highlight w:val="none"/>
              </w:rPr>
              <w:t xml:space="preserve">准。</w:t>
            </w:r>
            <w:r/>
          </w:p>
        </w:tc>
      </w:tr>
      <w:tr>
        <w:trPr>
          <w:trHeight w:val="372"/>
        </w:trPr>
        <w:tc>
          <w:tcPr>
            <w:tcW w:w="2387" w:type="dxa"/>
            <w:textDirection w:val="lrTb"/>
            <w:noWrap w:val="false"/>
          </w:tcPr>
          <w:p>
            <w:pPr>
              <w:ind w:left="923"/>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合计</w:t>
            </w:r>
            <w:r/>
          </w:p>
        </w:tc>
        <w:tc>
          <w:tcPr>
            <w:tcW w:w="1476" w:type="dxa"/>
            <w:textDirection w:val="lrTb"/>
            <w:noWrap w:val="false"/>
          </w:tcPr>
          <w:p>
            <w:pPr>
              <w:ind w:left="690"/>
              <w:spacing w:before="89"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ind w:left="554"/>
              <w:spacing w:before="87"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tc>
      </w:tr>
    </w:tbl>
    <w:p>
      <w:pPr>
        <w:ind w:firstLine="56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9、合同履行期限：自合同签订之日起80日历天内完成所有货物的供货、安装，并通过招标人验收,具体以招标人书面通知为准。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10、本项目不接受联合体投标。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11、本项目不接受分包。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12、本项目不接受进口产品。</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二、申请人的资格要求</w:t>
      </w:r>
      <w:r/>
    </w:p>
    <w:p>
      <w:pPr>
        <w:ind w:firstLine="560"/>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1、满足《中华人民共和国政府采购法》第二十二条规定；</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2、落实政府采购政策需满足的资格要求：本项目为专门面向中小微企业采购项目（须按照财库〔2020〕46号文要求提供中小企业声明函，格式见附件）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本项目采购标的对应的中小企业划分标准所属行业</w:t>
      </w:r>
      <w:r>
        <w:rPr>
          <w:rFonts w:hint="eastAsia" w:ascii="黑体" w:hAnsi="黑体" w:eastAsia="黑体" w:cs="黑体"/>
          <w:bCs/>
          <w:color w:val="auto"/>
          <w:sz w:val="28"/>
          <w:szCs w:val="28"/>
          <w:highlight w:val="none"/>
          <w:u w:val="single"/>
        </w:rPr>
        <w:t xml:space="preserve">为工业</w:t>
      </w:r>
      <w:r>
        <w:rPr>
          <w:rFonts w:hint="eastAsia" w:ascii="黑体" w:hAnsi="黑体" w:eastAsia="黑体" w:cs="黑体"/>
          <w:bCs/>
          <w:color w:val="auto"/>
          <w:sz w:val="28"/>
          <w:szCs w:val="2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（2）残疾人福利性单位按照《关于促进残疾人就业政府采购政策的通知》（财库〔2017〕141号）有关规定执行。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（3）监狱企业按照《关于政府采购支持监狱企业发展有关问题的通知》（财库【2014】68号）有关规定执行。</w:t>
      </w:r>
      <w:r/>
    </w:p>
    <w:p>
      <w:pPr>
        <w:ind w:firstLine="562"/>
        <w:jc w:val="left"/>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备注：本项目专门面向中小企业，不享受价格扣除优惠政策。</w:t>
      </w:r>
      <w:r/>
    </w:p>
    <w:p>
      <w:pPr>
        <w:ind w:firstLine="560"/>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单位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4、在“信用中国”网站（https://www.creditchina.gov.cn）查询，无被列入</w:t>
      </w:r>
      <w:r>
        <w:rPr>
          <w:color w:val="auto"/>
          <w:highlight w:val="none"/>
        </w:rPr>
        <w:fldChar w:fldCharType="begin"/>
      </w:r>
      <w:r>
        <w:rPr>
          <w:color w:val="auto"/>
          <w:highlight w:val="none"/>
        </w:rPr>
        <w:instrText xml:space="preserve"> HYPERLINK "https://zxgk.court.gov.cn/shixin/" </w:instrText>
      </w:r>
      <w:r>
        <w:rPr>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及其他不符合《中华人民共和国政府采购法》第二十二条规定条件的信用记录。（投标文件中无需提供证明材料）。</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5、符合法律、法规规定的其他条件。</w:t>
      </w:r>
      <w:r/>
    </w:p>
    <w:p>
      <w:pPr>
        <w:pStyle w:val="833"/>
        <w:ind w:left="126" w:right="110" w:firstLine="499"/>
        <w:spacing w:before="27" w:line="288" w:lineRule="auto"/>
        <w:rPr>
          <w:rFonts w:hint="eastAsia" w:ascii="黑体" w:hAnsi="黑体" w:eastAsia="黑体" w:cs="黑体"/>
          <w:color w:val="auto"/>
          <w:spacing w:val="-1"/>
          <w:sz w:val="28"/>
          <w:szCs w:val="28"/>
          <w:highlight w:val="none"/>
        </w:rPr>
        <w:outlineLvl w:val="4"/>
      </w:pPr>
      <w:r>
        <w:rPr>
          <w:rFonts w:hint="eastAsia" w:ascii="黑体" w:hAnsi="黑体" w:eastAsia="黑体" w:cs="黑体"/>
          <w:b/>
          <w:bCs/>
          <w:color w:val="auto"/>
          <w:spacing w:val="-1"/>
          <w:sz w:val="28"/>
          <w:szCs w:val="28"/>
          <w:highlight w:val="none"/>
        </w:rPr>
        <w:t xml:space="preserve">6、本项目招标文件“第三部分项目需求（三）本项目需满足的质量、安全、技术规格、物理特性等要求如下表：1、实施产品的清单及技术要求”中提供的</w:t>
      </w:r>
      <w:r>
        <w:rPr>
          <w:rFonts w:hint="eastAsia" w:ascii="黑体" w:hAnsi="黑体" w:eastAsia="黑体" w:cs="黑体"/>
          <w:b/>
          <w:bCs/>
          <w:color w:val="auto"/>
          <w:spacing w:val="-1"/>
          <w:sz w:val="28"/>
          <w:szCs w:val="28"/>
          <w:highlight w:val="none"/>
          <w:u w:val="single"/>
        </w:rPr>
        <w:t xml:space="preserve">便器、空调、水嘴</w:t>
      </w:r>
      <w:r>
        <w:rPr>
          <w:rFonts w:hint="eastAsia" w:ascii="黑体" w:hAnsi="黑体" w:eastAsia="黑体" w:cs="黑体"/>
          <w:b/>
          <w:bCs/>
          <w:color w:val="auto"/>
          <w:spacing w:val="-1"/>
          <w:sz w:val="28"/>
          <w:szCs w:val="28"/>
          <w:highlight w:val="none"/>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color w:val="auto"/>
          <w:spacing w:val="-1"/>
          <w:sz w:val="28"/>
          <w:szCs w:val="28"/>
          <w:highlight w:val="none"/>
        </w:rPr>
        <w:t xml:space="preserve">。</w:t>
      </w:r>
      <w:r/>
    </w:p>
    <w:p>
      <w:pPr>
        <w:pStyle w:val="833"/>
        <w:ind w:left="126" w:right="110" w:firstLine="499"/>
        <w:spacing w:before="27" w:line="288" w:lineRule="auto"/>
        <w:rPr>
          <w:rFonts w:hint="default" w:ascii="黑体" w:hAnsi="黑体" w:eastAsia="黑体" w:cs="黑体"/>
          <w:color w:val="auto"/>
          <w:spacing w:val="-1"/>
          <w:sz w:val="28"/>
          <w:szCs w:val="28"/>
          <w:highlight w:val="none"/>
          <w:lang w:val="en-US" w:eastAsia="zh-CN"/>
        </w:rPr>
        <w:outlineLvl w:val="4"/>
      </w:pPr>
      <w:r>
        <w:rPr>
          <w:rFonts w:hint="eastAsia" w:ascii="黑体" w:hAnsi="黑体" w:eastAsia="黑体" w:cs="黑体"/>
          <w:color w:val="auto"/>
          <w:spacing w:val="-1"/>
          <w:sz w:val="28"/>
          <w:szCs w:val="28"/>
          <w:highlight w:val="none"/>
          <w:lang w:val="en-US" w:eastAsia="zh-CN"/>
        </w:rPr>
        <w:t xml:space="preserve">以上未详尽部分详见招标文件第五部分。</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三、获取招标文件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1.时间：自招标公告及招标文件发布之日起至2026年</w:t>
      </w:r>
      <w:r>
        <w:rPr>
          <w:rFonts w:hint="eastAsia" w:ascii="黑体" w:hAnsi="黑体" w:eastAsia="黑体" w:cs="黑体"/>
          <w:bCs/>
          <w:color w:val="auto"/>
          <w:sz w:val="28"/>
          <w:szCs w:val="28"/>
          <w:highlight w:val="none"/>
          <w:lang w:val="en-US" w:eastAsia="zh-CN"/>
        </w:rPr>
        <w:t xml:space="preserve">6</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lang w:val="en-US" w:eastAsia="zh-CN"/>
        </w:rPr>
        <w:t xml:space="preserve">17</w:t>
      </w:r>
      <w:r>
        <w:rPr>
          <w:rFonts w:hint="eastAsia" w:ascii="黑体" w:hAnsi="黑体" w:eastAsia="黑体" w:cs="黑体"/>
          <w:bCs/>
          <w:color w:val="auto"/>
          <w:sz w:val="28"/>
          <w:szCs w:val="28"/>
          <w:highlight w:val="none"/>
        </w:rPr>
        <w:t xml:space="preserve">日</w:t>
      </w:r>
      <w:r>
        <w:rPr>
          <w:rFonts w:hint="eastAsia" w:ascii="黑体" w:hAnsi="黑体" w:eastAsia="黑体" w:cs="黑体"/>
          <w:bCs/>
          <w:color w:val="auto"/>
          <w:sz w:val="28"/>
          <w:szCs w:val="28"/>
          <w:highlight w:val="none"/>
          <w:lang w:val="en-US" w:eastAsia="zh-CN"/>
        </w:rPr>
        <w:t xml:space="preserve">14</w:t>
      </w:r>
      <w:r>
        <w:rPr>
          <w:rFonts w:hint="eastAsia" w:ascii="黑体" w:hAnsi="黑体" w:eastAsia="黑体" w:cs="黑体"/>
          <w:bCs/>
          <w:color w:val="auto"/>
          <w:sz w:val="28"/>
          <w:szCs w:val="28"/>
          <w:highlight w:val="none"/>
        </w:rPr>
        <w:t xml:space="preserve">点</w:t>
      </w:r>
      <w:r>
        <w:rPr>
          <w:rFonts w:hint="eastAsia" w:ascii="黑体" w:hAnsi="黑体" w:eastAsia="黑体" w:cs="黑体"/>
          <w:bCs/>
          <w:color w:val="auto"/>
          <w:sz w:val="28"/>
          <w:szCs w:val="28"/>
          <w:highlight w:val="none"/>
          <w:lang w:val="en-US" w:eastAsia="zh-CN"/>
        </w:rPr>
        <w:t xml:space="preserve">0</w:t>
      </w:r>
      <w:r>
        <w:rPr>
          <w:rFonts w:hint="eastAsia" w:ascii="黑体" w:hAnsi="黑体" w:eastAsia="黑体" w:cs="黑体"/>
          <w:bCs/>
          <w:color w:val="auto"/>
          <w:sz w:val="28"/>
          <w:szCs w:val="28"/>
          <w:highlight w:val="none"/>
        </w:rPr>
        <w:t xml:space="preserve">0分（北京时间）</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2.地点：网上注册登记成功后系统内免费下载</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3.获取方式：本项目采用网上注册登记方式。</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3.1潜在投标单位访问电子招标响应交易平台的网络地址和方法：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          出加密的响应文件（后缀名为zip）--通过“苏采云”系统上传响应文件。具体见江苏政府采购网—资料下载中《江苏省政府采购管理交易系统（苏采云）投标单位操作手册》。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3.2潜在投标单位访问“苏采云”系统的网络地址和方法：“苏采云”系统的网址：http://jszfcg.jsczt.cn/。</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3.3“CA数字证书”的获取：</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需办理CA锁，“苏采云”系统目前仅支持政务CA、方正签章，省内各地区办理的用于“苏采云”平台的政务CA、方正签章全省通用。“CA数字证书”的办理方法详见江苏政府采购网—资料下载中《江苏省政府采购数字证书（投标单位）CA及电子签章办理指南》。</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3.4采购文件（后缀名为“.kedt”）、投标单位操作手册及政府采购客户端工具可通过“苏采云”系统--已报名项目--报名详情页面内相应链接进行下载。</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3.5招标代理机构（采购代理机构）将数据电文形式的采购文件加载至“苏采云”系统，供潜在投标单位下载或者查阅。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3.6请潜在投标单位提前安装相应的控件（详见《江苏省政府采购管理交易系统（苏采云）投标单位操作手册》）并使用谷歌浏览器登录“苏采云”系统参与不见面开评标。</w:t>
      </w:r>
      <w:r/>
    </w:p>
    <w:p>
      <w:pPr>
        <w:ind w:firstLine="48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注：如潜在投标单位未按上述要求操作，将自行承担所产生的风险。</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四、提交响应文件截止时间、投标时间和地点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1.2026年</w:t>
      </w:r>
      <w:r>
        <w:rPr>
          <w:rFonts w:hint="eastAsia" w:ascii="黑体" w:hAnsi="黑体" w:eastAsia="黑体" w:cs="黑体"/>
          <w:bCs/>
          <w:color w:val="auto"/>
          <w:sz w:val="28"/>
          <w:szCs w:val="28"/>
          <w:highlight w:val="none"/>
          <w:lang w:val="en-US" w:eastAsia="zh-CN"/>
        </w:rPr>
        <w:t xml:space="preserve">6</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lang w:val="en-US" w:eastAsia="zh-CN"/>
        </w:rPr>
        <w:t xml:space="preserve">17</w:t>
      </w:r>
      <w:r>
        <w:rPr>
          <w:rFonts w:hint="eastAsia" w:ascii="黑体" w:hAnsi="黑体" w:eastAsia="黑体" w:cs="黑体"/>
          <w:bCs/>
          <w:color w:val="auto"/>
          <w:sz w:val="28"/>
          <w:szCs w:val="28"/>
          <w:highlight w:val="none"/>
        </w:rPr>
        <w:t xml:space="preserve">日 </w:t>
      </w:r>
      <w:r>
        <w:rPr>
          <w:rFonts w:hint="eastAsia" w:ascii="黑体" w:hAnsi="黑体" w:eastAsia="黑体" w:cs="黑体"/>
          <w:bCs/>
          <w:color w:val="auto"/>
          <w:sz w:val="28"/>
          <w:szCs w:val="28"/>
          <w:highlight w:val="none"/>
          <w:lang w:val="en-US" w:eastAsia="zh-CN"/>
        </w:rPr>
        <w:t xml:space="preserve">14</w:t>
      </w:r>
      <w:r>
        <w:rPr>
          <w:rFonts w:hint="eastAsia" w:ascii="黑体" w:hAnsi="黑体" w:eastAsia="黑体" w:cs="黑体"/>
          <w:bCs/>
          <w:color w:val="auto"/>
          <w:sz w:val="28"/>
          <w:szCs w:val="28"/>
          <w:highlight w:val="none"/>
        </w:rPr>
        <w:t xml:space="preserve">点</w:t>
      </w:r>
      <w:r>
        <w:rPr>
          <w:rFonts w:hint="eastAsia" w:ascii="黑体" w:hAnsi="黑体" w:eastAsia="黑体" w:cs="黑体"/>
          <w:bCs/>
          <w:color w:val="auto"/>
          <w:sz w:val="28"/>
          <w:szCs w:val="28"/>
          <w:highlight w:val="none"/>
          <w:lang w:val="en-US" w:eastAsia="zh-CN"/>
        </w:rPr>
        <w:t xml:space="preserve">0</w:t>
      </w:r>
      <w:r>
        <w:rPr>
          <w:rFonts w:hint="eastAsia" w:ascii="黑体" w:hAnsi="黑体" w:eastAsia="黑体" w:cs="黑体"/>
          <w:bCs/>
          <w:color w:val="auto"/>
          <w:sz w:val="28"/>
          <w:szCs w:val="28"/>
          <w:highlight w:val="none"/>
        </w:rPr>
        <w:t xml:space="preserve">0分（北京时间）。逾时，交易系统将拒绝接受上传响应文件电子文档。</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注：各投标单位请关注开标大厅交流区，在开标结束后，请勿离开开标大厅。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2.线上开标地点：“苏采云”系统（网址：http://jszfcg.jsczt.cn/）“开标大厅”。</w:t>
      </w:r>
      <w:r/>
    </w:p>
    <w:p>
      <w:pPr>
        <w:ind w:firstLine="480"/>
        <w:spacing w:line="288" w:lineRule="auto"/>
        <w:rPr>
          <w:rFonts w:ascii="黑体" w:hAnsi="黑体" w:eastAsia="黑体" w:cs="黑体"/>
          <w:bCs/>
          <w:i/>
          <w:color w:val="auto"/>
          <w:sz w:val="28"/>
          <w:szCs w:val="28"/>
          <w:highlight w:val="none"/>
        </w:rPr>
      </w:pPr>
      <w:r>
        <w:rPr>
          <w:rFonts w:hint="eastAsia" w:ascii="黑体" w:hAnsi="黑体" w:eastAsia="黑体" w:cs="黑体"/>
          <w:bCs/>
          <w:color w:val="auto"/>
          <w:sz w:val="28"/>
          <w:szCs w:val="28"/>
          <w:highlight w:val="none"/>
        </w:rPr>
        <w:t xml:space="preserve">3.响应文件的解密：开标当天各投标单位及时登录不见面开标大厅，响应文件递交截止时间后，招标人将在系统内公布投标投标单位名单，然后通过开标会议区发出响应文件解密的指令，投标投标单位在开标室按规定时间自行实施远程解密，投标投标单位解密限定在开标后30分钟之内完成。</w:t>
      </w:r>
      <w:r>
        <w:rPr>
          <w:rFonts w:hint="eastAsia" w:ascii="黑体" w:hAnsi="黑体" w:eastAsia="黑体" w:cs="黑体"/>
          <w:bCs/>
          <w:color w:val="auto"/>
          <w:sz w:val="28"/>
          <w:szCs w:val="28"/>
          <w:highlight w:val="none"/>
          <w:u w:val="single"/>
        </w:rPr>
        <w:t xml:space="preserve">因投标投标单位网络与电源不稳定、未按操作手册要求配置软硬件、解密锁发生故障或用错、故意不在要求时限内完成解密等自身原因，导致响应文件在规定时间内未能解密、解密失败或解密超时，视为投标投标单位撤销其响应文件，系统内响应文件将被退回</w:t>
      </w:r>
      <w:r>
        <w:rPr>
          <w:rFonts w:hint="eastAsia" w:ascii="黑体" w:hAnsi="黑体" w:eastAsia="黑体" w:cs="黑体"/>
          <w:bCs/>
          <w:color w:val="auto"/>
          <w:sz w:val="28"/>
          <w:szCs w:val="28"/>
          <w:highlight w:val="none"/>
        </w:rPr>
        <w:t xml:space="preserve">；因招标人原因或网上招投标平台发生故障，导致无法按时完成响应文件解密或开、评标工作无法进行的，可根据实际情况相应延迟解密时间或调整开、评标时间。</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五、公告期限</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自本公告发布之日起5个工作日。</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六、其他补充事宜</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1.投标保证金：免收。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2.项目开标活动模式：不见面远程开标模式，投标单位在各自地点通过不见面交易系统参加开标会。</w:t>
      </w:r>
      <w:r/>
    </w:p>
    <w:p>
      <w:pPr>
        <w:ind w:firstLine="560"/>
        <w:spacing w:line="288" w:lineRule="auto"/>
        <w:rPr>
          <w:rFonts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rPr>
        <w:t xml:space="preserve">3.项目样品：无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对项目需求部分（投标单位资格要求、项目需求、商务技术评分标准）的询问、质疑请向招标人提出，由招标人负责答复；对项目招标文件其它部分的询问请向招标文件制作人或项目开标评标经办人提出；对在“电子交易平台”操作阶段的询问请向交易系统软件维护人员提出。</w:t>
      </w:r>
      <w:r/>
    </w:p>
    <w:p>
      <w:pPr>
        <w:ind w:firstLine="560"/>
        <w:spacing w:line="288" w:lineRule="auto"/>
        <w:rPr>
          <w:rFonts w:ascii="黑体" w:hAnsi="黑体" w:eastAsia="黑体" w:cs="黑体"/>
          <w:bCs/>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黑体" w:hAnsi="黑体" w:eastAsia="黑体" w:cs="黑体"/>
          <w:bCs/>
          <w:color w:val="auto"/>
          <w:sz w:val="28"/>
          <w:szCs w:val="28"/>
          <w:highlight w:val="none"/>
        </w:rPr>
        <w:t xml:space="preserve">5.有关本次采购的事项若存在变动或修改，敬请及时关注“江苏政府采购网”发布的信息更正公告。</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单位应依照规定提交各类声明函、承诺函，不再同时提供原件备查或提供有关部门出具的相关证明文件。但中标单位应做好提交声明函、承诺函相应原件的核查准备；核查后发现虚假或违背承诺的，依照相关法律法规规定处理。</w:t>
      </w:r>
      <w:r/>
    </w:p>
    <w:p>
      <w:pPr>
        <w:ind w:firstLine="48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单位认为招标文件使自己的权益受到损害的，可以自获取招标文件之日或者招标公告期限届满之日(公告期限届满后获取招标文件的，以公告期限届满之日为准)起7个工作日内，对招标文件需求的以书面形式向招标人提出质疑，对其他内容的以书面形式向招标人和代理机构提出质疑。质疑函范本详见本招标文件后附格式。</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七、对本次招标提出询问，请按以下方式联系。</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1.招标人信息</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名称：江苏南通苏锡通科技产业园区综合行政执法大队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    址：苏锡通园区江成路1088号  </w:t>
      </w:r>
      <w:r/>
    </w:p>
    <w:p>
      <w:pPr>
        <w:ind w:firstLine="560"/>
        <w:spacing w:line="288"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项目主要负责人：康楠    </w:t>
      </w:r>
      <w:r/>
    </w:p>
    <w:p>
      <w:pPr>
        <w:ind w:firstLine="560"/>
        <w:spacing w:line="288"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相关负责人：顾金华</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方 式：</w:t>
      </w:r>
      <w:r>
        <w:rPr>
          <w:rFonts w:hint="eastAsia" w:ascii="黑体" w:hAnsi="黑体" w:eastAsia="黑体" w:cs="黑体"/>
          <w:bCs/>
          <w:color w:val="auto"/>
          <w:sz w:val="28"/>
          <w:szCs w:val="21"/>
          <w:highlight w:val="none"/>
        </w:rPr>
        <w:t xml:space="preserve">0513-89196639</w:t>
      </w:r>
      <w:r>
        <w:rPr>
          <w:rFonts w:hint="eastAsia" w:ascii="黑体" w:hAnsi="黑体" w:eastAsia="黑体" w:cs="黑体"/>
          <w:bCs/>
          <w:color w:val="auto"/>
          <w:sz w:val="28"/>
          <w:szCs w:val="28"/>
          <w:highlight w:val="non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2.采购代理机构信息</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名    称：南通润通项目管理有限公司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   址：南通市开发区长通路9号飞马国际中心A幢</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方 式：陆柳柳 19812255667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电子邮箱：</w:t>
      </w:r>
      <w:r>
        <w:rPr>
          <w:color w:val="auto"/>
          <w:highlight w:val="none"/>
        </w:rPr>
        <w:fldChar w:fldCharType="begin"/>
      </w:r>
      <w:r>
        <w:rPr>
          <w:color w:val="auto"/>
          <w:highlight w:val="none"/>
        </w:rPr>
        <w:instrText xml:space="preserve"> HYPERLINK "mailto:ntxyjhy@163.com" </w:instrText>
      </w:r>
      <w:r>
        <w:rPr>
          <w:color w:val="auto"/>
          <w:highlight w:val="none"/>
        </w:rPr>
        <w:fldChar w:fldCharType="separate"/>
      </w:r>
      <w:r>
        <w:rPr>
          <w:rStyle w:val="863"/>
          <w:rFonts w:hint="eastAsia" w:ascii="黑体" w:hAnsi="黑体" w:eastAsia="黑体" w:cs="黑体"/>
          <w:bCs/>
          <w:color w:val="auto"/>
          <w:sz w:val="28"/>
          <w:szCs w:val="28"/>
          <w:highlight w:val="none"/>
        </w:rPr>
        <w:t xml:space="preserve">runtong20210163@163.com</w:t>
      </w:r>
      <w:r>
        <w:rPr>
          <w:rStyle w:val="863"/>
          <w:rFonts w:hint="eastAsia" w:ascii="黑体" w:hAnsi="黑体" w:eastAsia="黑体" w:cs="黑体"/>
          <w:bCs/>
          <w:color w:val="auto"/>
          <w:sz w:val="28"/>
          <w:szCs w:val="28"/>
          <w:highlight w:val="none"/>
        </w:rPr>
        <w:fldChar w:fldCharType="end"/>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3.软件技术支持：0519-86722801。</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附件:1.招标文件</w:t>
      </w:r>
      <w:r/>
    </w:p>
    <w:p>
      <w:pPr>
        <w:numPr>
          <w:ilvl w:val="0"/>
          <w:numId w:val="2"/>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招标人信用承诺</w:t>
      </w:r>
      <w:r/>
    </w:p>
    <w:p>
      <w:pPr>
        <w:numPr>
          <w:ilvl w:val="0"/>
          <w:numId w:val="2"/>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 xml:space="preserve">公平竞争审查表和二维码</w:t>
      </w:r>
      <w:r/>
    </w:p>
    <w:p>
      <w:pPr>
        <w:numPr>
          <w:ilvl w:val="0"/>
          <w:numId w:val="2"/>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“苏采云”系统投标单位操作手册</w:t>
      </w:r>
      <w:r/>
    </w:p>
    <w:p>
      <w:pPr>
        <w:jc w:val="center"/>
        <w:spacing w:line="288" w:lineRule="auto"/>
        <w:rPr>
          <w:rFonts w:ascii="黑体" w:hAnsi="黑体" w:eastAsia="黑体" w:cs="黑体"/>
          <w:bCs/>
          <w:color w:val="auto"/>
          <w:sz w:val="36"/>
          <w:szCs w:val="36"/>
          <w:highlight w:val="none"/>
        </w:rPr>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36"/>
          <w:szCs w:val="36"/>
          <w:highlight w:val="none"/>
        </w:rPr>
        <w:t xml:space="preserve">第二部分  投标须知</w:t>
      </w:r>
      <w:r/>
    </w:p>
    <w:p>
      <w:pPr>
        <w:pStyle w:val="1020"/>
        <w:spacing w:before="0" w:after="0" w:line="288" w:lineRule="auto"/>
        <w:rPr>
          <w:rFonts w:ascii="黑体" w:hAnsi="黑体" w:eastAsia="黑体" w:cs="黑体"/>
          <w:b w:val="0"/>
          <w:color w:val="auto"/>
          <w:sz w:val="28"/>
          <w:szCs w:val="28"/>
          <w:highlight w:val="none"/>
        </w:rPr>
      </w:pPr>
      <w:r/>
      <w:bookmarkStart w:id="3" w:name="_Toc20823275"/>
      <w:r/>
      <w:bookmarkStart w:id="4" w:name="_Toc120614214"/>
      <w:r/>
      <w:bookmarkStart w:id="5" w:name="_Toc513029203"/>
      <w:r/>
      <w:bookmarkStart w:id="6" w:name="_Toc16938519"/>
      <w:r>
        <w:rPr>
          <w:rFonts w:hint="eastAsia" w:ascii="黑体" w:hAnsi="黑体" w:eastAsia="黑体" w:cs="黑体"/>
          <w:b w:val="0"/>
          <w:color w:val="auto"/>
          <w:sz w:val="28"/>
          <w:szCs w:val="28"/>
          <w:highlight w:val="none"/>
        </w:rPr>
        <w:t xml:space="preserve">（一）总则</w:t>
      </w:r>
      <w:bookmarkEnd w:id="3"/>
      <w:r/>
      <w:bookmarkEnd w:id="4"/>
      <w:r/>
      <w:bookmarkEnd w:id="5"/>
      <w:r/>
      <w:bookmarkEnd w:id="6"/>
      <w:r/>
      <w:r/>
    </w:p>
    <w:p>
      <w:pPr>
        <w:pStyle w:val="1021"/>
        <w:ind w:firstLine="560"/>
        <w:jc w:val="both"/>
        <w:spacing w:line="288" w:lineRule="auto"/>
        <w:rPr>
          <w:rFonts w:ascii="黑体" w:hAnsi="黑体" w:eastAsia="黑体" w:cs="黑体"/>
          <w:bCs/>
          <w:color w:val="auto"/>
          <w:sz w:val="28"/>
          <w:szCs w:val="28"/>
          <w:highlight w:val="none"/>
        </w:rPr>
      </w:pPr>
      <w:r/>
      <w:bookmarkStart w:id="7" w:name="_Hlt16619475"/>
      <w:r/>
      <w:bookmarkEnd w:id="7"/>
      <w:r/>
      <w:bookmarkStart w:id="8" w:name="_Toc458694821"/>
      <w:r/>
      <w:bookmarkStart w:id="9" w:name="_Toc16938520"/>
      <w:r/>
      <w:bookmarkStart w:id="10" w:name="_Toc513029204"/>
      <w:r/>
      <w:bookmarkStart w:id="11" w:name="_Toc20823276"/>
      <w:r>
        <w:rPr>
          <w:rFonts w:hint="eastAsia" w:ascii="黑体" w:hAnsi="黑体" w:eastAsia="黑体" w:cs="黑体"/>
          <w:bCs/>
          <w:color w:val="auto"/>
          <w:sz w:val="28"/>
          <w:szCs w:val="28"/>
          <w:highlight w:val="none"/>
        </w:rPr>
        <w:t xml:space="preserve">1</w:t>
      </w:r>
      <w:bookmarkEnd w:id="8"/>
      <w:r>
        <w:rPr>
          <w:rFonts w:hint="eastAsia" w:ascii="黑体" w:hAnsi="黑体" w:eastAsia="黑体" w:cs="黑体"/>
          <w:bCs/>
          <w:color w:val="auto"/>
          <w:sz w:val="28"/>
          <w:szCs w:val="28"/>
          <w:highlight w:val="none"/>
        </w:rPr>
        <w:t xml:space="preserve">.招标方式</w:t>
      </w:r>
      <w:bookmarkEnd w:id="9"/>
      <w:r/>
      <w:bookmarkEnd w:id="10"/>
      <w:r/>
      <w:bookmarkEnd w:id="11"/>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本次招标采取公开招标方式，本招标文件仅适用于招标公告中所述项目。</w:t>
      </w:r>
      <w:r/>
    </w:p>
    <w:p>
      <w:pPr>
        <w:pStyle w:val="1021"/>
        <w:ind w:firstLine="560"/>
        <w:jc w:val="both"/>
        <w:spacing w:line="288" w:lineRule="auto"/>
        <w:rPr>
          <w:rFonts w:ascii="黑体" w:hAnsi="黑体" w:eastAsia="黑体" w:cs="黑体"/>
          <w:bCs/>
          <w:color w:val="auto"/>
          <w:sz w:val="28"/>
          <w:szCs w:val="28"/>
          <w:highlight w:val="none"/>
        </w:rPr>
      </w:pPr>
      <w:r/>
      <w:bookmarkStart w:id="12" w:name="_Toc20823277"/>
      <w:r/>
      <w:bookmarkStart w:id="13" w:name="_Toc16938521"/>
      <w:r/>
      <w:bookmarkStart w:id="14" w:name="_Toc513029205"/>
      <w:r>
        <w:rPr>
          <w:rFonts w:hint="eastAsia" w:ascii="黑体" w:hAnsi="黑体" w:eastAsia="黑体" w:cs="黑体"/>
          <w:bCs/>
          <w:color w:val="auto"/>
          <w:sz w:val="28"/>
          <w:szCs w:val="28"/>
          <w:highlight w:val="none"/>
        </w:rPr>
        <w:t xml:space="preserve">2.合格的</w:t>
      </w:r>
      <w:bookmarkEnd w:id="12"/>
      <w:r/>
      <w:bookmarkEnd w:id="13"/>
      <w:r/>
      <w:bookmarkEnd w:id="14"/>
      <w:r>
        <w:rPr>
          <w:rFonts w:hint="eastAsia" w:ascii="黑体" w:hAnsi="黑体" w:eastAsia="黑体" w:cs="黑体"/>
          <w:bCs/>
          <w:color w:val="auto"/>
          <w:sz w:val="28"/>
          <w:szCs w:val="28"/>
          <w:highlight w:val="none"/>
        </w:rPr>
        <w:t xml:space="preserve">投标单位</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2.1满足招标公告中投标单位的资格要求的规定。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满足本文件实质性条款的规定。</w:t>
      </w:r>
      <w:r/>
    </w:p>
    <w:p>
      <w:pPr>
        <w:pStyle w:val="1021"/>
        <w:ind w:firstLine="560"/>
        <w:jc w:val="both"/>
        <w:spacing w:line="288" w:lineRule="auto"/>
        <w:rPr>
          <w:rFonts w:ascii="黑体" w:hAnsi="黑体" w:eastAsia="黑体" w:cs="黑体"/>
          <w:bCs/>
          <w:color w:val="auto"/>
          <w:sz w:val="28"/>
          <w:szCs w:val="28"/>
          <w:highlight w:val="none"/>
        </w:rPr>
      </w:pPr>
      <w:r/>
      <w:bookmarkStart w:id="15" w:name="_Toc20823278"/>
      <w:r/>
      <w:bookmarkStart w:id="16" w:name="_Toc513029206"/>
      <w:r/>
      <w:bookmarkStart w:id="17" w:name="_Toc16938522"/>
      <w:r>
        <w:rPr>
          <w:rFonts w:hint="eastAsia" w:ascii="黑体" w:hAnsi="黑体" w:eastAsia="黑体" w:cs="黑体"/>
          <w:bCs/>
          <w:color w:val="auto"/>
          <w:sz w:val="28"/>
          <w:szCs w:val="28"/>
          <w:highlight w:val="none"/>
        </w:rPr>
        <w:t xml:space="preserve">3.适用法律</w:t>
      </w:r>
      <w:bookmarkEnd w:id="15"/>
      <w:r/>
      <w:bookmarkEnd w:id="16"/>
      <w:r/>
      <w:bookmarkEnd w:id="17"/>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本次招标及由此产生的合同受中华人民共和国有关的法律法规制约和保护。</w:t>
      </w:r>
      <w:r/>
    </w:p>
    <w:p>
      <w:pPr>
        <w:pStyle w:val="1021"/>
        <w:ind w:firstLine="560"/>
        <w:jc w:val="both"/>
        <w:spacing w:line="288" w:lineRule="auto"/>
        <w:rPr>
          <w:rFonts w:ascii="黑体" w:hAnsi="黑体" w:eastAsia="黑体" w:cs="黑体"/>
          <w:bCs/>
          <w:color w:val="auto"/>
          <w:sz w:val="28"/>
          <w:szCs w:val="28"/>
          <w:highlight w:val="none"/>
        </w:rPr>
      </w:pPr>
      <w:r/>
      <w:bookmarkStart w:id="18" w:name="_Toc462564067"/>
      <w:r/>
      <w:bookmarkStart w:id="19" w:name="_Toc20823279"/>
      <w:r/>
      <w:bookmarkStart w:id="20" w:name="_Toc16938523"/>
      <w:r/>
      <w:bookmarkStart w:id="21" w:name="_Toc513029207"/>
      <w:r>
        <w:rPr>
          <w:rFonts w:hint="eastAsia" w:ascii="黑体" w:hAnsi="黑体" w:eastAsia="黑体" w:cs="黑体"/>
          <w:bCs/>
          <w:color w:val="auto"/>
          <w:sz w:val="28"/>
          <w:szCs w:val="28"/>
          <w:highlight w:val="none"/>
        </w:rPr>
        <w:t xml:space="preserve">4.投标费用</w:t>
      </w:r>
      <w:bookmarkEnd w:id="18"/>
      <w:r/>
      <w:bookmarkEnd w:id="19"/>
      <w:r/>
      <w:bookmarkEnd w:id="20"/>
      <w:r/>
      <w:bookmarkEnd w:id="21"/>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投标单位应自行承担所有与参加招标有关的费用，无论招标过程中的做法和结果如何，招标人在任何情况下均无义务和责任承担这些费用。</w:t>
      </w:r>
      <w:r/>
    </w:p>
    <w:p>
      <w:pPr>
        <w:ind w:firstLine="560"/>
        <w:keepNext/>
        <w:spacing w:line="288" w:lineRule="auto"/>
        <w:rPr>
          <w:rFonts w:ascii="黑体" w:hAnsi="黑体" w:eastAsia="黑体" w:cs="黑体"/>
          <w:bCs/>
          <w:color w:val="auto"/>
          <w:sz w:val="28"/>
          <w:szCs w:val="28"/>
          <w:highlight w:val="none"/>
        </w:rPr>
        <w:outlineLvl w:val="3"/>
      </w:pPr>
      <w:r>
        <w:rPr>
          <w:rFonts w:hint="eastAsia" w:ascii="黑体" w:hAnsi="黑体" w:eastAsia="黑体" w:cs="黑体"/>
          <w:bCs/>
          <w:color w:val="auto"/>
          <w:sz w:val="28"/>
          <w:szCs w:val="28"/>
          <w:highlight w:val="none"/>
        </w:rPr>
        <w:t xml:space="preserve">4.2被确认的中标单位须向采购代理机构支付招标代理服务费，本项目成交服务费收取人民币5500元</w:t>
      </w:r>
      <w:r>
        <w:rPr>
          <w:rStyle w:val="864"/>
          <w:rFonts w:hint="eastAsia" w:ascii="黑体" w:hAnsi="黑体" w:eastAsia="黑体" w:cs="黑体"/>
          <w:color w:val="auto"/>
          <w:highlight w:val="none"/>
        </w:rPr>
        <w:t xml:space="preserve">，</w:t>
      </w:r>
      <w:r>
        <w:rPr>
          <w:rFonts w:hint="eastAsia" w:ascii="黑体" w:hAnsi="黑体" w:eastAsia="黑体" w:cs="黑体"/>
          <w:bCs/>
          <w:color w:val="auto"/>
          <w:sz w:val="28"/>
          <w:szCs w:val="28"/>
          <w:highlight w:val="none"/>
        </w:rPr>
        <w:t xml:space="preserve">专家评审费用由招标人支付。本项目投标报价中包含以上费用，请各投标投标单位合理报价，中标后须在领取中标通知书前汇款至招标代理指定账户(请中标单位使用数字人民币支付）。</w:t>
      </w:r>
      <w:r/>
    </w:p>
    <w:p>
      <w:pPr>
        <w:pStyle w:val="102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5.招标文件的约束力</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投标单位一旦参加本项目采购活动，即被认为接受了本招标文件的规定和约束。</w:t>
      </w:r>
      <w:r/>
    </w:p>
    <w:p>
      <w:pPr>
        <w:pStyle w:val="102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6.招标文件的解释</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6.1招标文件需求部分（投标单位资格要求、项目需求、商务技术评分标准）由招标人解释，其它部分由采购代理机构解释。</w:t>
      </w:r>
      <w:r/>
    </w:p>
    <w:p>
      <w:pPr>
        <w:pStyle w:val="1020"/>
        <w:spacing w:before="0" w:after="0" w:line="288" w:lineRule="auto"/>
        <w:rPr>
          <w:rFonts w:ascii="黑体" w:hAnsi="黑体" w:eastAsia="黑体" w:cs="黑体"/>
          <w:b w:val="0"/>
          <w:color w:val="auto"/>
          <w:sz w:val="28"/>
          <w:szCs w:val="28"/>
          <w:highlight w:val="none"/>
        </w:rPr>
      </w:pPr>
      <w:r/>
      <w:bookmarkStart w:id="22" w:name="_Toc120614215"/>
      <w:r/>
      <w:bookmarkStart w:id="23" w:name="_Toc16938525"/>
      <w:r/>
      <w:bookmarkStart w:id="24" w:name="_Toc20823281"/>
      <w:r/>
      <w:bookmarkStart w:id="25" w:name="_Toc513029209"/>
      <w:r>
        <w:rPr>
          <w:rFonts w:hint="eastAsia" w:ascii="黑体" w:hAnsi="黑体" w:eastAsia="黑体" w:cs="黑体"/>
          <w:b w:val="0"/>
          <w:color w:val="auto"/>
          <w:sz w:val="28"/>
          <w:szCs w:val="28"/>
          <w:highlight w:val="none"/>
        </w:rPr>
        <w:t xml:space="preserve">（二）招标文件</w:t>
      </w:r>
      <w:bookmarkEnd w:id="22"/>
      <w:r/>
      <w:bookmarkEnd w:id="23"/>
      <w:r/>
      <w:bookmarkEnd w:id="24"/>
      <w:r/>
      <w:bookmarkEnd w:id="25"/>
      <w:r/>
      <w:r/>
    </w:p>
    <w:p>
      <w:pPr>
        <w:pStyle w:val="1021"/>
        <w:ind w:firstLine="560"/>
        <w:jc w:val="both"/>
        <w:spacing w:line="288" w:lineRule="auto"/>
        <w:rPr>
          <w:rFonts w:ascii="黑体" w:hAnsi="黑体" w:eastAsia="黑体" w:cs="黑体"/>
          <w:bCs/>
          <w:color w:val="auto"/>
          <w:sz w:val="28"/>
          <w:szCs w:val="28"/>
          <w:highlight w:val="none"/>
        </w:rPr>
      </w:pPr>
      <w:r/>
      <w:bookmarkStart w:id="26" w:name="_Toc20823282"/>
      <w:r/>
      <w:bookmarkStart w:id="27" w:name="_Toc16938526"/>
      <w:r/>
      <w:bookmarkStart w:id="28" w:name="_Toc513029210"/>
      <w:r>
        <w:rPr>
          <w:rFonts w:hint="eastAsia" w:ascii="黑体" w:hAnsi="黑体" w:eastAsia="黑体" w:cs="黑体"/>
          <w:bCs/>
          <w:color w:val="auto"/>
          <w:sz w:val="28"/>
          <w:szCs w:val="28"/>
          <w:highlight w:val="none"/>
        </w:rPr>
        <w:t xml:space="preserve">1.招标文件构成</w:t>
      </w:r>
      <w:bookmarkEnd w:id="26"/>
      <w:r/>
      <w:bookmarkEnd w:id="27"/>
      <w:r/>
      <w:bookmarkEnd w:id="28"/>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招标文件由以下部分组成：</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（1）投标邀请</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（2）投标须知</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（3）项目需求</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（4）开标和评标</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（5）投标文件组成</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（6）附件（如有）</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请仔细检查招标文件是否齐全，如有缺漏请立即与招标人或采购代理机构联系解决。</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投标单位应认真阅读招标文件中所有的事项、格式、条款和规范等要求。按招标文件要求和规定编制投标文件，并保证所提供的全部资料的真实性，以使其投标文件对招标文件作出实质性响应，否则其风险由投标单位自行承担。</w:t>
      </w:r>
      <w:r/>
    </w:p>
    <w:p>
      <w:pPr>
        <w:pStyle w:val="1021"/>
        <w:ind w:firstLine="560"/>
        <w:jc w:val="both"/>
        <w:spacing w:line="288" w:lineRule="auto"/>
        <w:rPr>
          <w:rFonts w:ascii="黑体" w:hAnsi="黑体" w:eastAsia="黑体" w:cs="黑体"/>
          <w:bCs/>
          <w:color w:val="auto"/>
          <w:sz w:val="28"/>
          <w:szCs w:val="28"/>
          <w:highlight w:val="none"/>
        </w:rPr>
      </w:pPr>
      <w:r/>
      <w:bookmarkStart w:id="29" w:name="_Toc462564070"/>
      <w:r/>
      <w:bookmarkStart w:id="30" w:name="_Toc20823283"/>
      <w:r/>
      <w:bookmarkStart w:id="31" w:name="_Toc513029211"/>
      <w:r/>
      <w:bookmarkStart w:id="32" w:name="_Toc16938527"/>
      <w:r>
        <w:rPr>
          <w:rFonts w:hint="eastAsia" w:ascii="黑体" w:hAnsi="黑体" w:eastAsia="黑体" w:cs="黑体"/>
          <w:bCs/>
          <w:color w:val="auto"/>
          <w:sz w:val="28"/>
          <w:szCs w:val="28"/>
          <w:highlight w:val="none"/>
        </w:rPr>
        <w:t xml:space="preserve">2.招标文件的澄清</w:t>
      </w:r>
      <w:bookmarkEnd w:id="29"/>
      <w:r/>
      <w:bookmarkEnd w:id="30"/>
      <w:r/>
      <w:bookmarkEnd w:id="31"/>
      <w:r/>
      <w:bookmarkEnd w:id="32"/>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任何要求对招标文件进行澄清的投标单位，应在投标截止期十日前按招标公告中的通讯地址，以书面形式通知招标人。招标人有权对发出的招标文件进行必要的澄清或修改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2.2招标人视情组织答疑会</w:t>
      </w:r>
      <w:r/>
    </w:p>
    <w:p>
      <w:pPr>
        <w:pStyle w:val="1021"/>
        <w:ind w:firstLine="560"/>
        <w:jc w:val="both"/>
        <w:spacing w:line="288" w:lineRule="auto"/>
        <w:rPr>
          <w:rFonts w:ascii="黑体" w:hAnsi="黑体" w:eastAsia="黑体" w:cs="黑体"/>
          <w:bCs/>
          <w:color w:val="auto"/>
          <w:sz w:val="28"/>
          <w:szCs w:val="28"/>
          <w:highlight w:val="none"/>
        </w:rPr>
      </w:pPr>
      <w:r/>
      <w:bookmarkStart w:id="33" w:name="_Toc513029212"/>
      <w:r/>
      <w:bookmarkStart w:id="34" w:name="_Toc20823284"/>
      <w:r/>
      <w:bookmarkStart w:id="35" w:name="_Toc462564071"/>
      <w:r/>
      <w:bookmarkStart w:id="36" w:name="_Toc16938528"/>
      <w:r>
        <w:rPr>
          <w:rFonts w:hint="eastAsia" w:ascii="黑体" w:hAnsi="黑体" w:eastAsia="黑体" w:cs="黑体"/>
          <w:bCs/>
          <w:color w:val="auto"/>
          <w:sz w:val="28"/>
          <w:szCs w:val="28"/>
          <w:highlight w:val="none"/>
        </w:rPr>
        <w:t xml:space="preserve">3.招标文件的修改</w:t>
      </w:r>
      <w:bookmarkEnd w:id="33"/>
      <w:r/>
      <w:bookmarkEnd w:id="34"/>
      <w:r/>
      <w:bookmarkEnd w:id="35"/>
      <w:r/>
      <w:bookmarkEnd w:id="36"/>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在投标截止时间前，招标人或采购代理机构可以对招标文件进行修改。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 招标人或采购代理机构有权按照法定的要求推迟投标截止日期和开标日期。</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 招标文件的修改将在江苏政府采购网公布，补充文件将作为招标文件的组成部分，并对投标单位具有约束力。</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投标响应截止日期前，招标人对采购文件进行澄清或者修改的，通过“苏采云”系统发布澄清公告或者修改的内容。澄清或者修改的内容以所发布的本项目的“更正（澄清）公告”的形式通知所有获取采购文件的投标单位。发布本项目的“更正（澄清）公告”后采购代理机构已尽通知义务。敬请各潜投标单位关注本项目的“更正（澄清）公告”，并通过“苏采云”系统重新下载更正（澄清）后的采购文件（后缀名为“.kedt”），离线编制响应文件，否则，将自行承担相应的风险。</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5.投标单位对招标人提供的采购文件所做出的推论、解释和结论，招标人概不负责。投标单位由于对采购文件的任何推论和误解以及招标人对有关问题的口头解释所造成的后果，均由各潜在投标单位自负。</w:t>
      </w:r>
      <w:r/>
    </w:p>
    <w:p>
      <w:pPr>
        <w:pStyle w:val="1020"/>
        <w:spacing w:before="0" w:after="0" w:line="288" w:lineRule="auto"/>
        <w:rPr>
          <w:rFonts w:ascii="黑体" w:hAnsi="黑体" w:eastAsia="黑体" w:cs="黑体"/>
          <w:b w:val="0"/>
          <w:color w:val="auto"/>
          <w:sz w:val="28"/>
          <w:szCs w:val="28"/>
          <w:highlight w:val="none"/>
        </w:rPr>
      </w:pPr>
      <w:r/>
      <w:bookmarkStart w:id="37" w:name="_Toc462564072"/>
      <w:r/>
      <w:bookmarkStart w:id="38" w:name="_Toc513029213"/>
      <w:r/>
      <w:bookmarkStart w:id="39" w:name="_Toc20823285"/>
      <w:r/>
      <w:bookmarkStart w:id="40" w:name="_Toc16938529"/>
      <w:r/>
      <w:bookmarkStart w:id="41" w:name="_Toc120614216"/>
      <w:r>
        <w:rPr>
          <w:rFonts w:hint="eastAsia" w:ascii="黑体" w:hAnsi="黑体" w:eastAsia="黑体" w:cs="黑体"/>
          <w:b w:val="0"/>
          <w:color w:val="auto"/>
          <w:sz w:val="28"/>
          <w:szCs w:val="28"/>
          <w:highlight w:val="none"/>
        </w:rPr>
        <w:t xml:space="preserve">（三）投标文件的编制</w:t>
      </w:r>
      <w:bookmarkEnd w:id="37"/>
      <w:r/>
      <w:bookmarkEnd w:id="38"/>
      <w:r/>
      <w:bookmarkEnd w:id="39"/>
      <w:r/>
      <w:bookmarkEnd w:id="40"/>
      <w:r/>
      <w:bookmarkEnd w:id="41"/>
      <w:r/>
      <w:r/>
    </w:p>
    <w:p>
      <w:pPr>
        <w:pStyle w:val="1021"/>
        <w:ind w:firstLine="560"/>
        <w:jc w:val="both"/>
        <w:spacing w:line="288" w:lineRule="auto"/>
        <w:rPr>
          <w:rFonts w:ascii="黑体" w:hAnsi="黑体" w:eastAsia="黑体" w:cs="黑体"/>
          <w:bCs/>
          <w:color w:val="auto"/>
          <w:sz w:val="28"/>
          <w:szCs w:val="28"/>
          <w:highlight w:val="none"/>
        </w:rPr>
      </w:pPr>
      <w:r/>
      <w:bookmarkStart w:id="42" w:name="_Toc20823286"/>
      <w:r/>
      <w:bookmarkStart w:id="43" w:name="_Toc513029214"/>
      <w:r/>
      <w:bookmarkStart w:id="44" w:name="_Toc16938530"/>
      <w:r/>
      <w:bookmarkStart w:id="45" w:name="_Toc462564073"/>
      <w:r>
        <w:rPr>
          <w:rFonts w:hint="eastAsia" w:ascii="黑体" w:hAnsi="黑体" w:eastAsia="黑体" w:cs="黑体"/>
          <w:bCs/>
          <w:color w:val="auto"/>
          <w:sz w:val="28"/>
          <w:szCs w:val="28"/>
          <w:highlight w:val="none"/>
        </w:rPr>
        <w:t xml:space="preserve">1.投标文件的语言及度量衡单位</w:t>
      </w:r>
      <w:bookmarkEnd w:id="42"/>
      <w:r/>
      <w:bookmarkEnd w:id="43"/>
      <w:r/>
      <w:bookmarkEnd w:id="44"/>
      <w:r/>
      <w:bookmarkEnd w:id="45"/>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投标单位提交的投标文件以及投标单位与招标人或采购代理机构就有关投标的所有来往通知、函件和文件均应使用简体中文。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除技术性能另有规定外，投标文件所使用的度量衡单位，均须采用国家法定计量单位。</w:t>
      </w:r>
      <w:r/>
    </w:p>
    <w:p>
      <w:pPr>
        <w:pStyle w:val="1021"/>
        <w:ind w:firstLine="560"/>
        <w:jc w:val="both"/>
        <w:spacing w:line="288" w:lineRule="auto"/>
        <w:rPr>
          <w:rFonts w:ascii="黑体" w:hAnsi="黑体" w:eastAsia="黑体" w:cs="黑体"/>
          <w:bCs/>
          <w:color w:val="auto"/>
          <w:sz w:val="28"/>
          <w:szCs w:val="28"/>
          <w:highlight w:val="none"/>
        </w:rPr>
      </w:pPr>
      <w:r/>
      <w:bookmarkStart w:id="46" w:name="_Toc16938531"/>
      <w:r/>
      <w:bookmarkStart w:id="47" w:name="_Toc513029215"/>
      <w:r/>
      <w:bookmarkStart w:id="48" w:name="_Toc20823287"/>
      <w:r/>
      <w:bookmarkStart w:id="49" w:name="_Toc462564074"/>
      <w:r>
        <w:rPr>
          <w:rFonts w:hint="eastAsia" w:ascii="黑体" w:hAnsi="黑体" w:eastAsia="黑体" w:cs="黑体"/>
          <w:bCs/>
          <w:color w:val="auto"/>
          <w:sz w:val="28"/>
          <w:szCs w:val="28"/>
          <w:highlight w:val="none"/>
        </w:rPr>
        <w:t xml:space="preserve">2.投标文件构成</w:t>
      </w:r>
      <w:bookmarkEnd w:id="46"/>
      <w:r/>
      <w:bookmarkEnd w:id="47"/>
      <w:r/>
      <w:bookmarkEnd w:id="48"/>
      <w:r/>
      <w:bookmarkEnd w:id="49"/>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投标单位编写的投标文件应包括资格审查证明材料文件</w:t>
      </w:r>
      <w:r>
        <w:rPr>
          <w:rFonts w:hint="eastAsia" w:ascii="黑体" w:hAnsi="黑体" w:eastAsia="黑体" w:cs="黑体"/>
          <w:bCs/>
          <w:color w:val="auto"/>
          <w:sz w:val="28"/>
          <w:szCs w:val="28"/>
          <w:highlight w:val="none"/>
          <w:lang w:eastAsia="zh-CN"/>
        </w:rPr>
        <w:t xml:space="preserve">、</w:t>
      </w:r>
      <w:r>
        <w:rPr>
          <w:rFonts w:hint="eastAsia" w:ascii="黑体" w:hAnsi="黑体" w:eastAsia="黑体" w:cs="黑体"/>
          <w:bCs/>
          <w:color w:val="auto"/>
          <w:sz w:val="28"/>
          <w:szCs w:val="28"/>
          <w:highlight w:val="none"/>
        </w:rPr>
        <w:t xml:space="preserve">符合性审查</w:t>
      </w:r>
      <w:r>
        <w:rPr>
          <w:rFonts w:hint="eastAsia" w:ascii="黑体" w:hAnsi="黑体" w:eastAsia="黑体" w:cs="黑体"/>
          <w:bCs/>
          <w:color w:val="auto"/>
          <w:sz w:val="28"/>
          <w:szCs w:val="28"/>
          <w:highlight w:val="none"/>
          <w:lang w:val="en-US" w:eastAsia="zh-CN"/>
        </w:rPr>
        <w:t xml:space="preserve">材料文件</w:t>
      </w:r>
      <w:r>
        <w:rPr>
          <w:rFonts w:hint="eastAsia" w:ascii="黑体" w:hAnsi="黑体" w:eastAsia="黑体" w:cs="黑体"/>
          <w:bCs/>
          <w:color w:val="auto"/>
          <w:sz w:val="28"/>
          <w:szCs w:val="28"/>
          <w:highlight w:val="none"/>
        </w:rPr>
        <w:t xml:space="preserve">，商务、技术标文件，价格标文件。投标单位按“第五部分 投标文件组成”要求编写投标文件</w:t>
      </w:r>
      <w:r/>
    </w:p>
    <w:p>
      <w:pPr>
        <w:pStyle w:val="1021"/>
        <w:ind w:firstLine="560"/>
        <w:jc w:val="both"/>
        <w:spacing w:line="288" w:lineRule="auto"/>
        <w:rPr>
          <w:rFonts w:ascii="黑体" w:hAnsi="黑体" w:eastAsia="黑体" w:cs="黑体"/>
          <w:bCs/>
          <w:color w:val="auto"/>
          <w:sz w:val="28"/>
          <w:szCs w:val="28"/>
          <w:highlight w:val="none"/>
        </w:rPr>
      </w:pPr>
      <w:r/>
      <w:bookmarkStart w:id="50" w:name="_Hlt26668975"/>
      <w:r/>
      <w:bookmarkEnd w:id="50"/>
      <w:r/>
      <w:bookmarkStart w:id="51" w:name="_Hlt26954838"/>
      <w:r/>
      <w:bookmarkEnd w:id="51"/>
      <w:r/>
      <w:bookmarkStart w:id="52" w:name="_Hlt26670360"/>
      <w:r/>
      <w:bookmarkEnd w:id="52"/>
      <w:r/>
      <w:bookmarkStart w:id="53" w:name="_Toc49090511"/>
      <w:r/>
      <w:bookmarkStart w:id="54" w:name="_Toc14577360"/>
      <w:r>
        <w:rPr>
          <w:rFonts w:hint="eastAsia" w:ascii="黑体" w:hAnsi="黑体" w:eastAsia="黑体" w:cs="黑体"/>
          <w:bCs/>
          <w:color w:val="auto"/>
          <w:sz w:val="28"/>
          <w:szCs w:val="28"/>
          <w:highlight w:val="none"/>
        </w:rPr>
        <w:t xml:space="preserve">3.投标有效期</w:t>
      </w:r>
      <w:bookmarkEnd w:id="53"/>
      <w:r/>
      <w:bookmarkEnd w:id="54"/>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3.1投标有效期为招标文件规定的开标之日后</w:t>
      </w:r>
      <w:r>
        <w:rPr>
          <w:rFonts w:hint="eastAsia" w:ascii="黑体" w:hAnsi="黑体" w:eastAsia="黑体" w:cs="黑体"/>
          <w:bCs/>
          <w:color w:val="auto"/>
          <w:sz w:val="28"/>
          <w:szCs w:val="28"/>
          <w:highlight w:val="none"/>
          <w:u w:val="single"/>
        </w:rPr>
        <w:t xml:space="preserve">六十（60）天</w:t>
      </w:r>
      <w:r>
        <w:rPr>
          <w:rFonts w:hint="eastAsia" w:ascii="黑体" w:hAnsi="黑体" w:eastAsia="黑体" w:cs="黑体"/>
          <w:bCs/>
          <w:color w:val="auto"/>
          <w:sz w:val="28"/>
          <w:szCs w:val="28"/>
          <w:highlight w:val="none"/>
        </w:rPr>
        <w:t xml:space="preserve">。投标有效期比规定短的将被视为非响应性投标而予以拒绝。</w:t>
      </w:r>
      <w:r/>
    </w:p>
    <w:p>
      <w:pPr>
        <w:pStyle w:val="102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4.投标有效期的延长</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在特殊情况下，招标人或采购代理机构于原投标有效期满之前，可向投标单位提出延长投标有效期的要求。这种要求与答复均应采用书面形式。投标单位可以拒绝招标人或采购代理机构的这一要求而放弃投标，同意延长投标有效期的投标单位既不能要求也不允许修改其投标文件。受投标有效期约束的所有权利与义务均延长至新的有效期。</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5.电子响应文件其他要求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5.1电子招标投标交易平台（即“苏采云”系统）相关要求是本采购文件的组成部分。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5.2投标单位应对CA证书妥善保管，如被他人盗用投标，因此带来的结果均由投标单位自行承担。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5.3投标单位应当对采购文件提出的实质性要求和条件作出实质性响应，并在电子投标系统逐条应答。</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5.4投标单位应对要求提供的资格证明文件（如资质证书、资格证书）、技术资料（如白皮书、彩页、手册、检测报告等）扫描上传至投标系统。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6.投标单位应当在采购文件要求提交投标文件的截止时间前，将投标文件提交至“苏采云”系统，逾期提交的投标文件，“苏采云”系统将自动拒收。各投标单位应在规定时间内凭CA证书进行网上解密。</w:t>
      </w:r>
      <w:r/>
    </w:p>
    <w:p>
      <w:pPr>
        <w:pStyle w:val="1020"/>
        <w:spacing w:before="0" w:after="0" w:line="288" w:lineRule="auto"/>
        <w:rPr>
          <w:rFonts w:ascii="黑体" w:hAnsi="黑体" w:eastAsia="黑体" w:cs="黑体"/>
          <w:b w:val="0"/>
          <w:color w:val="auto"/>
          <w:sz w:val="28"/>
          <w:szCs w:val="28"/>
          <w:highlight w:val="none"/>
        </w:rPr>
      </w:pPr>
      <w:r/>
      <w:bookmarkStart w:id="55" w:name="_Hlt26954739"/>
      <w:r/>
      <w:bookmarkEnd w:id="55"/>
      <w:r/>
      <w:bookmarkStart w:id="56" w:name="_Hlt26954852"/>
      <w:r/>
      <w:bookmarkEnd w:id="56"/>
      <w:r/>
      <w:bookmarkStart w:id="57" w:name="_Toc513029224"/>
      <w:r/>
      <w:bookmarkStart w:id="58" w:name="_Toc120614217"/>
      <w:r/>
      <w:bookmarkStart w:id="59" w:name="_Toc16938540"/>
      <w:r/>
      <w:bookmarkStart w:id="60" w:name="_Toc20823296"/>
      <w:r>
        <w:rPr>
          <w:rFonts w:hint="eastAsia" w:ascii="黑体" w:hAnsi="黑体" w:eastAsia="黑体" w:cs="黑体"/>
          <w:b w:val="0"/>
          <w:color w:val="auto"/>
          <w:sz w:val="28"/>
          <w:szCs w:val="28"/>
          <w:highlight w:val="none"/>
        </w:rPr>
        <w:t xml:space="preserve">（四）投标文件的递交</w:t>
      </w:r>
      <w:bookmarkEnd w:id="57"/>
      <w:r/>
      <w:bookmarkEnd w:id="58"/>
      <w:r/>
      <w:bookmarkEnd w:id="59"/>
      <w:r/>
      <w:bookmarkEnd w:id="60"/>
      <w:r/>
      <w:r/>
    </w:p>
    <w:p>
      <w:pPr>
        <w:pStyle w:val="1021"/>
        <w:ind w:firstLine="560"/>
        <w:jc w:val="both"/>
        <w:spacing w:line="288" w:lineRule="auto"/>
        <w:rPr>
          <w:rFonts w:ascii="黑体" w:hAnsi="黑体" w:eastAsia="黑体" w:cs="黑体"/>
          <w:bCs/>
          <w:color w:val="auto"/>
          <w:sz w:val="28"/>
          <w:szCs w:val="28"/>
          <w:highlight w:val="none"/>
        </w:rPr>
      </w:pPr>
      <w:r/>
      <w:bookmarkStart w:id="61" w:name="_Toc462564084"/>
      <w:r/>
      <w:bookmarkStart w:id="62" w:name="_Toc20823297"/>
      <w:r/>
      <w:bookmarkStart w:id="63" w:name="_Toc16938541"/>
      <w:r/>
      <w:bookmarkStart w:id="64" w:name="_Toc513029225"/>
      <w:r>
        <w:rPr>
          <w:rFonts w:hint="eastAsia" w:ascii="黑体" w:hAnsi="黑体" w:eastAsia="黑体" w:cs="黑体"/>
          <w:bCs/>
          <w:color w:val="auto"/>
          <w:sz w:val="28"/>
          <w:szCs w:val="28"/>
          <w:highlight w:val="none"/>
        </w:rPr>
        <w:t xml:space="preserve">1.投标文件</w:t>
      </w:r>
      <w:bookmarkEnd w:id="61"/>
      <w:r/>
      <w:bookmarkEnd w:id="62"/>
      <w:r/>
      <w:bookmarkEnd w:id="63"/>
      <w:r/>
      <w:bookmarkEnd w:id="64"/>
      <w:r>
        <w:rPr>
          <w:rFonts w:hint="eastAsia" w:ascii="黑体" w:hAnsi="黑体" w:eastAsia="黑体" w:cs="黑体"/>
          <w:bCs/>
          <w:color w:val="auto"/>
          <w:sz w:val="28"/>
          <w:szCs w:val="28"/>
          <w:highlight w:val="none"/>
        </w:rPr>
        <w:t xml:space="preserve">的递交</w:t>
      </w:r>
      <w:r/>
    </w:p>
    <w:p>
      <w:pPr>
        <w:ind w:firstLine="556"/>
        <w:spacing w:line="288" w:lineRule="auto"/>
        <w:rPr>
          <w:rFonts w:ascii="黑体" w:hAnsi="黑体" w:eastAsia="黑体" w:cs="黑体"/>
          <w:bCs/>
          <w:color w:val="auto"/>
          <w:sz w:val="28"/>
          <w:szCs w:val="28"/>
          <w:highlight w:val="none"/>
        </w:rPr>
      </w:pPr>
      <w:r/>
      <w:bookmarkStart w:id="65" w:name="_Toc20823298"/>
      <w:r/>
      <w:bookmarkStart w:id="66" w:name="_Toc513029226"/>
      <w:r/>
      <w:bookmarkStart w:id="67" w:name="_Toc16938542"/>
      <w:r>
        <w:rPr>
          <w:rFonts w:hint="eastAsia" w:ascii="黑体" w:hAnsi="黑体" w:eastAsia="黑体" w:cs="黑体"/>
          <w:bCs/>
          <w:color w:val="auto"/>
          <w:sz w:val="28"/>
          <w:szCs w:val="28"/>
          <w:highlight w:val="none"/>
        </w:rPr>
        <w:t xml:space="preserve">1.1线上提交与接收地点：投标单位应当通过“苏采云”系统提交数据电文形式的响应文件（即电子投标），“苏采云”系统自动接收。</w:t>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单位应在达到开标时间后，使用CA数字证书解密各自投标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2.投标截止日期</w:t>
      </w:r>
      <w:bookmarkEnd w:id="65"/>
      <w:r/>
      <w:bookmarkEnd w:id="66"/>
      <w:r/>
      <w:bookmarkEnd w:id="67"/>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投标单位上传电子投标文件的时间不得迟于招标公告中规定的投标截止时间。</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投标单位应充分考虑到网络环境、网络带宽等风险因素，如因投标单位自身原因造成的电子投标文件上传不成功由投标单位自行承担全部责任。</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招标人或采购代理机构可以按照规定，通过修改招标文件酌情延长投标截止日期，在此情况下，投标单位的所有权利和义务以及投标单位受制的截止日期均应以延长后新的截止日期为准。</w:t>
      </w:r>
      <w:bookmarkStart w:id="68" w:name="_Toc513029227"/>
      <w:r/>
      <w:bookmarkStart w:id="69" w:name="_Toc16938543"/>
      <w:r/>
      <w:bookmarkStart w:id="70" w:name="_Toc20823299"/>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3.投标文件的密封（加密）要求：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3.1投标单位应当按照采购文件和“苏采云”系统的要求编制并加密响应文件。本项目投标单位须通过“苏采云”系统提供的政府采购客户端工具（使用“CA数字证书”）对其数据电文形式的投标文件加密。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3.2投标单位须通过“苏采云”系统提供的政府采购客户端工具（使用“CA数字证书”）加盖电子签章。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说明：投标单位应在用CA数字证书以及自备的能够登录“苏采云”系统的笔记本电脑，在达到开标时间后，使用CA数字证书解密各自投标文件。</w:t>
      </w:r>
      <w:r/>
    </w:p>
    <w:p>
      <w:pPr>
        <w:pStyle w:val="102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3.3投标单位未按规定加密的投标文件，“苏采云”系统应当拒收并提示。</w:t>
      </w:r>
      <w:r/>
    </w:p>
    <w:p>
      <w:pPr>
        <w:pStyle w:val="102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4.投标文件</w:t>
      </w:r>
      <w:bookmarkEnd w:id="68"/>
      <w:r/>
      <w:bookmarkEnd w:id="69"/>
      <w:r/>
      <w:bookmarkEnd w:id="70"/>
      <w:r>
        <w:rPr>
          <w:rFonts w:hint="eastAsia" w:ascii="黑体" w:hAnsi="黑体" w:eastAsia="黑体" w:cs="黑体"/>
          <w:bCs/>
          <w:color w:val="auto"/>
          <w:sz w:val="28"/>
          <w:szCs w:val="28"/>
          <w:highlight w:val="none"/>
        </w:rPr>
        <w:t xml:space="preserve">的拒收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招标人或采购代理机构拒绝接收在其规定的投标截止时间后上传的任何投标文件。</w:t>
      </w:r>
      <w:r/>
    </w:p>
    <w:p>
      <w:pPr>
        <w:pStyle w:val="1021"/>
        <w:ind w:firstLine="560"/>
        <w:jc w:val="both"/>
        <w:spacing w:line="288" w:lineRule="auto"/>
        <w:rPr>
          <w:rFonts w:ascii="黑体" w:hAnsi="黑体" w:eastAsia="黑体" w:cs="黑体"/>
          <w:bCs/>
          <w:color w:val="auto"/>
          <w:sz w:val="28"/>
          <w:szCs w:val="28"/>
          <w:highlight w:val="none"/>
        </w:rPr>
      </w:pPr>
      <w:r/>
      <w:bookmarkStart w:id="71" w:name="_Toc20823300"/>
      <w:r/>
      <w:bookmarkStart w:id="72" w:name="_Toc16938544"/>
      <w:r/>
      <w:bookmarkStart w:id="73" w:name="_Toc513029228"/>
      <w:r>
        <w:rPr>
          <w:rFonts w:hint="eastAsia" w:ascii="黑体" w:hAnsi="黑体" w:eastAsia="黑体" w:cs="黑体"/>
          <w:bCs/>
          <w:color w:val="auto"/>
          <w:sz w:val="28"/>
          <w:szCs w:val="28"/>
          <w:highlight w:val="none"/>
        </w:rPr>
        <w:t xml:space="preserve">5.投标文件的撤回和修改</w:t>
      </w:r>
      <w:bookmarkEnd w:id="71"/>
      <w:r/>
      <w:bookmarkEnd w:id="72"/>
      <w:r/>
      <w:bookmarkEnd w:id="73"/>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投标文件的撤回</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电子投标文件的撤回</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投标单位可在投标截止时间前，撤回其电子投标文件，具体操作方法见《江苏省政府采购（投标单位）CA数字证书及电子签章办理指南》。</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投标单位撤回电子投标文件，则认为其不再参与本项目投标活动。</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 投标文件的修改</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投标单位可在投标截止时间前，对其电子投标文件进行修改。</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 在投标截止时间之后，投标单位不得对其电子投标文件作任何修改。</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 在投标截止时间至招标文件中规定的投标有效期满之间的这段时间内，投标单位不得撤回其投标。</w:t>
      </w:r>
      <w:r/>
    </w:p>
    <w:p>
      <w:pPr>
        <w:pStyle w:val="1020"/>
        <w:spacing w:before="0" w:after="0" w:line="288" w:lineRule="auto"/>
        <w:rPr>
          <w:rFonts w:ascii="黑体" w:hAnsi="黑体" w:eastAsia="黑体" w:cs="黑体"/>
          <w:b w:val="0"/>
          <w:color w:val="auto"/>
          <w:sz w:val="28"/>
          <w:szCs w:val="28"/>
          <w:highlight w:val="none"/>
        </w:rPr>
      </w:pPr>
      <w:r/>
      <w:bookmarkStart w:id="74" w:name="_Toc120614218"/>
      <w:r/>
      <w:bookmarkStart w:id="75" w:name="_Toc20823301"/>
      <w:r/>
      <w:bookmarkStart w:id="76" w:name="_Toc513029229"/>
      <w:r/>
      <w:bookmarkStart w:id="77" w:name="_Toc16938545"/>
      <w:r>
        <w:rPr>
          <w:rFonts w:hint="eastAsia" w:ascii="黑体" w:hAnsi="黑体" w:eastAsia="黑体" w:cs="黑体"/>
          <w:b w:val="0"/>
          <w:color w:val="auto"/>
          <w:sz w:val="28"/>
          <w:szCs w:val="28"/>
          <w:highlight w:val="none"/>
        </w:rPr>
        <w:t xml:space="preserve">（五）开标与评标</w:t>
      </w:r>
      <w:bookmarkEnd w:id="74"/>
      <w:r/>
      <w:bookmarkEnd w:id="75"/>
      <w:r/>
      <w:bookmarkEnd w:id="76"/>
      <w:r/>
      <w:bookmarkEnd w:id="77"/>
      <w:r/>
      <w:r/>
    </w:p>
    <w:p>
      <w:pPr>
        <w:pStyle w:val="1021"/>
        <w:ind w:firstLine="560"/>
        <w:jc w:val="both"/>
        <w:spacing w:line="288" w:lineRule="auto"/>
        <w:rPr>
          <w:rFonts w:ascii="黑体" w:hAnsi="黑体" w:eastAsia="黑体" w:cs="黑体"/>
          <w:bCs/>
          <w:color w:val="auto"/>
          <w:sz w:val="28"/>
          <w:szCs w:val="28"/>
          <w:highlight w:val="none"/>
        </w:rPr>
      </w:pPr>
      <w:r/>
      <w:bookmarkStart w:id="78" w:name="_Toc20823302"/>
      <w:r/>
      <w:bookmarkStart w:id="79" w:name="_Toc513029230"/>
      <w:r/>
      <w:bookmarkStart w:id="80" w:name="_Toc16938546"/>
      <w:r>
        <w:rPr>
          <w:rFonts w:hint="eastAsia" w:ascii="黑体" w:hAnsi="黑体" w:eastAsia="黑体" w:cs="黑体"/>
          <w:bCs/>
          <w:color w:val="auto"/>
          <w:sz w:val="28"/>
          <w:szCs w:val="28"/>
          <w:highlight w:val="none"/>
        </w:rPr>
        <w:t xml:space="preserve">1.开标</w:t>
      </w:r>
      <w:bookmarkEnd w:id="78"/>
      <w:r/>
      <w:bookmarkEnd w:id="79"/>
      <w:r/>
      <w:bookmarkEnd w:id="80"/>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招标人或采购代理机构将在招标公告中规定的时间和地点组织公开开标。</w:t>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开标当天投标单位及时登录不见面开标大厅，投标文件递交截止时间后，招标人将在系统</w:t>
      </w:r>
      <w:r>
        <w:rPr>
          <w:rFonts w:hint="eastAsia" w:ascii="黑体" w:hAnsi="黑体" w:eastAsia="黑体" w:cs="黑体"/>
          <w:bCs/>
          <w:color w:val="auto"/>
          <w:sz w:val="28"/>
          <w:szCs w:val="28"/>
          <w:highlight w:val="none"/>
        </w:rPr>
        <w:t xml:space="preserve">内公布投标单位名单，然后通过开标会议区发出投标文件解密的指令，投标单位在开标室按规定时间自行实施远程解密，投标单位解密限定在开标后30分钟之内完成。因投标单位网络与电源不稳定、未按操作手册要求配置软硬件、解密锁发生故障或用错、故意不在要求时限内完成解密等自身原因，导致投标文件在规定时间内未能解密、解密失败或解密超时，视为投标单位撤销其投标文件，系统内投标文件将被退回；因招标人原因或网上招投标平台发生故障，导致无法按时完成投标文件解密或开、评标工作无法进行的，可根据实际情况相应延迟解密时间或调整开、评标时间。</w:t>
      </w:r>
      <w:r/>
    </w:p>
    <w:p>
      <w:pPr>
        <w:ind w:firstLine="55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1.2开标仪式由采购代理机构组织，在不见面交易系统中进行开标，并公布各投标单位的《开标一览表》。</w:t>
      </w:r>
      <w:r/>
    </w:p>
    <w:p>
      <w:pPr>
        <w:pStyle w:val="1021"/>
        <w:ind w:firstLine="560"/>
        <w:jc w:val="both"/>
        <w:spacing w:line="288" w:lineRule="auto"/>
        <w:rPr>
          <w:rFonts w:ascii="黑体" w:hAnsi="黑体" w:eastAsia="黑体" w:cs="黑体"/>
          <w:bCs/>
          <w:color w:val="auto"/>
          <w:sz w:val="28"/>
          <w:szCs w:val="28"/>
          <w:highlight w:val="none"/>
        </w:rPr>
      </w:pPr>
      <w:r/>
      <w:bookmarkStart w:id="81" w:name="_Toc513029231"/>
      <w:r/>
      <w:bookmarkStart w:id="82" w:name="_Toc20823303"/>
      <w:r/>
      <w:bookmarkStart w:id="83" w:name="_Toc16938547"/>
      <w:r>
        <w:rPr>
          <w:rFonts w:hint="eastAsia" w:ascii="黑体" w:hAnsi="黑体" w:eastAsia="黑体" w:cs="黑体"/>
          <w:bCs/>
          <w:color w:val="auto"/>
          <w:sz w:val="28"/>
          <w:szCs w:val="28"/>
          <w:highlight w:val="none"/>
        </w:rPr>
        <w:t xml:space="preserve">2.评标委员会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开标后，招标人或采购代理机构将立即组织评标委员会（以下简称评委会）进行评标。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评委会由招标人代表和有关技术、经济等方面的专家组成，且人员构成符合政府采购有关规定。</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2.3评委会独立工作，负责评审所有投标文件并确定中标侯选人。</w:t>
      </w:r>
      <w:r/>
    </w:p>
    <w:p>
      <w:pPr>
        <w:pStyle w:val="102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3.评标过程的保密与公正</w:t>
      </w:r>
      <w:bookmarkEnd w:id="81"/>
      <w:r/>
      <w:bookmarkEnd w:id="82"/>
      <w:r/>
      <w:bookmarkEnd w:id="83"/>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3.1公开开标后，直至向中标的投标单位授予合同时止，凡是与审查、澄清、评价和比较投标的有关资料以及授标建议等，招标人、评委、采购代理机构均不得向投标单位或与评标无关的其他人员透露。</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3.2在评标过程中，投标单位不得以任何行为影响评标过程，否则其投标文件将被作为无效投标文件。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3.3在评标期间，采购代理机构将设专门人员与投标单位联系。</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3.4招标人或采购代理机构和评标委员会不向未中标的投标单位解释未中标原因，也不公布评标过程中的相关细节。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3.5采用综合评分法的项目，公布评标结果时一并公布所有投标单位的评审得分及排序情况。</w:t>
      </w:r>
      <w:r/>
    </w:p>
    <w:p>
      <w:pPr>
        <w:pStyle w:val="1021"/>
        <w:ind w:firstLine="560"/>
        <w:jc w:val="both"/>
        <w:spacing w:line="288" w:lineRule="auto"/>
        <w:rPr>
          <w:rFonts w:ascii="黑体" w:hAnsi="黑体" w:eastAsia="黑体" w:cs="黑体"/>
          <w:bCs/>
          <w:color w:val="auto"/>
          <w:sz w:val="28"/>
          <w:szCs w:val="28"/>
          <w:highlight w:val="none"/>
        </w:rPr>
      </w:pPr>
      <w:r/>
      <w:bookmarkStart w:id="84" w:name="_Toc16938548"/>
      <w:r/>
      <w:bookmarkStart w:id="85" w:name="_Toc513029232"/>
      <w:r/>
      <w:bookmarkStart w:id="86" w:name="_Toc20823304"/>
      <w:r>
        <w:rPr>
          <w:rFonts w:hint="eastAsia" w:ascii="黑体" w:hAnsi="黑体" w:eastAsia="黑体" w:cs="黑体"/>
          <w:bCs/>
          <w:color w:val="auto"/>
          <w:sz w:val="28"/>
          <w:szCs w:val="28"/>
          <w:highlight w:val="none"/>
        </w:rPr>
        <w:t xml:space="preserve">4.投标的澄清</w:t>
      </w:r>
      <w:bookmarkEnd w:id="84"/>
      <w:r/>
      <w:bookmarkEnd w:id="85"/>
      <w:r/>
      <w:bookmarkEnd w:id="86"/>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4.1评标期间，为有助于对投标文件的审查、评价和比较，评委会有权以电子函件形式要求投标单位对其投标文件进行澄清，但并非对每个投标单位都作澄清要求。</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4.2接到评委会澄清要求的投标单位应派人按评委会规定的时间和格式在“不见面交易系统”中做出澄清，澄清的内容作为投标文件的补充部分，但投标的价格和实质性的内容不得做任何更改。</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4.3 接到评委会澄清要求的投标单位如未按规定做出澄清，其风险由投标单位自行承担。</w:t>
      </w:r>
      <w:r/>
    </w:p>
    <w:p>
      <w:pPr>
        <w:pStyle w:val="1021"/>
        <w:ind w:firstLine="560"/>
        <w:jc w:val="both"/>
        <w:spacing w:line="288" w:lineRule="auto"/>
        <w:rPr>
          <w:rFonts w:ascii="黑体" w:hAnsi="黑体" w:eastAsia="黑体" w:cs="黑体"/>
          <w:bCs/>
          <w:color w:val="auto"/>
          <w:sz w:val="28"/>
          <w:szCs w:val="28"/>
          <w:highlight w:val="none"/>
        </w:rPr>
      </w:pPr>
      <w:r/>
      <w:bookmarkStart w:id="87" w:name="_Toc513029233"/>
      <w:r/>
      <w:bookmarkStart w:id="88" w:name="_Toc20823305"/>
      <w:r/>
      <w:bookmarkStart w:id="89" w:name="_Toc16938549"/>
      <w:r>
        <w:rPr>
          <w:rFonts w:hint="eastAsia" w:ascii="黑体" w:hAnsi="黑体" w:eastAsia="黑体" w:cs="黑体"/>
          <w:bCs/>
          <w:color w:val="auto"/>
          <w:sz w:val="28"/>
          <w:szCs w:val="28"/>
          <w:highlight w:val="none"/>
        </w:rPr>
        <w:t xml:space="preserve">5.对投标文件的初审</w:t>
      </w:r>
      <w:bookmarkEnd w:id="87"/>
      <w:r/>
      <w:bookmarkEnd w:id="88"/>
      <w:r/>
      <w:bookmarkEnd w:id="89"/>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5.1投标文件初审分为资格审查和符合性审查。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资格审查：依据法律法规和招标文件的规定，由招标人对投标文件中的资格证明文件进行审查。资格审查的结论，招标人以书面形式向评委会进行反馈。</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招标人在进行资格性审查的同时，评标委员会从“信用中国”网站查询投标单位的信用记录，以确定投标单位是否具备资格。</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接受联合体的项目，两个以上的自然人、法人或者其他组织组成一个联合体，以一个投标单位的身份共同参加政府采购活动的,联合体成员中任何一方存在不良信用记录的，视同联合体存在不良应用记录。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5.1.3 未通过资格审查或符合性审查的投标单位，招标人或采购代理机构告知未通过资格审查或符合性审查的原因，评审结束后，招标人或采购代理机构将不再告知未通过资格审查或符合性审查的原因。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所谓重大偏离或保留是指与招标文件规定的实质性要求存在负偏离，或者在实质上与招标文件不一致，而且限制了合同中买方和见证方的权利或投标单位的义务，纠正这些偏离或保留将会对其他实质性响应要求的投标单位的竞争地位产生不公正的影响。重大偏离的认定需经过评委会以少数服从多数的原则作出结论。评委决定投标文件的响应性只根据投标文件本身的内容，而不寻求外部的证据。</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5.3如果投标文件实质上没有响应招标文件的要求，评委会将予以拒绝，投标单位不得通过修改或撤销不合要求的偏离或保留而使其投标成为实质性响应的投标。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5.4评委会将对确定为实质性响应的投标进行进一步审核，看其是否有计算上或累加上的算术错误，修正错误的原则如下：</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（1）投标文件中开标一览表内容与投标文件中相应内容不一致的，以开标一览表为准。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（2）大写金额和小写金额不一致的，以大写金额为准。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（3）单价金额小数点或者百分比有明显错位的，以开标一览表的总价为准，并修改单价。</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（4）总价金额与按单价汇总金额不一致的，以单价金额计算结果为准。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同时出现两种以上错误的，按照前款规定的顺序修正。</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5.5评委会将按上述修正错误的方法调整投标文件中的投标报价，并告知投标单位，调整后的价格应对投标单位具有约束力。如果投标单位不接受修正后的价格，则其投标将被拒绝。</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5.6评委会将允许修正投标文件中不构成重大偏离的、微小的、非正规的、不一致的或不规则的地方，但这些修改不能影响任何投标单位相应的名次排列。</w:t>
      </w:r>
      <w:r/>
    </w:p>
    <w:p>
      <w:pPr>
        <w:ind w:firstLine="560"/>
        <w:spacing w:line="288" w:lineRule="auto"/>
        <w:rPr>
          <w:rFonts w:ascii="黑体" w:hAnsi="黑体" w:eastAsia="黑体" w:cs="黑体"/>
          <w:bCs/>
          <w:color w:val="auto"/>
          <w:sz w:val="28"/>
          <w:szCs w:val="28"/>
          <w:highlight w:val="none"/>
        </w:rPr>
      </w:pPr>
      <w:r/>
      <w:bookmarkStart w:id="90" w:name="_Toc513029234"/>
      <w:r/>
      <w:bookmarkStart w:id="91" w:name="_Toc16938550"/>
      <w:r/>
      <w:bookmarkStart w:id="92" w:name="_Toc20823306"/>
      <w:r>
        <w:rPr>
          <w:rFonts w:hint="eastAsia" w:ascii="黑体" w:hAnsi="黑体" w:eastAsia="黑体" w:cs="黑体"/>
          <w:bCs/>
          <w:color w:val="auto"/>
          <w:sz w:val="28"/>
          <w:szCs w:val="28"/>
          <w:highlight w:val="none"/>
        </w:rPr>
        <w:t xml:space="preserve">5.7采用最低评标价法的采购项目，提供相同品牌产品的不同投标单位参加同一合同项下投标的，以其中通过资格审查、符合性审查且报价最低的参加评标；报价相同的，由评标委员会按照招标文件规定的方式（招标文件未规定的通过随机抽取的方式）确定一个参加评标的投标单位，其他投标无效。</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使用综合评分法的采购项目，</w:t>
      </w:r>
      <w:r>
        <w:rPr>
          <w:rFonts w:hint="eastAsia" w:ascii="黑体" w:hAnsi="黑体" w:eastAsia="黑体" w:cs="黑体"/>
          <w:b/>
          <w:color w:val="auto"/>
          <w:sz w:val="28"/>
          <w:szCs w:val="28"/>
          <w:highlight w:val="none"/>
          <w:u w:val="single"/>
        </w:rPr>
        <w:t xml:space="preserve">本项目核心产品：装配式厕所。</w:t>
      </w:r>
      <w:r>
        <w:rPr>
          <w:rFonts w:hint="eastAsia" w:ascii="黑体" w:hAnsi="黑体" w:eastAsia="黑体" w:cs="黑体"/>
          <w:bCs/>
          <w:color w:val="auto"/>
          <w:sz w:val="28"/>
          <w:szCs w:val="28"/>
          <w:highlight w:val="none"/>
        </w:rPr>
        <w:t xml:space="preserve">提供相同品牌产品且通过资格审查、符合性审查的不同投标单位参加同一合同项下投标的，按一家投标单位计算，评审后得分最高的同品牌投标单位获得中标人推荐资格；评审得分相同的，由评标委员会根据招标文件规定的方式（招标文件未规定的采取随机抽取的方式）确定一个中标候选人，其他同品牌投标单位不作为中标候选人。</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非单一产品采购项目，招标文件中将载明其中的核心产品。多家投标单位提供的核心产品品牌相同的，按前两款规定处理。</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5.8 投标单位在开、评标全过程中应保持通讯畅通，并安排专人与招标人或采购代理机构及评标委员会联系。</w:t>
      </w:r>
      <w:bookmarkEnd w:id="90"/>
      <w:r/>
      <w:bookmarkEnd w:id="91"/>
      <w:r/>
      <w:bookmarkEnd w:id="92"/>
      <w:r/>
      <w:r/>
    </w:p>
    <w:p>
      <w:pPr>
        <w:pStyle w:val="102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6.无效投标条款和废标条款</w:t>
      </w:r>
      <w:r/>
    </w:p>
    <w:p>
      <w:pPr>
        <w:ind w:firstLine="560"/>
        <w:spacing w:line="288" w:lineRule="auto"/>
        <w:rPr>
          <w:rFonts w:ascii="黑体" w:hAnsi="黑体" w:eastAsia="黑体" w:cs="黑体"/>
          <w:bCs/>
          <w:color w:val="auto"/>
          <w:sz w:val="28"/>
          <w:szCs w:val="28"/>
          <w:highlight w:val="none"/>
        </w:rPr>
      </w:pPr>
      <w:r/>
      <w:bookmarkStart w:id="93" w:name="_Toc513029235"/>
      <w:r/>
      <w:bookmarkStart w:id="94" w:name="_Toc16938551"/>
      <w:r/>
      <w:bookmarkStart w:id="95" w:name="_Toc20823307"/>
      <w:r>
        <w:rPr>
          <w:rFonts w:hint="eastAsia" w:ascii="黑体" w:hAnsi="黑体" w:eastAsia="黑体" w:cs="黑体"/>
          <w:bCs/>
          <w:color w:val="auto"/>
          <w:sz w:val="28"/>
          <w:szCs w:val="28"/>
          <w:highlight w:val="none"/>
        </w:rPr>
        <w:t xml:space="preserve">6.1无效投标条款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 投标单位在规定的时间内未成功解密电子投标文件的。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6.1.2 投标单位未按照招标文件要求上传电子投标文件的。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6.1.3同一投标单位提交两个（含两个）以上不同的投标报价的。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6.1.4投标单位不具备招标文件中规定资格要求的。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6.1.5投标单位的报价超过了采购预算或最高限价的。</w:t>
      </w:r>
      <w:r/>
    </w:p>
    <w:p>
      <w:pPr>
        <w:ind w:firstLine="560"/>
        <w:spacing w:line="288" w:lineRule="auto"/>
        <w:rPr>
          <w:rFonts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6.1.6未通过符合性检查的。</w:t>
      </w:r>
      <w:r/>
    </w:p>
    <w:p>
      <w:pPr>
        <w:ind w:firstLine="420"/>
        <w:spacing w:line="288" w:lineRule="auto"/>
        <w:rPr>
          <w:rFonts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 6.1.7不符合招标文件中规定的其他实质性要求和条件的。</w:t>
      </w:r>
      <w:r/>
    </w:p>
    <w:p>
      <w:pPr>
        <w:ind w:firstLine="560"/>
        <w:spacing w:line="5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6.1.8 在“信用中国”网站（https://www.creditchina.gov.cn）查询，被列入</w:t>
      </w:r>
      <w:r>
        <w:rPr>
          <w:color w:val="auto"/>
          <w:highlight w:val="none"/>
        </w:rPr>
        <w:fldChar w:fldCharType="begin"/>
      </w:r>
      <w:r>
        <w:rPr>
          <w:color w:val="auto"/>
          <w:highlight w:val="none"/>
        </w:rPr>
        <w:instrText xml:space="preserve"> HYPERLINK "https://zxgk.court.gov.cn/shixin/" </w:instrText>
      </w:r>
      <w:r>
        <w:rPr>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6.1.9 投标文件含有招标人不能接受的附加条件的。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6.1.10本项目采购产品被财政部、国家发改委、生态环境部等列入“节能产品品目清单”、“环境标志产品品目清单”强制采购范围，而投标单位所投标产品不在强制采购范围内的。（投标产品如属于政府强制采购节能产品品目清单范围内，投标文件中必须提供国家确定的认证机构出具的、处于有效期之内的该节能产品认证证书图片）</w:t>
      </w:r>
      <w:r/>
    </w:p>
    <w:p>
      <w:pPr>
        <w:pStyle w:val="867"/>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    6.1.11中标单位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6.1.12投标文件未按照招标文件要求加盖电子签章。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6.1.13不同的投标单位投标文件制作机器码、文件创建标识码一致的。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6.1.14投标单位的商务、技术部分得分相差悬殊，评标委员会认为得分畸低者没有实质性响应的。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6.1.15其他法律、法规及本招标文件规定的属无效投标的情形。</w:t>
      </w:r>
      <w:r/>
    </w:p>
    <w:p>
      <w:pPr>
        <w:pStyle w:val="855"/>
        <w:ind w:firstLine="562"/>
        <w:spacing w:before="0" w:beforeAutospacing="0" w:after="0" w:afterAutospacing="0" w:line="360" w:lineRule="exact"/>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6.1.16评标小组认为投标单位的报价出现（财库〔2026〕2号文）规定的异常低价情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855"/>
        <w:ind w:firstLine="646"/>
        <w:jc w:val="both"/>
        <w:spacing w:before="0" w:beforeAutospacing="0" w:after="0" w:afterAutospacing="0" w:line="400" w:lineRule="atLeast"/>
        <w:rPr>
          <w:color w:val="auto"/>
          <w:highlight w:val="none"/>
        </w:rPr>
      </w:pPr>
      <w:r>
        <w:rPr>
          <w:rFonts w:hint="eastAsia" w:ascii="黑体" w:hAnsi="黑体" w:eastAsia="黑体" w:cs="黑体"/>
          <w:b/>
          <w:bCs/>
          <w:color w:val="auto"/>
          <w:sz w:val="28"/>
          <w:szCs w:val="28"/>
          <w:highlight w:val="none"/>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6.2废标条款：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6.2.1符合专业条件的投标单位或者对招标文件作实质响应的投标单位不足三家的。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6.2.2出现影响采购公正的违法、违规行为的。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6.2.3因重大变故，采购任务取消的。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6.2.4评标委员会认定招标文件存在歧义、重大缺陷导致评审工作无法进行。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6.2.5 因系统故障原因造成开标不成功的。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 投标截止时间结束后参加投标的投标单位不足三家的处理：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6.3.1如出现投标截止时间结束后参加投标的投标单位或者在评标期间对招标文件做出实质响应的投标单位不足三家情况，按政府采购相关规定执行。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7.投标文件线上格式要求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7.1投标单位应当通过“苏采云”系统提交数据电文形式的投标文件（即电子投标）。</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7.2通过“苏采云”系统提交政府采购客户端工具导出加密的投标文件（后缀名为zip）。投标文件不得超过150M！</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7.3本项目采用线上投标，即投标单位的投标文件从政府采购客户端工具制作通过“苏采云”系统提交，未提供线上投标文件的，投标无效。</w:t>
      </w:r>
      <w:bookmarkEnd w:id="93"/>
      <w:r/>
      <w:bookmarkEnd w:id="94"/>
      <w:r/>
      <w:bookmarkEnd w:id="95"/>
      <w:r/>
      <w:r/>
    </w:p>
    <w:p>
      <w:pPr>
        <w:pStyle w:val="1020"/>
        <w:spacing w:before="0" w:after="0" w:line="288" w:lineRule="auto"/>
        <w:rPr>
          <w:rFonts w:ascii="黑体" w:hAnsi="黑体" w:eastAsia="黑体" w:cs="黑体"/>
          <w:b w:val="0"/>
          <w:color w:val="auto"/>
          <w:sz w:val="28"/>
          <w:szCs w:val="28"/>
          <w:highlight w:val="none"/>
        </w:rPr>
      </w:pPr>
      <w:r/>
      <w:bookmarkStart w:id="96" w:name="_Toc120614219"/>
      <w:r>
        <w:rPr>
          <w:rFonts w:hint="eastAsia" w:ascii="黑体" w:hAnsi="黑体" w:eastAsia="黑体" w:cs="黑体"/>
          <w:b w:val="0"/>
          <w:color w:val="auto"/>
          <w:sz w:val="28"/>
          <w:szCs w:val="28"/>
          <w:highlight w:val="none"/>
        </w:rPr>
        <w:t xml:space="preserve">（六）定标</w:t>
      </w:r>
      <w:bookmarkEnd w:id="96"/>
      <w:r/>
      <w:r/>
    </w:p>
    <w:p>
      <w:pPr>
        <w:pStyle w:val="1021"/>
        <w:ind w:firstLine="560"/>
        <w:jc w:val="both"/>
        <w:spacing w:line="288" w:lineRule="auto"/>
        <w:rPr>
          <w:rFonts w:ascii="黑体" w:hAnsi="黑体" w:eastAsia="黑体" w:cs="黑体"/>
          <w:bCs/>
          <w:color w:val="auto"/>
          <w:sz w:val="28"/>
          <w:szCs w:val="28"/>
          <w:highlight w:val="none"/>
        </w:rPr>
      </w:pPr>
      <w:r/>
      <w:bookmarkStart w:id="97" w:name="_Toc16938554"/>
      <w:r/>
      <w:bookmarkStart w:id="98" w:name="_Toc20823310"/>
      <w:r>
        <w:rPr>
          <w:rFonts w:hint="eastAsia" w:ascii="黑体" w:hAnsi="黑体" w:eastAsia="黑体" w:cs="黑体"/>
          <w:bCs/>
          <w:color w:val="auto"/>
          <w:sz w:val="28"/>
          <w:szCs w:val="28"/>
          <w:highlight w:val="none"/>
        </w:rPr>
        <w:t xml:space="preserve">1.确定</w:t>
      </w:r>
      <w:bookmarkEnd w:id="97"/>
      <w:r/>
      <w:bookmarkEnd w:id="98"/>
      <w:r>
        <w:rPr>
          <w:rFonts w:hint="eastAsia" w:ascii="黑体" w:hAnsi="黑体" w:eastAsia="黑体" w:cs="黑体"/>
          <w:bCs/>
          <w:color w:val="auto"/>
          <w:sz w:val="28"/>
          <w:szCs w:val="28"/>
          <w:highlight w:val="none"/>
        </w:rPr>
        <w:t xml:space="preserve">中标单位</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1.1中标候选人的选取原则和数量见招标文件第四部分规定。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1.2招标人应根据评标委员会推荐的中标候选投标单位确定中标单位。</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 招标人或采购代理机构将在“江苏政府采购网”发布中标公告，公告期限为1个工作日。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1.4若有充分证据证明，中标人出现下列情况之一的，一经查实，将被取消中标资格：</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1.4.1提供虚假材料谋取中标的。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1.4.2向招标人或采购代理机构行贿或者评审专家提供其他不正当利益的。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1.4.3恶意竞争，投标总报价明显低于其自身合理成本且又无法提供证明的。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1.4.4属于本文件规定的无效条件，但在评标过程中又未被评委会发现的。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1.4.5与招标人或者其他投标单位恶意串通的。</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1.4.6采取不正当手段诋毁、排挤其他投标单位的。</w:t>
      </w:r>
      <w:r/>
    </w:p>
    <w:p>
      <w:pPr>
        <w:ind w:firstLine="560"/>
        <w:spacing w:line="288" w:lineRule="auto"/>
        <w:rPr>
          <w:rFonts w:ascii="黑体" w:hAnsi="黑体" w:eastAsia="黑体" w:cs="黑体"/>
          <w:bCs/>
          <w:color w:val="auto"/>
          <w:sz w:val="28"/>
          <w:szCs w:val="28"/>
          <w:highlight w:val="none"/>
        </w:rPr>
      </w:pPr>
      <w:r/>
      <w:bookmarkStart w:id="99" w:name="_Toc200451960"/>
      <w:r>
        <w:rPr>
          <w:rFonts w:hint="eastAsia" w:ascii="黑体" w:hAnsi="黑体" w:eastAsia="黑体" w:cs="黑体"/>
          <w:bCs/>
          <w:color w:val="auto"/>
          <w:sz w:val="28"/>
          <w:szCs w:val="28"/>
          <w:highlight w:val="none"/>
        </w:rPr>
        <w:t xml:space="preserve">1.5有下列情形之一的，视为投标单位串通投标，投标无效：</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1.5.1不同投标单位的投标文件由同一单位或者个人编制；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1.5.2不同投标单位委托同一单位或者个人办理投标事宜；</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1.5.3不同投标单位的投标文件载明的项目管理成员或者联系人员为同一人；</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1.5.4不同投标单位的投标文件异常一致或者投标报价呈规律性差异；</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1.5.5不同投标单位的投标文件相互混装；</w:t>
      </w:r>
      <w:r/>
    </w:p>
    <w:p>
      <w:pPr>
        <w:pStyle w:val="102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2.质疑处理</w:t>
      </w:r>
      <w:bookmarkEnd w:id="99"/>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提出质疑的投标单位应当是参与所质疑项目采购活动的投标单位。潜在投标单位依法获取其可质疑的采购文件的，可以对采购文件提出质疑。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投标单位认为采购文件、采购过程和采购结果使自己的权益受到损害的，可以在知道或应知其权益受到损害之日起七个工作日内，以书面形式向招标人或采购代理机构提出质疑。上述应知其权益受到损害之日，是指：</w:t>
      </w:r>
      <w:r/>
    </w:p>
    <w:p>
      <w:pPr>
        <w:ind w:firstLine="560"/>
        <w:spacing w:line="5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2.2.1对可以质疑的采购文件提出质疑的，为收到采购文件之日或者采购文件公告期限届满之日</w:t>
      </w:r>
      <w:r>
        <w:rPr>
          <w:rFonts w:hint="eastAsia" w:ascii="黑体" w:hAnsi="黑体" w:eastAsia="黑体" w:cs="黑体"/>
          <w:color w:val="auto"/>
          <w:sz w:val="28"/>
          <w:szCs w:val="28"/>
          <w:highlight w:val="none"/>
        </w:rPr>
        <w:t xml:space="preserve">（</w:t>
      </w:r>
      <w:r>
        <w:rPr>
          <w:rFonts w:hint="eastAsia" w:ascii="黑体" w:hAnsi="黑体" w:eastAsia="黑体" w:cs="黑体"/>
          <w:b/>
          <w:bCs/>
          <w:color w:val="auto"/>
          <w:sz w:val="28"/>
          <w:szCs w:val="28"/>
          <w:highlight w:val="none"/>
          <w:u w:val="single"/>
        </w:rPr>
        <w:t xml:space="preserve">本项目招标公告期限届满后获取招标文件的，以公告期限届满之日为准）</w:t>
      </w:r>
      <w:r>
        <w:rPr>
          <w:rFonts w:hint="eastAsia" w:ascii="黑体" w:hAnsi="黑体" w:eastAsia="黑体" w:cs="黑体"/>
          <w:bCs/>
          <w:color w:val="auto"/>
          <w:sz w:val="28"/>
          <w:szCs w:val="28"/>
          <w:highlight w:val="none"/>
        </w:rPr>
        <w:t xml:space="preserve">；</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2.2.2对采购过程提出质疑的，为各采购程序环节结束之日；</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2.2.3对中标或者成交结果提出质疑的，为中标或者成交结果公告期限届满之日。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投标单位应当在法定质疑期内一次性提出针对同一采购程序环节的质疑。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质疑函必须按照本招标文件中《质疑函范本》要求的格式和内容进行填写。投标单位如组成联合体参加投标，则《质疑函范本》中要求签字、盖章、加盖公章之处，联合体各方均须按要求签字、盖章、加盖公章。</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2.4质疑答复依据《政府采购质疑和投诉办法》（财政部令第94号）。</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招标人质疑接收人及联系方式，见招标文件第一部分。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2.5以下情形的质疑不予受理</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2.5.1内容不符合《政府采购质疑和投诉办法》第十二条规定的质疑。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2.5.2超出政府采购法定期限的质疑。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2.5.3未参加投标活动的投标单位或在投标活动中自身权益未受到损害的投标单位所提出的质疑。</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2.5.4投标单位组成联合体参加投标，联合体中任何一方或多方未按要求签字、盖章、加盖公章的质疑。</w:t>
      </w:r>
      <w:r/>
    </w:p>
    <w:p>
      <w:pPr>
        <w:ind w:firstLine="546"/>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2.6投标单位提出书面质疑必须有理、有据，不得捏造事实、提供虚假材料进行恶意质疑。否则，一经查实，招标人或采购代理机构有权依据政府采购的有关规定，报请政府采购监管部门对该投标单位进行相应的行政处罚和记录该投标单位的失信信息。</w:t>
      </w:r>
      <w:r/>
    </w:p>
    <w:p>
      <w:pPr>
        <w:pStyle w:val="102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3.中标通知书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3.l 中标结果确定后，招标人或采购代理机构将向中标单位发出中标通知书。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3.2中标通知书将是合同的一个组成部分。对招标人和中标单位均具有法律效力。中标通知书发出后，招标人改变中标结果的，或者中标单位放弃中标项目的，应当依法承担法律责任。</w:t>
      </w:r>
      <w:r/>
    </w:p>
    <w:p>
      <w:pPr>
        <w:pStyle w:val="1020"/>
        <w:spacing w:before="0" w:after="0" w:line="288" w:lineRule="auto"/>
        <w:rPr>
          <w:rFonts w:ascii="黑体" w:hAnsi="黑体" w:eastAsia="黑体" w:cs="黑体"/>
          <w:b w:val="0"/>
          <w:color w:val="auto"/>
          <w:sz w:val="28"/>
          <w:szCs w:val="28"/>
          <w:highlight w:val="none"/>
        </w:rPr>
      </w:pPr>
      <w:r/>
      <w:bookmarkStart w:id="100" w:name="_Toc20823308"/>
      <w:r/>
      <w:bookmarkStart w:id="101" w:name="_Toc120614220"/>
      <w:r/>
      <w:bookmarkStart w:id="102" w:name="_Toc513029236"/>
      <w:r/>
      <w:bookmarkStart w:id="103" w:name="_Toc16938552"/>
      <w:r>
        <w:rPr>
          <w:rFonts w:hint="eastAsia" w:ascii="黑体" w:hAnsi="黑体" w:eastAsia="黑体" w:cs="黑体"/>
          <w:b w:val="0"/>
          <w:color w:val="auto"/>
          <w:sz w:val="28"/>
          <w:szCs w:val="28"/>
          <w:highlight w:val="none"/>
        </w:rPr>
        <w:t xml:space="preserve">（七）授予合同</w:t>
      </w:r>
      <w:bookmarkEnd w:id="100"/>
      <w:r/>
      <w:bookmarkEnd w:id="101"/>
      <w:r/>
      <w:bookmarkEnd w:id="102"/>
      <w:r/>
      <w:bookmarkEnd w:id="103"/>
      <w:r/>
      <w:r/>
    </w:p>
    <w:p>
      <w:pPr>
        <w:pStyle w:val="1021"/>
        <w:ind w:firstLine="560"/>
        <w:jc w:val="both"/>
        <w:spacing w:line="288" w:lineRule="auto"/>
        <w:rPr>
          <w:rFonts w:ascii="黑体" w:hAnsi="黑体" w:eastAsia="黑体" w:cs="黑体"/>
          <w:bCs/>
          <w:color w:val="auto"/>
          <w:sz w:val="28"/>
          <w:szCs w:val="28"/>
          <w:highlight w:val="none"/>
        </w:rPr>
      </w:pPr>
      <w:r/>
      <w:bookmarkStart w:id="104" w:name="_Toc20823309"/>
      <w:r/>
      <w:bookmarkStart w:id="105" w:name="_Toc513029237"/>
      <w:r/>
      <w:bookmarkStart w:id="106" w:name="_Toc16938553"/>
      <w:r>
        <w:rPr>
          <w:rFonts w:hint="eastAsia" w:ascii="黑体" w:hAnsi="黑体" w:eastAsia="黑体" w:cs="黑体"/>
          <w:bCs/>
          <w:color w:val="auto"/>
          <w:sz w:val="28"/>
          <w:szCs w:val="28"/>
          <w:highlight w:val="none"/>
        </w:rPr>
        <w:t xml:space="preserve">1.签订合同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1.l中标人应当在中标通知书发出之日起三十日内，按照招标文件确定的事项与招标人签订政府采购合同。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1.2招标文件、中标人的投标文件及招标过程中有关澄清、承诺文件均应作为合同附件。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中标单位就采购项目和分包项目向招标人负责，分包投标单位就分包项目承担责任。转包或分包造成招标人损失的，中标人应承担相应赔偿责任。</w:t>
      </w:r>
      <w:r/>
    </w:p>
    <w:p>
      <w:pPr>
        <w:pStyle w:val="102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2.货物和服务的追加、减少和添购。</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pStyle w:val="1021"/>
        <w:ind w:firstLine="562"/>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3.政府采购履约保证资金、合同信用融资扶持政策</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3.1中标单位如需获得履约保证金支持，可在江苏政府采购网直接线上办理线上履约保证保险申请，详情请见江苏政府采购网首页 “易企服”综合服务平台-金融产品全周期-履约保证保险专栏。</w:t>
      </w:r>
      <w:r/>
    </w:p>
    <w:p>
      <w:pPr>
        <w:pStyle w:val="1021"/>
        <w:ind w:firstLine="551"/>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rPr>
        <w:t xml:space="preserve">2根据《关于转发江苏省财政厅、中国人民银行南京分行&lt;关于深入推进政府采购线上合同信用融资工作的通知&gt;的通知》（通财购〔2021〕41号），对政府采购中标单位提出“政采贷”融资申请的，招标人应当依法按时在“苏采云”系统中录入并公开政府采购合同信息，勾选“融资贷款”选项，并在合同签订、验收付款、账号维护等环节提供必要便利，持续降低参与政府采购的中小企业融资成本。中标单位如需获得合同信用融资支持，可凭政府采购合同办理“政采贷”融资贷款，详情请见江苏政府采购网 “易企服”综合服务平台-金融产品全周期-贷款产品专栏。</w:t>
      </w:r>
      <w:r/>
    </w:p>
    <w:p>
      <w:pPr>
        <w:ind w:firstLine="42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根据《关于深入开展南通市政府采购线上合同信用融资业务的通知》（通财购〔2022〕68号），中标（成交）投标单位可通过中征应收账款融资服务平台（简称“中征平台”）办理“政采贷”融资贷款，具体业务操作流程如下： </w:t>
      </w:r>
      <w:r/>
    </w:p>
    <w:p>
      <w:pPr>
        <w:ind w:firstLine="42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3.3.1确定融资意向。中标(成交) 投标单位取得中标 (成交 ) 通知书后，联系意向金融机构，商治融资事项，确定融资意向。</w:t>
      </w:r>
      <w:r/>
    </w:p>
    <w:p>
      <w:pPr>
        <w:ind w:firstLine="422"/>
        <w:spacing w:line="288" w:lineRule="auto"/>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rPr>
        <w:t xml:space="preserve">3.3.2签订采购合同。中标(成交 ) 投标单位与招标人签订政府采购合同时，应将自身融资需求告知招标人或其委托的采购代理机构，提醒 (或协助 ) 其当天在“苏采云”上传合同的同时将“投标单位是否融资”选为“是”</w:t>
      </w:r>
      <w:r>
        <w:rPr>
          <w:rFonts w:hint="eastAsia" w:ascii="黑体" w:hAnsi="黑体" w:eastAsia="黑体" w:cs="黑体"/>
          <w:bCs/>
          <w:color w:val="auto"/>
          <w:sz w:val="28"/>
          <w:szCs w:val="28"/>
          <w:highlight w:val="none"/>
          <w:lang w:eastAsia="zh-CN"/>
        </w:rPr>
        <w:t xml:space="preserve">。</w:t>
      </w:r>
      <w:r/>
    </w:p>
    <w:p>
      <w:pPr>
        <w:ind w:firstLine="42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3.3.3提交融资申请。中标(成交) 投标单位登录“中征平台”进行用户注册，查看“政采贷”融资产品，向确定合作的金融机构提交融资申请。</w:t>
      </w:r>
      <w:r/>
    </w:p>
    <w:p>
      <w:pPr>
        <w:ind w:firstLine="422"/>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3.3.4确认回款账户。金融机构填写需要锁定的回款账户信息后中标(成交)投标单位应登录“中征平台”确认账户信息，以实现回款账户的锁定。</w:t>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br w:type="page" w:clear="all"/>
      </w:r>
      <w:r>
        <w:rPr>
          <w:rFonts w:hint="eastAsia" w:ascii="黑体" w:hAnsi="黑体" w:eastAsia="黑体" w:cs="黑体"/>
          <w:bCs/>
          <w:color w:val="auto"/>
          <w:sz w:val="36"/>
          <w:szCs w:val="36"/>
          <w:highlight w:val="none"/>
        </w:rPr>
        <w:t xml:space="preserve">第三部分  项目需求</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不能简单照搬照抄招标文件项目需求说明中的技术、商务要求，必须作实事求是的响应。如投标单位提供的货物和服务同招标人提出的项目需求说明中的技术、商务要求不同的，必须在《商务部分正负偏离表》和《技术部分正负偏离表》上明示。</w:t>
      </w:r>
      <w:bookmarkEnd w:id="0"/>
      <w:r/>
      <w:bookmarkEnd w:id="1"/>
      <w:r/>
      <w:bookmarkEnd w:id="2"/>
      <w:r/>
      <w:r/>
    </w:p>
    <w:p>
      <w:pPr>
        <w:pStyle w:val="833"/>
        <w:ind w:left="290" w:right="15" w:firstLine="260"/>
        <w:spacing w:before="16" w:line="288" w:lineRule="auto"/>
        <w:rPr>
          <w:rFonts w:ascii="黑体" w:hAnsi="黑体" w:eastAsia="黑体" w:cs="黑体"/>
          <w:color w:val="auto"/>
          <w:highlight w:val="none"/>
        </w:rPr>
        <w:outlineLvl w:val="4"/>
      </w:pPr>
      <w:r>
        <w:rPr>
          <w:rFonts w:hint="eastAsia" w:ascii="黑体" w:hAnsi="黑体" w:eastAsia="黑体" w:cs="黑体"/>
          <w:b/>
          <w:bCs/>
          <w:color w:val="auto"/>
          <w:spacing w:val="4"/>
          <w:sz w:val="28"/>
          <w:szCs w:val="28"/>
          <w:highlight w:val="none"/>
        </w:rPr>
        <w:t xml:space="preserve">（一）采购标的需实现的功能或者目标,</w:t>
      </w:r>
      <w:r>
        <w:rPr>
          <w:rFonts w:hint="eastAsia" w:ascii="黑体" w:hAnsi="黑体" w:eastAsia="黑体" w:cs="黑体"/>
          <w:color w:val="auto"/>
          <w:spacing w:val="4"/>
          <w:sz w:val="28"/>
          <w:szCs w:val="28"/>
          <w:highlight w:val="none"/>
        </w:rPr>
        <w:t xml:space="preserve"> </w:t>
      </w:r>
      <w:r>
        <w:rPr>
          <w:rFonts w:hint="eastAsia" w:ascii="黑体" w:hAnsi="黑体" w:eastAsia="黑体" w:cs="黑体"/>
          <w:b/>
          <w:bCs/>
          <w:color w:val="auto"/>
          <w:spacing w:val="4"/>
          <w:sz w:val="28"/>
          <w:szCs w:val="28"/>
          <w:highlight w:val="none"/>
        </w:rPr>
        <w:t xml:space="preserve">以及为落</w:t>
      </w:r>
      <w:r>
        <w:rPr>
          <w:rFonts w:hint="eastAsia" w:ascii="黑体" w:hAnsi="黑体" w:eastAsia="黑体" w:cs="黑体"/>
          <w:b/>
          <w:bCs/>
          <w:color w:val="auto"/>
          <w:spacing w:val="3"/>
          <w:sz w:val="28"/>
          <w:szCs w:val="28"/>
          <w:highlight w:val="none"/>
        </w:rPr>
        <w:t xml:space="preserve">实政府采购政</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4"/>
          <w:sz w:val="28"/>
          <w:szCs w:val="28"/>
          <w:highlight w:val="none"/>
        </w:rPr>
        <w:t xml:space="preserve">策需满足的要求：</w:t>
      </w:r>
      <w:r/>
    </w:p>
    <w:tbl>
      <w:tblPr>
        <w:tblStyle w:val="1153"/>
        <w:tblW w:w="84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87"/>
        <w:gridCol w:w="1476"/>
        <w:gridCol w:w="1201"/>
        <w:gridCol w:w="3418"/>
      </w:tblGrid>
      <w:tr>
        <w:trPr>
          <w:trHeight w:val="1096"/>
        </w:trPr>
        <w:tc>
          <w:tcPr>
            <w:tcW w:w="2387"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37"/>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产品名称</w:t>
            </w:r>
            <w:r/>
          </w:p>
        </w:tc>
        <w:tc>
          <w:tcPr>
            <w:tcW w:w="1476" w:type="dxa"/>
            <w:textDirection w:val="lrTb"/>
            <w:noWrap w:val="false"/>
          </w:tcPr>
          <w:p>
            <w:pPr>
              <w:ind w:left="342" w:right="174" w:hanging="160"/>
              <w:spacing w:before="227"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厕所数量</w:t>
            </w:r>
            <w:r>
              <w:rPr>
                <w:rFonts w:hint="eastAsia" w:ascii="黑体" w:hAnsi="黑体" w:eastAsia="黑体" w:cs="黑体"/>
                <w:color w:val="auto"/>
                <w:spacing w:val="1"/>
                <w:sz w:val="28"/>
                <w:szCs w:val="28"/>
                <w:highlight w:val="none"/>
              </w:rPr>
              <w:t xml:space="preserve"> </w:t>
            </w:r>
            <w:r>
              <w:rPr>
                <w:rFonts w:hint="eastAsia" w:ascii="黑体" w:hAnsi="黑体" w:eastAsia="黑体" w:cs="黑体"/>
                <w:b/>
                <w:bCs/>
                <w:color w:val="auto"/>
                <w:spacing w:val="-13"/>
                <w:sz w:val="28"/>
                <w:szCs w:val="28"/>
                <w:highlight w:val="none"/>
              </w:rPr>
              <w:t xml:space="preserve">（座）</w:t>
            </w:r>
            <w:r/>
          </w:p>
        </w:tc>
        <w:tc>
          <w:tcPr>
            <w:tcW w:w="1201" w:type="dxa"/>
            <w:textDirection w:val="lrTb"/>
            <w:noWrap w:val="false"/>
          </w:tcPr>
          <w:p>
            <w:pPr>
              <w:ind w:left="464" w:right="177" w:hanging="280"/>
              <w:spacing w:before="46"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厕所面</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3"/>
                <w:sz w:val="28"/>
                <w:szCs w:val="28"/>
                <w:highlight w:val="none"/>
              </w:rPr>
              <w:t xml:space="preserve">积</w:t>
            </w:r>
            <w:r/>
          </w:p>
          <w:p>
            <w:pPr>
              <w:ind w:left="205"/>
              <w:spacing w:before="24" w:line="288" w:lineRule="auto"/>
              <w:rPr>
                <w:rFonts w:ascii="黑体" w:hAnsi="黑体" w:eastAsia="黑体" w:cs="黑体"/>
                <w:color w:val="auto"/>
                <w:sz w:val="28"/>
                <w:szCs w:val="28"/>
                <w:highlight w:val="none"/>
              </w:rPr>
            </w:pPr>
            <w:r>
              <w:rPr>
                <w:rFonts w:hint="eastAsia" w:ascii="黑体" w:hAnsi="黑体" w:eastAsia="黑体" w:cs="黑体"/>
                <w:b/>
                <w:bCs/>
                <w:color w:val="auto"/>
                <w:spacing w:val="-20"/>
                <w:sz w:val="28"/>
                <w:szCs w:val="28"/>
                <w:highlight w:val="none"/>
              </w:rPr>
              <w:t xml:space="preserve">（㎡）</w:t>
            </w:r>
            <w:r/>
          </w:p>
        </w:tc>
        <w:tc>
          <w:tcPr>
            <w:tcW w:w="3418"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1153"/>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5"/>
                <w:sz w:val="28"/>
                <w:szCs w:val="28"/>
                <w:highlight w:val="none"/>
              </w:rPr>
              <w:t xml:space="preserve">厕所地址</w:t>
            </w:r>
            <w:r/>
          </w:p>
        </w:tc>
      </w:tr>
      <w:tr>
        <w:trPr>
          <w:trHeight w:val="1093"/>
        </w:trPr>
        <w:tc>
          <w:tcPr>
            <w:tcW w:w="2387" w:type="dxa"/>
            <w:textDirection w:val="lrTb"/>
            <w:noWrap w:val="false"/>
          </w:tcPr>
          <w:p>
            <w:pPr>
              <w:ind w:left="225"/>
              <w:spacing w:before="44"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苏锡通园区综合行政执法大队装配式厕所采购及安装</w:t>
            </w:r>
            <w:r/>
          </w:p>
        </w:tc>
        <w:tc>
          <w:tcPr>
            <w:tcW w:w="1476"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690"/>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54"/>
              <w:jc w:val="left"/>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ind w:left="117" w:right="105" w:firstLine="4"/>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苏锡通园区江海街道、张芝山镇，具体地址以招标人确认的建设地址为</w:t>
            </w:r>
            <w:r>
              <w:rPr>
                <w:rFonts w:hint="eastAsia" w:ascii="黑体" w:hAnsi="黑体" w:eastAsia="黑体" w:cs="黑体"/>
                <w:color w:val="auto"/>
                <w:spacing w:val="-5"/>
                <w:sz w:val="28"/>
                <w:szCs w:val="28"/>
                <w:highlight w:val="none"/>
              </w:rPr>
              <w:t xml:space="preserve">准。</w:t>
            </w:r>
            <w:r/>
          </w:p>
        </w:tc>
      </w:tr>
      <w:tr>
        <w:trPr>
          <w:trHeight w:val="372"/>
        </w:trPr>
        <w:tc>
          <w:tcPr>
            <w:tcW w:w="2387" w:type="dxa"/>
            <w:textDirection w:val="lrTb"/>
            <w:noWrap w:val="false"/>
          </w:tcPr>
          <w:p>
            <w:pPr>
              <w:ind w:left="923"/>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合计</w:t>
            </w:r>
            <w:r/>
          </w:p>
        </w:tc>
        <w:tc>
          <w:tcPr>
            <w:tcW w:w="1476" w:type="dxa"/>
            <w:textDirection w:val="lrTb"/>
            <w:noWrap w:val="false"/>
          </w:tcPr>
          <w:p>
            <w:pPr>
              <w:ind w:left="690"/>
              <w:spacing w:before="89"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201" w:type="dxa"/>
            <w:textDirection w:val="lrTb"/>
            <w:noWrap w:val="false"/>
          </w:tcPr>
          <w:p>
            <w:pPr>
              <w:ind w:left="554"/>
              <w:spacing w:before="87"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200</w:t>
            </w:r>
            <w:r/>
          </w:p>
        </w:tc>
        <w:tc>
          <w:tcPr>
            <w:tcW w:w="3418"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tc>
      </w:tr>
    </w:tbl>
    <w:p>
      <w:pPr>
        <w:pStyle w:val="833"/>
        <w:ind w:left="289" w:right="13" w:firstLine="564"/>
        <w:spacing w:before="269" w:line="288" w:lineRule="auto"/>
        <w:tabs>
          <w:tab w:val="left" w:pos="8585" w:leader="none"/>
        </w:tabs>
        <w:rPr>
          <w:rFonts w:ascii="黑体" w:hAnsi="黑体" w:eastAsia="黑体" w:cs="黑体"/>
          <w:b/>
          <w:bCs/>
          <w:color w:val="auto"/>
          <w:spacing w:val="-1"/>
          <w:sz w:val="28"/>
          <w:szCs w:val="28"/>
          <w:highlight w:val="none"/>
          <w:shd w:val="clear" w:color="auto" w:fill="d9d9d9"/>
        </w:rPr>
      </w:pPr>
      <w:r>
        <w:rPr>
          <w:rFonts w:hint="eastAsia" w:ascii="黑体" w:hAnsi="黑体" w:eastAsia="黑体" w:cs="黑体"/>
          <w:b/>
          <w:bCs/>
          <w:color w:val="auto"/>
          <w:spacing w:val="9"/>
          <w:sz w:val="28"/>
          <w:szCs w:val="28"/>
          <w:highlight w:val="none"/>
          <w:shd w:val="clear" w:color="auto" w:fill="d9d9d9"/>
        </w:rPr>
        <w:t xml:space="preserve">★本项目采购装配式厕所为独立式，按照《城市公共厕所设计标准》</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z w:val="28"/>
          <w:szCs w:val="28"/>
          <w:highlight w:val="none"/>
          <w:shd w:val="clear" w:color="auto" w:fill="d9d9d9"/>
        </w:rPr>
        <w:t xml:space="preserve">CJJ14-2016</w:t>
      </w:r>
      <w:r>
        <w:rPr>
          <w:rFonts w:hint="eastAsia" w:ascii="黑体" w:hAnsi="黑体" w:eastAsia="黑体" w:cs="黑体"/>
          <w:color w:val="auto"/>
          <w:spacing w:val="-56"/>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二类标准装配式公厕设计。</w:t>
      </w:r>
      <w:r>
        <w:rPr>
          <w:rFonts w:hint="eastAsia" w:ascii="黑体" w:hAnsi="黑体" w:eastAsia="黑体" w:cs="黑体"/>
          <w:b/>
          <w:bCs/>
          <w:color w:val="auto"/>
          <w:spacing w:val="-1"/>
          <w:sz w:val="28"/>
          <w:szCs w:val="28"/>
          <w:highlight w:val="none"/>
          <w:shd w:val="clear" w:color="auto" w:fill="d9d9d9"/>
        </w:rPr>
        <w:t xml:space="preserve">投标单位须在符合性审查</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pacing w:val="3"/>
          <w:sz w:val="28"/>
          <w:szCs w:val="28"/>
          <w:highlight w:val="none"/>
          <w:shd w:val="clear" w:color="auto" w:fill="d9d9d9"/>
        </w:rPr>
        <w:t xml:space="preserve">内容中提供针对本项目的设计方案，并结合《城市公共厕所设计标</w:t>
      </w:r>
      <w:r>
        <w:rPr>
          <w:rFonts w:hint="eastAsia" w:ascii="黑体" w:hAnsi="黑体" w:eastAsia="黑体" w:cs="黑体"/>
          <w:b/>
          <w:bCs/>
          <w:color w:val="auto"/>
          <w:sz w:val="28"/>
          <w:szCs w:val="28"/>
          <w:highlight w:val="none"/>
          <w:shd w:val="clear" w:color="auto" w:fill="d9d9d9"/>
        </w:rPr>
        <w:t xml:space="preserve">准》CJJ14-2016</w:t>
      </w:r>
      <w:r>
        <w:rPr>
          <w:rFonts w:hint="eastAsia" w:ascii="黑体" w:hAnsi="黑体" w:eastAsia="黑体" w:cs="黑体"/>
          <w:color w:val="auto"/>
          <w:spacing w:val="-58"/>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第四、五条款要求的二类标准</w:t>
      </w:r>
      <w:r>
        <w:rPr>
          <w:rFonts w:hint="eastAsia" w:ascii="黑体" w:hAnsi="黑体" w:eastAsia="黑体" w:cs="黑体"/>
          <w:b/>
          <w:bCs/>
          <w:color w:val="auto"/>
          <w:spacing w:val="-1"/>
          <w:sz w:val="28"/>
          <w:szCs w:val="28"/>
          <w:highlight w:val="none"/>
          <w:shd w:val="clear" w:color="auto" w:fill="d9d9d9"/>
        </w:rPr>
        <w:t xml:space="preserve">设计，若投标单位未</w:t>
      </w:r>
      <w:r>
        <w:rPr>
          <w:rFonts w:hint="eastAsia" w:ascii="黑体" w:hAnsi="黑体" w:eastAsia="黑体" w:cs="黑体"/>
          <w:b/>
          <w:bCs/>
          <w:color w:val="auto"/>
          <w:spacing w:val="13"/>
          <w:sz w:val="28"/>
          <w:szCs w:val="28"/>
          <w:highlight w:val="none"/>
          <w:shd w:val="clear" w:color="auto" w:fill="d9d9d9"/>
        </w:rPr>
        <w:t xml:space="preserve">按要求提供或提供的设计方案（平面设计图）不符合《城市公共厕所设计标准》</w:t>
      </w:r>
      <w:r>
        <w:rPr>
          <w:rFonts w:hint="eastAsia" w:ascii="黑体" w:hAnsi="黑体" w:eastAsia="黑体" w:cs="黑体"/>
          <w:b/>
          <w:bCs/>
          <w:color w:val="auto"/>
          <w:sz w:val="28"/>
          <w:szCs w:val="28"/>
          <w:highlight w:val="none"/>
          <w:shd w:val="clear" w:color="auto" w:fill="d9d9d9"/>
        </w:rPr>
        <w:t xml:space="preserve">CJJ14-2016</w:t>
      </w:r>
      <w:r>
        <w:rPr>
          <w:rFonts w:hint="eastAsia" w:ascii="黑体" w:hAnsi="黑体" w:eastAsia="黑体" w:cs="黑体"/>
          <w:color w:val="auto"/>
          <w:spacing w:val="-56"/>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二类标准的或提供的设计方案</w:t>
      </w:r>
      <w:r>
        <w:rPr>
          <w:rFonts w:hint="eastAsia" w:ascii="黑体" w:hAnsi="黑体" w:eastAsia="黑体" w:cs="黑体"/>
          <w:b/>
          <w:bCs/>
          <w:color w:val="auto"/>
          <w:spacing w:val="-1"/>
          <w:sz w:val="28"/>
          <w:szCs w:val="28"/>
          <w:highlight w:val="none"/>
          <w:shd w:val="clear" w:color="auto" w:fill="d9d9d9"/>
        </w:rPr>
        <w:t xml:space="preserve">为《城市公共厕所设计标</w:t>
      </w:r>
      <w:r>
        <w:rPr>
          <w:rFonts w:hint="eastAsia" w:ascii="黑体" w:hAnsi="黑体" w:eastAsia="黑体" w:cs="黑体"/>
          <w:b/>
          <w:bCs/>
          <w:color w:val="auto"/>
          <w:sz w:val="28"/>
          <w:szCs w:val="28"/>
          <w:highlight w:val="none"/>
          <w:shd w:val="clear" w:color="auto" w:fill="d9d9d9"/>
        </w:rPr>
        <w:t xml:space="preserve">准》CJJ14-2016</w:t>
      </w:r>
      <w:r>
        <w:rPr>
          <w:rFonts w:hint="eastAsia" w:ascii="黑体" w:hAnsi="黑体" w:eastAsia="黑体" w:cs="黑体"/>
          <w:color w:val="auto"/>
          <w:spacing w:val="-53"/>
          <w:sz w:val="28"/>
          <w:szCs w:val="28"/>
          <w:highlight w:val="none"/>
          <w:shd w:val="clear" w:color="auto" w:fill="d9d9d9"/>
        </w:rPr>
        <w:t xml:space="preserve"> </w:t>
      </w:r>
      <w:r>
        <w:rPr>
          <w:rFonts w:hint="eastAsia" w:ascii="黑体" w:hAnsi="黑体" w:eastAsia="黑体" w:cs="黑体"/>
          <w:b/>
          <w:bCs/>
          <w:color w:val="auto"/>
          <w:sz w:val="28"/>
          <w:szCs w:val="28"/>
          <w:highlight w:val="none"/>
          <w:shd w:val="clear" w:color="auto" w:fill="d9d9d9"/>
        </w:rPr>
        <w:t xml:space="preserve">一类、三类标准</w:t>
      </w:r>
      <w:r>
        <w:rPr>
          <w:rFonts w:hint="eastAsia" w:ascii="黑体" w:hAnsi="黑体" w:eastAsia="黑体" w:cs="黑体"/>
          <w:b/>
          <w:bCs/>
          <w:color w:val="auto"/>
          <w:spacing w:val="-1"/>
          <w:sz w:val="28"/>
          <w:szCs w:val="28"/>
          <w:highlight w:val="none"/>
          <w:shd w:val="clear" w:color="auto" w:fill="d9d9d9"/>
        </w:rPr>
        <w:t xml:space="preserve">的，经评标委员会评审视作未实质性响应招标文件要求，做无效投标处理。</w:t>
      </w:r>
      <w:r/>
    </w:p>
    <w:p>
      <w:pPr>
        <w:pStyle w:val="833"/>
        <w:ind w:left="289" w:right="13" w:firstLine="564"/>
        <w:spacing w:before="269" w:line="288" w:lineRule="auto"/>
        <w:tabs>
          <w:tab w:val="left" w:pos="8585" w:leader="none"/>
        </w:tabs>
        <w:rPr>
          <w:rFonts w:ascii="黑体" w:hAnsi="黑体" w:eastAsia="黑体" w:cs="黑体"/>
          <w:b/>
          <w:bCs/>
          <w:color w:val="auto"/>
          <w:spacing w:val="-1"/>
          <w:sz w:val="28"/>
          <w:szCs w:val="28"/>
          <w:highlight w:val="none"/>
          <w:shd w:val="clear" w:color="auto" w:fill="d9d9d9"/>
        </w:rPr>
      </w:pPr>
      <w:r>
        <w:rPr>
          <w:rFonts w:hint="eastAsia" w:ascii="黑体" w:hAnsi="黑体" w:eastAsia="黑体" w:cs="黑体"/>
          <w:b/>
          <w:bCs/>
          <w:color w:val="auto"/>
          <w:spacing w:val="-1"/>
          <w:sz w:val="28"/>
          <w:szCs w:val="28"/>
          <w:highlight w:val="none"/>
          <w:shd w:val="clear" w:color="auto" w:fill="d9d9d9"/>
        </w:rPr>
        <w:t xml:space="preserve">注明：本项目采购2座</w:t>
      </w:r>
      <w:r>
        <w:rPr>
          <w:rFonts w:hint="eastAsia" w:ascii="黑体" w:hAnsi="黑体" w:eastAsia="黑体" w:cs="黑体"/>
          <w:b/>
          <w:bCs/>
          <w:color w:val="auto"/>
          <w:spacing w:val="9"/>
          <w:sz w:val="28"/>
          <w:szCs w:val="28"/>
          <w:highlight w:val="none"/>
          <w:shd w:val="clear" w:color="auto" w:fill="d9d9d9"/>
        </w:rPr>
        <w:t xml:space="preserve">装配式厕所，每座建设面积约100平方米，若2座平面设计图一样，可提供一个平面设计图即可。</w:t>
      </w:r>
      <w:r/>
    </w:p>
    <w:p>
      <w:pPr>
        <w:pStyle w:val="833"/>
        <w:ind w:left="121" w:right="79" w:firstLine="483"/>
        <w:spacing w:before="142"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本项目为交钥匙工程（包含水电污开户破路接入、绿化移植和</w:t>
      </w:r>
      <w:r>
        <w:rPr>
          <w:rFonts w:hint="eastAsia" w:ascii="黑体" w:hAnsi="黑体" w:eastAsia="黑体" w:cs="黑体"/>
          <w:color w:val="auto"/>
          <w:spacing w:val="10"/>
          <w:sz w:val="28"/>
          <w:szCs w:val="28"/>
          <w:highlight w:val="none"/>
        </w:rPr>
        <w:t xml:space="preserve"> </w:t>
      </w:r>
      <w:r>
        <w:rPr>
          <w:rFonts w:hint="eastAsia" w:ascii="黑体" w:hAnsi="黑体" w:eastAsia="黑体" w:cs="黑体"/>
          <w:color w:val="auto"/>
          <w:spacing w:val="5"/>
          <w:sz w:val="28"/>
          <w:szCs w:val="28"/>
          <w:highlight w:val="none"/>
        </w:rPr>
        <w:t xml:space="preserve">恢复，厕所周边辅路、绿化、辅助设施建设</w:t>
      </w:r>
      <w:r>
        <w:rPr>
          <w:rFonts w:hint="eastAsia" w:ascii="黑体" w:hAnsi="黑体" w:eastAsia="黑体" w:cs="黑体"/>
          <w:color w:val="auto"/>
          <w:spacing w:val="20"/>
          <w:sz w:val="28"/>
          <w:szCs w:val="28"/>
          <w:highlight w:val="none"/>
        </w:rPr>
        <w:t xml:space="preserve">），</w:t>
      </w:r>
      <w:r>
        <w:rPr>
          <w:rFonts w:hint="eastAsia" w:ascii="黑体" w:hAnsi="黑体" w:eastAsia="黑体" w:cs="黑体"/>
          <w:color w:val="auto"/>
          <w:spacing w:val="5"/>
          <w:sz w:val="28"/>
          <w:szCs w:val="28"/>
          <w:highlight w:val="none"/>
        </w:rPr>
        <w:t xml:space="preserve">投标单位应根据招标人</w:t>
      </w:r>
      <w:r>
        <w:rPr>
          <w:rFonts w:hint="eastAsia" w:ascii="黑体" w:hAnsi="黑体" w:eastAsia="黑体" w:cs="黑体"/>
          <w:color w:val="auto"/>
          <w:spacing w:val="-76"/>
          <w:sz w:val="28"/>
          <w:szCs w:val="28"/>
          <w:highlight w:val="none"/>
        </w:rPr>
        <w:t xml:space="preserve"> </w:t>
      </w:r>
      <w:r>
        <w:rPr>
          <w:rFonts w:hint="eastAsia" w:ascii="黑体" w:hAnsi="黑体" w:eastAsia="黑体" w:cs="黑体"/>
          <w:color w:val="auto"/>
          <w:spacing w:val="-11"/>
          <w:sz w:val="28"/>
          <w:szCs w:val="28"/>
          <w:highlight w:val="none"/>
        </w:rPr>
        <w:t xml:space="preserve">拟</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11"/>
          <w:sz w:val="28"/>
          <w:szCs w:val="28"/>
          <w:highlight w:val="none"/>
        </w:rPr>
        <w:t xml:space="preserve">建</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11"/>
          <w:sz w:val="28"/>
          <w:szCs w:val="28"/>
          <w:highlight w:val="none"/>
        </w:rPr>
        <w:t xml:space="preserve">点</w:t>
      </w:r>
      <w:r>
        <w:rPr>
          <w:rFonts w:hint="eastAsia" w:ascii="黑体" w:hAnsi="黑体" w:eastAsia="黑体" w:cs="黑体"/>
          <w:color w:val="auto"/>
          <w:spacing w:val="-78"/>
          <w:sz w:val="28"/>
          <w:szCs w:val="28"/>
          <w:highlight w:val="none"/>
        </w:rPr>
        <w:t xml:space="preserve"> </w:t>
      </w:r>
      <w:r>
        <w:rPr>
          <w:rFonts w:hint="eastAsia" w:ascii="黑体" w:hAnsi="黑体" w:eastAsia="黑体" w:cs="黑体"/>
          <w:color w:val="auto"/>
          <w:spacing w:val="-11"/>
          <w:sz w:val="28"/>
          <w:szCs w:val="28"/>
          <w:highlight w:val="none"/>
        </w:rPr>
        <w:t xml:space="preserve">位</w:t>
      </w:r>
      <w:r>
        <w:rPr>
          <w:rFonts w:hint="eastAsia" w:ascii="黑体" w:hAnsi="黑体" w:eastAsia="黑体" w:cs="黑体"/>
          <w:color w:val="auto"/>
          <w:spacing w:val="-63"/>
          <w:sz w:val="28"/>
          <w:szCs w:val="28"/>
          <w:highlight w:val="none"/>
        </w:rPr>
        <w:t xml:space="preserve"> </w:t>
      </w:r>
      <w:r>
        <w:rPr>
          <w:rFonts w:hint="eastAsia" w:ascii="黑体" w:hAnsi="黑体" w:eastAsia="黑体" w:cs="黑体"/>
          <w:color w:val="auto"/>
          <w:spacing w:val="-11"/>
          <w:sz w:val="28"/>
          <w:szCs w:val="28"/>
          <w:highlight w:val="none"/>
        </w:rPr>
        <w:t xml:space="preserve">示</w:t>
      </w:r>
      <w:r>
        <w:rPr>
          <w:rFonts w:hint="eastAsia" w:ascii="黑体" w:hAnsi="黑体" w:eastAsia="黑体" w:cs="黑体"/>
          <w:color w:val="auto"/>
          <w:spacing w:val="-75"/>
          <w:sz w:val="28"/>
          <w:szCs w:val="28"/>
          <w:highlight w:val="none"/>
        </w:rPr>
        <w:t xml:space="preserve"> </w:t>
      </w:r>
      <w:r>
        <w:rPr>
          <w:rFonts w:hint="eastAsia" w:ascii="黑体" w:hAnsi="黑体" w:eastAsia="黑体" w:cs="黑体"/>
          <w:color w:val="auto"/>
          <w:spacing w:val="-11"/>
          <w:sz w:val="28"/>
          <w:szCs w:val="28"/>
          <w:highlight w:val="none"/>
        </w:rPr>
        <w:t xml:space="preserve">意</w:t>
      </w:r>
      <w:r>
        <w:rPr>
          <w:rFonts w:hint="eastAsia" w:ascii="黑体" w:hAnsi="黑体" w:eastAsia="黑体" w:cs="黑体"/>
          <w:color w:val="auto"/>
          <w:spacing w:val="-59"/>
          <w:sz w:val="28"/>
          <w:szCs w:val="28"/>
          <w:highlight w:val="none"/>
        </w:rPr>
        <w:t xml:space="preserve"> </w:t>
      </w:r>
      <w:r>
        <w:rPr>
          <w:rFonts w:hint="eastAsia" w:ascii="黑体" w:hAnsi="黑体" w:eastAsia="黑体" w:cs="黑体"/>
          <w:color w:val="auto"/>
          <w:spacing w:val="-11"/>
          <w:sz w:val="28"/>
          <w:szCs w:val="28"/>
          <w:highlight w:val="none"/>
        </w:rPr>
        <w:t xml:space="preserve">图</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11"/>
          <w:sz w:val="28"/>
          <w:szCs w:val="28"/>
          <w:highlight w:val="none"/>
        </w:rPr>
        <w:t xml:space="preserve">，</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11"/>
          <w:sz w:val="28"/>
          <w:szCs w:val="28"/>
          <w:highlight w:val="none"/>
        </w:rPr>
        <w:t xml:space="preserve">自</w:t>
      </w:r>
      <w:r>
        <w:rPr>
          <w:rFonts w:hint="eastAsia" w:ascii="黑体" w:hAnsi="黑体" w:eastAsia="黑体" w:cs="黑体"/>
          <w:color w:val="auto"/>
          <w:spacing w:val="-77"/>
          <w:sz w:val="28"/>
          <w:szCs w:val="28"/>
          <w:highlight w:val="none"/>
        </w:rPr>
        <w:t xml:space="preserve"> </w:t>
      </w:r>
      <w:r>
        <w:rPr>
          <w:rFonts w:hint="eastAsia" w:ascii="黑体" w:hAnsi="黑体" w:eastAsia="黑体" w:cs="黑体"/>
          <w:color w:val="auto"/>
          <w:spacing w:val="-11"/>
          <w:sz w:val="28"/>
          <w:szCs w:val="28"/>
          <w:highlight w:val="none"/>
        </w:rPr>
        <w:t xml:space="preserve">行</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11"/>
          <w:sz w:val="28"/>
          <w:szCs w:val="28"/>
          <w:highlight w:val="none"/>
        </w:rPr>
        <w:t xml:space="preserve">现</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11"/>
          <w:sz w:val="28"/>
          <w:szCs w:val="28"/>
          <w:highlight w:val="none"/>
        </w:rPr>
        <w:t xml:space="preserve">场</w:t>
      </w:r>
      <w:r>
        <w:rPr>
          <w:rFonts w:hint="eastAsia" w:ascii="黑体" w:hAnsi="黑体" w:eastAsia="黑体" w:cs="黑体"/>
          <w:color w:val="auto"/>
          <w:spacing w:val="-77"/>
          <w:sz w:val="28"/>
          <w:szCs w:val="28"/>
          <w:highlight w:val="none"/>
        </w:rPr>
        <w:t xml:space="preserve"> </w:t>
      </w:r>
      <w:r>
        <w:rPr>
          <w:rFonts w:hint="eastAsia" w:ascii="黑体" w:hAnsi="黑体" w:eastAsia="黑体" w:cs="黑体"/>
          <w:color w:val="auto"/>
          <w:spacing w:val="-11"/>
          <w:sz w:val="28"/>
          <w:szCs w:val="28"/>
          <w:highlight w:val="none"/>
        </w:rPr>
        <w:t xml:space="preserve">勘</w:t>
      </w:r>
      <w:r>
        <w:rPr>
          <w:rFonts w:hint="eastAsia" w:ascii="黑体" w:hAnsi="黑体" w:eastAsia="黑体" w:cs="黑体"/>
          <w:color w:val="auto"/>
          <w:spacing w:val="-69"/>
          <w:sz w:val="28"/>
          <w:szCs w:val="28"/>
          <w:highlight w:val="none"/>
        </w:rPr>
        <w:t xml:space="preserve"> </w:t>
      </w:r>
      <w:r>
        <w:rPr>
          <w:rFonts w:hint="eastAsia" w:ascii="黑体" w:hAnsi="黑体" w:eastAsia="黑体" w:cs="黑体"/>
          <w:color w:val="auto"/>
          <w:spacing w:val="-11"/>
          <w:sz w:val="28"/>
          <w:szCs w:val="28"/>
          <w:highlight w:val="none"/>
        </w:rPr>
        <w:t xml:space="preserve">察</w:t>
      </w:r>
      <w:r>
        <w:rPr>
          <w:rFonts w:hint="eastAsia" w:ascii="黑体" w:hAnsi="黑体" w:eastAsia="黑体" w:cs="黑体"/>
          <w:color w:val="auto"/>
          <w:spacing w:val="-87"/>
          <w:sz w:val="28"/>
          <w:szCs w:val="28"/>
          <w:highlight w:val="none"/>
        </w:rPr>
        <w:t xml:space="preserve"> </w:t>
      </w:r>
      <w:r>
        <w:rPr>
          <w:rFonts w:hint="eastAsia" w:ascii="黑体" w:hAnsi="黑体" w:eastAsia="黑体" w:cs="黑体"/>
          <w:color w:val="auto"/>
          <w:spacing w:val="-11"/>
          <w:sz w:val="28"/>
          <w:szCs w:val="28"/>
          <w:highlight w:val="none"/>
        </w:rPr>
        <w:t xml:space="preserve">（勘</w:t>
      </w:r>
      <w:r>
        <w:rPr>
          <w:rFonts w:hint="eastAsia" w:ascii="黑体" w:hAnsi="黑体" w:eastAsia="黑体" w:cs="黑体"/>
          <w:color w:val="auto"/>
          <w:spacing w:val="-68"/>
          <w:sz w:val="28"/>
          <w:szCs w:val="28"/>
          <w:highlight w:val="none"/>
        </w:rPr>
        <w:t xml:space="preserve"> </w:t>
      </w:r>
      <w:r>
        <w:rPr>
          <w:rFonts w:hint="eastAsia" w:ascii="黑体" w:hAnsi="黑体" w:eastAsia="黑体" w:cs="黑体"/>
          <w:color w:val="auto"/>
          <w:spacing w:val="-11"/>
          <w:sz w:val="28"/>
          <w:szCs w:val="28"/>
          <w:highlight w:val="none"/>
        </w:rPr>
        <w:t xml:space="preserve">察</w:t>
      </w:r>
      <w:r>
        <w:rPr>
          <w:rFonts w:hint="eastAsia" w:ascii="黑体" w:hAnsi="黑体" w:eastAsia="黑体" w:cs="黑体"/>
          <w:color w:val="auto"/>
          <w:spacing w:val="-75"/>
          <w:sz w:val="28"/>
          <w:szCs w:val="28"/>
          <w:highlight w:val="none"/>
        </w:rPr>
        <w:t xml:space="preserve"> </w:t>
      </w:r>
      <w:r>
        <w:rPr>
          <w:rFonts w:hint="eastAsia" w:ascii="黑体" w:hAnsi="黑体" w:eastAsia="黑体" w:cs="黑体"/>
          <w:color w:val="auto"/>
          <w:spacing w:val="-11"/>
          <w:sz w:val="28"/>
          <w:szCs w:val="28"/>
          <w:highlight w:val="none"/>
        </w:rPr>
        <w:t xml:space="preserve">联</w:t>
      </w:r>
      <w:r>
        <w:rPr>
          <w:rFonts w:hint="eastAsia" w:ascii="黑体" w:hAnsi="黑体" w:eastAsia="黑体" w:cs="黑体"/>
          <w:color w:val="auto"/>
          <w:spacing w:val="-71"/>
          <w:sz w:val="28"/>
          <w:szCs w:val="28"/>
          <w:highlight w:val="none"/>
        </w:rPr>
        <w:t xml:space="preserve"> </w:t>
      </w:r>
      <w:r>
        <w:rPr>
          <w:rFonts w:hint="eastAsia" w:ascii="黑体" w:hAnsi="黑体" w:eastAsia="黑体" w:cs="黑体"/>
          <w:color w:val="auto"/>
          <w:spacing w:val="-11"/>
          <w:sz w:val="28"/>
          <w:szCs w:val="28"/>
          <w:highlight w:val="none"/>
        </w:rPr>
        <w:t xml:space="preserve">系</w:t>
      </w:r>
      <w:r>
        <w:rPr>
          <w:rFonts w:hint="eastAsia" w:ascii="黑体" w:hAnsi="黑体" w:eastAsia="黑体" w:cs="黑体"/>
          <w:color w:val="auto"/>
          <w:spacing w:val="-70"/>
          <w:sz w:val="28"/>
          <w:szCs w:val="28"/>
          <w:highlight w:val="none"/>
        </w:rPr>
        <w:t xml:space="preserve"> </w:t>
      </w:r>
      <w:r>
        <w:rPr>
          <w:rFonts w:hint="eastAsia" w:ascii="黑体" w:hAnsi="黑体" w:eastAsia="黑体" w:cs="黑体"/>
          <w:color w:val="auto"/>
          <w:spacing w:val="-11"/>
          <w:sz w:val="28"/>
          <w:szCs w:val="28"/>
          <w:highlight w:val="none"/>
        </w:rPr>
        <w:t xml:space="preserve">人</w:t>
      </w:r>
      <w:r>
        <w:rPr>
          <w:rFonts w:hint="eastAsia" w:ascii="黑体" w:hAnsi="黑体" w:eastAsia="黑体" w:cs="黑体"/>
          <w:color w:val="auto"/>
          <w:spacing w:val="-87"/>
          <w:sz w:val="28"/>
          <w:szCs w:val="28"/>
          <w:highlight w:val="none"/>
        </w:rPr>
        <w:t xml:space="preserve"> </w:t>
      </w:r>
      <w:r>
        <w:rPr>
          <w:rFonts w:hint="eastAsia" w:ascii="黑体" w:hAnsi="黑体" w:eastAsia="黑体" w:cs="黑体"/>
          <w:color w:val="auto"/>
          <w:spacing w:val="-12"/>
          <w:sz w:val="28"/>
          <w:szCs w:val="28"/>
          <w:highlight w:val="none"/>
        </w:rPr>
        <w:t xml:space="preserve">：</w:t>
      </w:r>
      <w:r>
        <w:rPr>
          <w:rFonts w:hint="eastAsia" w:ascii="黑体" w:hAnsi="黑体" w:eastAsia="黑体" w:cs="黑体"/>
          <w:color w:val="auto"/>
          <w:spacing w:val="-76"/>
          <w:sz w:val="28"/>
          <w:szCs w:val="28"/>
          <w:highlight w:val="none"/>
        </w:rPr>
        <w:t xml:space="preserve"> </w:t>
      </w:r>
      <w:r>
        <w:rPr>
          <w:rFonts w:hint="eastAsia" w:ascii="黑体" w:hAnsi="黑体" w:eastAsia="黑体" w:cs="黑体"/>
          <w:color w:val="auto"/>
          <w:spacing w:val="-12"/>
          <w:sz w:val="28"/>
          <w:szCs w:val="28"/>
          <w:highlight w:val="none"/>
        </w:rPr>
        <w:t xml:space="preserve">何冠岑</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18862927172</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1"/>
          <w:sz w:val="28"/>
          <w:szCs w:val="28"/>
          <w:highlight w:val="none"/>
        </w:rPr>
        <w:t xml:space="preserve">完成平面图设计（含有驿</w:t>
      </w:r>
      <w:r>
        <w:rPr>
          <w:rFonts w:hint="eastAsia" w:ascii="黑体" w:hAnsi="黑体" w:eastAsia="黑体" w:cs="黑体"/>
          <w:color w:val="auto"/>
          <w:sz w:val="28"/>
          <w:szCs w:val="28"/>
          <w:highlight w:val="none"/>
        </w:rPr>
        <w:t xml:space="preserve">站功能）、深化施工图设 </w:t>
      </w:r>
      <w:r>
        <w:rPr>
          <w:rFonts w:hint="eastAsia" w:ascii="黑体" w:hAnsi="黑体" w:eastAsia="黑体" w:cs="黑体"/>
          <w:color w:val="auto"/>
          <w:spacing w:val="-3"/>
          <w:sz w:val="28"/>
          <w:szCs w:val="28"/>
          <w:highlight w:val="none"/>
        </w:rPr>
        <w:t xml:space="preserve">计、项目实施方案等，并按经招标人确认的设计图纸和招标人要求，</w:t>
      </w:r>
      <w:r>
        <w:rPr>
          <w:rFonts w:hint="eastAsia" w:ascii="黑体" w:hAnsi="黑体" w:eastAsia="黑体" w:cs="黑体"/>
          <w:color w:val="auto"/>
          <w:spacing w:val="17"/>
          <w:sz w:val="28"/>
          <w:szCs w:val="28"/>
          <w:highlight w:val="none"/>
        </w:rPr>
        <w:t xml:space="preserve"> </w:t>
      </w:r>
      <w:r>
        <w:rPr>
          <w:rFonts w:hint="eastAsia" w:ascii="黑体" w:hAnsi="黑体" w:eastAsia="黑体" w:cs="黑体"/>
          <w:color w:val="auto"/>
          <w:spacing w:val="-1"/>
          <w:sz w:val="28"/>
          <w:szCs w:val="28"/>
          <w:highlight w:val="none"/>
        </w:rPr>
        <w:t xml:space="preserve">进行项目供货安装及维保。</w:t>
      </w:r>
      <w:r/>
    </w:p>
    <w:p>
      <w:pPr>
        <w:spacing w:before="54" w:line="288" w:lineRule="auto"/>
        <w:rPr>
          <w:color w:val="auto"/>
          <w:highlight w:val="none"/>
        </w:rPr>
      </w:pPr>
      <w:r>
        <mc:AlternateContent>
          <mc:Choice Requires="wpg">
            <w:drawing>
              <wp:inline xmlns:wp="http://schemas.openxmlformats.org/drawingml/2006/wordprocessingDrawing" distT="0" distB="0" distL="0" distR="0">
                <wp:extent cx="5402580" cy="2646680"/>
                <wp:effectExtent l="0" t="0" r="7620" b="508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0"/>
                        <a:stretch/>
                      </pic:blipFill>
                      <pic:spPr bwMode="auto">
                        <a:xfrm>
                          <a:off x="0" y="0"/>
                          <a:ext cx="5402580" cy="2646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5.4pt;height:208.4pt;mso-wrap-distance-left:0.0pt;mso-wrap-distance-top:0.0pt;mso-wrap-distance-right:0.0pt;mso-wrap-distance-bottom:0.0pt;" stroked="f">
                <v:path textboxrect="0,0,0,0"/>
                <v:imagedata r:id="rId20" o:title=""/>
              </v:shape>
            </w:pict>
          </mc:Fallback>
        </mc:AlternateContent>
      </w:r>
      <w:r>
        <mc:AlternateContent>
          <mc:Choice Requires="wpg">
            <w:drawing>
              <wp:inline xmlns:wp="http://schemas.openxmlformats.org/drawingml/2006/wordprocessingDrawing" distT="0" distB="0" distL="0" distR="0">
                <wp:extent cx="5399405" cy="2637790"/>
                <wp:effectExtent l="0" t="0" r="10795" b="1397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1"/>
                        <a:stretch/>
                      </pic:blipFill>
                      <pic:spPr bwMode="auto">
                        <a:xfrm>
                          <a:off x="0" y="0"/>
                          <a:ext cx="5399405" cy="263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5.1pt;height:207.7pt;mso-wrap-distance-left:0.0pt;mso-wrap-distance-top:0.0pt;mso-wrap-distance-right:0.0pt;mso-wrap-distance-bottom:0.0pt;" stroked="f">
                <v:path textboxrect="0,0,0,0"/>
                <v:imagedata r:id="rId21" o:title=""/>
              </v:shape>
            </w:pict>
          </mc:Fallback>
        </mc:AlternateContent>
      </w:r>
      <w:r/>
    </w:p>
    <w:p>
      <w:pPr>
        <w:spacing w:before="54" w:line="288" w:lineRule="auto"/>
        <w:rPr>
          <w:color w:val="auto"/>
          <w:highlight w:val="none"/>
        </w:rPr>
      </w:pPr>
      <w:r>
        <w:rPr>
          <w:color w:val="auto"/>
          <w:highlight w:val="none"/>
        </w:rPr>
      </w:r>
      <w:r/>
    </w:p>
    <w:p>
      <w:pPr>
        <w:spacing w:before="54" w:line="288" w:lineRule="auto"/>
        <w:rPr>
          <w:rFonts w:ascii="黑体" w:hAnsi="黑体" w:eastAsia="黑体" w:cs="黑体"/>
          <w:color w:val="auto"/>
          <w:highlight w:val="none"/>
        </w:rPr>
      </w:pPr>
      <w:r>
        <w:rPr>
          <w:rFonts w:ascii="黑体" w:hAnsi="黑体" w:eastAsia="黑体" w:cs="黑体"/>
          <w:color w:val="auto"/>
          <w:highlight w:val="none"/>
        </w:rPr>
      </w:r>
      <w:r/>
    </w:p>
    <w:p>
      <w:pPr>
        <w:pStyle w:val="833"/>
        <w:ind w:left="129" w:right="110" w:firstLine="495"/>
        <w:spacing w:before="154"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（二）采购标的需执行的国家相关标准、行业标准、地方标准</w:t>
      </w:r>
      <w:r>
        <w:rPr>
          <w:rFonts w:hint="eastAsia" w:ascii="黑体" w:hAnsi="黑体" w:eastAsia="黑体" w:cs="黑体"/>
          <w:color w:val="auto"/>
          <w:spacing w:val="18"/>
          <w:sz w:val="28"/>
          <w:szCs w:val="28"/>
          <w:highlight w:val="none"/>
        </w:rPr>
        <w:t xml:space="preserve"> </w:t>
      </w:r>
      <w:r>
        <w:rPr>
          <w:rFonts w:hint="eastAsia" w:ascii="黑体" w:hAnsi="黑体" w:eastAsia="黑体" w:cs="黑体"/>
          <w:b/>
          <w:bCs/>
          <w:color w:val="auto"/>
          <w:spacing w:val="-4"/>
          <w:sz w:val="28"/>
          <w:szCs w:val="28"/>
          <w:highlight w:val="none"/>
        </w:rPr>
        <w:t xml:space="preserve">或者其他标准、规范：</w:t>
      </w:r>
      <w:r/>
    </w:p>
    <w:p>
      <w:pPr>
        <w:pStyle w:val="833"/>
        <w:ind w:left="121" w:right="109" w:firstLine="480"/>
        <w:spacing w:before="159" w:line="288" w:lineRule="auto"/>
        <w:rPr>
          <w:rFonts w:ascii="黑体" w:hAnsi="黑体" w:eastAsia="黑体" w:cs="黑体"/>
          <w:color w:val="auto"/>
          <w:sz w:val="28"/>
          <w:szCs w:val="28"/>
          <w:highlight w:val="none"/>
        </w:rPr>
      </w:pPr>
      <w:r>
        <w:rPr>
          <w:rFonts w:hint="eastAsia" w:ascii="黑体" w:hAnsi="黑体" w:eastAsia="黑体" w:cs="黑体"/>
          <w:b/>
          <w:bCs/>
          <w:color w:val="auto"/>
          <w:spacing w:val="6"/>
          <w:sz w:val="28"/>
          <w:szCs w:val="28"/>
          <w:highlight w:val="none"/>
          <w:shd w:val="clear" w:color="auto" w:fill="d9d9d9"/>
        </w:rPr>
        <w:t xml:space="preserve">采购标的的设计技术标准按《城市公共厕所设计标准》</w:t>
      </w:r>
      <w:r>
        <w:rPr>
          <w:rFonts w:hint="eastAsia" w:ascii="黑体" w:hAnsi="黑体" w:eastAsia="黑体" w:cs="黑体"/>
          <w:b/>
          <w:bCs/>
          <w:color w:val="auto"/>
          <w:sz w:val="28"/>
          <w:szCs w:val="28"/>
          <w:highlight w:val="none"/>
          <w:shd w:val="clear" w:color="auto" w:fill="d9d9d9"/>
        </w:rPr>
        <w:t xml:space="preserve">CJJ</w:t>
      </w:r>
      <w:r>
        <w:rPr>
          <w:rFonts w:hint="eastAsia" w:ascii="黑体" w:hAnsi="黑体" w:eastAsia="黑体" w:cs="黑体"/>
          <w:b/>
          <w:bCs/>
          <w:color w:val="auto"/>
          <w:spacing w:val="6"/>
          <w:sz w:val="28"/>
          <w:szCs w:val="28"/>
          <w:highlight w:val="none"/>
          <w:shd w:val="clear" w:color="auto" w:fill="d9d9d9"/>
        </w:rPr>
        <w:t xml:space="preserve">14-</w:t>
      </w:r>
      <w:r>
        <w:rPr>
          <w:rFonts w:hint="eastAsia" w:ascii="黑体" w:hAnsi="黑体" w:eastAsia="黑体" w:cs="黑体"/>
          <w:b/>
          <w:bCs/>
          <w:color w:val="auto"/>
          <w:spacing w:val="-2"/>
          <w:sz w:val="28"/>
          <w:szCs w:val="28"/>
          <w:highlight w:val="none"/>
          <w:shd w:val="clear" w:color="auto" w:fill="d9d9d9"/>
        </w:rPr>
        <w:t xml:space="preserve">2016</w:t>
      </w:r>
      <w:r>
        <w:rPr>
          <w:rFonts w:hint="eastAsia" w:ascii="黑体" w:hAnsi="黑体" w:eastAsia="黑体" w:cs="黑体"/>
          <w:color w:val="auto"/>
          <w:spacing w:val="-46"/>
          <w:sz w:val="28"/>
          <w:szCs w:val="28"/>
          <w:highlight w:val="none"/>
          <w:shd w:val="clear" w:color="auto" w:fill="d9d9d9"/>
        </w:rPr>
        <w:t xml:space="preserve"> </w:t>
      </w:r>
      <w:r>
        <w:rPr>
          <w:rFonts w:hint="eastAsia" w:ascii="黑体" w:hAnsi="黑体" w:eastAsia="黑体" w:cs="黑体"/>
          <w:b/>
          <w:bCs/>
          <w:color w:val="auto"/>
          <w:spacing w:val="-2"/>
          <w:sz w:val="28"/>
          <w:szCs w:val="28"/>
          <w:highlight w:val="none"/>
          <w:shd w:val="clear" w:color="auto" w:fill="d9d9d9"/>
        </w:rPr>
        <w:t xml:space="preserve">二类标准执行。</w:t>
      </w:r>
      <w:r/>
    </w:p>
    <w:p>
      <w:pPr>
        <w:pStyle w:val="833"/>
        <w:ind w:left="126" w:right="110" w:firstLine="499"/>
        <w:spacing w:before="27"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（三）本项目需满足的质量、安全、技术规格、物理特性等要</w:t>
      </w:r>
      <w:r>
        <w:rPr>
          <w:rFonts w:hint="eastAsia" w:ascii="黑体" w:hAnsi="黑体" w:eastAsia="黑体" w:cs="黑体"/>
          <w:b/>
          <w:bCs/>
          <w:color w:val="auto"/>
          <w:spacing w:val="-5"/>
          <w:sz w:val="28"/>
          <w:szCs w:val="28"/>
          <w:highlight w:val="none"/>
        </w:rPr>
        <w:t xml:space="preserve">求如下表：</w:t>
      </w:r>
      <w:r/>
    </w:p>
    <w:p>
      <w:pPr>
        <w:pStyle w:val="833"/>
        <w:ind w:left="860"/>
        <w:spacing w:before="141" w:line="288" w:lineRule="auto"/>
        <w:rPr>
          <w:rFonts w:ascii="黑体" w:hAnsi="黑体" w:eastAsia="黑体" w:cs="黑体"/>
          <w:color w:val="auto"/>
          <w:highlight w:val="none"/>
        </w:rPr>
        <w:outlineLvl w:val="2"/>
      </w:pPr>
      <w:r>
        <w:rPr>
          <w:rFonts w:hint="eastAsia" w:ascii="黑体" w:hAnsi="黑体" w:eastAsia="黑体" w:cs="黑体"/>
          <w:b/>
          <w:color w:val="auto"/>
          <w:sz w:val="28"/>
          <w:szCs w:val="28"/>
          <w:highlight w:val="none"/>
        </w:rPr>
        <w:t xml:space="preserve">★</w:t>
      </w:r>
      <w:r>
        <w:rPr>
          <w:rFonts w:hint="eastAsia" w:ascii="黑体" w:hAnsi="黑体" w:eastAsia="黑体" w:cs="黑体"/>
          <w:b/>
          <w:bCs/>
          <w:color w:val="auto"/>
          <w:spacing w:val="-4"/>
          <w:sz w:val="28"/>
          <w:szCs w:val="28"/>
          <w:highlight w:val="none"/>
        </w:rPr>
        <w:t xml:space="preserve">1、实施产品的清单及技术要求</w:t>
      </w:r>
      <w:r/>
    </w:p>
    <w:tbl>
      <w:tblPr>
        <w:tblStyle w:val="1153"/>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23"/>
        </w:trPr>
        <w:tc>
          <w:tcPr>
            <w:tcW w:w="1592" w:type="dxa"/>
            <w:textDirection w:val="lrTb"/>
            <w:noWrap w:val="false"/>
          </w:tcPr>
          <w:p>
            <w:pPr>
              <w:ind w:left="577"/>
              <w:jc w:val="center"/>
              <w:spacing w:before="91" w:line="288" w:lineRule="auto"/>
              <w:rPr>
                <w:rFonts w:ascii="黑体" w:hAnsi="黑体" w:eastAsia="黑体" w:cs="黑体"/>
                <w:color w:val="auto"/>
                <w:spacing w:val="-22"/>
                <w:sz w:val="28"/>
                <w:szCs w:val="28"/>
                <w:highlight w:val="none"/>
              </w:rPr>
            </w:pPr>
            <w:r>
              <w:rPr>
                <w:rFonts w:ascii="黑体" w:hAnsi="黑体" w:eastAsia="黑体" w:cs="黑体"/>
                <w:color w:val="auto"/>
                <w:spacing w:val="-22"/>
                <w:sz w:val="28"/>
                <w:szCs w:val="28"/>
                <w:highlight w:val="none"/>
              </w:rPr>
            </w:r>
            <w:r/>
          </w:p>
          <w:p>
            <w:pPr>
              <w:ind w:left="577"/>
              <w:jc w:val="center"/>
              <w:spacing w:before="91" w:line="288" w:lineRule="auto"/>
              <w:rPr>
                <w:rFonts w:ascii="黑体" w:hAnsi="黑体" w:eastAsia="黑体" w:cs="黑体"/>
                <w:color w:val="auto"/>
                <w:spacing w:val="-22"/>
                <w:sz w:val="28"/>
                <w:szCs w:val="28"/>
                <w:highlight w:val="none"/>
              </w:rPr>
            </w:pPr>
            <w:r>
              <w:rPr>
                <w:rFonts w:ascii="黑体" w:hAnsi="黑体" w:eastAsia="黑体" w:cs="黑体"/>
                <w:color w:val="auto"/>
                <w:spacing w:val="-22"/>
                <w:sz w:val="28"/>
                <w:szCs w:val="28"/>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(一)</w:t>
            </w:r>
            <w:r/>
          </w:p>
          <w:p>
            <w:pPr>
              <w:pStyle w:val="1152"/>
              <w:jc w:val="center"/>
              <w:spacing w:line="288" w:lineRule="auto"/>
              <w:rPr>
                <w:rFonts w:ascii="黑体" w:hAnsi="黑体" w:eastAsia="黑体" w:cs="黑体"/>
                <w:color w:val="auto"/>
                <w:highlight w:val="none"/>
              </w:rPr>
            </w:pPr>
            <w:r>
              <w:rPr>
                <w:rFonts w:hint="eastAsia" w:ascii="黑体" w:hAnsi="黑体" w:eastAsia="黑体" w:cs="黑体"/>
                <w:color w:val="auto"/>
                <w:spacing w:val="-2"/>
                <w:sz w:val="28"/>
                <w:szCs w:val="28"/>
                <w:highlight w:val="none"/>
              </w:rPr>
              <w:t xml:space="preserve">产品性能</w:t>
            </w:r>
            <w:r/>
          </w:p>
        </w:tc>
        <w:tc>
          <w:tcPr>
            <w:tcW w:w="6932" w:type="dxa"/>
            <w:textDirection w:val="lrTb"/>
            <w:noWrap w:val="false"/>
          </w:tcPr>
          <w:p>
            <w:pPr>
              <w:ind w:right="104"/>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产品要求符合工厂化生产,整体为模块化组合拼装厕</w:t>
            </w:r>
            <w:r>
              <w:rPr>
                <w:rFonts w:hint="eastAsia" w:ascii="黑体" w:hAnsi="黑体" w:eastAsia="黑体" w:cs="黑体"/>
                <w:color w:val="auto"/>
                <w:spacing w:val="4"/>
                <w:sz w:val="28"/>
                <w:szCs w:val="28"/>
                <w:highlight w:val="none"/>
              </w:rPr>
              <w:t xml:space="preserve"> </w:t>
            </w:r>
            <w:r>
              <w:rPr>
                <w:rFonts w:hint="eastAsia" w:ascii="黑体" w:hAnsi="黑体" w:eastAsia="黑体" w:cs="黑体"/>
                <w:color w:val="auto"/>
                <w:spacing w:val="11"/>
                <w:sz w:val="28"/>
                <w:szCs w:val="28"/>
                <w:highlight w:val="none"/>
              </w:rPr>
              <w:t xml:space="preserve">所，各模块需合理配置吊耳用于吊装，产品需吊运至</w:t>
            </w:r>
            <w:r>
              <w:rPr>
                <w:rFonts w:hint="eastAsia" w:ascii="黑体" w:hAnsi="黑体" w:eastAsia="黑体" w:cs="黑体"/>
                <w:color w:val="auto"/>
                <w:spacing w:val="2"/>
                <w:sz w:val="28"/>
                <w:szCs w:val="28"/>
                <w:highlight w:val="none"/>
              </w:rPr>
              <w:t xml:space="preserve">现场组合安装</w:t>
            </w:r>
            <w:r>
              <w:rPr>
                <w:rFonts w:hint="eastAsia" w:ascii="黑体" w:hAnsi="黑体" w:eastAsia="黑体" w:cs="黑体"/>
                <w:color w:val="auto"/>
                <w:spacing w:val="-65"/>
                <w:sz w:val="28"/>
                <w:szCs w:val="28"/>
                <w:highlight w:val="none"/>
              </w:rPr>
              <w:t xml:space="preserve"> </w:t>
            </w:r>
            <w:r>
              <w:rPr>
                <w:rFonts w:hint="eastAsia" w:ascii="黑体" w:hAnsi="黑体" w:eastAsia="黑体" w:cs="黑体"/>
                <w:color w:val="auto"/>
                <w:spacing w:val="2"/>
                <w:sz w:val="28"/>
                <w:szCs w:val="28"/>
                <w:highlight w:val="none"/>
              </w:rPr>
              <w:t xml:space="preserve">;选材和功能接口的配备，要充分考虑到</w:t>
            </w:r>
            <w:r>
              <w:rPr>
                <w:rFonts w:hint="eastAsia" w:ascii="黑体" w:hAnsi="黑体" w:eastAsia="黑体" w:cs="黑体"/>
                <w:color w:val="auto"/>
                <w:spacing w:val="11"/>
                <w:sz w:val="28"/>
                <w:szCs w:val="28"/>
                <w:highlight w:val="none"/>
              </w:rPr>
              <w:t xml:space="preserve">已有各类设施的通用性，以便最大程度的降低维护和</w:t>
            </w:r>
            <w:r>
              <w:rPr>
                <w:rFonts w:hint="eastAsia" w:ascii="黑体" w:hAnsi="黑体" w:eastAsia="黑体" w:cs="黑体"/>
                <w:color w:val="auto"/>
                <w:spacing w:val="-3"/>
                <w:sz w:val="28"/>
                <w:szCs w:val="28"/>
                <w:highlight w:val="none"/>
              </w:rPr>
              <w:t xml:space="preserve">运营使用成本。</w:t>
            </w:r>
            <w:r>
              <w:rPr>
                <w:rFonts w:hint="eastAsia" w:ascii="黑体" w:hAnsi="黑体" w:eastAsia="黑体" w:cs="黑体"/>
                <w:color w:val="auto"/>
                <w:sz w:val="28"/>
                <w:szCs w:val="28"/>
                <w:highlight w:val="none"/>
              </w:rPr>
              <w:t xml:space="preserve">（投标单位提供产品模块化组合安装技术说明，同时</w:t>
            </w:r>
            <w:r>
              <w:rPr>
                <w:rFonts w:hint="eastAsia" w:ascii="黑体" w:hAnsi="黑体" w:eastAsia="黑体" w:cs="黑体"/>
                <w:color w:val="auto"/>
                <w:spacing w:val="11"/>
                <w:sz w:val="28"/>
                <w:szCs w:val="28"/>
                <w:highlight w:val="none"/>
              </w:rPr>
              <w:t xml:space="preserve">还需要提供一个完整的制作流程介绍。需要有配备清晰可见的厂区生产照片、厂区装车照片、现场安装照</w:t>
            </w:r>
            <w:r>
              <w:rPr>
                <w:rFonts w:hint="eastAsia" w:ascii="黑体" w:hAnsi="黑体" w:eastAsia="黑体" w:cs="黑体"/>
                <w:color w:val="auto"/>
                <w:spacing w:val="-2"/>
                <w:sz w:val="28"/>
                <w:szCs w:val="28"/>
                <w:highlight w:val="none"/>
              </w:rPr>
              <w:t xml:space="preserve">片、及安装完成照片）</w:t>
            </w:r>
            <w:r/>
          </w:p>
        </w:tc>
      </w:tr>
      <w:tr>
        <w:trPr>
          <w:trHeight w:val="23"/>
        </w:trPr>
        <w:tc>
          <w:tcPr>
            <w:tcBorders>
              <w:bottom w:val="none" w:color="000000" w:sz="4" w:space="0"/>
            </w:tcBorders>
            <w:tcW w:w="1592" w:type="dxa"/>
            <w:vMerge w:val="restart"/>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firstLine="708"/>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(二)</w:t>
            </w:r>
            <w:r/>
          </w:p>
          <w:p>
            <w:pPr>
              <w:ind w:left="241"/>
              <w:spacing w:before="73"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产品配置</w:t>
            </w:r>
            <w:r/>
          </w:p>
        </w:tc>
        <w:tc>
          <w:tcPr>
            <w:tcW w:w="6932" w:type="dxa"/>
            <w:textDirection w:val="lrTb"/>
            <w:noWrap w:val="false"/>
          </w:tcPr>
          <w:p>
            <w:pPr>
              <w:ind w:left="129"/>
              <w:spacing w:before="96"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1.供水方式：自来水供水;</w:t>
            </w:r>
            <w:r/>
          </w:p>
          <w:p>
            <w:pPr>
              <w:ind w:left="121" w:right="20" w:hanging="8"/>
              <w:spacing w:before="84"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厕所室外水源进户管为</w:t>
            </w:r>
            <w:r>
              <w:rPr>
                <w:rFonts w:hint="eastAsia" w:ascii="黑体" w:hAnsi="黑体" w:eastAsia="黑体" w:cs="黑体"/>
                <w:color w:val="auto"/>
                <w:sz w:val="28"/>
                <w:szCs w:val="28"/>
                <w:highlight w:val="none"/>
              </w:rPr>
              <w:t xml:space="preserve">De</w:t>
            </w:r>
            <w:r>
              <w:rPr>
                <w:rFonts w:hint="eastAsia" w:ascii="黑体" w:hAnsi="黑体" w:eastAsia="黑体" w:cs="黑体"/>
                <w:color w:val="auto"/>
                <w:spacing w:val="3"/>
                <w:sz w:val="28"/>
                <w:szCs w:val="28"/>
                <w:highlight w:val="none"/>
              </w:rPr>
              <w:t xml:space="preserve">50，室外供水压力充足；需配</w:t>
            </w:r>
            <w:r>
              <w:rPr>
                <w:rFonts w:hint="eastAsia" w:ascii="黑体" w:hAnsi="黑体" w:eastAsia="黑体" w:cs="黑体"/>
                <w:color w:val="auto"/>
                <w:spacing w:val="-2"/>
                <w:sz w:val="28"/>
                <w:szCs w:val="28"/>
                <w:highlight w:val="none"/>
              </w:rPr>
              <w:t xml:space="preserve">置厕所管路保温套。</w:t>
            </w:r>
            <w:r/>
          </w:p>
        </w:tc>
      </w:tr>
      <w:tr>
        <w:trPr>
          <w:trHeight w:val="23"/>
        </w:trPr>
        <w:tc>
          <w:tcPr>
            <w:tcBorders>
              <w:top w:val="none" w:color="000000" w:sz="4" w:space="0"/>
              <w:bottom w:val="none" w:color="000000" w:sz="4" w:space="0"/>
            </w:tcBorders>
            <w:tcW w:w="1592" w:type="dxa"/>
            <w:vMerge w:val="continue"/>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13"/>
              <w:spacing w:before="307"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2.供电电源：220V;</w:t>
            </w:r>
            <w:r/>
          </w:p>
        </w:tc>
      </w:tr>
      <w:tr>
        <w:trPr>
          <w:trHeight w:val="23"/>
        </w:trPr>
        <w:tc>
          <w:tcPr>
            <w:tcBorders>
              <w:top w:val="none" w:color="000000" w:sz="4" w:space="0"/>
              <w:bottom w:val="none" w:color="000000" w:sz="4" w:space="0"/>
            </w:tcBorders>
            <w:tcW w:w="1592" w:type="dxa"/>
            <w:vMerge w:val="continue"/>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right="107"/>
              <w:jc w:val="left"/>
              <w:spacing w:before="160"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3.排污方式：管道直排入化粪池（接入管道区间</w:t>
            </w:r>
            <w:r>
              <w:rPr>
                <w:rFonts w:hint="eastAsia" w:ascii="黑体" w:hAnsi="黑体" w:eastAsia="黑体" w:cs="黑体"/>
                <w:color w:val="auto"/>
                <w:spacing w:val="1"/>
                <w:sz w:val="28"/>
                <w:szCs w:val="28"/>
                <w:highlight w:val="none"/>
              </w:rPr>
              <w:t xml:space="preserve">需有观察口</w:t>
            </w:r>
            <w:r>
              <w:rPr>
                <w:rFonts w:hint="eastAsia" w:ascii="黑体" w:hAnsi="黑体" w:eastAsia="黑体" w:cs="黑体"/>
                <w:color w:val="auto"/>
                <w:spacing w:val="8"/>
                <w:sz w:val="28"/>
                <w:szCs w:val="28"/>
                <w:highlight w:val="none"/>
              </w:rPr>
              <w:t xml:space="preserve">），</w:t>
            </w:r>
            <w:r>
              <w:rPr>
                <w:rFonts w:hint="eastAsia" w:ascii="黑体" w:hAnsi="黑体" w:eastAsia="黑体" w:cs="黑体"/>
                <w:color w:val="auto"/>
                <w:spacing w:val="1"/>
                <w:sz w:val="28"/>
                <w:szCs w:val="28"/>
                <w:highlight w:val="none"/>
              </w:rPr>
              <w:t xml:space="preserve">化粪池连通市政污水管网;</w:t>
            </w:r>
            <w:r/>
          </w:p>
          <w:p>
            <w:pPr>
              <w:ind w:right="107"/>
              <w:spacing w:before="54"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采用玻璃钢三格式预制品化粪池，化粪池拉伸强</w:t>
            </w:r>
            <w:r>
              <w:rPr>
                <w:rFonts w:hint="eastAsia" w:ascii="黑体" w:hAnsi="黑体" w:eastAsia="黑体" w:cs="黑体"/>
                <w:color w:val="auto"/>
                <w:spacing w:val="14"/>
                <w:sz w:val="28"/>
                <w:szCs w:val="28"/>
                <w:highlight w:val="none"/>
              </w:rPr>
              <w:t xml:space="preserve"> </w:t>
            </w:r>
            <w:r>
              <w:rPr>
                <w:rFonts w:hint="eastAsia" w:ascii="黑体" w:hAnsi="黑体" w:eastAsia="黑体" w:cs="黑体"/>
                <w:color w:val="auto"/>
                <w:spacing w:val="11"/>
                <w:sz w:val="28"/>
                <w:szCs w:val="28"/>
                <w:highlight w:val="none"/>
              </w:rPr>
              <w:t xml:space="preserve">度≥120</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11"/>
                <w:sz w:val="28"/>
                <w:szCs w:val="28"/>
                <w:highlight w:val="none"/>
              </w:rPr>
              <w:t xml:space="preserve">，弯曲强度≥160</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11"/>
                <w:sz w:val="28"/>
                <w:szCs w:val="28"/>
                <w:highlight w:val="none"/>
              </w:rPr>
              <w:t xml:space="preserve">，巴氏硬度≥40，通</w:t>
            </w:r>
            <w:r>
              <w:rPr>
                <w:rFonts w:hint="eastAsia" w:ascii="黑体" w:hAnsi="黑体" w:eastAsia="黑体" w:cs="黑体"/>
                <w:color w:val="auto"/>
                <w:spacing w:val="-1"/>
                <w:sz w:val="28"/>
                <w:szCs w:val="28"/>
                <w:highlight w:val="none"/>
              </w:rPr>
              <w:t xml:space="preserve">过渗漏实验及冲击强度的合格产品；</w:t>
            </w:r>
            <w:r/>
          </w:p>
          <w:p>
            <w:pPr>
              <w:pStyle w:val="1152"/>
              <w:ind w:left="114" w:right="104" w:firstLine="2"/>
              <w:spacing w:before="3" w:line="288" w:lineRule="auto"/>
              <w:rPr>
                <w:rFonts w:ascii="黑体" w:hAnsi="黑体" w:eastAsia="黑体" w:cs="黑体"/>
                <w:color w:val="auto"/>
                <w:sz w:val="28"/>
                <w:szCs w:val="28"/>
                <w:highlight w:val="none"/>
              </w:rPr>
            </w:pPr>
            <w:r>
              <w:rPr>
                <w:rFonts w:hint="eastAsia" w:ascii="黑体" w:hAnsi="黑体" w:eastAsia="黑体" w:cs="黑体"/>
                <w:color w:val="auto"/>
                <w:spacing w:val="16"/>
                <w:sz w:val="28"/>
                <w:szCs w:val="28"/>
                <w:highlight w:val="none"/>
              </w:rPr>
              <w:t xml:space="preserve">化粪池设有检测口及吸粪口</w:t>
            </w:r>
            <w:r>
              <w:rPr>
                <w:rFonts w:hint="eastAsia" w:ascii="黑体" w:hAnsi="黑体" w:eastAsia="黑体" w:cs="黑体"/>
                <w:color w:val="auto"/>
                <w:spacing w:val="-70"/>
                <w:sz w:val="28"/>
                <w:szCs w:val="28"/>
                <w:highlight w:val="none"/>
              </w:rPr>
              <w:t xml:space="preserve"> </w:t>
            </w:r>
            <w:r>
              <w:rPr>
                <w:rFonts w:hint="eastAsia" w:ascii="黑体" w:hAnsi="黑体" w:eastAsia="黑体" w:cs="黑体"/>
                <w:color w:val="auto"/>
                <w:spacing w:val="16"/>
                <w:sz w:val="28"/>
                <w:szCs w:val="28"/>
                <w:highlight w:val="none"/>
              </w:rPr>
              <w:t xml:space="preserve">，采用管径</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z w:val="28"/>
                <w:szCs w:val="28"/>
                <w:highlight w:val="none"/>
              </w:rPr>
              <w:t xml:space="preserve">de</w:t>
            </w:r>
            <w:r>
              <w:rPr>
                <w:rFonts w:hint="eastAsia" w:ascii="黑体" w:hAnsi="黑体" w:eastAsia="黑体" w:cs="黑体"/>
                <w:color w:val="auto"/>
                <w:spacing w:val="16"/>
                <w:sz w:val="28"/>
                <w:szCs w:val="28"/>
                <w:highlight w:val="none"/>
              </w:rPr>
              <w:t xml:space="preserve">30波纹</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8"/>
                <w:sz w:val="28"/>
                <w:szCs w:val="28"/>
                <w:highlight w:val="none"/>
              </w:rPr>
              <w:t xml:space="preserve">管，配置</w:t>
            </w:r>
            <w:r>
              <w:rPr>
                <w:rFonts w:hint="eastAsia" w:ascii="黑体" w:hAnsi="黑体" w:eastAsia="黑体" w:cs="黑体"/>
                <w:color w:val="auto"/>
                <w:spacing w:val="-37"/>
                <w:sz w:val="28"/>
                <w:szCs w:val="28"/>
                <w:highlight w:val="none"/>
              </w:rPr>
              <w:t xml:space="preserve"> </w:t>
            </w:r>
            <w:r>
              <w:rPr>
                <w:rFonts w:hint="eastAsia" w:ascii="黑体" w:hAnsi="黑体" w:eastAsia="黑体" w:cs="黑体"/>
                <w:color w:val="auto"/>
                <w:spacing w:val="8"/>
                <w:sz w:val="28"/>
                <w:szCs w:val="28"/>
                <w:highlight w:val="none"/>
              </w:rPr>
              <w:t xml:space="preserve">6-10m³的化粪池，化粪池依据各点位实际情</w:t>
            </w:r>
            <w:r>
              <w:rPr>
                <w:rFonts w:hint="eastAsia" w:ascii="黑体" w:hAnsi="黑体" w:eastAsia="黑体" w:cs="黑体"/>
                <w:color w:val="auto"/>
                <w:spacing w:val="11"/>
                <w:sz w:val="28"/>
                <w:szCs w:val="28"/>
                <w:highlight w:val="none"/>
              </w:rPr>
              <w:t xml:space="preserve">况配置。</w:t>
            </w:r>
            <w:r/>
          </w:p>
        </w:tc>
      </w:tr>
      <w:tr>
        <w:trPr>
          <w:trHeight w:val="23"/>
        </w:trPr>
        <w:tc>
          <w:tcPr>
            <w:tcBorders>
              <w:top w:val="none" w:color="000000" w:sz="4" w:space="0"/>
            </w:tcBorders>
            <w:tcW w:w="1592" w:type="dxa"/>
            <w:vMerge w:val="continue"/>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13" w:right="104" w:hanging="6"/>
              <w:spacing w:before="101"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4.厕具冲洗方式：蹲便器感应水冲式、坐便器常规水冲式、小便器自动感应水冲式、儿童坐便器常规水冲</w:t>
            </w:r>
            <w:r>
              <w:rPr>
                <w:rFonts w:hint="eastAsia" w:ascii="黑体" w:hAnsi="黑体" w:eastAsia="黑体" w:cs="黑体"/>
                <w:color w:val="auto"/>
                <w:spacing w:val="-5"/>
                <w:sz w:val="28"/>
                <w:szCs w:val="28"/>
                <w:highlight w:val="none"/>
              </w:rPr>
              <w:t xml:space="preserve">式。</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line="288" w:lineRule="auto"/>
        <w:rPr>
          <w:rFonts w:ascii="黑体" w:hAnsi="黑体" w:eastAsia="黑体" w:cs="黑体"/>
          <w:color w:val="auto"/>
          <w:highlight w:val="none"/>
        </w:rPr>
        <w:sectPr>
          <w:footerReference w:type="default" r:id="rId11"/>
          <w:footnotePr/>
          <w:endnotePr/>
          <w:type w:val="nextPage"/>
          <w:pgSz w:w="11906" w:h="16839" w:orient="portrait"/>
          <w:pgMar w:top="1431" w:right="1689" w:bottom="1176" w:left="1687" w:header="0" w:footer="989" w:gutter="0"/>
          <w:cols w:num="1" w:sep="0" w:space="720" w:equalWidth="1"/>
          <w:docGrid w:linePitch="360"/>
        </w:sectPr>
      </w:pPr>
      <w:r>
        <w:rPr>
          <w:rFonts w:ascii="黑体" w:hAnsi="黑体" w:eastAsia="黑体" w:cs="黑体"/>
          <w:color w:val="auto"/>
          <w:highlight w:val="none"/>
        </w:rPr>
      </w:r>
      <w:r/>
    </w:p>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153"/>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90"/>
        </w:trPr>
        <w:tc>
          <w:tcPr>
            <w:tcW w:w="159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pStyle w:val="1152"/>
              <w:ind w:right="104"/>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5.结构</w:t>
            </w:r>
            <w:bookmarkStart w:id="107" w:name="OLE_LINK1"/>
            <w:r>
              <w:rPr>
                <w:rFonts w:hint="eastAsia" w:ascii="黑体" w:hAnsi="黑体" w:eastAsia="黑体" w:cs="黑体"/>
                <w:color w:val="auto"/>
                <w:spacing w:val="3"/>
                <w:sz w:val="28"/>
                <w:szCs w:val="28"/>
                <w:highlight w:val="none"/>
              </w:rPr>
              <w:t xml:space="preserve">焊接牢固安全性</w:t>
            </w:r>
            <w:r/>
          </w:p>
          <w:p>
            <w:pPr>
              <w:pStyle w:val="1152"/>
              <w:ind w:left="116" w:right="104" w:firstLine="567"/>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 1）焊缝外观：焊缝应饱满、均匀，无肉眼可见的气孔、夹渣、裂纹等缺陷；焊缝余高不大于1.5mm；焊缝宽度应符合相关规定。</w:t>
            </w:r>
            <w:r/>
          </w:p>
          <w:p>
            <w:pPr>
              <w:pStyle w:val="1152"/>
              <w:ind w:left="116" w:right="104" w:firstLine="567"/>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 2）无损检测：当采用探伤代替液压试验时，电焊钢管超声波探伤应符合SY/T 6423.2 - 2013中验收等级U3的规定，涡流探伤应符合GB/T 7735 - 2004中验收等级A的规定；射线探伤检验应符合SY/T 6423.1 - 2013中图像质量级别A的规定。</w:t>
            </w:r>
            <w:r/>
          </w:p>
          <w:p>
            <w:pPr>
              <w:pStyle w:val="1152"/>
              <w:ind w:left="116" w:right="104" w:firstLine="567"/>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3"/>
                <w:sz w:val="28"/>
                <w:szCs w:val="28"/>
                <w:highlight w:val="none"/>
              </w:rPr>
              <w:t xml:space="preserve"> 3）焊接接头拉伸试验：焊接接头抗拉强度值应符合GB/T 3091 - 2015标准中规定的相应钢牌号的力学性能要求。</w:t>
            </w:r>
            <w:bookmarkEnd w:id="107"/>
            <w:r/>
            <w:r/>
          </w:p>
        </w:tc>
      </w:tr>
      <w:tr>
        <w:trPr>
          <w:trHeight w:val="90"/>
        </w:trPr>
        <w:tc>
          <w:tcPr>
            <w:tcW w:w="1592" w:type="dxa"/>
            <w:vMerge w:val="restart"/>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(三)</w:t>
            </w:r>
            <w:r/>
          </w:p>
          <w:p>
            <w:pPr>
              <w:ind w:left="248"/>
              <w:spacing w:before="74"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主要结构</w:t>
            </w:r>
            <w:r/>
          </w:p>
          <w:p>
            <w:pPr>
              <w:ind w:left="243"/>
              <w:spacing w:before="8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性能材料</w:t>
            </w:r>
            <w:r/>
          </w:p>
          <w:p>
            <w:pPr>
              <w:ind w:left="522"/>
              <w:spacing w:before="81"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left="113" w:right="107" w:firstLine="12"/>
              <w:spacing w:before="40"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1.底部框架:采用≥14#槽钢焊接制</w:t>
            </w:r>
            <w:r>
              <w:rPr>
                <w:rFonts w:hint="eastAsia" w:ascii="黑体" w:hAnsi="黑体" w:eastAsia="黑体" w:cs="黑体"/>
                <w:color w:val="auto"/>
                <w:spacing w:val="9"/>
                <w:sz w:val="28"/>
                <w:szCs w:val="28"/>
                <w:highlight w:val="none"/>
              </w:rPr>
              <w:t xml:space="preserve">作、焊接质量满</w:t>
            </w:r>
            <w:r>
              <w:rPr>
                <w:rFonts w:hint="eastAsia" w:ascii="黑体" w:hAnsi="黑体" w:eastAsia="黑体" w:cs="黑体"/>
                <w:color w:val="auto"/>
                <w:spacing w:val="15"/>
                <w:sz w:val="28"/>
                <w:szCs w:val="28"/>
                <w:highlight w:val="none"/>
              </w:rPr>
              <w:t xml:space="preserve">足</w:t>
            </w:r>
            <w:r>
              <w:rPr>
                <w:rFonts w:hint="eastAsia" w:ascii="黑体" w:hAnsi="黑体" w:eastAsia="黑体" w:cs="黑体"/>
                <w:color w:val="auto"/>
                <w:sz w:val="28"/>
                <w:szCs w:val="28"/>
                <w:highlight w:val="none"/>
              </w:rPr>
              <w:t xml:space="preserve">ISO</w:t>
            </w:r>
            <w:r>
              <w:rPr>
                <w:rFonts w:hint="eastAsia" w:ascii="黑体" w:hAnsi="黑体" w:eastAsia="黑体" w:cs="黑体"/>
                <w:color w:val="auto"/>
                <w:spacing w:val="15"/>
                <w:sz w:val="28"/>
                <w:szCs w:val="28"/>
                <w:highlight w:val="none"/>
              </w:rPr>
              <w:t xml:space="preserve"> 3834—2</w:t>
            </w:r>
            <w:r>
              <w:rPr>
                <w:rFonts w:hint="eastAsia" w:ascii="黑体" w:hAnsi="黑体" w:eastAsia="黑体" w:cs="黑体"/>
                <w:color w:val="auto"/>
                <w:spacing w:val="-20"/>
                <w:sz w:val="28"/>
                <w:szCs w:val="28"/>
                <w:highlight w:val="none"/>
              </w:rPr>
              <w:t xml:space="preserve"> </w:t>
            </w:r>
            <w:r>
              <w:rPr>
                <w:rFonts w:hint="eastAsia" w:ascii="黑体" w:hAnsi="黑体" w:eastAsia="黑体" w:cs="黑体"/>
                <w:color w:val="auto"/>
                <w:spacing w:val="15"/>
                <w:sz w:val="28"/>
                <w:szCs w:val="28"/>
                <w:highlight w:val="none"/>
              </w:rPr>
              <w:t xml:space="preserve">标准要求</w:t>
            </w:r>
            <w:r>
              <w:rPr>
                <w:rFonts w:hint="eastAsia" w:ascii="黑体" w:hAnsi="黑体" w:eastAsia="黑体" w:cs="黑体"/>
                <w:color w:val="auto"/>
                <w:spacing w:val="-75"/>
                <w:sz w:val="28"/>
                <w:szCs w:val="28"/>
                <w:highlight w:val="none"/>
              </w:rPr>
              <w:t xml:space="preserve"> </w:t>
            </w:r>
            <w:r>
              <w:rPr>
                <w:rFonts w:hint="eastAsia" w:ascii="黑体" w:hAnsi="黑体" w:eastAsia="黑体" w:cs="黑体"/>
                <w:color w:val="auto"/>
                <w:spacing w:val="15"/>
                <w:sz w:val="28"/>
                <w:szCs w:val="28"/>
                <w:highlight w:val="none"/>
              </w:rPr>
              <w:t xml:space="preserve">，焊接处做好防腐防锈措</w:t>
            </w:r>
            <w:r>
              <w:rPr>
                <w:rFonts w:hint="eastAsia" w:ascii="黑体" w:hAnsi="黑体" w:eastAsia="黑体" w:cs="黑体"/>
                <w:color w:val="auto"/>
                <w:spacing w:val="2"/>
                <w:sz w:val="28"/>
                <w:szCs w:val="28"/>
                <w:highlight w:val="none"/>
              </w:rPr>
              <w:t xml:space="preserve">施。</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投标单位提供第三方专业性检测机构出具检测报告</w:t>
            </w:r>
            <w:r>
              <w:rPr>
                <w:rFonts w:hint="eastAsia" w:ascii="黑体" w:hAnsi="黑体" w:eastAsia="黑体" w:cs="黑体"/>
                <w:color w:val="auto"/>
                <w:spacing w:val="-1"/>
                <w:sz w:val="28"/>
                <w:szCs w:val="28"/>
                <w:highlight w:val="none"/>
              </w:rPr>
              <w:t xml:space="preserve">）</w:t>
            </w:r>
            <w:r/>
          </w:p>
        </w:tc>
      </w:tr>
      <w:tr>
        <w:trPr>
          <w:trHeight w:val="90"/>
        </w:trPr>
        <w:tc>
          <w:tcPr>
            <w:tcBorders>
              <w:bottom w:val="none" w:color="000000" w:sz="4" w:space="0"/>
            </w:tcBorders>
            <w:tcW w:w="1592" w:type="dxa"/>
            <w:vMerge w:val="continue"/>
            <w:textDirection w:val="lrTb"/>
            <w:noWrap w:val="false"/>
          </w:tcPr>
          <w:p>
            <w:pPr>
              <w:ind w:left="113" w:right="107" w:firstLine="12"/>
              <w:spacing w:before="40"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pStyle w:val="1152"/>
              <w:ind w:right="104"/>
              <w:spacing w:before="49"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10"/>
                <w:sz w:val="28"/>
                <w:szCs w:val="28"/>
                <w:highlight w:val="none"/>
              </w:rPr>
              <w:t xml:space="preserve">2.主体结构：主立柱结构及顶部主框架材料采用≥</w:t>
            </w:r>
            <w:r>
              <w:rPr>
                <w:rFonts w:hint="eastAsia" w:ascii="黑体" w:hAnsi="黑体" w:eastAsia="黑体" w:cs="黑体"/>
                <w:color w:val="auto"/>
                <w:spacing w:val="1"/>
                <w:sz w:val="28"/>
                <w:szCs w:val="28"/>
                <w:highlight w:val="none"/>
              </w:rPr>
              <w:t xml:space="preserve">100*100*3</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1"/>
                <w:sz w:val="28"/>
                <w:szCs w:val="28"/>
                <w:highlight w:val="none"/>
              </w:rPr>
              <w:t xml:space="preserve">的镀锌方管；</w:t>
            </w:r>
            <w:r>
              <w:rPr>
                <w:rFonts w:hint="eastAsia" w:ascii="黑体" w:hAnsi="黑体" w:eastAsia="黑体" w:cs="黑体"/>
                <w:color w:val="auto"/>
                <w:spacing w:val="3"/>
                <w:sz w:val="28"/>
                <w:szCs w:val="28"/>
                <w:highlight w:val="none"/>
              </w:rPr>
              <w:t xml:space="preserve">提供100*100*3.0mm热镀锌方管检测报告，检测内容需包含①成分分析：碳（C）≤0.2 锰(Mn)≤1.4 磷(P)≤0.045 硫(S)≤0.045 硅(Si）≤0.35；②抗拉强度≥1180；③弯曲实验试验后良好 </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投标单位提供第三方专业性检测机构出具检测报告</w:t>
            </w:r>
            <w:r>
              <w:rPr>
                <w:rFonts w:hint="eastAsia" w:ascii="黑体" w:hAnsi="黑体" w:eastAsia="黑体" w:cs="黑体"/>
                <w:color w:val="auto"/>
                <w:spacing w:val="-1"/>
                <w:sz w:val="28"/>
                <w:szCs w:val="28"/>
                <w:highlight w:val="none"/>
              </w:rPr>
              <w:t xml:space="preserve">）</w:t>
            </w:r>
            <w:r/>
          </w:p>
        </w:tc>
      </w:tr>
      <w:tr>
        <w:trPr>
          <w:trHeight w:val="2769"/>
        </w:trPr>
        <w:tc>
          <w:tcPr>
            <w:tcBorders>
              <w:top w:val="none" w:color="000000" w:sz="4" w:space="0"/>
            </w:tcBorders>
            <w:tcW w:w="1592" w:type="dxa"/>
            <w:vMerge w:val="continue"/>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pStyle w:val="1152"/>
              <w:spacing w:line="288" w:lineRule="auto"/>
              <w:rPr>
                <w:rFonts w:ascii="黑体" w:hAnsi="黑体" w:eastAsia="黑体" w:cs="黑体"/>
                <w:color w:val="auto"/>
                <w:spacing w:val="3"/>
                <w:sz w:val="28"/>
                <w:szCs w:val="28"/>
                <w:highlight w:val="none"/>
              </w:rPr>
            </w:pPr>
            <w:r>
              <w:rPr>
                <w:rFonts w:hint="eastAsia" w:ascii="黑体" w:hAnsi="黑体" w:eastAsia="黑体" w:cs="黑体"/>
                <w:color w:val="auto"/>
                <w:spacing w:val="10"/>
                <w:sz w:val="28"/>
                <w:szCs w:val="28"/>
                <w:highlight w:val="none"/>
              </w:rPr>
              <w:t xml:space="preserve">3.主体结构的防腐性：</w:t>
            </w:r>
            <w:r>
              <w:rPr>
                <w:rFonts w:hint="eastAsia" w:ascii="黑体" w:hAnsi="黑体" w:eastAsia="黑体" w:cs="黑体"/>
                <w:color w:val="auto"/>
                <w:spacing w:val="3"/>
                <w:sz w:val="28"/>
                <w:szCs w:val="28"/>
                <w:highlight w:val="none"/>
              </w:rPr>
              <w:t xml:space="preserve">投标单位提供镀锌管表面氟碳漆检测报告，检测内容：表面氟碳漆耐酸性（1%HC1硫酸浸泡），试验后不起泡，不脱离；表面氟碳漆耐碱性（1%NaOH 氢氧化钠浸泡) ，试验后不起泡、不脱离 。</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投标单位提供第三方专业性检测机构出具检测报告</w:t>
            </w:r>
            <w:r>
              <w:rPr>
                <w:rFonts w:hint="eastAsia" w:ascii="黑体" w:hAnsi="黑体" w:eastAsia="黑体" w:cs="黑体"/>
                <w:color w:val="auto"/>
                <w:spacing w:val="-1"/>
                <w:sz w:val="28"/>
                <w:szCs w:val="28"/>
                <w:highlight w:val="none"/>
              </w:rPr>
              <w:t xml:space="preserve">）</w:t>
            </w:r>
            <w:r/>
          </w:p>
        </w:tc>
      </w:tr>
      <w:tr>
        <w:trPr>
          <w:trHeight w:val="5119"/>
        </w:trPr>
        <w:tc>
          <w:tcPr>
            <w:tcW w:w="159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(四)</w:t>
            </w:r>
            <w:r/>
          </w:p>
          <w:p>
            <w:pPr>
              <w:ind w:left="383" w:right="233" w:hanging="130"/>
              <w:spacing w:before="7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墙体材</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料要求</w:t>
            </w:r>
            <w:r/>
          </w:p>
        </w:tc>
        <w:tc>
          <w:tcPr>
            <w:tcW w:w="6932" w:type="dxa"/>
            <w:textDirection w:val="lrTb"/>
            <w:noWrap w:val="false"/>
          </w:tcPr>
          <w:p>
            <w:pPr>
              <w:ind w:left="113" w:right="105" w:firstLine="3"/>
              <w:spacing w:before="42"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1、墙体采用复合结构墙体，墙体中为</w:t>
            </w:r>
            <w:r>
              <w:rPr>
                <w:rFonts w:hint="eastAsia" w:ascii="黑体" w:hAnsi="黑体" w:eastAsia="黑体" w:cs="黑体"/>
                <w:color w:val="auto"/>
                <w:spacing w:val="-49"/>
                <w:sz w:val="28"/>
                <w:szCs w:val="28"/>
                <w:highlight w:val="none"/>
              </w:rPr>
              <w:t xml:space="preserve"> </w:t>
            </w:r>
            <w:r>
              <w:rPr>
                <w:rFonts w:hint="eastAsia" w:ascii="黑体" w:hAnsi="黑体" w:eastAsia="黑体" w:cs="黑体"/>
                <w:color w:val="auto"/>
                <w:spacing w:val="9"/>
                <w:sz w:val="28"/>
                <w:szCs w:val="28"/>
                <w:highlight w:val="none"/>
              </w:rPr>
              <w:t xml:space="preserve">C89</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9"/>
                <w:sz w:val="28"/>
                <w:szCs w:val="28"/>
                <w:highlight w:val="none"/>
              </w:rPr>
              <w:t xml:space="preserve">型轻钢龙</w:t>
            </w:r>
            <w:r>
              <w:rPr>
                <w:rFonts w:hint="eastAsia" w:ascii="黑体" w:hAnsi="黑体" w:eastAsia="黑体" w:cs="黑体"/>
                <w:color w:val="auto"/>
                <w:spacing w:val="8"/>
                <w:sz w:val="28"/>
                <w:szCs w:val="28"/>
                <w:highlight w:val="none"/>
              </w:rPr>
              <w:t xml:space="preserve">骨填</w:t>
            </w:r>
            <w:r>
              <w:rPr>
                <w:rFonts w:hint="eastAsia" w:ascii="黑体" w:hAnsi="黑体" w:eastAsia="黑体" w:cs="黑体"/>
                <w:color w:val="auto"/>
                <w:sz w:val="28"/>
                <w:szCs w:val="28"/>
                <w:highlight w:val="none"/>
              </w:rPr>
              <w:t xml:space="preserve"> 充结构，C89</w:t>
            </w:r>
            <w:r>
              <w:rPr>
                <w:rFonts w:hint="eastAsia" w:ascii="黑体" w:hAnsi="黑体" w:eastAsia="黑体" w:cs="黑体"/>
                <w:color w:val="auto"/>
                <w:spacing w:val="-53"/>
                <w:sz w:val="28"/>
                <w:szCs w:val="28"/>
                <w:highlight w:val="none"/>
              </w:rPr>
              <w:t xml:space="preserve"> </w:t>
            </w:r>
            <w:r>
              <w:rPr>
                <w:rFonts w:hint="eastAsia" w:ascii="黑体" w:hAnsi="黑体" w:eastAsia="黑体" w:cs="黑体"/>
                <w:color w:val="auto"/>
                <w:sz w:val="28"/>
                <w:szCs w:val="28"/>
                <w:highlight w:val="none"/>
              </w:rPr>
              <w:t xml:space="preserve">型轻钢龙骨屈服强度（ReL）</w:t>
            </w:r>
            <w:r>
              <w:rPr>
                <w:rFonts w:hint="eastAsia" w:ascii="黑体" w:hAnsi="黑体" w:eastAsia="黑体" w:cs="黑体"/>
                <w:color w:val="auto"/>
                <w:spacing w:val="-97"/>
                <w:sz w:val="28"/>
                <w:szCs w:val="28"/>
                <w:highlight w:val="none"/>
              </w:rPr>
              <w:t xml:space="preserve"> </w:t>
            </w:r>
            <w:r>
              <w:rPr>
                <w:rFonts w:hint="eastAsia" w:ascii="黑体" w:hAnsi="黑体" w:eastAsia="黑体" w:cs="黑体"/>
                <w:color w:val="auto"/>
                <w:sz w:val="28"/>
                <w:szCs w:val="28"/>
                <w:highlight w:val="none"/>
              </w:rPr>
              <w:t xml:space="preserve">≥650 </w:t>
            </w:r>
            <w:r>
              <w:rPr>
                <w:rFonts w:hint="eastAsia" w:ascii="黑体" w:hAnsi="黑体" w:eastAsia="黑体" w:cs="黑体"/>
                <w:color w:val="auto"/>
                <w:spacing w:val="-1"/>
                <w:sz w:val="28"/>
                <w:szCs w:val="28"/>
                <w:highlight w:val="none"/>
              </w:rPr>
              <w:t xml:space="preserve">MPa，</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7"/>
                <w:sz w:val="28"/>
                <w:szCs w:val="28"/>
                <w:highlight w:val="none"/>
              </w:rPr>
              <w:t xml:space="preserve">抗拉强度≥685</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68"/>
                <w:sz w:val="28"/>
                <w:szCs w:val="28"/>
                <w:highlight w:val="none"/>
              </w:rPr>
              <w:t xml:space="preserve"> </w:t>
            </w:r>
            <w:r>
              <w:rPr>
                <w:rFonts w:hint="eastAsia" w:ascii="黑体" w:hAnsi="黑体" w:eastAsia="黑体" w:cs="黑体"/>
                <w:color w:val="auto"/>
                <w:spacing w:val="7"/>
                <w:sz w:val="28"/>
                <w:szCs w:val="28"/>
                <w:highlight w:val="none"/>
              </w:rPr>
              <w:t xml:space="preserve">，断后伸长率≥21.0%</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7"/>
                <w:sz w:val="28"/>
                <w:szCs w:val="28"/>
                <w:highlight w:val="none"/>
              </w:rPr>
              <w:t xml:space="preserve">，符合</w:t>
            </w:r>
            <w:r>
              <w:rPr>
                <w:rFonts w:hint="eastAsia" w:ascii="黑体" w:hAnsi="黑体" w:eastAsia="黑体" w:cs="黑体"/>
                <w:color w:val="auto"/>
                <w:spacing w:val="-39"/>
                <w:sz w:val="28"/>
                <w:szCs w:val="28"/>
                <w:highlight w:val="none"/>
              </w:rPr>
              <w:t xml:space="preserve"> </w:t>
            </w:r>
            <w:r>
              <w:rPr>
                <w:rFonts w:hint="eastAsia" w:ascii="黑体" w:hAnsi="黑体" w:eastAsia="黑体" w:cs="黑体"/>
                <w:color w:val="auto"/>
                <w:sz w:val="28"/>
                <w:szCs w:val="28"/>
                <w:highlight w:val="none"/>
              </w:rPr>
              <w:t xml:space="preserve">GB</w:t>
            </w:r>
            <w:r>
              <w:rPr>
                <w:rFonts w:hint="eastAsia" w:ascii="黑体" w:hAnsi="黑体" w:eastAsia="黑体" w:cs="黑体"/>
                <w:color w:val="auto"/>
                <w:spacing w:val="7"/>
                <w:sz w:val="28"/>
                <w:szCs w:val="28"/>
                <w:highlight w:val="none"/>
              </w:rPr>
              <w:t xml:space="preserve">/T</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228.1-2010</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
                <w:sz w:val="28"/>
                <w:szCs w:val="28"/>
                <w:highlight w:val="none"/>
              </w:rPr>
              <w:t xml:space="preserve">要求的合格产品；</w:t>
            </w:r>
            <w:r/>
          </w:p>
          <w:p>
            <w:pPr>
              <w:ind w:left="107" w:right="107" w:firstLine="25"/>
              <w:spacing w:before="53" w:line="288" w:lineRule="auto"/>
              <w:rPr>
                <w:rFonts w:ascii="黑体" w:hAnsi="黑体" w:eastAsia="黑体" w:cs="黑体"/>
                <w:color w:val="auto"/>
                <w:sz w:val="28"/>
                <w:szCs w:val="28"/>
                <w:highlight w:val="none"/>
              </w:rPr>
            </w:pPr>
            <w:r>
              <w:rPr>
                <w:rFonts w:hint="eastAsia" w:ascii="黑体" w:hAnsi="黑体" w:eastAsia="黑体" w:cs="黑体"/>
                <w:color w:val="auto"/>
                <w:spacing w:val="22"/>
                <w:sz w:val="28"/>
                <w:szCs w:val="28"/>
                <w:highlight w:val="none"/>
              </w:rPr>
              <w:t xml:space="preserve">2、内</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22"/>
                <w:sz w:val="28"/>
                <w:szCs w:val="28"/>
                <w:highlight w:val="none"/>
              </w:rPr>
              <w:t xml:space="preserve">置岩棉板保温</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22"/>
                <w:sz w:val="28"/>
                <w:szCs w:val="28"/>
                <w:highlight w:val="none"/>
              </w:rPr>
              <w:t xml:space="preserve">隔热</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22"/>
                <w:sz w:val="28"/>
                <w:szCs w:val="28"/>
                <w:highlight w:val="none"/>
              </w:rPr>
              <w:t xml:space="preserve">，渣球含量≤</w:t>
            </w:r>
            <w:r>
              <w:rPr>
                <w:rFonts w:hint="eastAsia" w:ascii="黑体" w:hAnsi="黑体" w:eastAsia="黑体" w:cs="黑体"/>
                <w:color w:val="auto"/>
                <w:spacing w:val="-97"/>
                <w:sz w:val="28"/>
                <w:szCs w:val="28"/>
                <w:highlight w:val="none"/>
              </w:rPr>
              <w:t xml:space="preserve"> </w:t>
            </w:r>
            <w:r>
              <w:rPr>
                <w:rFonts w:hint="eastAsia" w:ascii="黑体" w:hAnsi="黑体" w:eastAsia="黑体" w:cs="黑体"/>
                <w:color w:val="auto"/>
                <w:spacing w:val="22"/>
                <w:sz w:val="28"/>
                <w:szCs w:val="28"/>
                <w:highlight w:val="none"/>
              </w:rPr>
              <w:t xml:space="preserve">5%</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22"/>
                <w:sz w:val="28"/>
                <w:szCs w:val="28"/>
                <w:highlight w:val="none"/>
              </w:rPr>
              <w:t xml:space="preserve">，憎水率≥</w:t>
            </w:r>
            <w:r>
              <w:rPr>
                <w:rFonts w:hint="eastAsia" w:ascii="黑体" w:hAnsi="黑体" w:eastAsia="黑体" w:cs="黑体"/>
                <w:color w:val="auto"/>
                <w:spacing w:val="-11"/>
                <w:sz w:val="28"/>
                <w:szCs w:val="28"/>
                <w:highlight w:val="none"/>
              </w:rPr>
              <w:t xml:space="preserve">99.5%</w:t>
            </w:r>
            <w:r>
              <w:rPr>
                <w:rFonts w:hint="eastAsia" w:ascii="黑体" w:hAnsi="黑体" w:eastAsia="黑体" w:cs="黑体"/>
                <w:color w:val="auto"/>
                <w:spacing w:val="-27"/>
                <w:sz w:val="28"/>
                <w:szCs w:val="28"/>
                <w:highlight w:val="none"/>
              </w:rPr>
              <w:t xml:space="preserve"> </w:t>
            </w:r>
            <w:r>
              <w:rPr>
                <w:rFonts w:hint="eastAsia" w:ascii="黑体" w:hAnsi="黑体" w:eastAsia="黑体" w:cs="黑体"/>
                <w:color w:val="auto"/>
                <w:spacing w:val="-11"/>
                <w:sz w:val="28"/>
                <w:szCs w:val="28"/>
                <w:highlight w:val="none"/>
              </w:rPr>
              <w:t xml:space="preserve">，</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11"/>
                <w:sz w:val="28"/>
                <w:szCs w:val="28"/>
                <w:highlight w:val="none"/>
              </w:rPr>
              <w:t xml:space="preserve">燃</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1"/>
                <w:sz w:val="28"/>
                <w:szCs w:val="28"/>
                <w:highlight w:val="none"/>
              </w:rPr>
              <w:t xml:space="preserve">烧</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性</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11"/>
                <w:sz w:val="28"/>
                <w:szCs w:val="28"/>
                <w:highlight w:val="none"/>
              </w:rPr>
              <w:t xml:space="preserve">能</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1"/>
                <w:sz w:val="28"/>
                <w:szCs w:val="28"/>
                <w:highlight w:val="none"/>
              </w:rPr>
              <w:t xml:space="preserve">持</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11"/>
                <w:sz w:val="28"/>
                <w:szCs w:val="28"/>
                <w:highlight w:val="none"/>
              </w:rPr>
              <w:t xml:space="preserve">续</w:t>
            </w:r>
            <w:r>
              <w:rPr>
                <w:rFonts w:hint="eastAsia" w:ascii="黑体" w:hAnsi="黑体" w:eastAsia="黑体" w:cs="黑体"/>
                <w:color w:val="auto"/>
                <w:spacing w:val="-59"/>
                <w:sz w:val="28"/>
                <w:szCs w:val="28"/>
                <w:highlight w:val="none"/>
              </w:rPr>
              <w:t xml:space="preserve"> </w:t>
            </w:r>
            <w:r>
              <w:rPr>
                <w:rFonts w:hint="eastAsia" w:ascii="黑体" w:hAnsi="黑体" w:eastAsia="黑体" w:cs="黑体"/>
                <w:color w:val="auto"/>
                <w:spacing w:val="-11"/>
                <w:sz w:val="28"/>
                <w:szCs w:val="28"/>
                <w:highlight w:val="none"/>
              </w:rPr>
              <w:t xml:space="preserve">火</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1"/>
                <w:sz w:val="28"/>
                <w:szCs w:val="28"/>
                <w:highlight w:val="none"/>
              </w:rPr>
              <w:t xml:space="preserve">焰</w:t>
            </w:r>
            <w:r>
              <w:rPr>
                <w:rFonts w:hint="eastAsia" w:ascii="黑体" w:hAnsi="黑体" w:eastAsia="黑体" w:cs="黑体"/>
                <w:color w:val="auto"/>
                <w:spacing w:val="-50"/>
                <w:sz w:val="28"/>
                <w:szCs w:val="28"/>
                <w:highlight w:val="none"/>
              </w:rPr>
              <w:t xml:space="preserve"> </w:t>
            </w:r>
            <w:r>
              <w:rPr>
                <w:rFonts w:hint="eastAsia" w:ascii="黑体" w:hAnsi="黑体" w:eastAsia="黑体" w:cs="黑体"/>
                <w:color w:val="auto"/>
                <w:spacing w:val="-11"/>
                <w:sz w:val="28"/>
                <w:szCs w:val="28"/>
                <w:highlight w:val="none"/>
              </w:rPr>
              <w:t xml:space="preserve">时</w:t>
            </w:r>
            <w:r>
              <w:rPr>
                <w:rFonts w:hint="eastAsia" w:ascii="黑体" w:hAnsi="黑体" w:eastAsia="黑体" w:cs="黑体"/>
                <w:color w:val="auto"/>
                <w:spacing w:val="-49"/>
                <w:sz w:val="28"/>
                <w:szCs w:val="28"/>
                <w:highlight w:val="none"/>
              </w:rPr>
              <w:t xml:space="preserve"> </w:t>
            </w:r>
            <w:r>
              <w:rPr>
                <w:rFonts w:hint="eastAsia" w:ascii="黑体" w:hAnsi="黑体" w:eastAsia="黑体" w:cs="黑体"/>
                <w:color w:val="auto"/>
                <w:spacing w:val="-11"/>
                <w:sz w:val="28"/>
                <w:szCs w:val="28"/>
                <w:highlight w:val="none"/>
              </w:rPr>
              <w:t xml:space="preserve">间</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11"/>
                <w:sz w:val="28"/>
                <w:szCs w:val="28"/>
                <w:highlight w:val="none"/>
              </w:rPr>
              <w:t xml:space="preserve">应</w:t>
            </w:r>
            <w:r>
              <w:rPr>
                <w:rFonts w:hint="eastAsia" w:ascii="黑体" w:hAnsi="黑体" w:eastAsia="黑体" w:cs="黑体"/>
                <w:color w:val="auto"/>
                <w:spacing w:val="-52"/>
                <w:sz w:val="28"/>
                <w:szCs w:val="28"/>
                <w:highlight w:val="none"/>
              </w:rPr>
              <w:t xml:space="preserve"> </w:t>
            </w:r>
            <w:r>
              <w:rPr>
                <w:rFonts w:hint="eastAsia" w:ascii="黑体" w:hAnsi="黑体" w:eastAsia="黑体" w:cs="黑体"/>
                <w:color w:val="auto"/>
                <w:spacing w:val="-11"/>
                <w:sz w:val="28"/>
                <w:szCs w:val="28"/>
                <w:highlight w:val="none"/>
              </w:rPr>
              <w:t xml:space="preserve">为 0s</w:t>
            </w:r>
            <w:r>
              <w:rPr>
                <w:rFonts w:hint="eastAsia" w:ascii="黑体" w:hAnsi="黑体" w:eastAsia="黑体" w:cs="黑体"/>
                <w:color w:val="auto"/>
                <w:spacing w:val="-34"/>
                <w:sz w:val="28"/>
                <w:szCs w:val="28"/>
                <w:highlight w:val="none"/>
              </w:rPr>
              <w:t xml:space="preserve"> </w:t>
            </w:r>
            <w:r>
              <w:rPr>
                <w:rFonts w:hint="eastAsia" w:ascii="黑体" w:hAnsi="黑体" w:eastAsia="黑体" w:cs="黑体"/>
                <w:color w:val="auto"/>
                <w:spacing w:val="-11"/>
                <w:sz w:val="28"/>
                <w:szCs w:val="28"/>
                <w:highlight w:val="none"/>
              </w:rPr>
              <w:t xml:space="preserve">，</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符</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合</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GB/T11835-2016</w:t>
            </w:r>
            <w:r>
              <w:rPr>
                <w:rFonts w:hint="eastAsia" w:ascii="黑体" w:hAnsi="黑体" w:eastAsia="黑体" w:cs="黑体"/>
                <w:color w:val="auto"/>
                <w:spacing w:val="-35"/>
                <w:sz w:val="28"/>
                <w:szCs w:val="28"/>
                <w:highlight w:val="none"/>
              </w:rPr>
              <w:t xml:space="preserve"> </w:t>
            </w:r>
            <w:r>
              <w:rPr>
                <w:rFonts w:hint="eastAsia" w:ascii="黑体" w:hAnsi="黑体" w:eastAsia="黑体" w:cs="黑体"/>
                <w:color w:val="auto"/>
                <w:spacing w:val="-2"/>
                <w:sz w:val="28"/>
                <w:szCs w:val="28"/>
                <w:highlight w:val="none"/>
              </w:rPr>
              <w:t xml:space="preserve">的合格产品。</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投标单位提供第三方专业性检测机构出具检测报告</w:t>
            </w:r>
            <w:r>
              <w:rPr>
                <w:rFonts w:hint="eastAsia" w:ascii="黑体" w:hAnsi="黑体" w:eastAsia="黑体" w:cs="黑体"/>
                <w:color w:val="auto"/>
                <w:spacing w:val="-1"/>
                <w:sz w:val="28"/>
                <w:szCs w:val="28"/>
                <w:highlight w:val="none"/>
              </w:rPr>
              <w:t xml:space="preserve">）</w:t>
            </w:r>
            <w:r/>
          </w:p>
          <w:p>
            <w:pPr>
              <w:ind w:left="118" w:right="107" w:firstLine="14"/>
              <w:spacing w:before="55"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3、内外墙基板≥8</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6"/>
                <w:sz w:val="28"/>
                <w:szCs w:val="28"/>
                <w:highlight w:val="none"/>
              </w:rPr>
              <w:t xml:space="preserve">无石棉硅酸钙板，湿涨率≤0.17</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1"/>
                <w:sz w:val="28"/>
                <w:szCs w:val="28"/>
                <w:highlight w:val="none"/>
              </w:rPr>
              <w:t xml:space="preserve">表观密度≥</w:t>
            </w:r>
            <w:r>
              <w:rPr>
                <w:rFonts w:hint="eastAsia" w:ascii="黑体" w:hAnsi="黑体" w:eastAsia="黑体" w:cs="黑体"/>
                <w:color w:val="auto"/>
                <w:spacing w:val="-67"/>
                <w:sz w:val="28"/>
                <w:szCs w:val="28"/>
                <w:highlight w:val="none"/>
              </w:rPr>
              <w:t xml:space="preserve"> </w:t>
            </w:r>
            <w:r>
              <w:rPr>
                <w:rFonts w:hint="eastAsia" w:ascii="黑体" w:hAnsi="黑体" w:eastAsia="黑体" w:cs="黑体"/>
                <w:color w:val="auto"/>
                <w:spacing w:val="11"/>
                <w:sz w:val="28"/>
                <w:szCs w:val="28"/>
                <w:highlight w:val="none"/>
              </w:rPr>
              <w:t xml:space="preserve">1.43g/</w:t>
            </w:r>
            <w:r>
              <w:rPr>
                <w:rFonts w:hint="eastAsia" w:ascii="黑体" w:hAnsi="黑体" w:eastAsia="黑体" w:cs="黑体"/>
                <w:color w:val="auto"/>
                <w:sz w:val="28"/>
                <w:szCs w:val="28"/>
                <w:highlight w:val="none"/>
              </w:rPr>
              <w:t xml:space="preserve">cm</w:t>
            </w:r>
            <w:r>
              <w:rPr>
                <w:rFonts w:hint="eastAsia" w:ascii="黑体" w:hAnsi="黑体" w:eastAsia="黑体" w:cs="黑体"/>
                <w:color w:val="auto"/>
                <w:spacing w:val="11"/>
                <w:sz w:val="28"/>
                <w:szCs w:val="28"/>
                <w:highlight w:val="none"/>
              </w:rPr>
              <w:t xml:space="preserve">3</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1"/>
                <w:sz w:val="28"/>
                <w:szCs w:val="28"/>
                <w:highlight w:val="none"/>
              </w:rPr>
              <w:t xml:space="preserve">，燃烧性</w:t>
            </w:r>
            <w:r>
              <w:rPr>
                <w:rFonts w:hint="eastAsia" w:ascii="黑体" w:hAnsi="黑体" w:eastAsia="黑体" w:cs="黑体"/>
                <w:color w:val="auto"/>
                <w:spacing w:val="-80"/>
                <w:sz w:val="28"/>
                <w:szCs w:val="28"/>
                <w:highlight w:val="none"/>
              </w:rPr>
              <w:t xml:space="preserve"> </w:t>
            </w:r>
            <w:r>
              <w:rPr>
                <w:rFonts w:hint="eastAsia" w:ascii="黑体" w:hAnsi="黑体" w:eastAsia="黑体" w:cs="黑体"/>
                <w:color w:val="auto"/>
                <w:spacing w:val="11"/>
                <w:sz w:val="28"/>
                <w:szCs w:val="28"/>
                <w:highlight w:val="none"/>
              </w:rPr>
              <w:t xml:space="preserve">能达到</w:t>
            </w:r>
            <w:r>
              <w:rPr>
                <w:rFonts w:hint="eastAsia" w:ascii="黑体" w:hAnsi="黑体" w:eastAsia="黑体" w:cs="黑体"/>
                <w:color w:val="auto"/>
                <w:spacing w:val="-27"/>
                <w:sz w:val="28"/>
                <w:szCs w:val="28"/>
                <w:highlight w:val="none"/>
              </w:rPr>
              <w:t xml:space="preserve"> </w:t>
            </w:r>
            <w:r>
              <w:rPr>
                <w:rFonts w:hint="eastAsia" w:ascii="黑体" w:hAnsi="黑体" w:eastAsia="黑体" w:cs="黑体"/>
                <w:color w:val="auto"/>
                <w:spacing w:val="11"/>
                <w:sz w:val="28"/>
                <w:szCs w:val="28"/>
                <w:highlight w:val="none"/>
              </w:rPr>
              <w:t xml:space="preserve">A 级</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1"/>
                <w:sz w:val="28"/>
                <w:szCs w:val="28"/>
                <w:highlight w:val="none"/>
              </w:rPr>
              <w:t xml:space="preserve">，符合</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JC/T564.1-2018</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2"/>
                <w:sz w:val="28"/>
                <w:szCs w:val="28"/>
                <w:highlight w:val="none"/>
              </w:rPr>
              <w:t xml:space="preserve">的合格产品；</w:t>
            </w:r>
            <w:r/>
          </w:p>
        </w:tc>
      </w:tr>
      <w:tr>
        <w:trPr>
          <w:trHeight w:val="4057"/>
        </w:trPr>
        <w:tc>
          <w:tcPr>
            <w:tcW w:w="159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0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（五）</w:t>
            </w:r>
            <w:r/>
          </w:p>
          <w:p>
            <w:pPr>
              <w:ind w:left="244" w:right="233"/>
              <w:jc w:val="right"/>
              <w:spacing w:before="10"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屋面材料</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right="104"/>
              <w:jc w:val="left"/>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1、顶部制作：轻钢龙骨钢构拼装成型与主</w:t>
            </w:r>
            <w:r>
              <w:rPr>
                <w:rFonts w:hint="eastAsia" w:ascii="黑体" w:hAnsi="黑体" w:eastAsia="黑体" w:cs="黑体"/>
                <w:color w:val="auto"/>
                <w:spacing w:val="-2"/>
                <w:sz w:val="28"/>
                <w:szCs w:val="28"/>
                <w:highlight w:val="none"/>
              </w:rPr>
              <w:t xml:space="preserve">体结构链接</w:t>
            </w:r>
            <w:r/>
          </w:p>
          <w:p>
            <w:pPr>
              <w:ind w:right="104"/>
              <w:spacing w:before="40"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2、平屋面采用厚度≥9</w:t>
            </w:r>
            <w:r>
              <w:rPr>
                <w:rFonts w:hint="eastAsia" w:ascii="黑体" w:hAnsi="黑体" w:eastAsia="黑体" w:cs="黑体"/>
                <w:color w:val="auto"/>
                <w:sz w:val="28"/>
                <w:szCs w:val="28"/>
                <w:highlight w:val="none"/>
              </w:rPr>
              <w:t xml:space="preserve">mmOSB</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pacing w:val="1"/>
                <w:sz w:val="28"/>
                <w:szCs w:val="28"/>
                <w:highlight w:val="none"/>
              </w:rPr>
              <w:t xml:space="preserve">定向结构板,上</w:t>
            </w:r>
            <w:r>
              <w:rPr>
                <w:rFonts w:hint="eastAsia" w:ascii="黑体" w:hAnsi="黑体" w:eastAsia="黑体" w:cs="黑体"/>
                <w:color w:val="auto"/>
                <w:sz w:val="28"/>
                <w:szCs w:val="28"/>
                <w:highlight w:val="none"/>
              </w:rPr>
              <w:t xml:space="preserve">覆厚度≥</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z w:val="28"/>
                <w:szCs w:val="28"/>
                <w:highlight w:val="none"/>
              </w:rPr>
              <w:t xml:space="preserve">0.6mm</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z w:val="28"/>
                <w:szCs w:val="28"/>
                <w:highlight w:val="none"/>
              </w:rPr>
              <w:t xml:space="preserve">金属板，金属板上再覆厚度≥3mm</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z w:val="28"/>
                <w:szCs w:val="28"/>
                <w:highlight w:val="none"/>
              </w:rPr>
              <w:t xml:space="preserve">的SBS</w:t>
            </w:r>
            <w:r>
              <w:rPr>
                <w:rFonts w:hint="eastAsia" w:ascii="黑体" w:hAnsi="黑体" w:eastAsia="黑体" w:cs="黑体"/>
                <w:color w:val="auto"/>
                <w:spacing w:val="10"/>
                <w:sz w:val="28"/>
                <w:szCs w:val="28"/>
                <w:highlight w:val="none"/>
              </w:rPr>
              <w:t xml:space="preserve">自粘防水卷材</w:t>
            </w:r>
            <w:r>
              <w:rPr>
                <w:rFonts w:hint="eastAsia" w:ascii="黑体" w:hAnsi="黑体" w:eastAsia="黑体" w:cs="黑体"/>
                <w:color w:val="auto"/>
                <w:spacing w:val="45"/>
                <w:sz w:val="28"/>
                <w:szCs w:val="28"/>
                <w:highlight w:val="none"/>
              </w:rPr>
              <w:t xml:space="preserve">，</w:t>
            </w:r>
            <w:r>
              <w:rPr>
                <w:rFonts w:hint="eastAsia" w:ascii="黑体" w:hAnsi="黑体" w:eastAsia="黑体" w:cs="黑体"/>
                <w:color w:val="auto"/>
                <w:spacing w:val="8"/>
                <w:sz w:val="28"/>
                <w:szCs w:val="28"/>
                <w:highlight w:val="none"/>
              </w:rPr>
              <w:t xml:space="preserve">自粘防水卷上铺设沥</w:t>
            </w:r>
            <w:r>
              <w:rPr>
                <w:rFonts w:hint="eastAsia" w:ascii="黑体" w:hAnsi="黑体" w:eastAsia="黑体" w:cs="黑体"/>
                <w:color w:val="auto"/>
                <w:spacing w:val="9"/>
                <w:sz w:val="28"/>
                <w:szCs w:val="28"/>
                <w:highlight w:val="none"/>
              </w:rPr>
              <w:t xml:space="preserve">青瓦。</w:t>
            </w:r>
            <w:r>
              <w:rPr>
                <w:rFonts w:hint="eastAsia" w:ascii="黑体" w:hAnsi="黑体" w:eastAsia="黑体" w:cs="黑体"/>
                <w:color w:val="auto"/>
                <w:spacing w:val="58"/>
                <w:sz w:val="28"/>
                <w:szCs w:val="28"/>
                <w:highlight w:val="none"/>
              </w:rPr>
              <w:t xml:space="preserve"> </w:t>
            </w:r>
            <w:r/>
          </w:p>
          <w:p>
            <w:pPr>
              <w:ind w:left="129" w:right="170"/>
              <w:spacing w:before="47"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3.</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8"/>
                <w:sz w:val="28"/>
                <w:szCs w:val="28"/>
                <w:highlight w:val="none"/>
              </w:rPr>
              <w:t xml:space="preserve">房</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8"/>
                <w:sz w:val="28"/>
                <w:szCs w:val="28"/>
                <w:highlight w:val="none"/>
              </w:rPr>
              <w:t xml:space="preserve">屋</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8"/>
                <w:sz w:val="28"/>
                <w:szCs w:val="28"/>
                <w:highlight w:val="none"/>
              </w:rPr>
              <w:t xml:space="preserve">判定</w:t>
            </w:r>
            <w:r>
              <w:rPr>
                <w:rFonts w:hint="eastAsia" w:ascii="黑体" w:hAnsi="黑体" w:eastAsia="黑体" w:cs="黑体"/>
                <w:color w:val="auto"/>
                <w:spacing w:val="-65"/>
                <w:sz w:val="28"/>
                <w:szCs w:val="28"/>
                <w:highlight w:val="none"/>
              </w:rPr>
              <w:t xml:space="preserve"> </w:t>
            </w:r>
            <w:r>
              <w:rPr>
                <w:rFonts w:hint="eastAsia" w:ascii="黑体" w:hAnsi="黑体" w:eastAsia="黑体" w:cs="黑体"/>
                <w:color w:val="auto"/>
                <w:spacing w:val="-8"/>
                <w:sz w:val="28"/>
                <w:szCs w:val="28"/>
                <w:highlight w:val="none"/>
              </w:rPr>
              <w:t xml:space="preserve">标</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8"/>
                <w:sz w:val="28"/>
                <w:szCs w:val="28"/>
                <w:highlight w:val="none"/>
              </w:rPr>
              <w:t xml:space="preserve">准</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8"/>
                <w:sz w:val="28"/>
                <w:szCs w:val="28"/>
                <w:highlight w:val="none"/>
              </w:rPr>
              <w:t xml:space="preserve">《</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8"/>
                <w:sz w:val="28"/>
                <w:szCs w:val="28"/>
                <w:highlight w:val="none"/>
              </w:rPr>
              <w:t xml:space="preserve">淋</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8"/>
                <w:sz w:val="28"/>
                <w:szCs w:val="28"/>
                <w:highlight w:val="none"/>
              </w:rPr>
              <w:t xml:space="preserve">雨</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8"/>
                <w:sz w:val="28"/>
                <w:szCs w:val="28"/>
                <w:highlight w:val="none"/>
              </w:rPr>
              <w:t xml:space="preserve">试</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8"/>
                <w:sz w:val="28"/>
                <w:szCs w:val="28"/>
                <w:highlight w:val="none"/>
              </w:rPr>
              <w:t xml:space="preserve">验</w:t>
            </w:r>
            <w:r>
              <w:rPr>
                <w:rFonts w:hint="eastAsia" w:ascii="黑体" w:hAnsi="黑体" w:eastAsia="黑体" w:cs="黑体"/>
                <w:color w:val="auto"/>
                <w:spacing w:val="-65"/>
                <w:sz w:val="28"/>
                <w:szCs w:val="28"/>
                <w:highlight w:val="none"/>
              </w:rPr>
              <w:t xml:space="preserve"> </w:t>
            </w:r>
            <w:r>
              <w:rPr>
                <w:rFonts w:hint="eastAsia" w:ascii="黑体" w:hAnsi="黑体" w:eastAsia="黑体" w:cs="黑体"/>
                <w:color w:val="auto"/>
                <w:spacing w:val="-8"/>
                <w:sz w:val="28"/>
                <w:szCs w:val="28"/>
                <w:highlight w:val="none"/>
              </w:rPr>
              <w:t xml:space="preserve">标</w:t>
            </w:r>
            <w:r>
              <w:rPr>
                <w:rFonts w:hint="eastAsia" w:ascii="黑体" w:hAnsi="黑体" w:eastAsia="黑体" w:cs="黑体"/>
                <w:color w:val="auto"/>
                <w:spacing w:val="-59"/>
                <w:sz w:val="28"/>
                <w:szCs w:val="28"/>
                <w:highlight w:val="none"/>
              </w:rPr>
              <w:t xml:space="preserve"> </w:t>
            </w:r>
            <w:r>
              <w:rPr>
                <w:rFonts w:hint="eastAsia" w:ascii="黑体" w:hAnsi="黑体" w:eastAsia="黑体" w:cs="黑体"/>
                <w:color w:val="auto"/>
                <w:spacing w:val="-8"/>
                <w:sz w:val="28"/>
                <w:szCs w:val="28"/>
                <w:highlight w:val="none"/>
              </w:rPr>
              <w:t xml:space="preserve">准</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8"/>
                <w:sz w:val="28"/>
                <w:szCs w:val="28"/>
                <w:highlight w:val="none"/>
              </w:rPr>
              <w:t xml:space="preserve">》(GJB</w:t>
            </w:r>
            <w:r>
              <w:rPr>
                <w:rFonts w:hint="eastAsia" w:ascii="黑体" w:hAnsi="黑体" w:eastAsia="黑体" w:cs="黑体"/>
                <w:color w:val="auto"/>
                <w:spacing w:val="7"/>
                <w:sz w:val="28"/>
                <w:szCs w:val="28"/>
                <w:highlight w:val="none"/>
              </w:rPr>
              <w:t xml:space="preserve">150.8)，在淋雨强度≥8</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z w:val="28"/>
                <w:szCs w:val="28"/>
                <w:highlight w:val="none"/>
              </w:rPr>
              <w:t xml:space="preserve">min</w:t>
            </w:r>
            <w:r>
              <w:rPr>
                <w:rFonts w:hint="eastAsia" w:ascii="黑体" w:hAnsi="黑体" w:eastAsia="黑体" w:cs="黑体"/>
                <w:color w:val="auto"/>
                <w:spacing w:val="7"/>
                <w:sz w:val="28"/>
                <w:szCs w:val="28"/>
                <w:highlight w:val="none"/>
              </w:rPr>
              <w:t xml:space="preserve">，历时时间≥14</w:t>
            </w:r>
            <w:r>
              <w:rPr>
                <w:rFonts w:hint="eastAsia" w:ascii="黑体" w:hAnsi="黑体" w:eastAsia="黑体" w:cs="黑体"/>
                <w:color w:val="auto"/>
                <w:sz w:val="28"/>
                <w:szCs w:val="28"/>
                <w:highlight w:val="none"/>
              </w:rPr>
              <w:t xml:space="preserve">min</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2"/>
                <w:sz w:val="28"/>
                <w:szCs w:val="28"/>
                <w:highlight w:val="none"/>
              </w:rPr>
              <w:t xml:space="preserve">受检位置≥2</w:t>
            </w:r>
            <w:r>
              <w:rPr>
                <w:rFonts w:hint="eastAsia" w:ascii="黑体" w:hAnsi="黑体" w:eastAsia="黑体" w:cs="黑体"/>
                <w:color w:val="auto"/>
                <w:spacing w:val="-49"/>
                <w:sz w:val="28"/>
                <w:szCs w:val="28"/>
                <w:highlight w:val="none"/>
              </w:rPr>
              <w:t xml:space="preserve"> </w:t>
            </w:r>
            <w:r>
              <w:rPr>
                <w:rFonts w:hint="eastAsia" w:ascii="黑体" w:hAnsi="黑体" w:eastAsia="黑体" w:cs="黑体"/>
                <w:color w:val="auto"/>
                <w:spacing w:val="-2"/>
                <w:sz w:val="28"/>
                <w:szCs w:val="28"/>
                <w:highlight w:val="none"/>
              </w:rPr>
              <w:t xml:space="preserve">处的情况下检测无明显渗漏、渗水现象。</w:t>
            </w:r>
            <w:r>
              <w:rPr>
                <w:rFonts w:hint="eastAsia" w:ascii="黑体" w:hAnsi="黑体" w:eastAsia="黑体" w:cs="黑体"/>
                <w:color w:val="auto"/>
                <w:spacing w:val="9"/>
                <w:sz w:val="28"/>
                <w:szCs w:val="28"/>
                <w:highlight w:val="none"/>
              </w:rPr>
              <w:t xml:space="preserve">（投标单位提供第三方专业性检测机构出具检测报告）</w:t>
            </w:r>
            <w:r/>
          </w:p>
        </w:tc>
      </w:tr>
      <w:tr>
        <w:trPr>
          <w:trHeight w:val="4050"/>
        </w:trPr>
        <w:tc>
          <w:tcPr>
            <w:tcW w:w="1592" w:type="dxa"/>
            <w:textDirection w:val="lrTb"/>
            <w:noWrap w:val="false"/>
          </w:tcPr>
          <w:p>
            <w:pPr>
              <w:ind w:left="40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（六）</w:t>
            </w:r>
            <w:r/>
          </w:p>
          <w:p>
            <w:pPr>
              <w:ind w:left="261"/>
              <w:spacing w:before="18"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内装饰材</w:t>
            </w:r>
            <w:r/>
          </w:p>
          <w:p>
            <w:pPr>
              <w:ind w:firstLine="548"/>
              <w:rPr>
                <w:rFonts w:ascii="黑体" w:hAnsi="黑体" w:eastAsia="黑体" w:cs="黑体"/>
                <w:color w:val="auto"/>
                <w:highlight w:val="none"/>
              </w:rPr>
            </w:pPr>
            <w:r>
              <w:rPr>
                <w:rFonts w:hint="eastAsia" w:ascii="黑体" w:hAnsi="黑体" w:eastAsia="黑体" w:cs="黑体"/>
                <w:color w:val="auto"/>
                <w:spacing w:val="-3"/>
                <w:sz w:val="28"/>
                <w:szCs w:val="28"/>
                <w:highlight w:val="none"/>
              </w:rPr>
              <w:t xml:space="preserve">料要求</w:t>
            </w:r>
            <w:r/>
          </w:p>
        </w:tc>
        <w:tc>
          <w:tcPr>
            <w:tcW w:w="6932" w:type="dxa"/>
            <w:textDirection w:val="lrTb"/>
            <w:noWrap w:val="false"/>
          </w:tcPr>
          <w:p>
            <w:pPr>
              <w:spacing w:before="4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1、采用集成吊顶。</w:t>
            </w:r>
            <w:r/>
          </w:p>
          <w:p>
            <w:pPr>
              <w:ind w:right="104"/>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2、地面采用</w:t>
            </w:r>
            <w:r>
              <w:rPr>
                <w:rFonts w:hint="eastAsia" w:ascii="黑体" w:hAnsi="黑体" w:eastAsia="黑体" w:cs="黑体"/>
                <w:color w:val="auto"/>
                <w:spacing w:val="-42"/>
                <w:sz w:val="28"/>
                <w:szCs w:val="28"/>
                <w:highlight w:val="none"/>
              </w:rPr>
              <w:t xml:space="preserve"> </w:t>
            </w:r>
            <w:r>
              <w:rPr>
                <w:rFonts w:hint="eastAsia" w:ascii="黑体" w:hAnsi="黑体" w:eastAsia="黑体" w:cs="黑体"/>
                <w:color w:val="auto"/>
                <w:spacing w:val="3"/>
                <w:sz w:val="28"/>
                <w:szCs w:val="28"/>
                <w:highlight w:val="none"/>
              </w:rPr>
              <w:t xml:space="preserve">800*800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56"/>
                <w:sz w:val="28"/>
                <w:szCs w:val="28"/>
                <w:highlight w:val="none"/>
              </w:rPr>
              <w:t xml:space="preserve"> </w:t>
            </w:r>
            <w:r>
              <w:rPr>
                <w:rFonts w:hint="eastAsia" w:ascii="黑体" w:hAnsi="黑体" w:eastAsia="黑体" w:cs="黑体"/>
                <w:color w:val="auto"/>
                <w:spacing w:val="3"/>
                <w:sz w:val="28"/>
                <w:szCs w:val="28"/>
                <w:highlight w:val="none"/>
              </w:rPr>
              <w:t xml:space="preserve">优质防滑耐磨地砖，所</w:t>
            </w:r>
            <w:r>
              <w:rPr>
                <w:rFonts w:hint="eastAsia" w:ascii="黑体" w:hAnsi="黑体" w:eastAsia="黑体" w:cs="黑体"/>
                <w:color w:val="auto"/>
                <w:spacing w:val="11"/>
                <w:sz w:val="28"/>
                <w:szCs w:val="28"/>
                <w:highlight w:val="none"/>
              </w:rPr>
              <w:t xml:space="preserve">有地砖需做美缝处理。</w:t>
            </w:r>
            <w:r/>
          </w:p>
          <w:p>
            <w:pPr>
              <w:ind w:right="107"/>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3、墙面采用碳金板铺贴，底部配置深色踢</w:t>
            </w:r>
            <w:r>
              <w:rPr>
                <w:rFonts w:hint="eastAsia" w:ascii="黑体" w:hAnsi="黑体" w:eastAsia="黑体" w:cs="黑体"/>
                <w:color w:val="auto"/>
                <w:spacing w:val="-2"/>
                <w:sz w:val="28"/>
                <w:szCs w:val="28"/>
                <w:highlight w:val="none"/>
              </w:rPr>
              <w:t xml:space="preserve">脚线。</w:t>
            </w:r>
            <w:r/>
          </w:p>
          <w:p>
            <w:pPr>
              <w:pStyle w:val="1152"/>
              <w:ind w:right="105"/>
              <w:spacing w:before="44" w:line="288" w:lineRule="auto"/>
              <w:rPr>
                <w:rFonts w:ascii="黑体" w:hAnsi="黑体" w:eastAsia="黑体" w:cs="黑体"/>
                <w:color w:val="auto"/>
                <w:spacing w:val="9"/>
                <w:sz w:val="28"/>
                <w:szCs w:val="28"/>
                <w:highlight w:val="none"/>
              </w:rPr>
            </w:pPr>
            <w:r>
              <w:rPr>
                <w:rFonts w:hint="eastAsia" w:ascii="黑体" w:hAnsi="黑体" w:eastAsia="黑体" w:cs="黑体"/>
                <w:color w:val="auto"/>
                <w:spacing w:val="7"/>
                <w:sz w:val="28"/>
                <w:szCs w:val="28"/>
                <w:highlight w:val="none"/>
              </w:rPr>
              <w:t xml:space="preserve">4</w:t>
            </w:r>
            <w:r>
              <w:rPr>
                <w:rFonts w:hint="eastAsia" w:ascii="黑体" w:hAnsi="黑体" w:eastAsia="黑体" w:cs="黑体"/>
                <w:color w:val="auto"/>
                <w:spacing w:val="-76"/>
                <w:sz w:val="28"/>
                <w:szCs w:val="28"/>
                <w:highlight w:val="none"/>
              </w:rPr>
              <w:t xml:space="preserve"> </w:t>
            </w:r>
            <w:r>
              <w:rPr>
                <w:rFonts w:hint="eastAsia" w:ascii="黑体" w:hAnsi="黑体" w:eastAsia="黑体" w:cs="黑体"/>
                <w:color w:val="auto"/>
                <w:spacing w:val="7"/>
                <w:sz w:val="28"/>
                <w:szCs w:val="28"/>
                <w:highlight w:val="none"/>
              </w:rPr>
              <w:t xml:space="preserve">、厕位间隔断采用≥12</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7"/>
                <w:sz w:val="28"/>
                <w:szCs w:val="28"/>
                <w:highlight w:val="none"/>
              </w:rPr>
              <w:t xml:space="preserve">厚新一代抗倍特</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z w:val="28"/>
                <w:szCs w:val="28"/>
                <w:highlight w:val="none"/>
              </w:rPr>
              <w:t xml:space="preserve">CJ</w:t>
            </w:r>
            <w:r>
              <w:rPr>
                <w:rFonts w:hint="eastAsia" w:ascii="黑体" w:hAnsi="黑体" w:eastAsia="黑体" w:cs="黑体"/>
                <w:color w:val="auto"/>
                <w:spacing w:val="9"/>
                <w:sz w:val="28"/>
                <w:szCs w:val="28"/>
                <w:highlight w:val="none"/>
              </w:rPr>
              <w:t xml:space="preserve">（纤维板</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pacing w:val="-74"/>
                <w:sz w:val="28"/>
                <w:szCs w:val="28"/>
                <w:highlight w:val="none"/>
              </w:rPr>
              <w:t xml:space="preserve"> </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pacing w:val="9"/>
                <w:sz w:val="28"/>
                <w:szCs w:val="28"/>
                <w:highlight w:val="none"/>
              </w:rPr>
              <w:t xml:space="preserve">密度≥1g/</w:t>
            </w:r>
            <w:r>
              <w:rPr>
                <w:rFonts w:hint="eastAsia" w:ascii="黑体" w:hAnsi="黑体" w:eastAsia="黑体" w:cs="黑体"/>
                <w:color w:val="auto"/>
                <w:sz w:val="28"/>
                <w:szCs w:val="28"/>
                <w:highlight w:val="none"/>
              </w:rPr>
              <w:t xml:space="preserve">cm</w:t>
            </w:r>
            <w:r>
              <w:rPr>
                <w:rFonts w:hint="eastAsia" w:ascii="黑体" w:hAnsi="黑体" w:eastAsia="黑体" w:cs="黑体"/>
                <w:color w:val="auto"/>
                <w:spacing w:val="9"/>
                <w:sz w:val="28"/>
                <w:szCs w:val="28"/>
                <w:highlight w:val="none"/>
              </w:rPr>
              <w:t xml:space="preserve">3，板内密度偏差（%）范</w:t>
            </w:r>
            <w:r>
              <w:rPr>
                <w:rFonts w:hint="eastAsia" w:ascii="黑体" w:hAnsi="黑体" w:eastAsia="黑体" w:cs="黑体"/>
                <w:color w:val="auto"/>
                <w:spacing w:val="1"/>
                <w:sz w:val="28"/>
                <w:szCs w:val="28"/>
                <w:highlight w:val="none"/>
              </w:rPr>
              <w:t xml:space="preserve">围±1</w:t>
            </w:r>
            <w:r>
              <w:rPr>
                <w:rFonts w:hint="eastAsia" w:ascii="黑体" w:hAnsi="黑体" w:eastAsia="黑体" w:cs="黑体"/>
                <w:color w:val="auto"/>
                <w:spacing w:val="-38"/>
                <w:sz w:val="28"/>
                <w:szCs w:val="28"/>
                <w:highlight w:val="none"/>
              </w:rPr>
              <w:t xml:space="preserve"> </w:t>
            </w:r>
            <w:r>
              <w:rPr>
                <w:rFonts w:hint="eastAsia" w:ascii="黑体" w:hAnsi="黑体" w:eastAsia="黑体" w:cs="黑体"/>
                <w:color w:val="auto"/>
                <w:spacing w:val="1"/>
                <w:sz w:val="28"/>
                <w:szCs w:val="28"/>
                <w:highlight w:val="none"/>
              </w:rPr>
              <w:t xml:space="preserve">以内，内结合强度平均值≥1.5</w:t>
            </w:r>
            <w:r>
              <w:rPr>
                <w:rFonts w:hint="eastAsia" w:ascii="黑体" w:hAnsi="黑体" w:eastAsia="黑体" w:cs="黑体"/>
                <w:color w:val="auto"/>
                <w:sz w:val="28"/>
                <w:szCs w:val="28"/>
                <w:highlight w:val="none"/>
              </w:rPr>
              <w:t xml:space="preserve">MPa</w:t>
            </w:r>
            <w:r>
              <w:rPr>
                <w:rFonts w:hint="eastAsia" w:ascii="黑体" w:hAnsi="黑体" w:eastAsia="黑体" w:cs="黑体"/>
                <w:color w:val="auto"/>
                <w:spacing w:val="1"/>
                <w:sz w:val="28"/>
                <w:szCs w:val="28"/>
                <w:highlight w:val="none"/>
              </w:rPr>
              <w:t xml:space="preserve">，内结</w:t>
            </w:r>
            <w:r>
              <w:rPr>
                <w:rFonts w:hint="eastAsia" w:ascii="黑体" w:hAnsi="黑体" w:eastAsia="黑体" w:cs="黑体"/>
                <w:color w:val="auto"/>
                <w:sz w:val="28"/>
                <w:szCs w:val="28"/>
                <w:highlight w:val="none"/>
              </w:rPr>
              <w:t xml:space="preserve">合强度</w:t>
            </w:r>
            <w:r>
              <w:rPr>
                <w:rFonts w:hint="eastAsia" w:ascii="黑体" w:hAnsi="黑体" w:eastAsia="黑体" w:cs="黑体"/>
                <w:color w:val="auto"/>
                <w:spacing w:val="-1"/>
                <w:sz w:val="28"/>
                <w:szCs w:val="28"/>
                <w:highlight w:val="none"/>
              </w:rPr>
              <w:t xml:space="preserve">最小值≥1.2MPa，甲醛释放量</w:t>
            </w:r>
            <w:r>
              <w:rPr>
                <w:rFonts w:hint="eastAsia" w:ascii="黑体" w:hAnsi="黑体" w:eastAsia="黑体" w:cs="黑体"/>
                <w:color w:val="auto"/>
                <w:spacing w:val="-37"/>
                <w:sz w:val="28"/>
                <w:szCs w:val="28"/>
                <w:highlight w:val="none"/>
              </w:rPr>
              <w:t xml:space="preserve"> </w:t>
            </w:r>
            <w:r>
              <w:rPr>
                <w:rFonts w:hint="eastAsia" w:ascii="黑体" w:hAnsi="黑体" w:eastAsia="黑体" w:cs="黑体"/>
                <w:color w:val="auto"/>
                <w:spacing w:val="-1"/>
                <w:sz w:val="28"/>
                <w:szCs w:val="28"/>
                <w:highlight w:val="none"/>
              </w:rPr>
              <w:t xml:space="preserve">120h</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1"/>
                <w:sz w:val="28"/>
                <w:szCs w:val="28"/>
                <w:highlight w:val="none"/>
              </w:rPr>
              <w:t xml:space="preserve">内≤0.06mg/m³的合</w:t>
            </w:r>
            <w:r>
              <w:rPr>
                <w:rFonts w:hint="eastAsia" w:ascii="黑体" w:hAnsi="黑体" w:eastAsia="黑体" w:cs="黑体"/>
                <w:color w:val="auto"/>
                <w:spacing w:val="-3"/>
                <w:sz w:val="28"/>
                <w:szCs w:val="28"/>
                <w:highlight w:val="none"/>
              </w:rPr>
              <w:t xml:space="preserve">格产品；</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153"/>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1235"/>
        </w:trPr>
        <w:tc>
          <w:tcPr>
            <w:tcW w:w="159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0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（七）</w:t>
            </w:r>
            <w:r/>
          </w:p>
          <w:p>
            <w:pPr>
              <w:ind w:left="241" w:right="233"/>
              <w:jc w:val="right"/>
              <w:spacing w:before="12"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外装饰材</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料要求</w:t>
            </w:r>
            <w:r/>
          </w:p>
        </w:tc>
        <w:tc>
          <w:tcPr>
            <w:tcW w:w="6932" w:type="dxa"/>
            <w:textDirection w:val="lrTb"/>
            <w:noWrap w:val="false"/>
          </w:tcPr>
          <w:p>
            <w:pPr>
              <w:ind w:left="110" w:right="380" w:firstLine="3"/>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采用真石漆喷涂、铝单板，颜色需经招标人确认后方</w:t>
            </w:r>
            <w:r>
              <w:rPr>
                <w:rFonts w:hint="eastAsia" w:ascii="黑体" w:hAnsi="黑体" w:eastAsia="黑体" w:cs="黑体"/>
                <w:color w:val="auto"/>
                <w:spacing w:val="14"/>
                <w:sz w:val="28"/>
                <w:szCs w:val="28"/>
                <w:highlight w:val="none"/>
              </w:rPr>
              <w:t xml:space="preserve"> </w:t>
            </w:r>
            <w:r>
              <w:rPr>
                <w:rFonts w:hint="eastAsia" w:ascii="黑体" w:hAnsi="黑体" w:eastAsia="黑体" w:cs="黑体"/>
                <w:color w:val="auto"/>
                <w:sz w:val="28"/>
                <w:szCs w:val="28"/>
                <w:highlight w:val="none"/>
              </w:rPr>
              <w:t xml:space="preserve">可施工。</w:t>
            </w:r>
            <w:r/>
          </w:p>
        </w:tc>
      </w:tr>
      <w:tr>
        <w:trPr>
          <w:trHeight w:val="4083"/>
        </w:trPr>
        <w:tc>
          <w:tcPr>
            <w:tcW w:w="159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（八）</w:t>
            </w:r>
            <w:r/>
          </w:p>
          <w:p>
            <w:pPr>
              <w:ind w:left="259"/>
              <w:spacing w:before="73"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门窗配置</w:t>
            </w:r>
            <w:r/>
          </w:p>
          <w:p>
            <w:pPr>
              <w:ind w:left="522"/>
              <w:spacing w:before="79"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right="146"/>
              <w:spacing w:before="46"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1、女厕、男厕、管理间、第三卫生间均需配置门窗</w:t>
            </w:r>
            <w:r>
              <w:rPr>
                <w:rFonts w:hint="eastAsia" w:ascii="黑体" w:hAnsi="黑体" w:eastAsia="黑体" w:cs="黑体"/>
                <w:color w:val="auto"/>
                <w:spacing w:val="-2"/>
                <w:sz w:val="28"/>
                <w:szCs w:val="28"/>
                <w:highlight w:val="none"/>
              </w:rPr>
              <w:t xml:space="preserve">，门窗尺寸依据平面图纸绘制。</w:t>
            </w:r>
            <w:r/>
          </w:p>
          <w:p>
            <w:pPr>
              <w:ind w:right="104"/>
              <w:spacing w:before="219"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2、门</w:t>
            </w:r>
            <w:r>
              <w:rPr>
                <w:rFonts w:hint="eastAsia" w:ascii="黑体" w:hAnsi="黑体" w:eastAsia="黑体" w:cs="黑体"/>
                <w:color w:val="auto"/>
                <w:spacing w:val="-80"/>
                <w:sz w:val="28"/>
                <w:szCs w:val="28"/>
                <w:highlight w:val="none"/>
              </w:rPr>
              <w:t xml:space="preserve"> </w:t>
            </w:r>
            <w:r>
              <w:rPr>
                <w:rFonts w:hint="eastAsia" w:ascii="黑体" w:hAnsi="黑体" w:eastAsia="黑体" w:cs="黑体"/>
                <w:color w:val="auto"/>
                <w:spacing w:val="3"/>
                <w:sz w:val="28"/>
                <w:szCs w:val="28"/>
                <w:highlight w:val="none"/>
              </w:rPr>
              <w:t xml:space="preserve">：厕所入户大门选用钢化玻璃门或电动卷帘</w:t>
            </w:r>
            <w:r>
              <w:rPr>
                <w:rFonts w:hint="eastAsia" w:ascii="黑体" w:hAnsi="黑体" w:eastAsia="黑体" w:cs="黑体"/>
                <w:color w:val="auto"/>
                <w:spacing w:val="11"/>
                <w:sz w:val="28"/>
                <w:szCs w:val="28"/>
                <w:highlight w:val="none"/>
              </w:rPr>
              <w:t xml:space="preserve">门（按招标人要求配置）；厕所内部男女厕间、管理间、第三</w:t>
            </w:r>
            <w:r>
              <w:rPr>
                <w:rFonts w:hint="eastAsia" w:ascii="黑体" w:hAnsi="黑体" w:eastAsia="黑体" w:cs="黑体"/>
                <w:color w:val="auto"/>
                <w:spacing w:val="-1"/>
                <w:sz w:val="28"/>
                <w:szCs w:val="28"/>
                <w:highlight w:val="none"/>
              </w:rPr>
              <w:t xml:space="preserve">卫生间、驿站等的门，选用优质金属复合门。</w:t>
            </w:r>
            <w:r/>
          </w:p>
          <w:p>
            <w:pPr>
              <w:ind w:right="104"/>
              <w:spacing w:before="219"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3、窗：窗户选用优质铝合金材质，窗户大小需做</w:t>
            </w:r>
            <w:r>
              <w:rPr>
                <w:rFonts w:hint="eastAsia" w:ascii="黑体" w:hAnsi="黑体" w:eastAsia="黑体" w:cs="黑体"/>
                <w:color w:val="auto"/>
                <w:spacing w:val="11"/>
                <w:sz w:val="28"/>
                <w:szCs w:val="28"/>
                <w:highlight w:val="none"/>
              </w:rPr>
              <w:t xml:space="preserve">到在满足自然通风条件的基础上做到隐蔽性，保护如</w:t>
            </w:r>
            <w:r>
              <w:rPr>
                <w:rFonts w:hint="eastAsia" w:ascii="黑体" w:hAnsi="黑体" w:eastAsia="黑体" w:cs="黑体"/>
                <w:color w:val="auto"/>
                <w:spacing w:val="15"/>
                <w:sz w:val="28"/>
                <w:szCs w:val="28"/>
                <w:highlight w:val="none"/>
              </w:rPr>
              <w:t xml:space="preserve"> </w:t>
            </w:r>
            <w:r>
              <w:rPr>
                <w:rFonts w:hint="eastAsia" w:ascii="黑体" w:hAnsi="黑体" w:eastAsia="黑体" w:cs="黑体"/>
                <w:color w:val="auto"/>
                <w:spacing w:val="-1"/>
                <w:sz w:val="28"/>
                <w:szCs w:val="28"/>
                <w:highlight w:val="none"/>
              </w:rPr>
              <w:t xml:space="preserve">厕人员的隐私安全；高位窗要有防蚊纱窗。</w:t>
            </w:r>
            <w:r/>
          </w:p>
        </w:tc>
      </w:tr>
      <w:tr>
        <w:trPr>
          <w:trHeight w:val="2105"/>
        </w:trPr>
        <w:tc>
          <w:tcPr>
            <w:tcBorders>
              <w:bottom w:val="none" w:color="000000" w:sz="4" w:space="0"/>
            </w:tcBorders>
            <w:tcW w:w="1592" w:type="dxa"/>
            <w:vMerge w:val="restart"/>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577"/>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8"/>
                <w:sz w:val="28"/>
                <w:szCs w:val="28"/>
                <w:highlight w:val="none"/>
              </w:rPr>
              <w:t xml:space="preserve">(九)</w:t>
            </w:r>
            <w:r/>
          </w:p>
          <w:p>
            <w:pPr>
              <w:ind w:left="244" w:right="233" w:hanging="3"/>
              <w:spacing w:before="80"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厕间内部</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配置要求</w:t>
            </w:r>
            <w:r/>
          </w:p>
        </w:tc>
        <w:tc>
          <w:tcPr>
            <w:tcW w:w="6932" w:type="dxa"/>
            <w:textDirection w:val="lrTb"/>
            <w:noWrap w:val="false"/>
          </w:tcPr>
          <w:p>
            <w:pPr>
              <w:ind w:left="129"/>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1.男厕间配置</w:t>
            </w:r>
            <w:r/>
          </w:p>
          <w:p>
            <w:pPr>
              <w:ind w:left="113" w:right="104" w:firstLine="8"/>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2匹</w:t>
            </w:r>
            <w:r>
              <w:rPr>
                <w:rFonts w:hint="eastAsia" w:ascii="黑体" w:hAnsi="黑体" w:eastAsia="黑体" w:cs="黑体"/>
                <w:color w:val="auto"/>
                <w:spacing w:val="-3"/>
                <w:sz w:val="28"/>
                <w:szCs w:val="28"/>
                <w:highlight w:val="none"/>
              </w:rPr>
              <w:t xml:space="preserve">空调一台、</w:t>
            </w:r>
            <w:r>
              <w:rPr>
                <w:rFonts w:hint="eastAsia" w:ascii="黑体" w:hAnsi="黑体" w:eastAsia="黑体" w:cs="黑体"/>
                <w:color w:val="auto"/>
                <w:spacing w:val="11"/>
                <w:sz w:val="28"/>
                <w:szCs w:val="28"/>
                <w:highlight w:val="none"/>
              </w:rPr>
              <w:t xml:space="preserve">陶瓷感应蹲便器、陶瓷常规水冲式坐便器、挂墙感应式陶瓷小便器、小便斗下方配置不锈钢长条地漏（不</w:t>
            </w:r>
            <w:r>
              <w:rPr>
                <w:rFonts w:hint="eastAsia" w:ascii="黑体" w:hAnsi="黑体" w:eastAsia="黑体" w:cs="黑体"/>
                <w:color w:val="auto"/>
                <w:spacing w:val="5"/>
                <w:sz w:val="28"/>
                <w:szCs w:val="28"/>
                <w:highlight w:val="none"/>
              </w:rPr>
              <w:t xml:space="preserve">小于</w:t>
            </w:r>
            <w:r>
              <w:rPr>
                <w:rFonts w:hint="eastAsia" w:ascii="黑体" w:hAnsi="黑体" w:eastAsia="黑体" w:cs="黑体"/>
                <w:color w:val="auto"/>
                <w:spacing w:val="-53"/>
                <w:sz w:val="28"/>
                <w:szCs w:val="28"/>
                <w:highlight w:val="none"/>
              </w:rPr>
              <w:t xml:space="preserve"> </w:t>
            </w:r>
            <w:r>
              <w:rPr>
                <w:rFonts w:hint="eastAsia" w:ascii="黑体" w:hAnsi="黑体" w:eastAsia="黑体" w:cs="黑体"/>
                <w:color w:val="auto"/>
                <w:spacing w:val="5"/>
                <w:sz w:val="28"/>
                <w:szCs w:val="28"/>
                <w:highlight w:val="none"/>
              </w:rPr>
              <w:t xml:space="preserve">80*500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5"/>
                <w:sz w:val="28"/>
                <w:szCs w:val="28"/>
                <w:highlight w:val="none"/>
              </w:rPr>
              <w:t xml:space="preserve">）</w:t>
            </w:r>
            <w:r>
              <w:rPr>
                <w:rFonts w:hint="eastAsia" w:ascii="黑体" w:hAnsi="黑体" w:eastAsia="黑体" w:cs="黑体"/>
                <w:color w:val="auto"/>
                <w:spacing w:val="-81"/>
                <w:sz w:val="28"/>
                <w:szCs w:val="28"/>
                <w:highlight w:val="none"/>
              </w:rPr>
              <w:t xml:space="preserve"> </w:t>
            </w:r>
            <w:r>
              <w:rPr>
                <w:rFonts w:hint="eastAsia" w:ascii="黑体" w:hAnsi="黑体" w:eastAsia="黑体" w:cs="黑体"/>
                <w:color w:val="auto"/>
                <w:spacing w:val="5"/>
                <w:sz w:val="28"/>
                <w:szCs w:val="28"/>
                <w:highlight w:val="none"/>
              </w:rPr>
              <w:t xml:space="preserve">、不锈钢置物架、纸篓</w:t>
            </w:r>
            <w:r>
              <w:rPr>
                <w:rFonts w:hint="eastAsia" w:ascii="黑体" w:hAnsi="黑体" w:eastAsia="黑体" w:cs="黑体"/>
                <w:color w:val="auto"/>
                <w:spacing w:val="4"/>
                <w:sz w:val="28"/>
                <w:szCs w:val="28"/>
                <w:highlight w:val="none"/>
              </w:rPr>
              <w:t xml:space="preserve">、不锈钢衣帽</w:t>
            </w:r>
            <w:r>
              <w:rPr>
                <w:rFonts w:hint="eastAsia" w:ascii="黑体" w:hAnsi="黑体" w:eastAsia="黑体" w:cs="黑体"/>
                <w:color w:val="auto"/>
                <w:spacing w:val="-1"/>
                <w:sz w:val="28"/>
                <w:szCs w:val="28"/>
                <w:highlight w:val="none"/>
              </w:rPr>
              <w:t xml:space="preserve">钩、抗菌扶手等。</w:t>
            </w:r>
            <w:r/>
          </w:p>
        </w:tc>
      </w:tr>
      <w:tr>
        <w:trPr>
          <w:trHeight w:val="2028"/>
        </w:trPr>
        <w:tc>
          <w:tcPr>
            <w:tcBorders>
              <w:top w:val="none" w:color="000000" w:sz="4" w:space="0"/>
              <w:bottom w:val="none" w:color="000000" w:sz="4" w:space="0"/>
            </w:tcBorders>
            <w:tcW w:w="1592" w:type="dxa"/>
            <w:vMerge w:val="continue"/>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numPr>
                <w:ilvl w:val="0"/>
                <w:numId w:val="3"/>
              </w:numPr>
              <w:ind w:left="113"/>
              <w:spacing w:before="45" w:line="288" w:lineRule="auto"/>
              <w:rPr>
                <w:rFonts w:ascii="黑体" w:hAnsi="黑体" w:eastAsia="黑体" w:cs="黑体"/>
                <w:color w:val="auto"/>
                <w:spacing w:val="-2"/>
                <w:sz w:val="28"/>
                <w:szCs w:val="28"/>
                <w:highlight w:val="none"/>
              </w:rPr>
            </w:pPr>
            <w:r>
              <w:rPr>
                <w:rFonts w:hint="eastAsia" w:ascii="黑体" w:hAnsi="黑体" w:eastAsia="黑体" w:cs="黑体"/>
                <w:color w:val="auto"/>
                <w:spacing w:val="-2"/>
                <w:sz w:val="28"/>
                <w:szCs w:val="28"/>
                <w:highlight w:val="none"/>
              </w:rPr>
              <w:t xml:space="preserve">女厕间配置</w:t>
            </w:r>
            <w:r/>
          </w:p>
          <w:p>
            <w:pPr>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2匹</w:t>
            </w:r>
            <w:r>
              <w:rPr>
                <w:rFonts w:hint="eastAsia" w:ascii="黑体" w:hAnsi="黑体" w:eastAsia="黑体" w:cs="黑体"/>
                <w:color w:val="auto"/>
                <w:spacing w:val="-3"/>
                <w:sz w:val="28"/>
                <w:szCs w:val="28"/>
                <w:highlight w:val="none"/>
              </w:rPr>
              <w:t xml:space="preserve">空调一台、</w:t>
            </w:r>
            <w:r>
              <w:rPr>
                <w:rFonts w:hint="eastAsia" w:ascii="黑体" w:hAnsi="黑体" w:eastAsia="黑体" w:cs="黑体"/>
                <w:color w:val="auto"/>
                <w:spacing w:val="11"/>
                <w:sz w:val="28"/>
                <w:szCs w:val="28"/>
                <w:highlight w:val="none"/>
              </w:rPr>
              <w:t xml:space="preserve">陶瓷感应蹲便器、陶瓷常规水冲式坐便器、不锈钢置物架、纸篓、不锈钢衣帽钩、抗菌扶手、不锈钢地漏</w:t>
            </w:r>
            <w:r>
              <w:rPr>
                <w:rFonts w:hint="eastAsia" w:ascii="黑体" w:hAnsi="黑体" w:eastAsia="黑体" w:cs="黑体"/>
                <w:color w:val="auto"/>
                <w:spacing w:val="-4"/>
                <w:sz w:val="28"/>
                <w:szCs w:val="28"/>
                <w:highlight w:val="none"/>
              </w:rPr>
              <w:t xml:space="preserve">等。</w:t>
            </w:r>
            <w:r/>
          </w:p>
        </w:tc>
      </w:tr>
      <w:tr>
        <w:trPr>
          <w:trHeight w:val="1877"/>
        </w:trPr>
        <w:tc>
          <w:tcPr>
            <w:tcBorders>
              <w:top w:val="none" w:color="000000" w:sz="4" w:space="0"/>
            </w:tcBorders>
            <w:tcW w:w="1592" w:type="dxa"/>
            <w:vMerge w:val="continue"/>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15"/>
              <w:spacing w:before="46"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3.第三卫生间配置</w:t>
            </w:r>
            <w:r/>
          </w:p>
          <w:p>
            <w:pPr>
              <w:ind w:left="116" w:right="104" w:firstLine="4"/>
              <w:spacing w:before="208"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1.5匹</w:t>
            </w:r>
            <w:r>
              <w:rPr>
                <w:rFonts w:hint="eastAsia" w:ascii="黑体" w:hAnsi="黑体" w:eastAsia="黑体" w:cs="黑体"/>
                <w:color w:val="auto"/>
                <w:spacing w:val="-3"/>
                <w:sz w:val="28"/>
                <w:szCs w:val="28"/>
                <w:highlight w:val="none"/>
              </w:rPr>
              <w:t xml:space="preserve">空调一台、</w:t>
            </w:r>
            <w:r>
              <w:rPr>
                <w:rFonts w:hint="eastAsia" w:ascii="黑体" w:hAnsi="黑体" w:eastAsia="黑体" w:cs="黑体"/>
                <w:color w:val="auto"/>
                <w:spacing w:val="18"/>
                <w:sz w:val="28"/>
                <w:szCs w:val="28"/>
                <w:highlight w:val="none"/>
              </w:rPr>
              <w:t xml:space="preserve">无障碍陶瓷坐便器</w:t>
            </w:r>
            <w:r>
              <w:rPr>
                <w:rFonts w:hint="eastAsia" w:ascii="黑体" w:hAnsi="黑体" w:eastAsia="黑体" w:cs="黑体"/>
                <w:color w:val="auto"/>
                <w:spacing w:val="-63"/>
                <w:sz w:val="28"/>
                <w:szCs w:val="28"/>
                <w:highlight w:val="none"/>
              </w:rPr>
              <w:t xml:space="preserve"> </w:t>
            </w:r>
            <w:r>
              <w:rPr>
                <w:rFonts w:hint="eastAsia" w:ascii="黑体" w:hAnsi="黑体" w:eastAsia="黑体" w:cs="黑体"/>
                <w:color w:val="auto"/>
                <w:spacing w:val="18"/>
                <w:sz w:val="28"/>
                <w:szCs w:val="28"/>
                <w:highlight w:val="none"/>
              </w:rPr>
              <w:t xml:space="preserve">、无障碍陶瓷洗手盆</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8"/>
                <w:sz w:val="28"/>
                <w:szCs w:val="28"/>
                <w:highlight w:val="none"/>
              </w:rPr>
              <w:t xml:space="preserve">、儿童洗手</w:t>
            </w:r>
            <w:r>
              <w:rPr>
                <w:rFonts w:hint="eastAsia" w:ascii="黑体" w:hAnsi="黑体" w:eastAsia="黑体" w:cs="黑体"/>
                <w:color w:val="auto"/>
                <w:spacing w:val="15"/>
                <w:sz w:val="28"/>
                <w:szCs w:val="28"/>
                <w:highlight w:val="none"/>
              </w:rPr>
              <w:t xml:space="preserve">盆</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5"/>
                <w:sz w:val="28"/>
                <w:szCs w:val="28"/>
                <w:highlight w:val="none"/>
              </w:rPr>
              <w:t xml:space="preserve">、感应水龙头铜合金材质</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、整容镜尺</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、感应烘手</w:t>
            </w:r>
            <w:r>
              <w:rPr>
                <w:rFonts w:hint="eastAsia" w:ascii="黑体" w:hAnsi="黑体" w:eastAsia="黑体" w:cs="黑体"/>
                <w:color w:val="auto"/>
                <w:spacing w:val="8"/>
                <w:sz w:val="28"/>
                <w:szCs w:val="28"/>
                <w:highlight w:val="none"/>
              </w:rPr>
              <w:t xml:space="preserve">器、折叠型婴儿多功能台（婴儿护理台）</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8"/>
                <w:sz w:val="28"/>
                <w:szCs w:val="28"/>
                <w:highlight w:val="none"/>
              </w:rPr>
              <w:t xml:space="preserve">、儿童陶瓷</w:t>
            </w:r>
            <w:r>
              <w:rPr>
                <w:rFonts w:hint="eastAsia" w:ascii="黑体" w:hAnsi="黑体" w:eastAsia="黑体" w:cs="黑体"/>
                <w:color w:val="auto"/>
                <w:spacing w:val="1"/>
                <w:sz w:val="28"/>
                <w:szCs w:val="28"/>
                <w:highlight w:val="none"/>
              </w:rPr>
              <w:t xml:space="preserve">坐便器（尺寸不小于</w:t>
            </w:r>
            <w:r>
              <w:rPr>
                <w:rFonts w:hint="eastAsia" w:ascii="黑体" w:hAnsi="黑体" w:eastAsia="黑体" w:cs="黑体"/>
                <w:color w:val="auto"/>
                <w:spacing w:val="-50"/>
                <w:sz w:val="28"/>
                <w:szCs w:val="28"/>
                <w:highlight w:val="none"/>
              </w:rPr>
              <w:t xml:space="preserve"> </w:t>
            </w:r>
            <w:r>
              <w:rPr>
                <w:rFonts w:hint="eastAsia" w:ascii="黑体" w:hAnsi="黑体" w:eastAsia="黑体" w:cs="黑体"/>
                <w:color w:val="auto"/>
                <w:spacing w:val="1"/>
                <w:sz w:val="28"/>
                <w:szCs w:val="28"/>
                <w:highlight w:val="none"/>
              </w:rPr>
              <w:t xml:space="preserve">350*260*350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1"/>
                <w:sz w:val="28"/>
                <w:szCs w:val="28"/>
                <w:highlight w:val="none"/>
              </w:rPr>
              <w:t xml:space="preserve">）、儿童陶瓷小便</w:t>
            </w:r>
            <w:r>
              <w:rPr>
                <w:rFonts w:hint="eastAsia" w:ascii="黑体" w:hAnsi="黑体" w:eastAsia="黑体" w:cs="黑体"/>
                <w:color w:val="auto"/>
                <w:spacing w:val="6"/>
                <w:sz w:val="28"/>
                <w:szCs w:val="28"/>
                <w:highlight w:val="none"/>
              </w:rPr>
              <w:t xml:space="preserve">器(尺寸不小于</w:t>
            </w:r>
            <w:r>
              <w:rPr>
                <w:rFonts w:hint="eastAsia" w:ascii="黑体" w:hAnsi="黑体" w:eastAsia="黑体" w:cs="黑体"/>
                <w:color w:val="auto"/>
                <w:spacing w:val="-27"/>
                <w:sz w:val="28"/>
                <w:szCs w:val="28"/>
                <w:highlight w:val="none"/>
              </w:rPr>
              <w:t xml:space="preserve"> </w:t>
            </w:r>
            <w:r>
              <w:rPr>
                <w:rFonts w:hint="eastAsia" w:ascii="黑体" w:hAnsi="黑体" w:eastAsia="黑体" w:cs="黑体"/>
                <w:color w:val="auto"/>
                <w:spacing w:val="6"/>
                <w:sz w:val="28"/>
                <w:szCs w:val="28"/>
                <w:highlight w:val="none"/>
              </w:rPr>
              <w:t xml:space="preserve">200*290*400</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6"/>
                <w:sz w:val="28"/>
                <w:szCs w:val="28"/>
                <w:highlight w:val="none"/>
              </w:rPr>
              <w:t xml:space="preserve">)</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6"/>
                <w:sz w:val="28"/>
                <w:szCs w:val="28"/>
                <w:highlight w:val="none"/>
              </w:rPr>
              <w:t xml:space="preserve">、儿童安全座椅</w:t>
            </w:r>
            <w:r>
              <w:rPr>
                <w:rFonts w:hint="eastAsia" w:ascii="黑体" w:hAnsi="黑体" w:eastAsia="黑体" w:cs="黑体"/>
                <w:color w:val="auto"/>
                <w:spacing w:val="-78"/>
                <w:sz w:val="28"/>
                <w:szCs w:val="28"/>
                <w:highlight w:val="none"/>
              </w:rPr>
              <w:t xml:space="preserve"> </w:t>
            </w:r>
            <w:r>
              <w:rPr>
                <w:rFonts w:hint="eastAsia" w:ascii="黑体" w:hAnsi="黑体" w:eastAsia="黑体" w:cs="黑体"/>
                <w:color w:val="auto"/>
                <w:spacing w:val="6"/>
                <w:sz w:val="28"/>
                <w:szCs w:val="28"/>
                <w:highlight w:val="none"/>
              </w:rPr>
              <w:t xml:space="preserve">、纸</w:t>
            </w:r>
            <w:r>
              <w:rPr>
                <w:rFonts w:hint="eastAsia" w:ascii="黑体" w:hAnsi="黑体" w:eastAsia="黑体" w:cs="黑体"/>
                <w:color w:val="auto"/>
                <w:spacing w:val="-1"/>
                <w:sz w:val="28"/>
                <w:szCs w:val="28"/>
                <w:highlight w:val="none"/>
              </w:rPr>
              <w:t xml:space="preserve">篓、不锈钢地漏、应急求助按钮。</w:t>
            </w:r>
            <w:r/>
          </w:p>
        </w:tc>
      </w:tr>
      <w:tr>
        <w:trPr>
          <w:trHeight w:val="1877"/>
        </w:trPr>
        <w:tc>
          <w:tcPr>
            <w:tcW w:w="1592" w:type="dxa"/>
            <w:vMerge w:val="continue"/>
            <w:textDirection w:val="lrTb"/>
            <w:noWrap w:val="false"/>
          </w:tcPr>
          <w:p>
            <w:pPr>
              <w:ind w:left="116" w:right="104" w:firstLine="4"/>
              <w:spacing w:before="208" w:line="288" w:lineRule="auto"/>
              <w:rPr>
                <w:rFonts w:ascii="黑体" w:hAnsi="黑体" w:eastAsia="黑体" w:cs="黑体"/>
                <w:color w:val="auto"/>
                <w:highlight w:val="none"/>
              </w:rPr>
            </w:pPr>
            <w:r>
              <w:rPr>
                <w:rFonts w:ascii="黑体" w:hAnsi="黑体" w:eastAsia="黑体" w:cs="黑体"/>
                <w:color w:val="auto"/>
                <w:highlight w:val="none"/>
              </w:rPr>
            </w:r>
            <w:r/>
          </w:p>
        </w:tc>
        <w:tc>
          <w:tcPr>
            <w:tcW w:w="6932" w:type="dxa"/>
            <w:textDirection w:val="lrTb"/>
            <w:noWrap w:val="false"/>
          </w:tcPr>
          <w:p>
            <w:pPr>
              <w:ind w:left="107"/>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4.厕间洁具</w:t>
            </w:r>
            <w:r/>
          </w:p>
          <w:p>
            <w:pPr>
              <w:ind w:left="120" w:right="156" w:firstLine="6"/>
              <w:spacing w:before="324"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小便斗为挂墙式，</w:t>
            </w:r>
            <w:r>
              <w:rPr>
                <w:rFonts w:hint="eastAsia" w:ascii="黑体" w:hAnsi="黑体" w:eastAsia="黑体" w:cs="黑体"/>
                <w:color w:val="auto"/>
                <w:spacing w:val="-66"/>
                <w:sz w:val="28"/>
                <w:szCs w:val="28"/>
                <w:highlight w:val="none"/>
              </w:rPr>
              <w:t xml:space="preserve"> </w:t>
            </w:r>
            <w:r>
              <w:rPr>
                <w:rFonts w:hint="eastAsia" w:ascii="黑体" w:hAnsi="黑体" w:eastAsia="黑体" w:cs="黑体"/>
                <w:color w:val="auto"/>
                <w:spacing w:val="3"/>
                <w:sz w:val="28"/>
                <w:szCs w:val="28"/>
                <w:highlight w:val="none"/>
              </w:rPr>
              <w:t xml:space="preserve">自带防臭存水弯，</w:t>
            </w:r>
            <w:r>
              <w:rPr>
                <w:rFonts w:hint="eastAsia" w:ascii="黑体" w:hAnsi="黑体" w:eastAsia="黑体" w:cs="黑体"/>
                <w:color w:val="auto"/>
                <w:spacing w:val="-81"/>
                <w:sz w:val="28"/>
                <w:szCs w:val="28"/>
                <w:highlight w:val="none"/>
              </w:rPr>
              <w:t xml:space="preserve"> </w:t>
            </w:r>
            <w:r>
              <w:rPr>
                <w:rFonts w:hint="eastAsia" w:ascii="黑体" w:hAnsi="黑体" w:eastAsia="黑体" w:cs="黑体"/>
                <w:color w:val="auto"/>
                <w:spacing w:val="3"/>
                <w:sz w:val="28"/>
                <w:szCs w:val="28"/>
                <w:highlight w:val="none"/>
              </w:rPr>
              <w:t xml:space="preserve">自动感应出水；</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坐便器采用落地马桶；</w:t>
            </w:r>
            <w:r/>
          </w:p>
          <w:p>
            <w:pPr>
              <w:ind w:left="116" w:right="104" w:firstLine="4"/>
              <w:spacing w:before="208"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9"/>
                <w:sz w:val="28"/>
                <w:szCs w:val="28"/>
                <w:highlight w:val="none"/>
              </w:rPr>
              <w:t xml:space="preserve">蹲便器自带防臭存水弯，</w:t>
            </w:r>
            <w:r>
              <w:rPr>
                <w:rFonts w:hint="eastAsia" w:ascii="黑体" w:hAnsi="黑体" w:eastAsia="黑体" w:cs="黑体"/>
                <w:color w:val="auto"/>
                <w:spacing w:val="-79"/>
                <w:sz w:val="28"/>
                <w:szCs w:val="28"/>
                <w:highlight w:val="none"/>
              </w:rPr>
              <w:t xml:space="preserve"> </w:t>
            </w:r>
            <w:r>
              <w:rPr>
                <w:rFonts w:hint="eastAsia" w:ascii="黑体" w:hAnsi="黑体" w:eastAsia="黑体" w:cs="黑体"/>
                <w:color w:val="auto"/>
                <w:spacing w:val="9"/>
                <w:sz w:val="28"/>
                <w:szCs w:val="28"/>
                <w:highlight w:val="none"/>
              </w:rPr>
              <w:t xml:space="preserve">自动感应冲水。洁具品牌建</w:t>
            </w:r>
            <w:r>
              <w:rPr>
                <w:rFonts w:hint="eastAsia" w:ascii="黑体" w:hAnsi="黑体" w:eastAsia="黑体" w:cs="黑体"/>
                <w:color w:val="auto"/>
                <w:spacing w:val="10"/>
                <w:sz w:val="28"/>
                <w:szCs w:val="28"/>
                <w:highlight w:val="none"/>
              </w:rPr>
              <w:t xml:space="preserve">议为箭牌、九牧、美的（仅作参考</w:t>
            </w:r>
            <w:r>
              <w:rPr>
                <w:rFonts w:hint="eastAsia" w:ascii="黑体" w:hAnsi="黑体" w:eastAsia="黑体" w:cs="黑体"/>
                <w:color w:val="auto"/>
                <w:spacing w:val="-2"/>
                <w:sz w:val="28"/>
                <w:szCs w:val="28"/>
                <w:highlight w:val="none"/>
              </w:rPr>
              <w:t xml:space="preserve">）</w:t>
            </w:r>
            <w:r>
              <w:rPr>
                <w:rFonts w:hint="eastAsia" w:ascii="黑体" w:hAnsi="黑体" w:eastAsia="黑体" w:cs="黑体"/>
                <w:color w:val="auto"/>
                <w:spacing w:val="-78"/>
                <w:sz w:val="28"/>
                <w:szCs w:val="28"/>
                <w:highlight w:val="none"/>
              </w:rPr>
              <w:t xml:space="preserve"> </w:t>
            </w:r>
            <w:r>
              <w:rPr>
                <w:rFonts w:hint="eastAsia" w:ascii="黑体" w:hAnsi="黑体" w:eastAsia="黑体" w:cs="黑体"/>
                <w:color w:val="auto"/>
                <w:spacing w:val="-2"/>
                <w:sz w:val="28"/>
                <w:szCs w:val="28"/>
                <w:highlight w:val="none"/>
              </w:rPr>
              <w:t xml:space="preserve">，</w:t>
            </w:r>
            <w:r>
              <w:rPr>
                <w:rFonts w:hint="eastAsia" w:ascii="黑体" w:hAnsi="黑体" w:eastAsia="黑体" w:cs="黑体"/>
                <w:color w:val="auto"/>
                <w:spacing w:val="10"/>
                <w:sz w:val="28"/>
                <w:szCs w:val="28"/>
                <w:highlight w:val="none"/>
              </w:rPr>
              <w:t xml:space="preserve">投标单位所投标</w:t>
            </w:r>
            <w:r>
              <w:rPr>
                <w:rFonts w:hint="eastAsia" w:ascii="黑体" w:hAnsi="黑体" w:eastAsia="黑体" w:cs="黑体"/>
                <w:color w:val="auto"/>
                <w:spacing w:val="-1"/>
                <w:sz w:val="28"/>
                <w:szCs w:val="28"/>
                <w:highlight w:val="none"/>
              </w:rPr>
              <w:t xml:space="preserve">产品品牌档次（性能、质量要求）不低于上述。</w:t>
            </w:r>
            <w:r/>
          </w:p>
        </w:tc>
      </w:tr>
    </w:tbl>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153"/>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1638"/>
        </w:trPr>
        <w:tc>
          <w:tcPr>
            <w:tcW w:w="1592" w:type="dxa"/>
            <w:textDirection w:val="lrTb"/>
            <w:noWrap w:val="false"/>
          </w:tcPr>
          <w:p>
            <w:pPr>
              <w:ind w:left="404"/>
              <w:spacing w:before="285"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（十）</w:t>
            </w:r>
            <w:r/>
          </w:p>
          <w:p>
            <w:pPr>
              <w:ind w:left="245"/>
              <w:spacing w:before="75"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公共区域</w:t>
            </w:r>
            <w:r/>
          </w:p>
          <w:p>
            <w:pPr>
              <w:ind w:left="525"/>
              <w:spacing w:before="82"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配置</w:t>
            </w:r>
            <w:r/>
          </w:p>
        </w:tc>
        <w:tc>
          <w:tcPr>
            <w:tcW w:w="6932" w:type="dxa"/>
            <w:textDirection w:val="lrTb"/>
            <w:noWrap w:val="false"/>
          </w:tcPr>
          <w:p>
            <w:pPr>
              <w:ind w:left="113" w:right="446" w:firstLine="1"/>
              <w:spacing w:before="42"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烘手器、洗手台盆（含柜体）+面容镜+感应水</w:t>
            </w:r>
            <w:r>
              <w:rPr>
                <w:rFonts w:hint="eastAsia" w:ascii="黑体" w:hAnsi="黑体" w:eastAsia="黑体" w:cs="黑体"/>
                <w:color w:val="auto"/>
                <w:spacing w:val="-4"/>
                <w:sz w:val="28"/>
                <w:szCs w:val="28"/>
                <w:highlight w:val="none"/>
              </w:rPr>
              <w:t xml:space="preserve">龙头、</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7"/>
                <w:sz w:val="28"/>
                <w:szCs w:val="28"/>
                <w:highlight w:val="none"/>
              </w:rPr>
              <w:t xml:space="preserve">石英石台面;</w:t>
            </w:r>
            <w:r/>
          </w:p>
          <w:p>
            <w:pPr>
              <w:ind w:left="116"/>
              <w:spacing w:before="39"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配置不锈钢地漏，洗手区域管道做好防冻措施。</w:t>
            </w:r>
            <w:r/>
          </w:p>
        </w:tc>
      </w:tr>
      <w:tr>
        <w:trPr>
          <w:trHeight w:val="1099"/>
        </w:trPr>
        <w:tc>
          <w:tcPr>
            <w:tcW w:w="1592" w:type="dxa"/>
            <w:textDirection w:val="lrTb"/>
            <w:noWrap w:val="false"/>
          </w:tcPr>
          <w:p>
            <w:pPr>
              <w:ind w:left="262"/>
              <w:spacing w:before="99"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（十一）</w:t>
            </w:r>
            <w:r/>
          </w:p>
          <w:p>
            <w:pPr>
              <w:ind w:left="245"/>
              <w:spacing w:before="74"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管理间配</w:t>
            </w:r>
            <w:r/>
          </w:p>
          <w:p>
            <w:pPr>
              <w:ind w:left="670"/>
              <w:spacing w:before="80"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置</w:t>
            </w:r>
            <w:r/>
          </w:p>
        </w:tc>
        <w:tc>
          <w:tcPr>
            <w:tcW w:w="6932" w:type="dxa"/>
            <w:textDirection w:val="lrTb"/>
            <w:noWrap w:val="false"/>
          </w:tcPr>
          <w:p>
            <w:pPr>
              <w:ind w:left="119" w:right="107" w:hanging="5"/>
              <w:spacing w:before="130" w:line="288" w:lineRule="auto"/>
              <w:rPr>
                <w:rFonts w:ascii="黑体" w:hAnsi="黑体" w:eastAsia="黑体" w:cs="黑体"/>
                <w:color w:val="auto"/>
                <w:sz w:val="28"/>
                <w:szCs w:val="28"/>
                <w:highlight w:val="none"/>
              </w:rPr>
            </w:pPr>
            <w:r>
              <w:rPr>
                <w:rFonts w:hint="eastAsia" w:ascii="黑体" w:hAnsi="黑体" w:eastAsia="黑体" w:cs="黑体"/>
                <w:color w:val="auto"/>
                <w:spacing w:val="9"/>
                <w:sz w:val="28"/>
                <w:szCs w:val="28"/>
                <w:highlight w:val="none"/>
              </w:rPr>
              <w:t xml:space="preserve">控制箱、电源插座、开关、办公桌椅各一张、1.5</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9"/>
                <w:sz w:val="28"/>
                <w:szCs w:val="28"/>
                <w:highlight w:val="none"/>
              </w:rPr>
              <w:t xml:space="preserve">匹</w:t>
            </w:r>
            <w:r>
              <w:rPr>
                <w:rFonts w:hint="eastAsia" w:ascii="黑体" w:hAnsi="黑体" w:eastAsia="黑体" w:cs="黑体"/>
                <w:color w:val="auto"/>
                <w:spacing w:val="-3"/>
                <w:sz w:val="28"/>
                <w:szCs w:val="28"/>
                <w:highlight w:val="none"/>
              </w:rPr>
              <w:t xml:space="preserve">空调一台。</w:t>
            </w:r>
            <w:r/>
          </w:p>
        </w:tc>
      </w:tr>
      <w:tr>
        <w:trPr>
          <w:trHeight w:val="1638"/>
        </w:trPr>
        <w:tc>
          <w:tcPr>
            <w:tcW w:w="159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41" w:right="233" w:firstLine="21"/>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5"/>
                <w:sz w:val="28"/>
                <w:szCs w:val="28"/>
                <w:highlight w:val="none"/>
              </w:rPr>
              <w:t xml:space="preserve">（十二）</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驿站配置</w:t>
            </w:r>
            <w:r/>
          </w:p>
        </w:tc>
        <w:tc>
          <w:tcPr>
            <w:tcW w:w="6932" w:type="dxa"/>
            <w:textDirection w:val="lrTb"/>
            <w:noWrap w:val="false"/>
          </w:tcPr>
          <w:p>
            <w:pPr>
              <w:ind w:left="117" w:right="107" w:hanging="4"/>
              <w:spacing w:before="44"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按招标人要求配置冰箱（容量不低于</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5"/>
                <w:sz w:val="28"/>
                <w:szCs w:val="28"/>
                <w:highlight w:val="none"/>
              </w:rPr>
              <w:t xml:space="preserve">200L）</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5"/>
                <w:sz w:val="28"/>
                <w:szCs w:val="28"/>
                <w:highlight w:val="none"/>
              </w:rPr>
              <w:t xml:space="preserve">、2</w:t>
            </w:r>
            <w:r>
              <w:rPr>
                <w:rFonts w:hint="eastAsia" w:ascii="黑体" w:hAnsi="黑体" w:eastAsia="黑体" w:cs="黑体"/>
                <w:color w:val="auto"/>
                <w:spacing w:val="-26"/>
                <w:sz w:val="28"/>
                <w:szCs w:val="28"/>
                <w:highlight w:val="none"/>
              </w:rPr>
              <w:t xml:space="preserve"> </w:t>
            </w:r>
            <w:r>
              <w:rPr>
                <w:rFonts w:hint="eastAsia" w:ascii="黑体" w:hAnsi="黑体" w:eastAsia="黑体" w:cs="黑体"/>
                <w:color w:val="auto"/>
                <w:spacing w:val="5"/>
                <w:sz w:val="28"/>
                <w:szCs w:val="28"/>
                <w:highlight w:val="none"/>
              </w:rPr>
              <w:t xml:space="preserve">匹空</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1"/>
                <w:sz w:val="28"/>
                <w:szCs w:val="28"/>
                <w:highlight w:val="none"/>
              </w:rPr>
              <w:t xml:space="preserve">调、休息桌椅、储物柜、微波炉、饮水机、雨伞架、</w:t>
            </w:r>
            <w:r>
              <w:rPr>
                <w:rFonts w:hint="eastAsia" w:ascii="黑体" w:hAnsi="黑体" w:eastAsia="黑体" w:cs="黑体"/>
                <w:color w:val="auto"/>
                <w:spacing w:val="-3"/>
                <w:sz w:val="28"/>
                <w:szCs w:val="28"/>
                <w:highlight w:val="none"/>
              </w:rPr>
              <w:t xml:space="preserve">急救包等。</w:t>
            </w:r>
            <w:r/>
          </w:p>
        </w:tc>
      </w:tr>
      <w:tr>
        <w:trPr>
          <w:trHeight w:val="3819"/>
        </w:trPr>
        <w:tc>
          <w:tcPr>
            <w:tcW w:w="159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62"/>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（十三）</w:t>
            </w:r>
            <w:r/>
          </w:p>
          <w:p>
            <w:pPr>
              <w:ind w:left="261"/>
              <w:spacing w:before="75"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电气及控</w:t>
            </w:r>
            <w:r/>
          </w:p>
          <w:p>
            <w:pPr>
              <w:ind w:left="662"/>
              <w:spacing w:before="82"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制</w:t>
            </w:r>
            <w:r/>
          </w:p>
          <w:p>
            <w:pPr>
              <w:ind w:left="522"/>
              <w:spacing w:before="78"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要求</w:t>
            </w:r>
            <w:r/>
          </w:p>
        </w:tc>
        <w:tc>
          <w:tcPr>
            <w:tcW w:w="6932" w:type="dxa"/>
            <w:textDirection w:val="lrTb"/>
            <w:noWrap w:val="false"/>
          </w:tcPr>
          <w:p>
            <w:pPr>
              <w:ind w:left="117" w:right="104"/>
              <w:spacing w:before="46"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管理间电控箱内配置漏电控制开关，保证使用用电安</w:t>
            </w:r>
            <w:r>
              <w:rPr>
                <w:rFonts w:hint="eastAsia" w:ascii="黑体" w:hAnsi="黑体" w:eastAsia="黑体" w:cs="黑体"/>
                <w:color w:val="auto"/>
                <w:spacing w:val="-7"/>
                <w:sz w:val="28"/>
                <w:szCs w:val="28"/>
                <w:highlight w:val="none"/>
              </w:rPr>
              <w:t xml:space="preserve">全。</w:t>
            </w:r>
            <w:r/>
          </w:p>
          <w:p>
            <w:pPr>
              <w:ind w:left="116" w:right="104" w:hanging="3"/>
              <w:spacing w:before="38" w:line="288" w:lineRule="auto"/>
              <w:rPr>
                <w:rFonts w:ascii="黑体" w:hAnsi="黑体" w:eastAsia="黑体" w:cs="黑体"/>
                <w:color w:val="auto"/>
                <w:sz w:val="28"/>
                <w:szCs w:val="28"/>
                <w:highlight w:val="none"/>
              </w:rPr>
            </w:pPr>
            <w:r>
              <w:rPr>
                <w:rFonts w:hint="eastAsia" w:ascii="黑体" w:hAnsi="黑体" w:eastAsia="黑体" w:cs="黑体"/>
                <w:color w:val="auto"/>
                <w:spacing w:val="25"/>
                <w:sz w:val="28"/>
                <w:szCs w:val="28"/>
                <w:highlight w:val="none"/>
              </w:rPr>
              <w:t xml:space="preserve">厕间门厅及各房间应合理配置电器设备的开</w:t>
            </w:r>
            <w:r>
              <w:rPr>
                <w:rFonts w:hint="eastAsia" w:ascii="黑体" w:hAnsi="黑体" w:eastAsia="黑体" w:cs="黑体"/>
                <w:color w:val="auto"/>
                <w:spacing w:val="24"/>
                <w:sz w:val="28"/>
                <w:szCs w:val="28"/>
                <w:highlight w:val="none"/>
              </w:rPr>
              <w:t xml:space="preserve">关及插</w:t>
            </w:r>
            <w:r>
              <w:rPr>
                <w:rFonts w:hint="eastAsia" w:ascii="黑体" w:hAnsi="黑体" w:eastAsia="黑体" w:cs="黑体"/>
                <w:color w:val="auto"/>
                <w:spacing w:val="-6"/>
                <w:sz w:val="28"/>
                <w:szCs w:val="28"/>
                <w:highlight w:val="none"/>
              </w:rPr>
              <w:t xml:space="preserve">座。</w:t>
            </w:r>
            <w:r/>
          </w:p>
          <w:p>
            <w:pPr>
              <w:ind w:left="121" w:right="107" w:hanging="8"/>
              <w:spacing w:before="36" w:line="288" w:lineRule="auto"/>
              <w:rPr>
                <w:rFonts w:ascii="黑体" w:hAnsi="黑体" w:eastAsia="黑体" w:cs="黑体"/>
                <w:color w:val="auto"/>
                <w:sz w:val="28"/>
                <w:szCs w:val="28"/>
                <w:highlight w:val="none"/>
              </w:rPr>
            </w:pPr>
            <w:r>
              <w:rPr>
                <w:rFonts w:hint="eastAsia" w:ascii="黑体" w:hAnsi="黑体" w:eastAsia="黑体" w:cs="黑体"/>
                <w:color w:val="auto"/>
                <w:spacing w:val="20"/>
                <w:sz w:val="28"/>
                <w:szCs w:val="28"/>
                <w:highlight w:val="none"/>
              </w:rPr>
              <w:t xml:space="preserve">厕间各房间配置</w:t>
            </w:r>
            <w:r>
              <w:rPr>
                <w:rFonts w:hint="eastAsia" w:ascii="黑体" w:hAnsi="黑体" w:eastAsia="黑体" w:cs="黑体"/>
                <w:color w:val="auto"/>
                <w:spacing w:val="-31"/>
                <w:sz w:val="28"/>
                <w:szCs w:val="28"/>
                <w:highlight w:val="none"/>
              </w:rPr>
              <w:t xml:space="preserve"> </w:t>
            </w:r>
            <w:r>
              <w:rPr>
                <w:rFonts w:hint="eastAsia" w:ascii="黑体" w:hAnsi="黑体" w:eastAsia="黑体" w:cs="黑体"/>
                <w:color w:val="auto"/>
                <w:sz w:val="28"/>
                <w:szCs w:val="28"/>
                <w:highlight w:val="none"/>
              </w:rPr>
              <w:t xml:space="preserve">Led</w:t>
            </w:r>
            <w:r>
              <w:rPr>
                <w:rFonts w:hint="eastAsia" w:ascii="黑体" w:hAnsi="黑体" w:eastAsia="黑体" w:cs="黑体"/>
                <w:color w:val="auto"/>
                <w:spacing w:val="-29"/>
                <w:sz w:val="28"/>
                <w:szCs w:val="28"/>
                <w:highlight w:val="none"/>
              </w:rPr>
              <w:t xml:space="preserve"> </w:t>
            </w:r>
            <w:r>
              <w:rPr>
                <w:rFonts w:hint="eastAsia" w:ascii="黑体" w:hAnsi="黑体" w:eastAsia="黑体" w:cs="黑体"/>
                <w:color w:val="auto"/>
                <w:spacing w:val="20"/>
                <w:sz w:val="28"/>
                <w:szCs w:val="28"/>
                <w:highlight w:val="none"/>
              </w:rPr>
              <w:t xml:space="preserve">照明设施</w:t>
            </w:r>
            <w:r>
              <w:rPr>
                <w:rFonts w:hint="eastAsia" w:ascii="黑体" w:hAnsi="黑体" w:eastAsia="黑体" w:cs="黑体"/>
                <w:color w:val="auto"/>
                <w:spacing w:val="-75"/>
                <w:sz w:val="28"/>
                <w:szCs w:val="28"/>
                <w:highlight w:val="none"/>
              </w:rPr>
              <w:t xml:space="preserve"> </w:t>
            </w:r>
            <w:r>
              <w:rPr>
                <w:rFonts w:hint="eastAsia" w:ascii="黑体" w:hAnsi="黑体" w:eastAsia="黑体" w:cs="黑体"/>
                <w:color w:val="auto"/>
                <w:spacing w:val="20"/>
                <w:sz w:val="28"/>
                <w:szCs w:val="28"/>
                <w:highlight w:val="none"/>
              </w:rPr>
              <w:t xml:space="preserve">，达到优质的照明效</w:t>
            </w:r>
            <w:r>
              <w:rPr>
                <w:rFonts w:hint="eastAsia" w:ascii="黑体" w:hAnsi="黑体" w:eastAsia="黑体" w:cs="黑体"/>
                <w:color w:val="auto"/>
                <w:spacing w:val="-9"/>
                <w:sz w:val="28"/>
                <w:szCs w:val="28"/>
                <w:highlight w:val="none"/>
              </w:rPr>
              <w:t xml:space="preserve">果。</w:t>
            </w:r>
            <w:r/>
          </w:p>
          <w:p>
            <w:pPr>
              <w:ind w:left="114"/>
              <w:spacing w:before="47"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用电器均采用国标电线，电线采用暗装,管线预排</w:t>
            </w:r>
            <w:r>
              <w:rPr>
                <w:rFonts w:hint="eastAsia" w:ascii="黑体" w:hAnsi="黑体" w:eastAsia="黑体" w:cs="黑体"/>
                <w:color w:val="auto"/>
                <w:spacing w:val="4"/>
                <w:sz w:val="28"/>
                <w:szCs w:val="28"/>
                <w:highlight w:val="none"/>
              </w:rPr>
              <w:t xml:space="preserve">必须</w:t>
            </w:r>
            <w:r>
              <w:rPr>
                <w:rFonts w:hint="eastAsia" w:ascii="黑体" w:hAnsi="黑体" w:eastAsia="黑体" w:cs="黑体"/>
                <w:color w:val="auto"/>
                <w:spacing w:val="7"/>
                <w:sz w:val="28"/>
                <w:szCs w:val="28"/>
                <w:highlight w:val="none"/>
              </w:rPr>
              <w:t xml:space="preserve">使用</w:t>
            </w:r>
            <w:r>
              <w:rPr>
                <w:rFonts w:hint="eastAsia" w:ascii="黑体" w:hAnsi="黑体" w:eastAsia="黑体" w:cs="黑体"/>
                <w:color w:val="auto"/>
                <w:sz w:val="28"/>
                <w:szCs w:val="28"/>
                <w:highlight w:val="none"/>
              </w:rPr>
              <w:t xml:space="preserve">PVC</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7"/>
                <w:sz w:val="28"/>
                <w:szCs w:val="28"/>
                <w:highlight w:val="none"/>
              </w:rPr>
              <w:t xml:space="preserve">保护管套。</w:t>
            </w:r>
            <w:r/>
          </w:p>
          <w:p>
            <w:pPr>
              <w:spacing w:before="36"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tc>
      </w:tr>
      <w:tr>
        <w:trPr>
          <w:trHeight w:val="2915"/>
        </w:trPr>
        <w:tc>
          <w:tcPr>
            <w:tcW w:w="159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right="372"/>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pacing w:val="-14"/>
                <w:sz w:val="28"/>
                <w:szCs w:val="28"/>
                <w:highlight w:val="none"/>
              </w:rPr>
              <w:t xml:space="preserve">四）</w:t>
            </w:r>
            <w:r/>
          </w:p>
          <w:p>
            <w:pPr>
              <w:ind w:left="664" w:right="233" w:hanging="418"/>
              <w:spacing w:before="35"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给排水要</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z w:val="28"/>
                <w:szCs w:val="28"/>
                <w:highlight w:val="none"/>
              </w:rPr>
              <w:t xml:space="preserve">求</w:t>
            </w:r>
            <w:r/>
          </w:p>
        </w:tc>
        <w:tc>
          <w:tcPr>
            <w:tcW w:w="6932" w:type="dxa"/>
            <w:textDirection w:val="lrTb"/>
            <w:noWrap w:val="false"/>
          </w:tcPr>
          <w:p>
            <w:pPr>
              <w:ind w:left="113" w:right="107" w:firstLine="5"/>
              <w:spacing w:before="43"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1、给水管采用</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z w:val="28"/>
                <w:szCs w:val="28"/>
                <w:highlight w:val="none"/>
              </w:rPr>
              <w:t xml:space="preserve">PP-R</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z w:val="28"/>
                <w:szCs w:val="28"/>
                <w:highlight w:val="none"/>
              </w:rPr>
              <w:t xml:space="preserve">材质符合</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z w:val="28"/>
                <w:szCs w:val="28"/>
                <w:highlight w:val="none"/>
              </w:rPr>
              <w:t xml:space="preserve">GB/T18742.2-2017《冷热水 </w:t>
            </w:r>
            <w:r>
              <w:rPr>
                <w:rFonts w:hint="eastAsia" w:ascii="黑体" w:hAnsi="黑体" w:eastAsia="黑体" w:cs="黑体"/>
                <w:color w:val="auto"/>
                <w:spacing w:val="3"/>
                <w:sz w:val="28"/>
                <w:szCs w:val="28"/>
                <w:highlight w:val="none"/>
              </w:rPr>
              <w:t xml:space="preserve">用聚丙烯管道系统第</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3"/>
                <w:sz w:val="28"/>
                <w:szCs w:val="28"/>
                <w:highlight w:val="none"/>
              </w:rPr>
              <w:t xml:space="preserve">2</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3"/>
                <w:sz w:val="28"/>
                <w:szCs w:val="28"/>
                <w:highlight w:val="none"/>
              </w:rPr>
              <w:t xml:space="preserve">部分管材》标准，需包含静液</w:t>
            </w:r>
            <w:r>
              <w:rPr>
                <w:rFonts w:hint="eastAsia" w:ascii="黑体" w:hAnsi="黑体" w:eastAsia="黑体" w:cs="黑体"/>
                <w:color w:val="auto"/>
                <w:spacing w:val="-1"/>
                <w:sz w:val="28"/>
                <w:szCs w:val="28"/>
                <w:highlight w:val="none"/>
              </w:rPr>
              <w:t xml:space="preserve">压强度、物理和化学性能；</w:t>
            </w:r>
            <w:r/>
          </w:p>
          <w:p>
            <w:pPr>
              <w:ind w:left="114" w:right="107"/>
              <w:spacing w:before="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2、排水管采用</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z w:val="28"/>
                <w:szCs w:val="28"/>
                <w:highlight w:val="none"/>
              </w:rPr>
              <w:t xml:space="preserve">PVC-U</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z w:val="28"/>
                <w:szCs w:val="28"/>
                <w:highlight w:val="none"/>
              </w:rPr>
              <w:t xml:space="preserve">材质符合</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z w:val="28"/>
                <w:szCs w:val="28"/>
                <w:highlight w:val="none"/>
              </w:rPr>
              <w:t xml:space="preserve">GB/T 5836.1-2018 《建筑</w:t>
            </w:r>
            <w:r>
              <w:rPr>
                <w:rFonts w:hint="eastAsia" w:ascii="黑体" w:hAnsi="黑体" w:eastAsia="黑体" w:cs="黑体"/>
                <w:color w:val="auto"/>
                <w:spacing w:val="-7"/>
                <w:sz w:val="28"/>
                <w:szCs w:val="28"/>
                <w:highlight w:val="none"/>
              </w:rPr>
              <w:t xml:space="preserve">排水用硬</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7"/>
                <w:sz w:val="28"/>
                <w:szCs w:val="28"/>
                <w:highlight w:val="none"/>
              </w:rPr>
              <w:t xml:space="preserve">聚</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7"/>
                <w:sz w:val="28"/>
                <w:szCs w:val="28"/>
                <w:highlight w:val="none"/>
              </w:rPr>
              <w:t xml:space="preserve">氯乙PVC-U管</w:t>
            </w:r>
            <w:r>
              <w:rPr>
                <w:rFonts w:hint="eastAsia" w:ascii="黑体" w:hAnsi="黑体" w:eastAsia="黑体" w:cs="黑体"/>
                <w:color w:val="auto"/>
                <w:spacing w:val="-66"/>
                <w:sz w:val="28"/>
                <w:szCs w:val="28"/>
                <w:highlight w:val="none"/>
              </w:rPr>
              <w:t xml:space="preserve"> </w:t>
            </w:r>
            <w:r>
              <w:rPr>
                <w:rFonts w:hint="eastAsia" w:ascii="黑体" w:hAnsi="黑体" w:eastAsia="黑体" w:cs="黑体"/>
                <w:color w:val="auto"/>
                <w:spacing w:val="-7"/>
                <w:sz w:val="28"/>
                <w:szCs w:val="28"/>
                <w:highlight w:val="none"/>
              </w:rPr>
              <w:t xml:space="preserve">材</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pacing w:val="-7"/>
                <w:sz w:val="28"/>
                <w:szCs w:val="28"/>
                <w:highlight w:val="none"/>
              </w:rPr>
              <w:t xml:space="preserve">，</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7"/>
                <w:sz w:val="28"/>
                <w:szCs w:val="28"/>
                <w:highlight w:val="none"/>
              </w:rPr>
              <w:t xml:space="preserve">落</w:t>
            </w:r>
            <w:r>
              <w:rPr>
                <w:rFonts w:hint="eastAsia" w:ascii="黑体" w:hAnsi="黑体" w:eastAsia="黑体" w:cs="黑体"/>
                <w:color w:val="auto"/>
                <w:spacing w:val="-67"/>
                <w:sz w:val="28"/>
                <w:szCs w:val="28"/>
                <w:highlight w:val="none"/>
              </w:rPr>
              <w:t xml:space="preserve"> </w:t>
            </w:r>
            <w:r>
              <w:rPr>
                <w:rFonts w:hint="eastAsia" w:ascii="黑体" w:hAnsi="黑体" w:eastAsia="黑体" w:cs="黑体"/>
                <w:color w:val="auto"/>
                <w:spacing w:val="-7"/>
                <w:sz w:val="28"/>
                <w:szCs w:val="28"/>
                <w:highlight w:val="none"/>
              </w:rPr>
              <w:t xml:space="preserve">锤</w:t>
            </w:r>
            <w:r>
              <w:rPr>
                <w:rFonts w:hint="eastAsia" w:ascii="黑体" w:hAnsi="黑体" w:eastAsia="黑体" w:cs="黑体"/>
                <w:color w:val="auto"/>
                <w:spacing w:val="-66"/>
                <w:sz w:val="28"/>
                <w:szCs w:val="28"/>
                <w:highlight w:val="none"/>
              </w:rPr>
              <w:t xml:space="preserve"> </w:t>
            </w:r>
            <w:r>
              <w:rPr>
                <w:rFonts w:hint="eastAsia" w:ascii="黑体" w:hAnsi="黑体" w:eastAsia="黑体" w:cs="黑体"/>
                <w:color w:val="auto"/>
                <w:spacing w:val="-7"/>
                <w:sz w:val="28"/>
                <w:szCs w:val="28"/>
                <w:highlight w:val="none"/>
              </w:rPr>
              <w:t xml:space="preserve">冲</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7"/>
                <w:sz w:val="28"/>
                <w:szCs w:val="28"/>
                <w:highlight w:val="none"/>
              </w:rPr>
              <w:t xml:space="preserve">击</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7"/>
                <w:sz w:val="28"/>
                <w:szCs w:val="28"/>
                <w:highlight w:val="none"/>
              </w:rPr>
              <w:t xml:space="preserve">试</w:t>
            </w:r>
            <w:r>
              <w:rPr>
                <w:rFonts w:hint="eastAsia" w:ascii="黑体" w:hAnsi="黑体" w:eastAsia="黑体" w:cs="黑体"/>
                <w:color w:val="auto"/>
                <w:spacing w:val="-67"/>
                <w:sz w:val="28"/>
                <w:szCs w:val="28"/>
                <w:highlight w:val="none"/>
              </w:rPr>
              <w:t xml:space="preserve"> </w:t>
            </w:r>
            <w:r>
              <w:rPr>
                <w:rFonts w:hint="eastAsia" w:ascii="黑体" w:hAnsi="黑体" w:eastAsia="黑体" w:cs="黑体"/>
                <w:color w:val="auto"/>
                <w:spacing w:val="-7"/>
                <w:sz w:val="28"/>
                <w:szCs w:val="28"/>
                <w:highlight w:val="none"/>
              </w:rPr>
              <w:t xml:space="preserve">验</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7"/>
                <w:sz w:val="28"/>
                <w:szCs w:val="28"/>
                <w:highlight w:val="none"/>
              </w:rPr>
              <w:t xml:space="preserve">TIR(0℃</w:t>
            </w:r>
            <w:r>
              <w:rPr>
                <w:rFonts w:hint="eastAsia" w:ascii="黑体" w:hAnsi="黑体" w:eastAsia="黑体" w:cs="黑体"/>
                <w:color w:val="auto"/>
                <w:spacing w:val="-90"/>
                <w:sz w:val="28"/>
                <w:szCs w:val="28"/>
                <w:highlight w:val="none"/>
              </w:rPr>
              <w:t xml:space="preserve"> </w:t>
            </w:r>
            <w:r>
              <w:rPr>
                <w:rFonts w:hint="eastAsia" w:ascii="黑体" w:hAnsi="黑体" w:eastAsia="黑体" w:cs="黑体"/>
                <w:color w:val="auto"/>
                <w:spacing w:val="-7"/>
                <w:sz w:val="28"/>
                <w:szCs w:val="28"/>
                <w:highlight w:val="none"/>
              </w:rPr>
              <w:t xml:space="preserve">,1kg,1.6m)</w:t>
            </w:r>
            <w:r>
              <w:rPr>
                <w:rFonts w:hint="eastAsia" w:ascii="黑体" w:hAnsi="黑体" w:eastAsia="黑体" w:cs="黑体"/>
                <w:color w:val="auto"/>
                <w:spacing w:val="4"/>
                <w:sz w:val="28"/>
                <w:szCs w:val="28"/>
                <w:highlight w:val="none"/>
              </w:rPr>
              <w:t xml:space="preserve"> </w:t>
            </w:r>
            <w:r>
              <w:rPr>
                <w:rFonts w:hint="eastAsia" w:ascii="黑体" w:hAnsi="黑体" w:eastAsia="黑体" w:cs="黑体"/>
                <w:color w:val="auto"/>
                <w:spacing w:val="-7"/>
                <w:sz w:val="28"/>
                <w:szCs w:val="28"/>
                <w:highlight w:val="none"/>
              </w:rPr>
              <w:t xml:space="preserve">%≤10；</w:t>
            </w:r>
            <w:r/>
          </w:p>
        </w:tc>
      </w:tr>
      <w:tr>
        <w:trPr>
          <w:trHeight w:val="547"/>
        </w:trPr>
        <w:tc>
          <w:tcPr>
            <w:tcW w:w="159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41" w:right="233" w:firstLine="21"/>
              <w:spacing w:before="92" w:line="288" w:lineRule="auto"/>
              <w:rPr>
                <w:rFonts w:ascii="黑体" w:hAnsi="黑体" w:eastAsia="黑体" w:cs="黑体"/>
                <w:color w:val="auto"/>
                <w:sz w:val="28"/>
                <w:szCs w:val="28"/>
                <w:highlight w:val="none"/>
              </w:rPr>
            </w:pPr>
            <w:r>
              <w:rPr>
                <w:rFonts w:hint="eastAsia" w:ascii="黑体" w:hAnsi="黑体" w:eastAsia="黑体" w:cs="黑体"/>
                <w:color w:val="auto"/>
                <w:spacing w:val="-15"/>
                <w:sz w:val="28"/>
                <w:szCs w:val="28"/>
                <w:highlight w:val="none"/>
              </w:rPr>
              <w:t xml:space="preserve">（十五）</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通风换气</w:t>
            </w:r>
            <w:r/>
          </w:p>
        </w:tc>
        <w:tc>
          <w:tcPr>
            <w:tcW w:w="6932" w:type="dxa"/>
            <w:textDirection w:val="lrTb"/>
            <w:noWrap w:val="false"/>
          </w:tcPr>
          <w:p>
            <w:pPr>
              <w:ind w:left="113" w:right="104" w:firstLine="6"/>
              <w:spacing w:before="42"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1、每个厕间蹲坑后设置抽风系统，运用空气对流，将室内停滞不动的异味、乌烟、有毒有害气体，在最短的时间内迅速排出室外，同时把室外新鲜的空气和室内</w:t>
            </w:r>
            <w:r>
              <w:rPr>
                <w:rFonts w:hint="eastAsia" w:ascii="黑体" w:hAnsi="黑体" w:eastAsia="黑体" w:cs="黑体"/>
                <w:color w:val="auto"/>
                <w:spacing w:val="5"/>
                <w:sz w:val="28"/>
                <w:szCs w:val="28"/>
                <w:highlight w:val="none"/>
              </w:rPr>
              <w:t xml:space="preserve">进行循环交换,从而达到通风降温改善室内空气环境的</w:t>
            </w:r>
            <w:r>
              <w:rPr>
                <w:rFonts w:hint="eastAsia" w:ascii="黑体" w:hAnsi="黑体" w:eastAsia="黑体" w:cs="黑体"/>
                <w:color w:val="auto"/>
                <w:spacing w:val="-1"/>
                <w:sz w:val="28"/>
                <w:szCs w:val="28"/>
                <w:highlight w:val="none"/>
              </w:rPr>
              <w:t xml:space="preserve">目的，保证空气质量清新，确保空气质量良好；</w:t>
            </w:r>
            <w:r/>
          </w:p>
          <w:p>
            <w:pPr>
              <w:pStyle w:val="1152"/>
              <w:ind w:left="114" w:right="104" w:firstLine="10"/>
              <w:spacing w:before="56"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2、厕所内部各厕间甲醛含量应小于或等于</w:t>
            </w:r>
            <w:r>
              <w:rPr>
                <w:rFonts w:hint="eastAsia" w:ascii="黑体" w:hAnsi="黑体" w:eastAsia="黑体" w:cs="黑体"/>
                <w:color w:val="auto"/>
                <w:spacing w:val="-57"/>
                <w:sz w:val="28"/>
                <w:szCs w:val="28"/>
                <w:highlight w:val="none"/>
              </w:rPr>
              <w:t xml:space="preserve"> </w:t>
            </w:r>
            <w:r>
              <w:rPr>
                <w:rFonts w:hint="eastAsia" w:ascii="黑体" w:hAnsi="黑体" w:eastAsia="黑体" w:cs="黑体"/>
                <w:color w:val="auto"/>
                <w:spacing w:val="3"/>
                <w:sz w:val="28"/>
                <w:szCs w:val="28"/>
                <w:highlight w:val="none"/>
              </w:rPr>
              <w:t xml:space="preserve">0.1</w:t>
            </w:r>
            <w:r>
              <w:rPr>
                <w:rFonts w:hint="eastAsia" w:ascii="黑体" w:hAnsi="黑体" w:eastAsia="黑体" w:cs="黑体"/>
                <w:color w:val="auto"/>
                <w:sz w:val="28"/>
                <w:szCs w:val="28"/>
                <w:highlight w:val="none"/>
              </w:rPr>
              <w:t xml:space="preserve">mg</w:t>
            </w:r>
            <w:r>
              <w:rPr>
                <w:rFonts w:hint="eastAsia" w:ascii="黑体" w:hAnsi="黑体" w:eastAsia="黑体" w:cs="黑体"/>
                <w:color w:val="auto"/>
                <w:spacing w:val="3"/>
                <w:sz w:val="28"/>
                <w:szCs w:val="28"/>
                <w:highlight w:val="none"/>
              </w:rPr>
              <w:t xml:space="preserve">/m³。(投标单位</w:t>
            </w:r>
            <w:r>
              <w:rPr>
                <w:rFonts w:hint="eastAsia" w:ascii="黑体" w:hAnsi="黑体" w:eastAsia="黑体" w:cs="黑体"/>
                <w:color w:val="auto"/>
                <w:spacing w:val="2"/>
                <w:sz w:val="28"/>
                <w:szCs w:val="28"/>
                <w:highlight w:val="none"/>
              </w:rPr>
              <w:t xml:space="preserve">提</w:t>
            </w:r>
            <w:r>
              <w:rPr>
                <w:rFonts w:hint="eastAsia" w:ascii="黑体" w:hAnsi="黑体" w:eastAsia="黑体" w:cs="黑体"/>
                <w:color w:val="auto"/>
                <w:spacing w:val="11"/>
                <w:sz w:val="28"/>
                <w:szCs w:val="28"/>
                <w:highlight w:val="none"/>
              </w:rPr>
              <w:t xml:space="preserve">供具备第三方专业性检测机构出具的钢结构厕所甲醛</w:t>
            </w:r>
            <w:r>
              <w:rPr>
                <w:rFonts w:hint="eastAsia" w:ascii="黑体" w:hAnsi="黑体" w:eastAsia="黑体" w:cs="黑体"/>
                <w:color w:val="auto"/>
                <w:spacing w:val="-1"/>
                <w:sz w:val="28"/>
                <w:szCs w:val="28"/>
                <w:highlight w:val="none"/>
              </w:rPr>
              <w:t xml:space="preserve">含量的相关检测报告）。</w:t>
            </w:r>
            <w:r/>
          </w:p>
        </w:tc>
      </w:tr>
      <w:tr>
        <w:trPr>
          <w:trHeight w:val="2177"/>
        </w:trPr>
        <w:tc>
          <w:tcPr>
            <w:tcW w:w="159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38" w:right="233" w:firstLine="2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5"/>
                <w:sz w:val="28"/>
                <w:szCs w:val="28"/>
                <w:highlight w:val="none"/>
              </w:rPr>
              <w:t xml:space="preserve">（十六）</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标识要求</w:t>
            </w:r>
            <w:r/>
          </w:p>
        </w:tc>
        <w:tc>
          <w:tcPr>
            <w:tcW w:w="6932" w:type="dxa"/>
            <w:textDirection w:val="lrTb"/>
            <w:noWrap w:val="false"/>
          </w:tcPr>
          <w:p>
            <w:pPr>
              <w:ind w:left="110" w:right="104" w:firstLine="3"/>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模块化组合式厕所挡板外应合理设置清晰明确的指示标识和提示标识，厕所外部主要标识可发光显示；功能间标识、温馨提示语及功能性提示语需设置醒目；</w:t>
            </w:r>
            <w:r>
              <w:rPr>
                <w:rFonts w:hint="eastAsia" w:ascii="黑体" w:hAnsi="黑体" w:eastAsia="黑体" w:cs="黑体"/>
                <w:color w:val="auto"/>
                <w:spacing w:val="-1"/>
                <w:sz w:val="28"/>
                <w:szCs w:val="28"/>
                <w:highlight w:val="none"/>
              </w:rPr>
              <w:t xml:space="preserve">厕所外部周边道路至少设置三处公厕指引牌。</w:t>
            </w:r>
            <w:r/>
          </w:p>
        </w:tc>
      </w:tr>
      <w:tr>
        <w:trPr>
          <w:trHeight w:val="6522"/>
        </w:trPr>
        <w:tc>
          <w:tcPr>
            <w:tcW w:w="1592" w:type="dxa"/>
            <w:textDirection w:val="lrTb"/>
            <w:noWrap w:val="false"/>
          </w:tcPr>
          <w:p>
            <w:pPr>
              <w:ind w:left="527"/>
              <w:spacing w:before="100" w:line="288" w:lineRule="auto"/>
              <w:rPr>
                <w:rFonts w:ascii="黑体" w:hAnsi="黑体" w:eastAsia="黑体" w:cs="黑体"/>
                <w:color w:val="auto"/>
                <w:sz w:val="28"/>
                <w:szCs w:val="28"/>
                <w:highlight w:val="none"/>
              </w:rPr>
            </w:pPr>
            <w:r>
              <w:rPr>
                <w:rFonts w:hint="eastAsia" w:ascii="黑体" w:hAnsi="黑体" w:eastAsia="黑体" w:cs="黑体"/>
                <w:color w:val="auto"/>
                <w:spacing w:val="-8"/>
                <w:sz w:val="28"/>
                <w:szCs w:val="28"/>
                <w:highlight w:val="none"/>
              </w:rPr>
              <w:t xml:space="preserve">（十七）</w:t>
            </w:r>
            <w:r>
              <w:rPr>
                <w:rFonts w:hint="eastAsia" w:ascii="黑体" w:hAnsi="黑体" w:eastAsia="黑体" w:cs="黑体"/>
                <w:color w:val="auto"/>
                <w:spacing w:val="-7"/>
                <w:sz w:val="28"/>
                <w:szCs w:val="28"/>
                <w:highlight w:val="none"/>
              </w:rPr>
              <w:t xml:space="preserve">其它</w:t>
            </w:r>
            <w:r/>
          </w:p>
        </w:tc>
        <w:tc>
          <w:tcPr>
            <w:tcW w:w="6932" w:type="dxa"/>
            <w:textDirection w:val="lrTb"/>
            <w:noWrap w:val="false"/>
          </w:tcPr>
          <w:p>
            <w:pPr>
              <w:ind w:left="119" w:right="104" w:hanging="1"/>
              <w:spacing w:before="47"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1、树木移除、人行道路破除及恢复、水泥路破除及恢</w:t>
            </w:r>
            <w:r>
              <w:rPr>
                <w:rFonts w:hint="eastAsia" w:ascii="黑体" w:hAnsi="黑体" w:eastAsia="黑体" w:cs="黑体"/>
                <w:color w:val="auto"/>
                <w:spacing w:val="15"/>
                <w:sz w:val="28"/>
                <w:szCs w:val="28"/>
                <w:highlight w:val="none"/>
              </w:rPr>
              <w:t xml:space="preserve">复</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15"/>
                <w:sz w:val="28"/>
                <w:szCs w:val="28"/>
                <w:highlight w:val="none"/>
              </w:rPr>
              <w:t xml:space="preserve">、普通土路破除及恢复</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、室内室外平整场地</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5"/>
                <w:sz w:val="28"/>
                <w:szCs w:val="28"/>
                <w:highlight w:val="none"/>
              </w:rPr>
              <w:t xml:space="preserve">、清</w:t>
            </w:r>
            <w:r>
              <w:rPr>
                <w:rFonts w:hint="eastAsia" w:ascii="黑体" w:hAnsi="黑体" w:eastAsia="黑体" w:cs="黑体"/>
                <w:color w:val="auto"/>
                <w:spacing w:val="11"/>
                <w:sz w:val="28"/>
                <w:szCs w:val="28"/>
                <w:highlight w:val="none"/>
              </w:rPr>
              <w:t xml:space="preserve">表、二次倒运凿出的垃圾、水</w:t>
            </w:r>
            <w:r>
              <w:rPr>
                <w:rFonts w:hint="eastAsia" w:ascii="黑体" w:hAnsi="黑体" w:eastAsia="黑体" w:cs="黑体"/>
                <w:color w:val="auto"/>
                <w:spacing w:val="-2"/>
                <w:sz w:val="28"/>
                <w:szCs w:val="28"/>
                <w:highlight w:val="none"/>
              </w:rPr>
              <w:t xml:space="preserve">电污开户</w:t>
            </w:r>
            <w:r>
              <w:rPr>
                <w:rFonts w:hint="eastAsia" w:ascii="黑体" w:hAnsi="黑体" w:eastAsia="黑体" w:cs="黑体"/>
                <w:color w:val="auto"/>
                <w:spacing w:val="11"/>
                <w:sz w:val="28"/>
                <w:szCs w:val="28"/>
                <w:highlight w:val="none"/>
              </w:rPr>
              <w:t xml:space="preserve">等产生的费用，均由投标单位自行负责；</w:t>
            </w:r>
            <w:r/>
          </w:p>
          <w:p>
            <w:pPr>
              <w:ind w:left="113" w:right="107"/>
              <w:spacing w:before="45"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2</w:t>
            </w:r>
            <w:r>
              <w:rPr>
                <w:rFonts w:hint="eastAsia" w:ascii="黑体" w:hAnsi="黑体" w:eastAsia="黑体" w:cs="黑体"/>
                <w:color w:val="auto"/>
                <w:spacing w:val="-71"/>
                <w:sz w:val="28"/>
                <w:szCs w:val="28"/>
                <w:highlight w:val="none"/>
              </w:rPr>
              <w:t xml:space="preserve"> </w:t>
            </w:r>
            <w:r>
              <w:rPr>
                <w:rFonts w:hint="eastAsia" w:ascii="黑体" w:hAnsi="黑体" w:eastAsia="黑体" w:cs="黑体"/>
                <w:color w:val="auto"/>
                <w:spacing w:val="12"/>
                <w:sz w:val="28"/>
                <w:szCs w:val="28"/>
                <w:highlight w:val="none"/>
              </w:rPr>
              <w:t xml:space="preserve">、本项目采用满堂（筏板）基础</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12"/>
                <w:sz w:val="28"/>
                <w:szCs w:val="28"/>
                <w:highlight w:val="none"/>
              </w:rPr>
              <w:t xml:space="preserve">，要求混凝土（商</w:t>
            </w:r>
            <w:r>
              <w:rPr>
                <w:rFonts w:hint="eastAsia" w:ascii="黑体" w:hAnsi="黑体" w:eastAsia="黑体" w:cs="黑体"/>
                <w:color w:val="auto"/>
                <w:spacing w:val="9"/>
                <w:sz w:val="28"/>
                <w:szCs w:val="28"/>
                <w:highlight w:val="none"/>
              </w:rPr>
              <w:t xml:space="preserve">混）标号不低于C30，浇筑厚度不低于</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9"/>
                <w:sz w:val="28"/>
                <w:szCs w:val="28"/>
                <w:highlight w:val="none"/>
              </w:rPr>
              <w:t xml:space="preserve">20</w:t>
            </w:r>
            <w:r>
              <w:rPr>
                <w:rFonts w:hint="eastAsia" w:ascii="黑体" w:hAnsi="黑体" w:eastAsia="黑体" w:cs="黑体"/>
                <w:color w:val="auto"/>
                <w:sz w:val="28"/>
                <w:szCs w:val="28"/>
                <w:highlight w:val="none"/>
              </w:rPr>
              <w:t xml:space="preserve">cm</w:t>
            </w:r>
            <w:r>
              <w:rPr>
                <w:rFonts w:hint="eastAsia" w:ascii="黑体" w:hAnsi="黑体" w:eastAsia="黑体" w:cs="黑体"/>
                <w:color w:val="auto"/>
                <w:spacing w:val="9"/>
                <w:sz w:val="28"/>
                <w:szCs w:val="28"/>
                <w:highlight w:val="none"/>
              </w:rPr>
              <w:t xml:space="preserve">，碎石垫</w:t>
            </w:r>
            <w:r>
              <w:rPr>
                <w:rFonts w:hint="eastAsia" w:ascii="黑体" w:hAnsi="黑体" w:eastAsia="黑体" w:cs="黑体"/>
                <w:color w:val="auto"/>
                <w:spacing w:val="-4"/>
                <w:sz w:val="28"/>
                <w:szCs w:val="28"/>
                <w:highlight w:val="none"/>
              </w:rPr>
              <w:t xml:space="preserve">层厚度不低于</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pacing w:val="-4"/>
                <w:sz w:val="28"/>
                <w:szCs w:val="28"/>
                <w:highlight w:val="none"/>
              </w:rPr>
              <w:t xml:space="preserve">10cm；</w:t>
            </w:r>
            <w:r/>
          </w:p>
          <w:p>
            <w:pPr>
              <w:ind w:left="122" w:right="170" w:hanging="7"/>
              <w:spacing w:before="210" w:line="288" w:lineRule="auto"/>
              <w:rPr>
                <w:rFonts w:ascii="黑体" w:hAnsi="黑体" w:eastAsia="黑体" w:cs="黑体"/>
                <w:color w:val="auto"/>
                <w:sz w:val="28"/>
                <w:szCs w:val="28"/>
                <w:highlight w:val="none"/>
              </w:rPr>
            </w:pPr>
            <w:r>
              <w:rPr>
                <w:rFonts w:hint="eastAsia" w:ascii="黑体" w:hAnsi="黑体" w:eastAsia="黑体" w:cs="黑体"/>
                <w:color w:val="auto"/>
                <w:spacing w:val="6"/>
                <w:sz w:val="28"/>
                <w:szCs w:val="28"/>
                <w:highlight w:val="none"/>
              </w:rPr>
              <w:t xml:space="preserve">3、浇筑前，需预制钢筋网格，采用直径12</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6"/>
                <w:sz w:val="28"/>
                <w:szCs w:val="28"/>
                <w:highlight w:val="none"/>
              </w:rPr>
              <w:t xml:space="preserve">钢筋，</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单层双向，网格间距≤20cm；</w:t>
            </w:r>
            <w:r/>
          </w:p>
          <w:p>
            <w:pPr>
              <w:ind w:left="107"/>
              <w:spacing w:before="220"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4、按需配置残疾人坡道及</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2"/>
                <w:sz w:val="28"/>
                <w:szCs w:val="28"/>
                <w:highlight w:val="none"/>
              </w:rPr>
              <w:t xml:space="preserve">304</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pacing w:val="-2"/>
                <w:sz w:val="28"/>
                <w:szCs w:val="28"/>
                <w:highlight w:val="none"/>
              </w:rPr>
              <w:t xml:space="preserve">不锈钢扶手；</w:t>
            </w:r>
            <w:r/>
          </w:p>
          <w:p>
            <w:pPr>
              <w:ind w:left="113" w:right="104" w:hanging="4"/>
              <w:spacing w:before="219"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5、厕所墙体外侧必须设置散水坡，宽度≥0.6</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7"/>
                <w:sz w:val="28"/>
                <w:szCs w:val="28"/>
                <w:highlight w:val="none"/>
              </w:rPr>
              <w:t xml:space="preserve">米，有</w:t>
            </w:r>
            <w:r>
              <w:rPr>
                <w:rFonts w:hint="eastAsia" w:ascii="黑体" w:hAnsi="黑体" w:eastAsia="黑体" w:cs="黑体"/>
                <w:color w:val="auto"/>
                <w:spacing w:val="11"/>
                <w:sz w:val="28"/>
                <w:szCs w:val="28"/>
                <w:highlight w:val="none"/>
              </w:rPr>
              <w:t xml:space="preserve">伸缩缝；因公厕建设产生土坡面的要建挡土墙（尺寸</w:t>
            </w:r>
            <w:r>
              <w:rPr>
                <w:rFonts w:hint="eastAsia" w:ascii="黑体" w:hAnsi="黑体" w:eastAsia="黑体" w:cs="黑体"/>
                <w:color w:val="auto"/>
                <w:spacing w:val="-1"/>
                <w:sz w:val="28"/>
                <w:szCs w:val="28"/>
                <w:highlight w:val="none"/>
              </w:rPr>
              <w:t xml:space="preserve">按实际需要</w:t>
            </w:r>
            <w:r>
              <w:rPr>
                <w:rFonts w:hint="eastAsia" w:ascii="黑体" w:hAnsi="黑体" w:eastAsia="黑体" w:cs="黑体"/>
                <w:color w:val="auto"/>
                <w:spacing w:val="3"/>
                <w:sz w:val="28"/>
                <w:szCs w:val="28"/>
                <w:highlight w:val="none"/>
              </w:rPr>
              <w:t xml:space="preserve">）；</w:t>
            </w:r>
            <w:r>
              <w:rPr>
                <w:rFonts w:hint="eastAsia" w:ascii="黑体" w:hAnsi="黑体" w:eastAsia="黑体" w:cs="黑体"/>
                <w:color w:val="auto"/>
                <w:spacing w:val="-1"/>
                <w:sz w:val="28"/>
                <w:szCs w:val="28"/>
                <w:highlight w:val="none"/>
              </w:rPr>
              <w:t xml:space="preserve">厕所门口区域铺贴火烧板；</w:t>
            </w:r>
            <w:r/>
          </w:p>
          <w:p>
            <w:pPr>
              <w:ind w:left="120" w:right="807" w:hanging="6"/>
              <w:spacing w:before="220" w:line="288" w:lineRule="auto"/>
              <w:rPr>
                <w:rFonts w:ascii="黑体" w:hAnsi="黑体" w:eastAsia="黑体" w:cs="黑体"/>
                <w:color w:val="auto"/>
                <w:sz w:val="28"/>
                <w:szCs w:val="28"/>
                <w:highlight w:val="none"/>
              </w:rPr>
            </w:pPr>
            <w:r>
              <w:rPr>
                <w:rFonts w:hint="eastAsia" w:ascii="黑体" w:hAnsi="黑体" w:eastAsia="黑体" w:cs="黑体"/>
                <w:color w:val="auto"/>
                <w:spacing w:val="12"/>
                <w:sz w:val="28"/>
                <w:szCs w:val="28"/>
                <w:highlight w:val="none"/>
              </w:rPr>
              <w:t xml:space="preserve">6、厕所四周必须绿化全覆盖，以遮挡住公厕外立面为标准。         </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833"/>
        <w:ind w:left="119" w:right="108" w:firstLine="561"/>
        <w:spacing w:before="91"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1"/>
          <w:sz w:val="28"/>
          <w:szCs w:val="28"/>
          <w:highlight w:val="none"/>
        </w:rPr>
        <w:t xml:space="preserve">注明：</w:t>
      </w:r>
      <w:r/>
    </w:p>
    <w:p>
      <w:pPr>
        <w:ind w:firstLine="925"/>
        <w:spacing w:line="560" w:lineRule="exact"/>
        <w:rPr>
          <w:rFonts w:ascii="黑体" w:hAnsi="黑体" w:cs="黑体"/>
          <w:color w:val="auto"/>
          <w:spacing w:val="6"/>
          <w:sz w:val="28"/>
          <w:szCs w:val="28"/>
          <w:highlight w:val="none"/>
          <w:u w:val="single"/>
        </w:rPr>
      </w:pPr>
      <w:r>
        <w:rPr>
          <w:rFonts w:hint="eastAsia"/>
          <w:b/>
          <w:bCs/>
          <w:color w:val="auto"/>
          <w:sz w:val="28"/>
          <w:szCs w:val="28"/>
          <w:highlight w:val="none"/>
          <w:u w:val="single"/>
        </w:rPr>
        <w:t xml:space="preserve">1、以上条款为技术条款中的实质性条款，需在技术部分正负偏离表中逐条响应，负偏离则符合性审查不通过，作为无效投标处理。</w:t>
      </w:r>
      <w:r>
        <w:rPr>
          <w:rFonts w:hint="eastAsia" w:ascii="黑体" w:hAnsi="黑体" w:eastAsia="黑体" w:cs="黑体"/>
          <w:b/>
          <w:color w:val="auto"/>
          <w:sz w:val="28"/>
          <w:szCs w:val="28"/>
          <w:highlight w:val="none"/>
        </w:rPr>
        <w:t xml:space="preserve">投标时需提供相关证明材料或第三方检测机构出具的相关材料检测报告原件扫描件）请放置在技术部分正负偏离表后。</w:t>
      </w:r>
      <w:r/>
    </w:p>
    <w:p>
      <w:pPr>
        <w:pStyle w:val="833"/>
        <w:ind w:left="119" w:right="108" w:firstLine="561"/>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2、本项目为交钥匙项目，投标单位应负责完成招标文</w:t>
      </w:r>
      <w:r>
        <w:rPr>
          <w:rFonts w:hint="eastAsia" w:ascii="黑体" w:hAnsi="黑体" w:eastAsia="黑体" w:cs="黑体"/>
          <w:color w:val="auto"/>
          <w:spacing w:val="6"/>
          <w:sz w:val="28"/>
          <w:szCs w:val="28"/>
          <w:highlight w:val="none"/>
        </w:rPr>
        <w:t xml:space="preserve">件规定范围内的所有工作，提供所有用于正常使用的各项部件，包括所需的劳务、工具、材料，并保证满足技术标书的要求。同时投标单位应提供本技术标书中未描述的，但为保证项目能正常有效运行所需要的检测设备、材料配置、资料等，并包含在投标总价内。各投标单位自行现场踏勘，结合现场实际因素及本招标书自行统计其所需工程量及其损耗量，并充分考虑其所存在的风险因素，中标后无论因深化设计而需增加的安装辅材等所有之一切费用均不</w:t>
      </w:r>
      <w:r>
        <w:rPr>
          <w:rFonts w:hint="eastAsia" w:ascii="黑体" w:hAnsi="黑体" w:eastAsia="黑体" w:cs="黑体"/>
          <w:color w:val="auto"/>
          <w:spacing w:val="-2"/>
          <w:sz w:val="28"/>
          <w:szCs w:val="28"/>
          <w:highlight w:val="none"/>
        </w:rPr>
        <w:t xml:space="preserve">得另行追加。</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3、产品要求：交货时，产品必须是全新、未使用过的原装合格正品，完全符合采购文件规定的质量、规格和性能的要求，达到国家或行业规定的标准，实行生产许可证制度的，提供产品时应提供生产许可证；属于国家强制认证的产品，必须通过认证。</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4、</w:t>
      </w:r>
      <w:r>
        <w:rPr>
          <w:rFonts w:hint="eastAsia" w:ascii="黑体" w:hAnsi="黑体" w:eastAsia="黑体" w:cs="黑体"/>
          <w:b/>
          <w:bCs/>
          <w:color w:val="auto"/>
          <w:spacing w:val="-1"/>
          <w:sz w:val="28"/>
          <w:szCs w:val="28"/>
          <w:highlight w:val="none"/>
        </w:rPr>
        <w:t xml:space="preserve">注明：本项目投标单位提供的</w:t>
      </w:r>
      <w:r>
        <w:rPr>
          <w:rFonts w:hint="eastAsia" w:ascii="黑体" w:hAnsi="黑体" w:eastAsia="黑体" w:cs="黑体"/>
          <w:b/>
          <w:bCs/>
          <w:color w:val="auto"/>
          <w:spacing w:val="-1"/>
          <w:sz w:val="28"/>
          <w:szCs w:val="28"/>
          <w:highlight w:val="none"/>
          <w:u w:val="single"/>
        </w:rPr>
        <w:t xml:space="preserve">便器、空调、水嘴</w:t>
      </w:r>
      <w:r>
        <w:rPr>
          <w:rFonts w:hint="eastAsia" w:ascii="黑体" w:hAnsi="黑体" w:eastAsia="黑体" w:cs="黑体"/>
          <w:b/>
          <w:bCs/>
          <w:color w:val="auto"/>
          <w:spacing w:val="-1"/>
          <w:sz w:val="28"/>
          <w:szCs w:val="28"/>
          <w:highlight w:val="none"/>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color w:val="auto"/>
          <w:spacing w:val="-1"/>
          <w:sz w:val="28"/>
          <w:szCs w:val="28"/>
          <w:highlight w:val="none"/>
        </w:rPr>
        <w:t xml:space="preserve">。</w:t>
      </w:r>
      <w:r/>
    </w:p>
    <w:p>
      <w:pPr>
        <w:pStyle w:val="833"/>
        <w:ind w:left="44"/>
        <w:spacing w:before="104"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3"/>
          <w:sz w:val="28"/>
          <w:szCs w:val="28"/>
          <w:highlight w:val="none"/>
        </w:rPr>
        <w:t xml:space="preserve">（四）采购标的数量、采购项目交付或者实施的时间和地</w:t>
      </w:r>
      <w:r>
        <w:rPr>
          <w:rFonts w:hint="eastAsia" w:ascii="黑体" w:hAnsi="黑体" w:eastAsia="黑体" w:cs="黑体"/>
          <w:b/>
          <w:bCs/>
          <w:color w:val="auto"/>
          <w:spacing w:val="-4"/>
          <w:sz w:val="28"/>
          <w:szCs w:val="28"/>
          <w:highlight w:val="none"/>
        </w:rPr>
        <w:t xml:space="preserve">点：</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1）交货期（服务时间）：自合同签订之日起80日历天内完成所有货物的供货、安装，并通过招标人验收,具体以招标人书面通知为准。中标单位必须在公开招标文件规定的工期内完成，如因为投标单位自身原因导致工期延误，每延误一天罚款2000 元。</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（2）交货（服务）地点：</w:t>
      </w:r>
      <w:r>
        <w:rPr>
          <w:rFonts w:hint="eastAsia" w:ascii="黑体" w:hAnsi="黑体" w:eastAsia="黑体" w:cs="黑体"/>
          <w:color w:val="auto"/>
          <w:spacing w:val="9"/>
          <w:sz w:val="28"/>
          <w:szCs w:val="28"/>
          <w:highlight w:val="none"/>
        </w:rPr>
        <w:t xml:space="preserve">苏锡通园区江海街道、张芝山镇，具体地址以招标人确认的建设地址为</w:t>
      </w:r>
      <w:r>
        <w:rPr>
          <w:rFonts w:hint="eastAsia" w:ascii="黑体" w:hAnsi="黑体" w:eastAsia="黑体" w:cs="黑体"/>
          <w:color w:val="auto"/>
          <w:spacing w:val="-5"/>
          <w:sz w:val="28"/>
          <w:szCs w:val="28"/>
          <w:highlight w:val="none"/>
        </w:rPr>
        <w:t xml:space="preserve">准。</w:t>
      </w:r>
      <w:r/>
    </w:p>
    <w:p>
      <w:pPr>
        <w:pStyle w:val="833"/>
        <w:ind w:left="44"/>
        <w:spacing w:before="172"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3"/>
          <w:sz w:val="28"/>
          <w:szCs w:val="28"/>
          <w:highlight w:val="none"/>
        </w:rPr>
        <w:t xml:space="preserve">（五）采购标的需满足的服务标准、期限、效率</w:t>
      </w:r>
      <w:r>
        <w:rPr>
          <w:rFonts w:hint="eastAsia" w:ascii="黑体" w:hAnsi="黑体" w:eastAsia="黑体" w:cs="黑体"/>
          <w:b/>
          <w:bCs/>
          <w:color w:val="auto"/>
          <w:spacing w:val="-4"/>
          <w:sz w:val="28"/>
          <w:szCs w:val="28"/>
          <w:highlight w:val="none"/>
        </w:rPr>
        <w:t xml:space="preserve">等要求：</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本项目整体质保期一年（自验验收合格之日起开始计算） ，免费送货、免费安装，在保修期内免费维护维修及技术支持，保修期以外提供免费维护和技术支持，维修只收材料成本费。设备发生故障及外观或材料损坏时，中标单位未在承诺时间内（24小时）解决问题的，每次扣除合同总金额的1%。</w:t>
      </w:r>
      <w:r/>
    </w:p>
    <w:p>
      <w:pPr>
        <w:pStyle w:val="833"/>
        <w:ind w:left="44"/>
        <w:spacing w:before="44"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（六）采购标的验收标准：</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（1）中标单位应按照本公开招标文件的有关规定提供合格产品；</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（2）货物的验收包括:数量、外观、质量、性能、随机备件备品、装箱单、随机资料及包装 ；所有设备和附（配）件应符合其规定的性能，无瑕疵和缺陷，质量为合格产品，同时有明确的生产制造厂商。中标单位对质量问题负责包退、包换和包修，因此发生的费用由中标单位自行负责；</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（3）设备到达采购方指定地点，应提前通知招标人，由招标人根据有关清单进行验收；</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（4）验收标准：按本公开招标文件、投标单位的投标文件、承诺及行业相关标准为准。</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供货时招标人及上级相关部门对交货产品随机抽取检测，经采购方专家检验合格后方可安装，若不满足标准要求，视同投标单位单方违约，取消合同，采购方有权根据投标单位违约程度要求投标单位支付相当于合同总价款5%的违约金。如违约金不足弥补招标人损失的，由投标单位另行支付，由此引起的后果，采购方保留进一步追索的权利。</w:t>
      </w:r>
      <w:r/>
    </w:p>
    <w:p>
      <w:pPr>
        <w:pStyle w:val="833"/>
        <w:ind w:left="44"/>
        <w:spacing w:before="42"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（七）采购标的其他技术、服务等要求：</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1、由于投标单位的原因所造成的额外费用，由投标单位自行承担。如果招标人要求删除或增加功能，投标单位应适当调整，但是投标文件中的各项优惠条件保持不变。投标单位如果有其他优惠条件，必须作专门说明。</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2、所有安装所需配件、辅材均由投标单位提供。</w:t>
      </w:r>
      <w:r/>
    </w:p>
    <w:p>
      <w:pPr>
        <w:pStyle w:val="833"/>
        <w:ind w:left="119" w:right="108" w:firstLine="561"/>
        <w:spacing w:before="91" w:line="288" w:lineRule="auto"/>
        <w:rPr>
          <w:rFonts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t xml:space="preserve">3、本项目涉及需拆除以及本项目产生的所有垃圾的清运，均包含在投标报价中，且垃圾清运处置需符合招标人及南通市相关行政部门的要求。</w:t>
      </w:r>
      <w:r/>
    </w:p>
    <w:p>
      <w:pPr>
        <w:pStyle w:val="833"/>
        <w:ind w:left="119" w:right="108" w:firstLine="561"/>
        <w:spacing w:before="91" w:line="288" w:lineRule="auto"/>
        <w:rPr>
          <w:rFonts w:ascii="黑体" w:hAnsi="黑体" w:eastAsia="黑体" w:cs="黑体"/>
          <w:color w:val="auto"/>
          <w:sz w:val="28"/>
          <w:szCs w:val="28"/>
          <w:highlight w:val="none"/>
        </w:rPr>
      </w:pPr>
      <w:r>
        <w:rPr>
          <w:rFonts w:hint="eastAsia" w:ascii="黑体" w:hAnsi="黑体" w:eastAsia="黑体" w:cs="黑体"/>
          <w:b/>
          <w:bCs/>
          <w:color w:val="auto"/>
          <w:spacing w:val="-3"/>
          <w:sz w:val="28"/>
          <w:szCs w:val="28"/>
          <w:highlight w:val="none"/>
        </w:rPr>
        <w:t xml:space="preserve">4、商品包装环保要求：</w:t>
      </w:r>
      <w:r/>
    </w:p>
    <w:p>
      <w:pPr>
        <w:pStyle w:val="833"/>
        <w:ind w:left="603"/>
        <w:spacing w:before="142"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（1）商品包装层数不得超过 3 层，空隙率不大于 40%；</w:t>
      </w:r>
      <w:r/>
    </w:p>
    <w:p>
      <w:pPr>
        <w:pStyle w:val="833"/>
        <w:ind w:left="25" w:right="102" w:firstLine="578"/>
        <w:spacing w:before="157"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（2）商品包装尽可能使用单一材质的包装材料，如因功能需求</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1"/>
          <w:sz w:val="28"/>
          <w:szCs w:val="28"/>
          <w:highlight w:val="none"/>
        </w:rPr>
        <w:t xml:space="preserve">必需使用不同材质，不同材质间应便于分离；</w:t>
      </w:r>
      <w:r/>
    </w:p>
    <w:p>
      <w:pPr>
        <w:pStyle w:val="833"/>
        <w:ind w:left="603"/>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18"/>
          <w:sz w:val="28"/>
          <w:szCs w:val="28"/>
          <w:highlight w:val="none"/>
        </w:rPr>
        <w:t xml:space="preserve">（3</w:t>
      </w:r>
      <w:r>
        <w:rPr>
          <w:rFonts w:hint="eastAsia" w:ascii="黑体" w:hAnsi="黑体" w:eastAsia="黑体" w:cs="黑体"/>
          <w:color w:val="auto"/>
          <w:spacing w:val="-69"/>
          <w:sz w:val="28"/>
          <w:szCs w:val="28"/>
          <w:highlight w:val="none"/>
        </w:rPr>
        <w:t xml:space="preserve"> </w:t>
      </w:r>
      <w:r>
        <w:rPr>
          <w:rFonts w:hint="eastAsia" w:ascii="黑体" w:hAnsi="黑体" w:eastAsia="黑体" w:cs="黑体"/>
          <w:color w:val="auto"/>
          <w:spacing w:val="18"/>
          <w:sz w:val="28"/>
          <w:szCs w:val="28"/>
          <w:highlight w:val="none"/>
        </w:rPr>
        <w:t xml:space="preserve">）</w:t>
      </w:r>
      <w:r>
        <w:rPr>
          <w:rFonts w:hint="eastAsia" w:ascii="黑体" w:hAnsi="黑体" w:eastAsia="黑体" w:cs="黑体"/>
          <w:color w:val="auto"/>
          <w:spacing w:val="-82"/>
          <w:sz w:val="28"/>
          <w:szCs w:val="28"/>
          <w:highlight w:val="none"/>
        </w:rPr>
        <w:t xml:space="preserve"> </w:t>
      </w:r>
      <w:r>
        <w:rPr>
          <w:rFonts w:hint="eastAsia" w:ascii="黑体" w:hAnsi="黑体" w:eastAsia="黑体" w:cs="黑体"/>
          <w:color w:val="auto"/>
          <w:spacing w:val="18"/>
          <w:sz w:val="28"/>
          <w:szCs w:val="28"/>
          <w:highlight w:val="none"/>
        </w:rPr>
        <w:t xml:space="preserve">商品包装中铅</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18"/>
          <w:sz w:val="28"/>
          <w:szCs w:val="28"/>
          <w:highlight w:val="none"/>
        </w:rPr>
        <w:t xml:space="preserve">、汞</w:t>
      </w:r>
      <w:r>
        <w:rPr>
          <w:rFonts w:hint="eastAsia" w:ascii="黑体" w:hAnsi="黑体" w:eastAsia="黑体" w:cs="黑体"/>
          <w:color w:val="auto"/>
          <w:spacing w:val="-63"/>
          <w:sz w:val="28"/>
          <w:szCs w:val="28"/>
          <w:highlight w:val="none"/>
        </w:rPr>
        <w:t xml:space="preserve"> </w:t>
      </w:r>
      <w:r>
        <w:rPr>
          <w:rFonts w:hint="eastAsia" w:ascii="黑体" w:hAnsi="黑体" w:eastAsia="黑体" w:cs="黑体"/>
          <w:color w:val="auto"/>
          <w:spacing w:val="18"/>
          <w:sz w:val="28"/>
          <w:szCs w:val="28"/>
          <w:highlight w:val="none"/>
        </w:rPr>
        <w:t xml:space="preserve">、镉</w:t>
      </w:r>
      <w:r>
        <w:rPr>
          <w:rFonts w:hint="eastAsia" w:ascii="黑体" w:hAnsi="黑体" w:eastAsia="黑体" w:cs="黑体"/>
          <w:color w:val="auto"/>
          <w:spacing w:val="-61"/>
          <w:sz w:val="28"/>
          <w:szCs w:val="28"/>
          <w:highlight w:val="none"/>
        </w:rPr>
        <w:t xml:space="preserve"> </w:t>
      </w:r>
      <w:r>
        <w:rPr>
          <w:rFonts w:hint="eastAsia" w:ascii="黑体" w:hAnsi="黑体" w:eastAsia="黑体" w:cs="黑体"/>
          <w:color w:val="auto"/>
          <w:spacing w:val="18"/>
          <w:sz w:val="28"/>
          <w:szCs w:val="28"/>
          <w:highlight w:val="none"/>
        </w:rPr>
        <w:t xml:space="preserve">、</w:t>
      </w:r>
      <w:r>
        <w:rPr>
          <w:rFonts w:hint="eastAsia" w:ascii="黑体" w:hAnsi="黑体" w:eastAsia="黑体" w:cs="黑体"/>
          <w:color w:val="auto"/>
          <w:spacing w:val="-84"/>
          <w:sz w:val="28"/>
          <w:szCs w:val="28"/>
          <w:highlight w:val="none"/>
        </w:rPr>
        <w:t xml:space="preserve"> </w:t>
      </w:r>
      <w:r>
        <w:rPr>
          <w:rFonts w:hint="eastAsia" w:ascii="黑体" w:hAnsi="黑体" w:eastAsia="黑体" w:cs="黑体"/>
          <w:color w:val="auto"/>
          <w:spacing w:val="18"/>
          <w:sz w:val="28"/>
          <w:szCs w:val="28"/>
          <w:highlight w:val="none"/>
        </w:rPr>
        <w:t xml:space="preserve">六价铬的总含量应不大于</w:t>
      </w:r>
      <w:r>
        <w:rPr>
          <w:rFonts w:hint="eastAsia" w:ascii="黑体" w:hAnsi="黑体" w:eastAsia="黑体" w:cs="黑体"/>
          <w:color w:val="auto"/>
          <w:spacing w:val="-3"/>
          <w:sz w:val="28"/>
          <w:szCs w:val="28"/>
          <w:highlight w:val="none"/>
        </w:rPr>
        <w:t xml:space="preserve">100mg/kg；</w:t>
      </w:r>
      <w:r/>
    </w:p>
    <w:p>
      <w:pPr>
        <w:pStyle w:val="833"/>
        <w:ind w:left="119" w:right="108" w:firstLine="561"/>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（4）商品包装印刷使用的</w:t>
      </w:r>
      <w:r>
        <w:rPr>
          <w:rFonts w:hint="eastAsia" w:ascii="黑体" w:hAnsi="黑体" w:eastAsia="黑体" w:cs="黑体"/>
          <w:color w:val="auto"/>
          <w:spacing w:val="6"/>
          <w:sz w:val="28"/>
          <w:szCs w:val="28"/>
          <w:highlight w:val="none"/>
        </w:rPr>
        <w:t xml:space="preserve">油墨</w:t>
      </w:r>
      <w:r>
        <w:rPr>
          <w:rFonts w:hint="eastAsia" w:ascii="黑体" w:hAnsi="黑体" w:eastAsia="黑体" w:cs="黑体"/>
          <w:color w:val="auto"/>
          <w:sz w:val="28"/>
          <w:szCs w:val="28"/>
          <w:highlight w:val="none"/>
        </w:rPr>
        <w:t xml:space="preserve">中挥发性有机化合物(VOCs)含量</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1"/>
          <w:sz w:val="28"/>
          <w:szCs w:val="28"/>
          <w:highlight w:val="none"/>
        </w:rPr>
        <w:t xml:space="preserve">应不大于 5%（以重量计）；</w:t>
      </w:r>
      <w:r/>
    </w:p>
    <w:p>
      <w:pPr>
        <w:pStyle w:val="833"/>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（5）塑料材质商品包装上呈现的印刷颜色不得超过 6</w:t>
      </w:r>
      <w:r>
        <w:rPr>
          <w:rFonts w:hint="eastAsia" w:ascii="黑体" w:hAnsi="黑体" w:eastAsia="黑体" w:cs="黑体"/>
          <w:color w:val="auto"/>
          <w:spacing w:val="-2"/>
          <w:sz w:val="28"/>
          <w:szCs w:val="28"/>
          <w:highlight w:val="none"/>
        </w:rPr>
        <w:t xml:space="preserve"> 色；</w:t>
      </w:r>
      <w:r/>
    </w:p>
    <w:p>
      <w:pPr>
        <w:pStyle w:val="833"/>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（6）纸质商品包装应使用 75%以上的可再生纤维原料生</w:t>
      </w:r>
      <w:r>
        <w:rPr>
          <w:rFonts w:hint="eastAsia" w:ascii="黑体" w:hAnsi="黑体" w:eastAsia="黑体" w:cs="黑体"/>
          <w:color w:val="auto"/>
          <w:spacing w:val="-2"/>
          <w:sz w:val="28"/>
          <w:szCs w:val="28"/>
          <w:highlight w:val="none"/>
        </w:rPr>
        <w:t xml:space="preserve">产；</w:t>
      </w:r>
      <w:r/>
    </w:p>
    <w:p>
      <w:pPr>
        <w:pStyle w:val="833"/>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（7）木质商品包装的原料应来源于可持续性森林。</w:t>
      </w:r>
      <w:r/>
    </w:p>
    <w:p>
      <w:pPr>
        <w:pStyle w:val="833"/>
        <w:ind w:left="580"/>
        <w:spacing w:before="144" w:line="288" w:lineRule="auto"/>
        <w:rPr>
          <w:rFonts w:ascii="黑体" w:hAnsi="黑体" w:eastAsia="黑体" w:cs="黑体"/>
          <w:color w:val="auto"/>
          <w:sz w:val="28"/>
          <w:szCs w:val="28"/>
          <w:highlight w:val="none"/>
        </w:rPr>
        <w:outlineLvl w:val="2"/>
      </w:pPr>
      <w:r>
        <w:rPr>
          <w:rFonts w:hint="eastAsia" w:ascii="黑体" w:hAnsi="黑体" w:eastAsia="黑体" w:cs="黑体"/>
          <w:b/>
          <w:bCs/>
          <w:color w:val="auto"/>
          <w:spacing w:val="-3"/>
          <w:sz w:val="28"/>
          <w:szCs w:val="28"/>
          <w:highlight w:val="none"/>
        </w:rPr>
        <w:t xml:space="preserve">5、快递包装环保要求：</w:t>
      </w:r>
      <w:r/>
    </w:p>
    <w:p>
      <w:pPr>
        <w:pStyle w:val="833"/>
        <w:ind w:left="39" w:right="30" w:firstLine="563"/>
        <w:spacing w:before="142"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（1）快递包装中重金属（铅、汞、镉、六价铬）总量应不大于</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3"/>
          <w:sz w:val="28"/>
          <w:szCs w:val="28"/>
          <w:highlight w:val="none"/>
        </w:rPr>
        <w:t xml:space="preserve">100mg/kg；</w:t>
      </w:r>
      <w:r/>
    </w:p>
    <w:p>
      <w:pPr>
        <w:pStyle w:val="833"/>
        <w:ind w:left="27" w:right="30" w:firstLine="575"/>
        <w:spacing w:before="1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（2）快递包装印刷使用的油墨中不应添加邻苯二甲酸酯，其挥</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发性有机化合物(</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2"/>
          <w:sz w:val="28"/>
          <w:szCs w:val="28"/>
          <w:highlight w:val="none"/>
        </w:rPr>
        <w:t xml:space="preserve">)含量应不大于5%（以重量计</w:t>
      </w:r>
      <w:r>
        <w:rPr>
          <w:rFonts w:hint="eastAsia" w:ascii="黑体" w:hAnsi="黑体" w:eastAsia="黑体" w:cs="黑体"/>
          <w:color w:val="auto"/>
          <w:spacing w:val="5"/>
          <w:sz w:val="28"/>
          <w:szCs w:val="28"/>
          <w:highlight w:val="none"/>
        </w:rPr>
        <w:t xml:space="preserve">）；</w:t>
      </w:r>
      <w:r/>
    </w:p>
    <w:p>
      <w:pPr>
        <w:pStyle w:val="833"/>
        <w:ind w:left="26" w:right="30" w:firstLine="577"/>
        <w:spacing w:before="1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（3）快递包装中使用纸基材的包装材料，纸基材中的有机氯的</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含量应不大于 150</w:t>
      </w:r>
      <w:r>
        <w:rPr>
          <w:rFonts w:hint="eastAsia" w:ascii="黑体" w:hAnsi="黑体" w:eastAsia="黑体" w:cs="黑体"/>
          <w:color w:val="auto"/>
          <w:spacing w:val="19"/>
          <w:sz w:val="28"/>
          <w:szCs w:val="28"/>
          <w:highlight w:val="none"/>
        </w:rPr>
        <w:t xml:space="preserve"> </w:t>
      </w:r>
      <w:r>
        <w:rPr>
          <w:rFonts w:hint="eastAsia" w:ascii="黑体" w:hAnsi="黑体" w:eastAsia="黑体" w:cs="黑体"/>
          <w:color w:val="auto"/>
          <w:spacing w:val="-2"/>
          <w:sz w:val="28"/>
          <w:szCs w:val="28"/>
          <w:highlight w:val="none"/>
        </w:rPr>
        <w:t xml:space="preserve">mg/kg；</w:t>
      </w:r>
      <w:r/>
    </w:p>
    <w:p>
      <w:pPr>
        <w:pStyle w:val="833"/>
        <w:ind w:left="22" w:right="30" w:firstLine="580"/>
        <w:spacing w:before="154"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（4）快递包装中使用塑料基材的包装材料不得使用邻苯二甲酸</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6"/>
          <w:sz w:val="28"/>
          <w:szCs w:val="28"/>
          <w:highlight w:val="none"/>
        </w:rPr>
        <w:t xml:space="preserve">二异壬酯、邻苯二甲酸二正辛酯、邻苯二甲酸二</w:t>
      </w:r>
      <w:r>
        <w:rPr>
          <w:rFonts w:hint="eastAsia" w:ascii="黑体" w:hAnsi="黑体" w:eastAsia="黑体" w:cs="黑体"/>
          <w:color w:val="auto"/>
          <w:spacing w:val="5"/>
          <w:sz w:val="28"/>
          <w:szCs w:val="28"/>
          <w:highlight w:val="none"/>
        </w:rPr>
        <w:t xml:space="preserve">(2-乙基)己酯、邻</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6"/>
          <w:sz w:val="28"/>
          <w:szCs w:val="28"/>
          <w:highlight w:val="none"/>
        </w:rPr>
        <w:t xml:space="preserve">苯二甲酸二异癸酯、邻苯二甲酸丁基苄基酯、邻苯二甲酸二丁酯等</w:t>
      </w:r>
      <w:r>
        <w:rPr>
          <w:rFonts w:hint="eastAsia" w:ascii="黑体" w:hAnsi="黑体" w:eastAsia="黑体" w:cs="黑体"/>
          <w:color w:val="auto"/>
          <w:spacing w:val="2"/>
          <w:sz w:val="28"/>
          <w:szCs w:val="28"/>
          <w:highlight w:val="none"/>
        </w:rPr>
        <w:t xml:space="preserve"> </w:t>
      </w:r>
      <w:r>
        <w:rPr>
          <w:rFonts w:hint="eastAsia" w:ascii="黑体" w:hAnsi="黑体" w:eastAsia="黑体" w:cs="黑体"/>
          <w:color w:val="auto"/>
          <w:spacing w:val="-2"/>
          <w:sz w:val="28"/>
          <w:szCs w:val="28"/>
          <w:highlight w:val="none"/>
        </w:rPr>
        <w:t xml:space="preserve">作为增塑剂；</w:t>
      </w:r>
      <w:r/>
    </w:p>
    <w:p>
      <w:pPr>
        <w:pStyle w:val="833"/>
        <w:ind w:left="26" w:right="30" w:firstLine="577"/>
        <w:spacing w:before="157"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（5）快递中使用的塑料包装袋不得使用聚氯乙烯作为原料，且</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原料应为单一材质制成，生物分解率大于60%；</w:t>
      </w:r>
      <w:r/>
    </w:p>
    <w:p>
      <w:pPr>
        <w:pStyle w:val="833"/>
        <w:ind w:left="29" w:firstLine="573"/>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（6）快递中使用的充气类填充物不得使用聚氯乙</w:t>
      </w:r>
      <w:r>
        <w:rPr>
          <w:rFonts w:hint="eastAsia" w:ascii="黑体" w:hAnsi="黑体" w:eastAsia="黑体" w:cs="黑体"/>
          <w:color w:val="auto"/>
          <w:spacing w:val="-4"/>
          <w:sz w:val="28"/>
          <w:szCs w:val="28"/>
          <w:highlight w:val="none"/>
        </w:rPr>
        <w:t xml:space="preserve">烯作为 原料，</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且原料为单一材质制成，生物分解率大于60%；</w:t>
      </w:r>
      <w:r/>
    </w:p>
    <w:p>
      <w:pPr>
        <w:pStyle w:val="833"/>
        <w:ind w:left="27" w:right="30" w:firstLine="575"/>
        <w:spacing w:before="156"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（7）快递中使用的集装袋应为单一材质制成，其重复使用次数</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2"/>
          <w:sz w:val="28"/>
          <w:szCs w:val="28"/>
          <w:highlight w:val="none"/>
        </w:rPr>
        <w:t xml:space="preserve">应不小于 80 次；</w:t>
      </w:r>
      <w:r/>
    </w:p>
    <w:p>
      <w:pPr>
        <w:pStyle w:val="833"/>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（8）快递中应使用幅宽不大于45</w:t>
      </w:r>
      <w:r>
        <w:rPr>
          <w:rFonts w:hint="eastAsia" w:ascii="黑体" w:hAnsi="黑体" w:eastAsia="黑体" w:cs="黑体"/>
          <w:color w:val="auto"/>
          <w:sz w:val="28"/>
          <w:szCs w:val="28"/>
          <w:highlight w:val="none"/>
        </w:rPr>
        <w:t xml:space="preserve">mm</w:t>
      </w:r>
      <w:r>
        <w:rPr>
          <w:rFonts w:hint="eastAsia" w:ascii="黑体" w:hAnsi="黑体" w:eastAsia="黑体" w:cs="黑体"/>
          <w:color w:val="auto"/>
          <w:spacing w:val="1"/>
          <w:sz w:val="28"/>
          <w:szCs w:val="28"/>
          <w:highlight w:val="none"/>
        </w:rPr>
        <w:t xml:space="preserve"> 的生物降解胶带；</w:t>
      </w:r>
      <w:r/>
    </w:p>
    <w:p>
      <w:pPr>
        <w:pStyle w:val="833"/>
        <w:ind w:left="603"/>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（9）快递包装中不得使用溶剂型胶粘剂；</w:t>
      </w:r>
      <w:r/>
    </w:p>
    <w:p>
      <w:pPr>
        <w:pStyle w:val="833"/>
        <w:ind w:left="603"/>
        <w:spacing w:before="155"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（10）快递应使用电子面单；</w:t>
      </w:r>
      <w:r/>
    </w:p>
    <w:p>
      <w:pPr>
        <w:pStyle w:val="833"/>
        <w:ind w:left="31" w:right="30" w:firstLine="571"/>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（11）直接使用商品包装作为快递包装的商品，其商品包装满</w:t>
      </w:r>
      <w:r>
        <w:rPr>
          <w:rFonts w:hint="eastAsia" w:ascii="黑体" w:hAnsi="黑体" w:eastAsia="黑体" w:cs="黑体"/>
          <w:color w:val="auto"/>
          <w:spacing w:val="16"/>
          <w:sz w:val="28"/>
          <w:szCs w:val="28"/>
          <w:highlight w:val="none"/>
        </w:rPr>
        <w:t xml:space="preserve"> </w:t>
      </w:r>
      <w:r>
        <w:rPr>
          <w:rFonts w:hint="eastAsia" w:ascii="黑体" w:hAnsi="黑体" w:eastAsia="黑体" w:cs="黑体"/>
          <w:color w:val="auto"/>
          <w:spacing w:val="-1"/>
          <w:sz w:val="28"/>
          <w:szCs w:val="28"/>
          <w:highlight w:val="none"/>
        </w:rPr>
        <w:t xml:space="preserve">足《商品包装政府采购需求标准（试行）》即可；</w:t>
      </w:r>
      <w:r/>
    </w:p>
    <w:p>
      <w:pPr>
        <w:pStyle w:val="833"/>
        <w:ind w:right="30"/>
        <w:jc w:val="right"/>
        <w:spacing w:before="156"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（12）快递包装产品质量和封装方式应符合相关国家或行业标</w:t>
      </w:r>
      <w:r/>
    </w:p>
    <w:p>
      <w:pPr>
        <w:pStyle w:val="833"/>
        <w:ind w:left="26"/>
        <w:spacing w:before="152" w:line="288" w:lineRule="auto"/>
        <w:rPr>
          <w:rFonts w:ascii="黑体" w:hAnsi="黑体" w:eastAsia="黑体" w:cs="黑体"/>
          <w:color w:val="auto"/>
          <w:spacing w:val="-2"/>
          <w:sz w:val="28"/>
          <w:szCs w:val="28"/>
          <w:highlight w:val="none"/>
        </w:rPr>
      </w:pPr>
      <w:r>
        <w:rPr>
          <w:rFonts w:hint="eastAsia" w:ascii="黑体" w:hAnsi="黑体" w:eastAsia="黑体" w:cs="黑体"/>
          <w:color w:val="auto"/>
          <w:spacing w:val="-2"/>
          <w:sz w:val="28"/>
          <w:szCs w:val="28"/>
          <w:highlight w:val="none"/>
        </w:rPr>
        <w:t xml:space="preserve">准技术指标要求。</w:t>
      </w:r>
      <w:r/>
    </w:p>
    <w:p>
      <w:pPr>
        <w:pStyle w:val="833"/>
        <w:ind w:left="22" w:right="118" w:firstLine="564"/>
        <w:spacing w:before="72" w:line="288" w:lineRule="auto"/>
        <w:rPr>
          <w:rFonts w:ascii="黑体" w:hAnsi="黑体" w:eastAsia="黑体" w:cs="黑体"/>
          <w:b/>
          <w:bCs/>
          <w:color w:val="auto"/>
          <w:spacing w:val="-1"/>
          <w:sz w:val="28"/>
          <w:szCs w:val="28"/>
          <w:highlight w:val="none"/>
        </w:rPr>
      </w:pPr>
      <w:r>
        <w:rPr>
          <w:rFonts w:hint="eastAsia" w:ascii="黑体" w:hAnsi="黑体" w:eastAsia="黑体" w:cs="黑体"/>
          <w:color w:val="auto"/>
          <w:spacing w:val="7"/>
          <w:sz w:val="28"/>
          <w:szCs w:val="28"/>
          <w:highlight w:val="none"/>
        </w:rPr>
        <w:t xml:space="preserve">★</w:t>
      </w:r>
      <w:r>
        <w:rPr>
          <w:rFonts w:hint="eastAsia" w:ascii="黑体" w:hAnsi="黑体" w:eastAsia="黑体" w:cs="黑体"/>
          <w:b/>
          <w:bCs/>
          <w:color w:val="auto"/>
          <w:spacing w:val="-1"/>
          <w:sz w:val="28"/>
          <w:szCs w:val="28"/>
          <w:highlight w:val="none"/>
        </w:rPr>
        <w:t xml:space="preserve">投标投标单位对涉及商品的包装应按照“财办库〔2020〕123号《关于印发《商品包装政府采购需求标准（试行）》、《快递包装政府采购需求标准（试行）》的通知》”执行；涉及设备运维参考《绿色数据中心政府采购需求标准（试行）》（财库【2023】7号文）执行。投标单位应提供绿化利用率，倡导城市绿化低碳环保理念、因地制宜促进资源的可持续性发展。投标单位投标时需针对以上要求承诺，承诺书格式自拟。</w:t>
      </w:r>
      <w:r/>
    </w:p>
    <w:p>
      <w:pPr>
        <w:spacing w:line="440" w:lineRule="exact"/>
        <w:rPr>
          <w:rFonts w:ascii="黑体" w:hAnsi="黑体" w:eastAsia="黑体" w:cs="黑体"/>
          <w:color w:val="auto"/>
          <w:spacing w:val="-2"/>
          <w:sz w:val="28"/>
          <w:szCs w:val="28"/>
          <w:highlight w:val="none"/>
        </w:rPr>
      </w:pPr>
      <w:r>
        <w:rPr>
          <w:rFonts w:hint="eastAsia" w:ascii="黑体" w:hAnsi="黑体" w:eastAsia="黑体" w:cs="黑体"/>
          <w:b/>
          <w:color w:val="auto"/>
          <w:sz w:val="28"/>
          <w:szCs w:val="28"/>
          <w:highlight w:val="none"/>
        </w:rPr>
        <w:t xml:space="preserve">注明：项目需求中的所有★内容在符合性审查阶段提供符合以上要求的承诺函（承诺书格式自拟）或相关证明材料，若在符合性审查阶段，经评标小组确认投标投标单位未能在符合性响应文件中提交本项目需求中相关承诺的或相关证明材料，经评标小组核实将被判为不满足招标文件实质性要求，作为无效投标处理。</w:t>
      </w:r>
      <w:r/>
    </w:p>
    <w:p>
      <w:pPr>
        <w:pStyle w:val="833"/>
        <w:ind w:left="26" w:firstLine="559"/>
        <w:spacing w:before="138" w:line="288" w:lineRule="auto"/>
        <w:rPr>
          <w:rFonts w:ascii="黑体" w:hAnsi="黑体" w:eastAsia="黑体" w:cs="黑体"/>
          <w:color w:val="auto"/>
          <w:sz w:val="28"/>
          <w:szCs w:val="28"/>
          <w:highlight w:val="none"/>
        </w:rPr>
      </w:pPr>
      <w:r>
        <w:rPr>
          <w:rFonts w:hint="eastAsia" w:ascii="黑体" w:hAnsi="黑体" w:eastAsia="黑体" w:cs="黑体"/>
          <w:b/>
          <w:bCs/>
          <w:color w:val="auto"/>
          <w:spacing w:val="-3"/>
          <w:sz w:val="28"/>
          <w:szCs w:val="28"/>
          <w:highlight w:val="none"/>
        </w:rPr>
        <w:t xml:space="preserve">6、低挥发性有机化合物产品</w:t>
      </w:r>
      <w:r>
        <w:rPr>
          <w:rFonts w:hint="eastAsia" w:ascii="黑体" w:hAnsi="黑体" w:eastAsia="黑体" w:cs="黑体"/>
          <w:color w:val="auto"/>
          <w:spacing w:val="-3"/>
          <w:sz w:val="28"/>
          <w:szCs w:val="28"/>
          <w:highlight w:val="none"/>
        </w:rPr>
        <w:t xml:space="preserve">：本项目中如有涉及涂料、胶黏剂、</w:t>
      </w:r>
      <w:r>
        <w:rPr>
          <w:rFonts w:hint="eastAsia" w:ascii="黑体" w:hAnsi="黑体" w:eastAsia="黑体" w:cs="黑体"/>
          <w:color w:val="auto"/>
          <w:spacing w:val="13"/>
          <w:sz w:val="28"/>
          <w:szCs w:val="28"/>
          <w:highlight w:val="none"/>
        </w:rPr>
        <w:t xml:space="preserve"> </w:t>
      </w:r>
      <w:r>
        <w:rPr>
          <w:rFonts w:hint="eastAsia" w:ascii="黑体" w:hAnsi="黑体" w:eastAsia="黑体" w:cs="黑体"/>
          <w:color w:val="auto"/>
          <w:spacing w:val="6"/>
          <w:sz w:val="28"/>
          <w:szCs w:val="28"/>
          <w:highlight w:val="none"/>
        </w:rPr>
        <w:t xml:space="preserve">油墨、清洗剂等挥发性有机物产品的，属于强制性标准的，投标单位</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6"/>
          <w:sz w:val="28"/>
          <w:szCs w:val="28"/>
          <w:highlight w:val="none"/>
        </w:rPr>
        <w:t xml:space="preserve">应当执行国家和我省</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6"/>
          <w:sz w:val="28"/>
          <w:szCs w:val="28"/>
          <w:highlight w:val="none"/>
        </w:rPr>
        <w:t xml:space="preserve">含量限制标准。投标单位提供符合推荐性标</w:t>
      </w:r>
      <w:r>
        <w:rPr>
          <w:rFonts w:hint="eastAsia" w:ascii="黑体" w:hAnsi="黑体" w:eastAsia="黑体" w:cs="黑体"/>
          <w:color w:val="auto"/>
          <w:spacing w:val="5"/>
          <w:sz w:val="28"/>
          <w:szCs w:val="28"/>
          <w:highlight w:val="none"/>
        </w:rPr>
        <w:t xml:space="preserve">  </w:t>
      </w:r>
      <w:r>
        <w:rPr>
          <w:rFonts w:hint="eastAsia" w:ascii="黑体" w:hAnsi="黑体" w:eastAsia="黑体" w:cs="黑体"/>
          <w:color w:val="auto"/>
          <w:spacing w:val="6"/>
          <w:sz w:val="28"/>
          <w:szCs w:val="28"/>
          <w:highlight w:val="none"/>
        </w:rPr>
        <w:t xml:space="preserve">准的涂料、胶黏剂、油墨、清洗剂等挥发性有机物产品的，予以评</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6"/>
          <w:sz w:val="28"/>
          <w:szCs w:val="28"/>
          <w:highlight w:val="none"/>
        </w:rPr>
        <w:t xml:space="preserve">审优惠。投标单位应优先使用低挥发性原辅材料，将使用低</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6"/>
          <w:sz w:val="28"/>
          <w:szCs w:val="28"/>
          <w:highlight w:val="none"/>
        </w:rPr>
        <w:t xml:space="preserve">含量</w:t>
      </w:r>
      <w:r>
        <w:rPr>
          <w:rFonts w:hint="eastAsia" w:ascii="黑体" w:hAnsi="黑体" w:eastAsia="黑体" w:cs="黑体"/>
          <w:color w:val="auto"/>
          <w:spacing w:val="-1"/>
          <w:sz w:val="28"/>
          <w:szCs w:val="28"/>
          <w:highlight w:val="none"/>
        </w:rPr>
        <w:t xml:space="preserve">的涂料、胶黏剂等纳入合同条款。</w:t>
      </w:r>
      <w:r/>
    </w:p>
    <w:p>
      <w:pPr>
        <w:pStyle w:val="833"/>
        <w:ind w:left="22" w:right="118" w:firstLine="564"/>
        <w:spacing w:before="72" w:line="288" w:lineRule="auto"/>
        <w:rPr>
          <w:rFonts w:ascii="黑体" w:hAnsi="黑体" w:eastAsia="黑体" w:cs="黑体"/>
          <w:color w:val="auto"/>
          <w:spacing w:val="6"/>
          <w:sz w:val="28"/>
          <w:szCs w:val="28"/>
          <w:highlight w:val="none"/>
        </w:rPr>
      </w:pPr>
      <w:r>
        <w:rPr>
          <w:rFonts w:hint="eastAsia" w:ascii="黑体" w:hAnsi="黑体" w:eastAsia="黑体" w:cs="黑体"/>
          <w:b/>
          <w:bCs/>
          <w:color w:val="auto"/>
          <w:sz w:val="28"/>
          <w:szCs w:val="28"/>
          <w:highlight w:val="none"/>
        </w:rPr>
        <w:t xml:space="preserve">7、节能环保产品：</w:t>
      </w:r>
      <w:r>
        <w:rPr>
          <w:rFonts w:hint="eastAsia" w:ascii="黑体" w:hAnsi="黑体" w:eastAsia="黑体" w:cs="黑体"/>
          <w:color w:val="auto"/>
          <w:sz w:val="28"/>
          <w:szCs w:val="28"/>
          <w:highlight w:val="none"/>
        </w:rPr>
        <w:t xml:space="preserve">依据财政部、发展改革委发布的《节能产品</w:t>
      </w:r>
      <w:r>
        <w:rPr>
          <w:rFonts w:hint="eastAsia" w:ascii="黑体" w:hAnsi="黑体" w:eastAsia="黑体" w:cs="黑体"/>
          <w:color w:val="auto"/>
          <w:spacing w:val="5"/>
          <w:sz w:val="28"/>
          <w:szCs w:val="28"/>
          <w:highlight w:val="none"/>
        </w:rPr>
        <w:t xml:space="preserve"> </w:t>
      </w:r>
      <w:r>
        <w:rPr>
          <w:rFonts w:hint="eastAsia" w:ascii="黑体" w:hAnsi="黑体" w:eastAsia="黑体" w:cs="黑体"/>
          <w:color w:val="auto"/>
          <w:spacing w:val="6"/>
          <w:sz w:val="28"/>
          <w:szCs w:val="28"/>
          <w:highlight w:val="none"/>
        </w:rPr>
        <w:t xml:space="preserve">政府采购品目清单》，本项目中有政府强制采购节能产品的（属于</w:t>
      </w:r>
      <w:r>
        <w:rPr>
          <w:rFonts w:hint="eastAsia" w:ascii="黑体" w:hAnsi="黑体" w:eastAsia="黑体" w:cs="黑体"/>
          <w:color w:val="auto"/>
          <w:spacing w:val="7"/>
          <w:sz w:val="28"/>
          <w:szCs w:val="28"/>
          <w:highlight w:val="none"/>
        </w:rPr>
        <w:t xml:space="preserve">清单中打★品目的</w:t>
      </w:r>
      <w:r>
        <w:rPr>
          <w:rFonts w:hint="eastAsia" w:ascii="黑体" w:hAnsi="黑体" w:eastAsia="黑体" w:cs="黑体"/>
          <w:color w:val="auto"/>
          <w:spacing w:val="17"/>
          <w:sz w:val="28"/>
          <w:szCs w:val="28"/>
          <w:highlight w:val="none"/>
        </w:rPr>
        <w:t xml:space="preserve">），</w:t>
      </w:r>
      <w:r>
        <w:rPr>
          <w:rFonts w:hint="eastAsia" w:ascii="黑体" w:hAnsi="黑体" w:eastAsia="黑体" w:cs="黑体"/>
          <w:color w:val="auto"/>
          <w:spacing w:val="7"/>
          <w:sz w:val="28"/>
          <w:szCs w:val="28"/>
          <w:highlight w:val="none"/>
        </w:rPr>
        <w:t xml:space="preserve">只能选择具有国家确定的</w:t>
      </w:r>
      <w:r>
        <w:rPr>
          <w:rFonts w:hint="eastAsia" w:ascii="黑体" w:hAnsi="黑体" w:eastAsia="黑体" w:cs="黑体"/>
          <w:color w:val="auto"/>
          <w:spacing w:val="6"/>
          <w:sz w:val="28"/>
          <w:szCs w:val="28"/>
          <w:highlight w:val="none"/>
        </w:rPr>
        <w:t xml:space="preserve">认证机构出具的、</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pacing w:val="6"/>
          <w:sz w:val="28"/>
          <w:szCs w:val="28"/>
          <w:highlight w:val="none"/>
        </w:rPr>
        <w:t xml:space="preserve">处于有效期之内的节能产品认证证书的产品进行报价，认证机构详</w:t>
      </w:r>
      <w:r>
        <w:rPr>
          <w:rFonts w:hint="eastAsia" w:ascii="黑体" w:hAnsi="黑体" w:eastAsia="黑体" w:cs="黑体"/>
          <w:color w:val="auto"/>
          <w:spacing w:val="2"/>
          <w:sz w:val="28"/>
          <w:szCs w:val="28"/>
          <w:highlight w:val="none"/>
        </w:rPr>
        <w:t xml:space="preserve"> </w:t>
      </w:r>
      <w:r>
        <w:rPr>
          <w:rFonts w:hint="eastAsia" w:ascii="黑体" w:hAnsi="黑体" w:eastAsia="黑体" w:cs="黑体"/>
          <w:color w:val="auto"/>
          <w:spacing w:val="-1"/>
          <w:sz w:val="28"/>
          <w:szCs w:val="28"/>
          <w:highlight w:val="none"/>
        </w:rPr>
        <w:t xml:space="preserve">见市场监管总局发布的《参与实施政府采购节能产品认证机构名录》</w:t>
      </w:r>
      <w:r>
        <w:rPr>
          <w:rFonts w:hint="eastAsia" w:ascii="黑体" w:hAnsi="黑体" w:eastAsia="黑体" w:cs="黑体"/>
          <w:color w:val="auto"/>
          <w:spacing w:val="6"/>
          <w:sz w:val="28"/>
          <w:szCs w:val="28"/>
          <w:highlight w:val="none"/>
        </w:rPr>
        <w:t xml:space="preserve">和《参与实施政府采购环境标志产品认证机构名录》。</w:t>
      </w:r>
      <w:r/>
    </w:p>
    <w:p>
      <w:pPr>
        <w:pStyle w:val="833"/>
        <w:ind w:left="22" w:right="118" w:firstLine="564"/>
        <w:spacing w:before="72" w:line="288" w:lineRule="auto"/>
        <w:rPr>
          <w:rFonts w:ascii="黑体" w:hAnsi="黑体" w:eastAsia="黑体" w:cs="黑体"/>
          <w:color w:val="auto"/>
          <w:spacing w:val="6"/>
          <w:sz w:val="28"/>
          <w:szCs w:val="28"/>
          <w:highlight w:val="none"/>
        </w:rPr>
      </w:pPr>
      <w:r>
        <w:rPr>
          <w:rFonts w:hint="eastAsia" w:ascii="黑体" w:hAnsi="黑体" w:eastAsia="黑体" w:cs="黑体"/>
          <w:b/>
          <w:bCs/>
          <w:color w:val="auto"/>
          <w:spacing w:val="6"/>
          <w:sz w:val="28"/>
          <w:szCs w:val="28"/>
          <w:highlight w:val="none"/>
        </w:rPr>
        <w:t xml:space="preserve">（八）所有投标投标单位提供相同品牌的产品且通过资格审查、符合性审查的不同投标单位参加同一合同项下投标的，按一家投标单位计算，评审后得分最高的同品牌投标单位获得中标人推荐资格；评审得分相同的，由招标人根据现场签到顺序随机抽取确定一个中标候选人，</w:t>
      </w:r>
      <w:r>
        <w:rPr>
          <w:rFonts w:hint="eastAsia" w:ascii="黑体" w:hAnsi="黑体" w:eastAsia="黑体" w:cs="黑体"/>
          <w:color w:val="auto"/>
          <w:spacing w:val="6"/>
          <w:sz w:val="28"/>
          <w:szCs w:val="28"/>
          <w:highlight w:val="none"/>
        </w:rPr>
        <w:t xml:space="preserve">其他同品牌投标单位不作为中标候选人。</w:t>
      </w:r>
      <w:r/>
    </w:p>
    <w:p>
      <w:pPr>
        <w:pStyle w:val="833"/>
        <w:ind w:left="44"/>
        <w:spacing w:before="286"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7"/>
          <w:sz w:val="28"/>
          <w:szCs w:val="28"/>
          <w:highlight w:val="none"/>
        </w:rPr>
        <w:t xml:space="preserve">（九）付款方式</w:t>
      </w:r>
      <w:r/>
    </w:p>
    <w:p>
      <w:pPr>
        <w:pStyle w:val="833"/>
        <w:ind w:left="284"/>
        <w:spacing w:before="287"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（1）签订合同后投标单位可向招标人申请合同价</w:t>
      </w:r>
      <w:r>
        <w:rPr>
          <w:rFonts w:hint="eastAsia" w:ascii="黑体" w:hAnsi="黑体" w:eastAsia="黑体" w:cs="黑体"/>
          <w:color w:val="auto"/>
          <w:spacing w:val="-70"/>
          <w:sz w:val="28"/>
          <w:szCs w:val="28"/>
          <w:highlight w:val="none"/>
        </w:rPr>
        <w:t xml:space="preserve"> </w:t>
      </w:r>
      <w:r>
        <w:rPr>
          <w:rFonts w:hint="eastAsia" w:ascii="黑体" w:hAnsi="黑体" w:eastAsia="黑体" w:cs="黑体"/>
          <w:color w:val="auto"/>
          <w:spacing w:val="-1"/>
          <w:sz w:val="28"/>
          <w:szCs w:val="28"/>
          <w:highlight w:val="none"/>
        </w:rPr>
        <w:t xml:space="preserve">30%作为预</w:t>
      </w:r>
      <w:r>
        <w:rPr>
          <w:rFonts w:hint="eastAsia" w:ascii="黑体" w:hAnsi="黑体" w:eastAsia="黑体" w:cs="黑体"/>
          <w:color w:val="auto"/>
          <w:spacing w:val="-2"/>
          <w:sz w:val="28"/>
          <w:szCs w:val="28"/>
          <w:highlight w:val="none"/>
        </w:rPr>
        <w:t xml:space="preserve">付款。</w:t>
      </w:r>
      <w:r/>
    </w:p>
    <w:p>
      <w:pPr>
        <w:pStyle w:val="833"/>
        <w:ind w:left="22" w:right="212" w:firstLine="261"/>
        <w:spacing w:before="288"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（2）</w:t>
      </w:r>
      <w:r>
        <w:rPr>
          <w:rFonts w:hint="eastAsia" w:ascii="黑体" w:hAnsi="黑体" w:eastAsia="黑体" w:cs="黑体"/>
          <w:b/>
          <w:bCs/>
          <w:color w:val="auto"/>
          <w:spacing w:val="4"/>
          <w:sz w:val="28"/>
          <w:szCs w:val="28"/>
          <w:highlight w:val="none"/>
        </w:rPr>
        <w:t xml:space="preserve">在交付并验收通过后付至合同金额总价的95</w:t>
      </w:r>
      <w:r>
        <w:rPr>
          <w:rFonts w:hint="eastAsia" w:ascii="黑体" w:hAnsi="黑体" w:eastAsia="黑体" w:cs="黑体"/>
          <w:b/>
          <w:bCs/>
          <w:color w:val="auto"/>
          <w:spacing w:val="3"/>
          <w:sz w:val="28"/>
          <w:szCs w:val="28"/>
          <w:highlight w:val="none"/>
        </w:rPr>
        <w:t xml:space="preserve">%，余款待所有</w:t>
      </w:r>
      <w:r>
        <w:rPr>
          <w:rFonts w:hint="eastAsia" w:ascii="黑体" w:hAnsi="黑体" w:eastAsia="黑体" w:cs="黑体"/>
          <w:b/>
          <w:bCs/>
          <w:color w:val="auto"/>
          <w:spacing w:val="-3"/>
          <w:sz w:val="28"/>
          <w:szCs w:val="28"/>
          <w:highlight w:val="none"/>
        </w:rPr>
        <w:t xml:space="preserve">产品验收合格一年后无任何问题一次性支付。</w:t>
      </w:r>
      <w:r/>
    </w:p>
    <w:p>
      <w:pPr>
        <w:pStyle w:val="833"/>
        <w:ind w:left="23" w:right="210" w:firstLine="260"/>
        <w:spacing w:before="288" w:line="288" w:lineRule="auto"/>
        <w:rPr>
          <w:rFonts w:ascii="黑体" w:hAnsi="黑体" w:eastAsia="黑体" w:cs="黑体"/>
          <w:color w:val="auto"/>
          <w:sz w:val="28"/>
          <w:szCs w:val="28"/>
          <w:highlight w:val="none"/>
        </w:rPr>
      </w:pPr>
      <w:r>
        <w:rPr>
          <w:rFonts w:hint="eastAsia" w:ascii="黑体" w:hAnsi="黑体" w:eastAsia="黑体" w:cs="黑体"/>
          <w:color w:val="auto"/>
          <w:spacing w:val="7"/>
          <w:sz w:val="28"/>
          <w:szCs w:val="28"/>
          <w:highlight w:val="none"/>
        </w:rPr>
        <w:t xml:space="preserve">（3） 发票开具方式：</w:t>
      </w:r>
      <w:r>
        <w:rPr>
          <w:rFonts w:hint="eastAsia" w:ascii="黑体" w:hAnsi="黑体" w:eastAsia="黑体" w:cs="黑体"/>
          <w:color w:val="auto"/>
          <w:spacing w:val="7"/>
          <w:sz w:val="28"/>
          <w:szCs w:val="28"/>
          <w:highlight w:val="none"/>
          <w:u w:val="single"/>
        </w:rPr>
        <w:t xml:space="preserve">结算时中标单位须提</w:t>
      </w:r>
      <w:r>
        <w:rPr>
          <w:rFonts w:hint="eastAsia" w:ascii="黑体" w:hAnsi="黑体" w:eastAsia="黑体" w:cs="黑体"/>
          <w:color w:val="auto"/>
          <w:spacing w:val="6"/>
          <w:sz w:val="28"/>
          <w:szCs w:val="28"/>
          <w:highlight w:val="none"/>
          <w:u w:val="single"/>
        </w:rPr>
        <w:t xml:space="preserve">供招标人签字确认</w:t>
      </w:r>
      <w:r>
        <w:rPr>
          <w:rFonts w:hint="eastAsia" w:ascii="黑体" w:hAnsi="黑体" w:eastAsia="黑体" w:cs="黑体"/>
          <w:color w:val="auto"/>
          <w:spacing w:val="1"/>
          <w:sz w:val="28"/>
          <w:szCs w:val="28"/>
          <w:highlight w:val="none"/>
          <w:u w:val="single"/>
        </w:rPr>
        <w:t xml:space="preserve">后的验收合格证明及正规销售发票。</w:t>
      </w:r>
      <w:r/>
    </w:p>
    <w:p>
      <w:pPr>
        <w:pStyle w:val="833"/>
        <w:ind w:left="26" w:right="13" w:firstLine="257"/>
        <w:spacing w:before="180"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（4）招标人自收到发票后30日内发起国库集中支付申请且将资</w:t>
      </w:r>
      <w:r>
        <w:rPr>
          <w:rFonts w:hint="eastAsia" w:ascii="黑体" w:hAnsi="黑体" w:eastAsia="黑体" w:cs="黑体"/>
          <w:color w:val="auto"/>
          <w:spacing w:val="-1"/>
          <w:sz w:val="28"/>
          <w:szCs w:val="28"/>
          <w:highlight w:val="none"/>
        </w:rPr>
        <w:t xml:space="preserve">金支付到合同约定的投标单位账户。</w:t>
      </w:r>
      <w:r/>
    </w:p>
    <w:p>
      <w:pPr>
        <w:pStyle w:val="833"/>
        <w:ind w:left="22" w:right="160" w:firstLine="605"/>
        <w:spacing w:before="163"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1"/>
          <w:sz w:val="28"/>
          <w:szCs w:val="28"/>
          <w:highlight w:val="none"/>
        </w:rPr>
        <w:t xml:space="preserve">注明：</w:t>
      </w:r>
      <w:r/>
    </w:p>
    <w:p>
      <w:pPr>
        <w:pStyle w:val="833"/>
        <w:ind w:left="22" w:right="160" w:firstLine="605"/>
        <w:spacing w:before="163" w:line="288" w:lineRule="auto"/>
        <w:rPr>
          <w:rFonts w:ascii="黑体" w:hAnsi="黑体" w:eastAsia="黑体" w:cs="黑体"/>
          <w:b/>
          <w:bCs/>
          <w:color w:val="auto"/>
          <w:spacing w:val="-2"/>
          <w:sz w:val="28"/>
          <w:szCs w:val="28"/>
          <w:highlight w:val="none"/>
        </w:rPr>
      </w:pPr>
      <w:r>
        <w:rPr>
          <w:rFonts w:hint="eastAsia" w:ascii="黑体" w:hAnsi="黑体" w:eastAsia="黑体" w:cs="黑体"/>
          <w:color w:val="auto"/>
          <w:spacing w:val="-1"/>
          <w:sz w:val="28"/>
          <w:szCs w:val="28"/>
          <w:highlight w:val="none"/>
        </w:rPr>
        <w:t xml:space="preserve">1、签订合同时，中标单位明确表示无需预付款或者主动</w:t>
      </w:r>
      <w:r>
        <w:rPr>
          <w:rFonts w:hint="eastAsia" w:ascii="黑体" w:hAnsi="黑体" w:eastAsia="黑体" w:cs="黑体"/>
          <w:color w:val="auto"/>
          <w:spacing w:val="-2"/>
          <w:sz w:val="28"/>
          <w:szCs w:val="28"/>
          <w:highlight w:val="none"/>
        </w:rPr>
        <w:t xml:space="preserve">要求降低预付款比</w:t>
      </w:r>
      <w:r>
        <w:rPr>
          <w:rFonts w:hint="eastAsia" w:ascii="黑体" w:hAnsi="黑体" w:eastAsia="黑体" w:cs="黑体"/>
          <w:b/>
          <w:bCs/>
          <w:color w:val="auto"/>
          <w:spacing w:val="-2"/>
          <w:sz w:val="28"/>
          <w:szCs w:val="28"/>
          <w:highlight w:val="none"/>
        </w:rPr>
        <w:t xml:space="preserve">例的，招标人不适用上述规定。</w:t>
      </w:r>
      <w:r/>
    </w:p>
    <w:p>
      <w:pPr>
        <w:ind w:firstLine="562"/>
        <w:jc w:val="left"/>
        <w:spacing w:line="500" w:lineRule="exact"/>
        <w:rPr>
          <w:rFonts w:ascii="黑体" w:hAnsi="黑体" w:eastAsia="黑体" w:cs="黑体"/>
          <w:b/>
          <w:bCs/>
          <w:color w:val="auto"/>
          <w:spacing w:val="-2"/>
          <w:sz w:val="28"/>
          <w:szCs w:val="28"/>
          <w:highlight w:val="none"/>
        </w:rPr>
      </w:pPr>
      <w:r>
        <w:rPr>
          <w:rFonts w:hint="eastAsia" w:ascii="黑体" w:hAnsi="黑体" w:eastAsia="黑体" w:cs="黑体"/>
          <w:b/>
          <w:bCs/>
          <w:color w:val="auto"/>
          <w:sz w:val="28"/>
          <w:szCs w:val="28"/>
          <w:highlight w:val="none"/>
        </w:rPr>
        <w:t xml:space="preserve">2、对报价触发异常低价投标（响应）审查程序后仍中标（成交）的供应商，招标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招标人应当依法追究其违约责任。</w:t>
      </w:r>
      <w:r/>
    </w:p>
    <w:p>
      <w:pPr>
        <w:pStyle w:val="833"/>
        <w:ind w:left="284"/>
        <w:spacing w:before="56"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6"/>
          <w:sz w:val="28"/>
          <w:szCs w:val="28"/>
          <w:highlight w:val="none"/>
        </w:rPr>
        <w:t xml:space="preserve">（十）履约保证金</w:t>
      </w:r>
      <w:r/>
    </w:p>
    <w:p>
      <w:pPr>
        <w:pStyle w:val="833"/>
        <w:ind w:left="21" w:right="138" w:firstLine="262"/>
        <w:spacing w:before="286" w:line="288" w:lineRule="auto"/>
        <w:rPr>
          <w:rFonts w:ascii="黑体" w:hAnsi="黑体" w:eastAsia="黑体" w:cs="黑体"/>
          <w:color w:val="auto"/>
          <w:sz w:val="28"/>
          <w:szCs w:val="28"/>
          <w:highlight w:val="none"/>
        </w:rPr>
      </w:pPr>
      <w:r>
        <w:rPr>
          <w:rFonts w:hint="eastAsia" w:ascii="黑体" w:hAnsi="黑体" w:eastAsia="黑体" w:cs="黑体"/>
          <w:b/>
          <w:bCs/>
          <w:color w:val="auto"/>
          <w:spacing w:val="-4"/>
          <w:sz w:val="28"/>
          <w:szCs w:val="28"/>
          <w:highlight w:val="none"/>
        </w:rPr>
        <w:t xml:space="preserve">（1）本项目中标后的履约保证金为项目成交价的</w:t>
      </w:r>
      <w:r>
        <w:rPr>
          <w:rFonts w:hint="eastAsia" w:ascii="黑体" w:hAnsi="黑体" w:eastAsia="黑体" w:cs="黑体"/>
          <w:color w:val="auto"/>
          <w:spacing w:val="-38"/>
          <w:sz w:val="28"/>
          <w:szCs w:val="28"/>
          <w:highlight w:val="none"/>
        </w:rPr>
        <w:t xml:space="preserve"> </w:t>
      </w:r>
      <w:r>
        <w:rPr>
          <w:rFonts w:hint="eastAsia" w:ascii="黑体" w:hAnsi="黑体" w:eastAsia="黑体" w:cs="黑体"/>
          <w:b/>
          <w:bCs/>
          <w:color w:val="auto"/>
          <w:spacing w:val="-4"/>
          <w:sz w:val="28"/>
          <w:szCs w:val="28"/>
          <w:highlight w:val="none"/>
        </w:rPr>
        <w:t xml:space="preserve">10%，中标单位</w:t>
      </w:r>
      <w:r>
        <w:rPr>
          <w:rFonts w:hint="eastAsia" w:ascii="黑体" w:hAnsi="黑体" w:eastAsia="黑体" w:cs="黑体"/>
          <w:b/>
          <w:bCs/>
          <w:color w:val="auto"/>
          <w:spacing w:val="-2"/>
          <w:sz w:val="28"/>
          <w:szCs w:val="28"/>
          <w:highlight w:val="none"/>
        </w:rPr>
        <w:t xml:space="preserve">的履约保证金须在中标通知书发出之日起至合同签</w:t>
      </w:r>
      <w:r>
        <w:rPr>
          <w:rFonts w:hint="eastAsia" w:ascii="黑体" w:hAnsi="黑体" w:eastAsia="黑体" w:cs="黑体"/>
          <w:b/>
          <w:bCs/>
          <w:color w:val="auto"/>
          <w:spacing w:val="-3"/>
          <w:sz w:val="28"/>
          <w:szCs w:val="28"/>
          <w:highlight w:val="none"/>
        </w:rPr>
        <w:t xml:space="preserve">订前汇入招标人</w:t>
      </w:r>
      <w:r>
        <w:rPr>
          <w:rFonts w:hint="eastAsia" w:ascii="黑体" w:hAnsi="黑体" w:eastAsia="黑体" w:cs="黑体"/>
          <w:b/>
          <w:bCs/>
          <w:color w:val="auto"/>
          <w:spacing w:val="-2"/>
          <w:sz w:val="28"/>
          <w:szCs w:val="28"/>
          <w:highlight w:val="none"/>
        </w:rPr>
        <w:t xml:space="preserve">账户（应当以数字人民币、支票、汇票或者金融</w:t>
      </w:r>
      <w:r>
        <w:rPr>
          <w:rFonts w:hint="eastAsia" w:ascii="黑体" w:hAnsi="黑体" w:eastAsia="黑体" w:cs="黑体"/>
          <w:b/>
          <w:bCs/>
          <w:color w:val="auto"/>
          <w:spacing w:val="-3"/>
          <w:sz w:val="28"/>
          <w:szCs w:val="28"/>
          <w:highlight w:val="none"/>
        </w:rPr>
        <w:t xml:space="preserve">机构、担保机构出具的保函、现金等形式提交</w:t>
      </w:r>
      <w:r>
        <w:rPr>
          <w:rFonts w:hint="eastAsia" w:ascii="黑体" w:hAnsi="黑体" w:eastAsia="黑体" w:cs="黑体"/>
          <w:b/>
          <w:bCs/>
          <w:color w:val="auto"/>
          <w:spacing w:val="8"/>
          <w:sz w:val="28"/>
          <w:szCs w:val="28"/>
          <w:highlight w:val="none"/>
        </w:rPr>
        <w:t xml:space="preserve">），</w:t>
      </w:r>
      <w:r>
        <w:rPr>
          <w:rFonts w:hint="eastAsia" w:ascii="黑体" w:hAnsi="黑体" w:eastAsia="黑体" w:cs="黑体"/>
          <w:b/>
          <w:bCs/>
          <w:color w:val="auto"/>
          <w:spacing w:val="-3"/>
          <w:sz w:val="28"/>
          <w:szCs w:val="28"/>
          <w:highlight w:val="none"/>
        </w:rPr>
        <w:t xml:space="preserve">中标单位凭中标通知书与招标人</w:t>
      </w:r>
      <w:r>
        <w:rPr>
          <w:rFonts w:hint="eastAsia" w:ascii="黑体" w:hAnsi="黑体" w:eastAsia="黑体" w:cs="黑体"/>
          <w:b/>
          <w:bCs/>
          <w:color w:val="auto"/>
          <w:spacing w:val="-2"/>
          <w:sz w:val="28"/>
          <w:szCs w:val="28"/>
          <w:highlight w:val="none"/>
        </w:rPr>
        <w:t xml:space="preserve">签订合同。超期或未有协商，则视为自动</w:t>
      </w:r>
      <w:r>
        <w:rPr>
          <w:rFonts w:hint="eastAsia" w:ascii="黑体" w:hAnsi="黑体" w:eastAsia="黑体" w:cs="黑体"/>
          <w:b/>
          <w:bCs/>
          <w:color w:val="auto"/>
          <w:spacing w:val="-3"/>
          <w:sz w:val="28"/>
          <w:szCs w:val="28"/>
          <w:highlight w:val="none"/>
        </w:rPr>
        <w:t xml:space="preserve">放弃成交资格。</w:t>
      </w:r>
      <w:r/>
    </w:p>
    <w:p>
      <w:pPr>
        <w:pStyle w:val="833"/>
        <w:ind w:left="28" w:right="97" w:firstLine="536"/>
        <w:spacing w:before="299"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（2）中标单位全部履约合同义务，经招标人验收合格</w:t>
      </w:r>
      <w:r>
        <w:rPr>
          <w:rFonts w:hint="eastAsia" w:ascii="黑体" w:hAnsi="黑体" w:eastAsia="黑体" w:cs="黑体"/>
          <w:color w:val="auto"/>
          <w:spacing w:val="-2"/>
          <w:sz w:val="28"/>
          <w:szCs w:val="28"/>
          <w:highlight w:val="none"/>
        </w:rPr>
        <w:t xml:space="preserve">无质</w:t>
      </w:r>
      <w:r>
        <w:rPr>
          <w:rFonts w:hint="eastAsia" w:ascii="黑体" w:hAnsi="黑体" w:eastAsia="黑体" w:cs="黑体"/>
          <w:color w:val="auto"/>
          <w:spacing w:val="-1"/>
          <w:sz w:val="28"/>
          <w:szCs w:val="28"/>
          <w:highlight w:val="none"/>
        </w:rPr>
        <w:t xml:space="preserve">量、进度等问题的，招标人在验收合格后一次性退还履约保证金，</w:t>
      </w:r>
      <w:r/>
    </w:p>
    <w:p>
      <w:pPr>
        <w:pStyle w:val="833"/>
        <w:ind w:left="24" w:right="267" w:hanging="2"/>
        <w:spacing w:before="56"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招标人若逾期退还履约保证金的，按照逾期部分的每日</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1"/>
          <w:sz w:val="28"/>
          <w:szCs w:val="28"/>
          <w:highlight w:val="none"/>
        </w:rPr>
        <w:t xml:space="preserve">0.05%支付</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3"/>
          <w:sz w:val="28"/>
          <w:szCs w:val="28"/>
          <w:highlight w:val="none"/>
        </w:rPr>
        <w:t xml:space="preserve">违约金；</w:t>
      </w:r>
      <w:r/>
    </w:p>
    <w:p>
      <w:pPr>
        <w:pStyle w:val="833"/>
        <w:numPr>
          <w:ilvl w:val="0"/>
          <w:numId w:val="4"/>
        </w:numPr>
        <w:ind w:left="23" w:right="97" w:firstLine="540"/>
        <w:spacing w:before="61"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1"/>
          <w:sz w:val="28"/>
          <w:szCs w:val="28"/>
          <w:highlight w:val="none"/>
        </w:rPr>
        <w:t xml:space="preserve">发生以下情况的，履约保证金不予退还或部分退还：</w:t>
      </w:r>
      <w:r/>
    </w:p>
    <w:p>
      <w:pPr>
        <w:pStyle w:val="833"/>
        <w:ind w:right="97" w:firstLine="556"/>
        <w:spacing w:before="61" w:line="288" w:lineRule="auto"/>
        <w:rPr>
          <w:rFonts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a.签</w:t>
      </w:r>
      <w:r>
        <w:rPr>
          <w:rFonts w:hint="eastAsia" w:ascii="黑体" w:hAnsi="黑体" w:eastAsia="黑体" w:cs="黑体"/>
          <w:color w:val="auto"/>
          <w:sz w:val="28"/>
          <w:szCs w:val="28"/>
          <w:highlight w:val="none"/>
        </w:rPr>
        <w:t xml:space="preserve">订合同后，中标单位不履行合同义务的，</w:t>
      </w:r>
      <w:r>
        <w:rPr>
          <w:rFonts w:hint="eastAsia" w:ascii="黑体" w:hAnsi="黑体" w:eastAsia="黑体" w:cs="黑体"/>
          <w:color w:val="auto"/>
          <w:spacing w:val="-1"/>
          <w:sz w:val="28"/>
          <w:szCs w:val="28"/>
          <w:highlight w:val="none"/>
        </w:rPr>
        <w:t xml:space="preserve">招标人有权全额扣除</w:t>
      </w:r>
      <w:r>
        <w:rPr>
          <w:rFonts w:hint="eastAsia" w:ascii="黑体" w:hAnsi="黑体" w:eastAsia="黑体" w:cs="黑体"/>
          <w:color w:val="auto"/>
          <w:sz w:val="28"/>
          <w:szCs w:val="28"/>
          <w:highlight w:val="none"/>
        </w:rPr>
        <w:t xml:space="preserve">履约保证金，全额不予退还，同时招标人</w:t>
      </w:r>
      <w:r>
        <w:rPr>
          <w:rFonts w:hint="eastAsia" w:ascii="黑体" w:hAnsi="黑体" w:eastAsia="黑体" w:cs="黑体"/>
          <w:color w:val="auto"/>
          <w:spacing w:val="-1"/>
          <w:sz w:val="28"/>
          <w:szCs w:val="28"/>
          <w:highlight w:val="none"/>
        </w:rPr>
        <w:t xml:space="preserve">亦有权终止合同，中标单位</w:t>
      </w:r>
      <w:r>
        <w:rPr>
          <w:rFonts w:hint="eastAsia" w:ascii="黑体" w:hAnsi="黑体" w:eastAsia="黑体" w:cs="黑体"/>
          <w:color w:val="auto"/>
          <w:sz w:val="28"/>
          <w:szCs w:val="28"/>
          <w:highlight w:val="none"/>
        </w:rPr>
        <w:t xml:space="preserve">还须承担相应的法律赔偿责任。</w:t>
      </w:r>
      <w:r/>
    </w:p>
    <w:p>
      <w:pPr>
        <w:pStyle w:val="833"/>
        <w:ind w:right="97" w:firstLine="560"/>
        <w:spacing w:before="61" w:line="288" w:lineRule="auto"/>
        <w:rPr>
          <w:rFonts w:ascii="黑体" w:hAnsi="黑体" w:eastAsia="黑体" w:cs="黑体"/>
          <w:color w:val="auto"/>
          <w:spacing w:val="-1"/>
          <w:sz w:val="28"/>
          <w:szCs w:val="28"/>
          <w:highlight w:val="none"/>
        </w:rPr>
      </w:pPr>
      <w:r>
        <w:rPr>
          <w:rFonts w:hint="eastAsia" w:ascii="黑体" w:hAnsi="黑体" w:eastAsia="黑体" w:cs="黑体"/>
          <w:color w:val="auto"/>
          <w:sz w:val="28"/>
          <w:szCs w:val="28"/>
          <w:highlight w:val="none"/>
        </w:rPr>
        <w:t xml:space="preserve">b.中标单位</w:t>
      </w:r>
      <w:r>
        <w:rPr>
          <w:rFonts w:hint="eastAsia" w:ascii="黑体" w:hAnsi="黑体" w:eastAsia="黑体" w:cs="黑体"/>
          <w:color w:val="auto"/>
          <w:spacing w:val="-1"/>
          <w:sz w:val="28"/>
          <w:szCs w:val="28"/>
          <w:highlight w:val="none"/>
        </w:rPr>
        <w:t xml:space="preserve">在履约过程中</w:t>
      </w:r>
      <w:r>
        <w:rPr>
          <w:rFonts w:hint="eastAsia" w:ascii="黑体" w:hAnsi="黑体" w:eastAsia="黑体" w:cs="黑体"/>
          <w:color w:val="auto"/>
          <w:sz w:val="28"/>
          <w:szCs w:val="28"/>
          <w:highlight w:val="none"/>
        </w:rPr>
        <w:t xml:space="preserve">发生违约行为，给招标人造成损失的，招标人</w:t>
      </w:r>
      <w:r>
        <w:rPr>
          <w:rFonts w:hint="eastAsia" w:ascii="黑体" w:hAnsi="黑体" w:eastAsia="黑体" w:cs="黑体"/>
          <w:color w:val="auto"/>
          <w:spacing w:val="-1"/>
          <w:sz w:val="28"/>
          <w:szCs w:val="28"/>
          <w:highlight w:val="none"/>
        </w:rPr>
        <w:t xml:space="preserve">有权在中标单位</w:t>
      </w:r>
      <w:r>
        <w:rPr>
          <w:rFonts w:hint="eastAsia" w:ascii="黑体" w:hAnsi="黑体" w:eastAsia="黑体" w:cs="黑体"/>
          <w:color w:val="auto"/>
          <w:sz w:val="28"/>
          <w:szCs w:val="28"/>
          <w:highlight w:val="none"/>
        </w:rPr>
        <w:t xml:space="preserve">缴纳的履约保证金中予以扣款，以弥补招标人</w:t>
      </w:r>
      <w:r>
        <w:rPr>
          <w:rFonts w:hint="eastAsia" w:ascii="黑体" w:hAnsi="黑体" w:eastAsia="黑体" w:cs="黑体"/>
          <w:color w:val="auto"/>
          <w:spacing w:val="-1"/>
          <w:sz w:val="28"/>
          <w:szCs w:val="28"/>
          <w:highlight w:val="none"/>
        </w:rPr>
        <w:t xml:space="preserve">经济损失，不足的部分中标单位另外补齐。</w:t>
      </w:r>
      <w:r/>
    </w:p>
    <w:p>
      <w:pPr>
        <w:spacing w:line="0" w:lineRule="atLeast"/>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（十一）政府采购中实施本国产品标准及相关政策</w:t>
      </w:r>
      <w:r/>
    </w:p>
    <w:p>
      <w:pPr>
        <w:ind w:firstLine="480"/>
        <w:spacing w:line="44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1.本项目对采购本国产品给予政策支持，具体内容见招标文件第四章具体内容。</w:t>
      </w:r>
      <w:r/>
    </w:p>
    <w:p>
      <w:pPr>
        <w:ind w:firstLine="480"/>
        <w:spacing w:line="44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6"/>
        <w:rPr>
          <w:rFonts w:ascii="黑体" w:hAnsi="黑体" w:eastAsia="黑体" w:cs="黑体"/>
          <w:color w:val="auto"/>
          <w:spacing w:val="-1"/>
          <w:sz w:val="28"/>
          <w:szCs w:val="28"/>
          <w:highlight w:val="none"/>
        </w:rPr>
      </w:pPr>
      <w:r>
        <w:rPr>
          <w:rFonts w:hint="eastAsia" w:ascii="黑体" w:hAnsi="黑体" w:eastAsia="黑体" w:cs="黑体"/>
          <w:bCs/>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33"/>
        <w:ind w:left="44"/>
        <w:spacing w:before="46"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（十二）本项目不接受进口产品投标。</w:t>
      </w:r>
      <w:r/>
    </w:p>
    <w:p>
      <w:pPr>
        <w:pStyle w:val="833"/>
        <w:ind w:left="44"/>
        <w:spacing w:before="142"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（十三）样品：无</w:t>
      </w:r>
      <w:r/>
    </w:p>
    <w:p>
      <w:pPr>
        <w:spacing w:line="288" w:lineRule="auto"/>
        <w:rPr>
          <w:rFonts w:ascii="黑体" w:hAnsi="黑体" w:eastAsia="黑体" w:cs="黑体"/>
          <w:color w:val="auto"/>
          <w:sz w:val="28"/>
          <w:szCs w:val="28"/>
          <w:highlight w:val="none"/>
        </w:rPr>
        <w:sectPr>
          <w:footerReference w:type="default" r:id="rId12"/>
          <w:footnotePr/>
          <w:endnotePr/>
          <w:type w:val="nextPage"/>
          <w:pgSz w:w="11906" w:h="16839" w:orient="portrait"/>
          <w:pgMar w:top="1431" w:right="1785" w:bottom="1176" w:left="1785" w:header="0" w:footer="989" w:gutter="0"/>
          <w:cols w:num="1" w:sep="0" w:space="720" w:equalWidth="1"/>
          <w:docGrid w:linePitch="360"/>
        </w:sectPr>
      </w:pPr>
      <w:r>
        <w:rPr>
          <w:rFonts w:ascii="黑体" w:hAnsi="黑体" w:eastAsia="黑体" w:cs="黑体"/>
          <w:color w:val="auto"/>
          <w:sz w:val="28"/>
          <w:szCs w:val="28"/>
          <w:highlight w:val="none"/>
        </w:rPr>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t xml:space="preserve">第四部分  开标和评标</w:t>
      </w:r>
      <w:r/>
    </w:p>
    <w:p>
      <w:pPr>
        <w:pStyle w:val="1088"/>
        <w:ind w:left="0" w:right="0" w:firstLine="562"/>
        <w:jc w:val="left"/>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一、开标</w:t>
      </w:r>
      <w:r/>
    </w:p>
    <w:p>
      <w:pPr>
        <w:ind w:firstLine="537"/>
        <w:spacing w:line="288" w:lineRule="auto"/>
        <w:tabs>
          <w:tab w:val="left" w:pos="358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不见面远程开标模式：投标单位在各自地点通过“苏采云”不见面交易系统参加开标会。</w:t>
      </w:r>
      <w:r/>
    </w:p>
    <w:p>
      <w:pPr>
        <w:pStyle w:val="1088"/>
        <w:ind w:left="0" w:right="0" w:firstLine="562"/>
        <w:jc w:val="left"/>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二、评标流程和评标标准</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采用综合评分法。分资格审查、符合性审查、商务技术标、价格标四部分评审，总分值为100分，加分和减分因素除外。</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首先由招标人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pStyle w:val="855"/>
        <w:ind w:firstLine="562"/>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（一）本项目如出现以下情形的，评标小组将启动政府采购启动异常低价投标（响应）审查程序：</w:t>
      </w:r>
      <w:r/>
    </w:p>
    <w:p>
      <w:pPr>
        <w:pStyle w:val="855"/>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1.投标（响应）报价低于全部通过符合性审查供应商投标（响应）报价平均值50%的，即投标（响应）报价&lt;全部通过符合性审查供应商投标（响应）报价平均值×50%；</w:t>
      </w:r>
      <w:r/>
    </w:p>
    <w:p>
      <w:pPr>
        <w:pStyle w:val="855"/>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2.投标（响应）报价低于通过符合性审查的次低报价供应商投标（响应）报价50%的，即投标（响应）报价&lt;通过符合性审查的次低报价供应商投标（响应）报价×50%；</w:t>
      </w:r>
      <w:r/>
    </w:p>
    <w:p>
      <w:pPr>
        <w:pStyle w:val="855"/>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3.投标（响应）报价低于采购项目最高限价45%的，即投标（响应）报价&lt;采购项目最高限价×45%；</w:t>
      </w:r>
      <w:r/>
    </w:p>
    <w:p>
      <w:pPr>
        <w:pStyle w:val="855"/>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4.评审委员会基于专业判断，认为供应商报价过低，有可能影响产品质量或者不能诚信履约的其他情形。</w:t>
      </w:r>
      <w:r/>
    </w:p>
    <w:p>
      <w:pPr>
        <w:pStyle w:val="855"/>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5"/>
        <w:ind w:firstLine="646"/>
        <w:jc w:val="both"/>
        <w:spacing w:before="0" w:beforeAutospacing="0" w:after="0" w:afterAutospacing="0" w:line="400" w:lineRule="atLeast"/>
        <w:rPr>
          <w:rFonts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5"/>
        <w:ind w:firstLine="646"/>
        <w:jc w:val="both"/>
        <w:spacing w:before="0" w:beforeAutospacing="0" w:after="0" w:afterAutospacing="0" w:line="400" w:lineRule="atLeast"/>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5"/>
        <w:ind w:firstLine="646"/>
        <w:jc w:val="both"/>
        <w:spacing w:before="0" w:beforeAutospacing="0" w:after="0" w:afterAutospacing="0" w:line="400" w:lineRule="atLeast"/>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5"/>
        <w:ind w:firstLine="646"/>
        <w:jc w:val="both"/>
        <w:spacing w:before="0" w:beforeAutospacing="0" w:after="0" w:afterAutospacing="0" w:line="400" w:lineRule="atLeast"/>
        <w:rPr>
          <w:color w:val="auto"/>
          <w:sz w:val="28"/>
          <w:szCs w:val="28"/>
          <w:highlight w:val="none"/>
        </w:rPr>
      </w:pPr>
      <w:r>
        <w:rPr>
          <w:rFonts w:hint="eastAsia" w:ascii="黑体" w:hAnsi="黑体" w:eastAsia="黑体" w:cs="黑体"/>
          <w:b/>
          <w:color w:val="auto"/>
          <w:sz w:val="28"/>
          <w:szCs w:val="28"/>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5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评委在认真审阅投标文件的基础上，根据各投标文件的响应程度独立评判，不得统一打分。</w:t>
      </w:r>
      <w:r/>
    </w:p>
    <w:p>
      <w:pPr>
        <w:ind w:firstLine="413"/>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（一）招标人（代表）对投标单位资格进行审查。</w:t>
      </w:r>
      <w:r/>
    </w:p>
    <w:p>
      <w:pPr>
        <w:pStyle w:val="1092"/>
        <w:ind w:firstLine="577"/>
        <w:spacing w:line="288" w:lineRule="auto"/>
        <w:rPr>
          <w:rFonts w:ascii="黑体" w:hAnsi="黑体" w:eastAsia="黑体" w:cs="黑体"/>
          <w:bCs/>
          <w:color w:val="auto"/>
          <w:sz w:val="28"/>
          <w:highlight w:val="none"/>
        </w:rPr>
      </w:pPr>
      <w:r>
        <w:rPr>
          <w:rFonts w:hint="eastAsia" w:ascii="黑体" w:hAnsi="黑体" w:eastAsia="黑体" w:cs="黑体"/>
          <w:bCs/>
          <w:color w:val="auto"/>
          <w:sz w:val="28"/>
          <w:highlight w:val="none"/>
        </w:rPr>
        <w:t xml:space="preserve">投标单位资格不合格的，其投标文件判定为无效投标文件。</w:t>
      </w:r>
      <w:r/>
    </w:p>
    <w:p>
      <w:pPr>
        <w:ind w:firstLine="413"/>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（二）评标委员会对符合资格投标单位的投标文件进行符合性审查。</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符合性审查要求</w:t>
      </w:r>
      <w:r/>
    </w:p>
    <w:tbl>
      <w:tblPr>
        <w:tblStyle w:val="828"/>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按《招标文件》要求</w:t>
            </w:r>
            <w:r>
              <w:rPr>
                <w:rFonts w:hint="eastAsia" w:ascii="黑体" w:hAnsi="黑体" w:eastAsia="黑体" w:cs="黑体"/>
                <w:bCs/>
                <w:color w:val="auto"/>
                <w:sz w:val="28"/>
                <w:szCs w:val="28"/>
                <w:highlight w:val="none"/>
              </w:rPr>
              <w:t xml:space="preserve">提供承诺书</w:t>
            </w:r>
            <w:r>
              <w:rPr>
                <w:rFonts w:hint="eastAsia" w:ascii="黑体" w:hAnsi="黑体" w:eastAsia="黑体" w:cs="黑体"/>
                <w:bCs/>
                <w:color w:val="auto"/>
                <w:sz w:val="28"/>
                <w:szCs w:val="28"/>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满足《</w:t>
            </w:r>
            <w:r>
              <w:rPr>
                <w:rFonts w:hint="eastAsia" w:ascii="黑体" w:hAnsi="黑体" w:eastAsia="黑体" w:cs="黑体"/>
                <w:b/>
                <w:color w:val="auto"/>
                <w:sz w:val="28"/>
                <w:szCs w:val="28"/>
                <w:highlight w:val="none"/>
              </w:rPr>
              <w:t xml:space="preserve">招标</w:t>
            </w:r>
            <w:r>
              <w:rPr>
                <w:rFonts w:hint="eastAsia" w:ascii="黑体" w:hAnsi="黑体" w:eastAsia="黑体" w:cs="黑体"/>
                <w:b/>
                <w:color w:val="auto"/>
                <w:sz w:val="28"/>
                <w:szCs w:val="28"/>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没有串通投标情形。</w:t>
            </w:r>
            <w:r/>
          </w:p>
        </w:tc>
      </w:tr>
    </w:tbl>
    <w:p>
      <w:pPr>
        <w:pStyle w:val="1092"/>
        <w:ind w:firstLine="577"/>
        <w:spacing w:line="288" w:lineRule="auto"/>
        <w:rPr>
          <w:rFonts w:ascii="黑体" w:hAnsi="黑体" w:eastAsia="黑体" w:cs="黑体"/>
          <w:b/>
          <w:color w:val="auto"/>
          <w:sz w:val="28"/>
          <w:highlight w:val="none"/>
          <w:u w:val="single"/>
        </w:rPr>
      </w:pPr>
      <w:r>
        <w:rPr>
          <w:rFonts w:hint="eastAsia" w:ascii="黑体" w:hAnsi="黑体" w:eastAsia="黑体" w:cs="黑体"/>
          <w:b/>
          <w:color w:val="auto"/>
          <w:sz w:val="28"/>
          <w:highlight w:val="none"/>
          <w:u w:val="single"/>
          <w:lang w:val="zh-CN"/>
        </w:rPr>
        <w:t xml:space="preserve">本</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文件有“★”标明的条款，请各投标单位仔细研读且作为符合性审查要求，未通过符合性审查的响应文件，经</w:t>
      </w:r>
      <w:r>
        <w:rPr>
          <w:rFonts w:hint="eastAsia" w:ascii="黑体" w:hAnsi="黑体" w:eastAsia="黑体" w:cs="黑体"/>
          <w:b/>
          <w:color w:val="auto"/>
          <w:sz w:val="28"/>
          <w:highlight w:val="none"/>
          <w:u w:val="single"/>
        </w:rPr>
        <w:t xml:space="preserve">评标</w:t>
      </w:r>
      <w:r>
        <w:rPr>
          <w:rFonts w:hint="eastAsia" w:ascii="黑体" w:hAnsi="黑体" w:eastAsia="黑体" w:cs="黑体"/>
          <w:b/>
          <w:color w:val="auto"/>
          <w:sz w:val="28"/>
          <w:highlight w:val="none"/>
          <w:u w:val="single"/>
          <w:lang w:val="zh-CN"/>
        </w:rPr>
        <w:t xml:space="preserve">小组核实将被判为不满足</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文件实质性要求，</w:t>
      </w:r>
      <w:r>
        <w:rPr>
          <w:rFonts w:hint="eastAsia" w:ascii="黑体" w:hAnsi="黑体" w:eastAsia="黑体" w:cs="黑体"/>
          <w:b/>
          <w:color w:val="auto"/>
          <w:sz w:val="28"/>
          <w:highlight w:val="none"/>
          <w:u w:val="single"/>
        </w:rPr>
        <w:t xml:space="preserve">作无效投标处理。符合性审查资料请放置在符合性资料中，若因投标单位提供的资料混乱、不清晰导致符合性审查未能通过的，由投标单位自行承担后果。</w:t>
      </w:r>
      <w:r/>
    </w:p>
    <w:p>
      <w:pPr>
        <w:pStyle w:val="1121"/>
        <w:ind w:firstLine="280"/>
        <w:spacing w:before="0" w:beforeAutospacing="0" w:after="0" w:afterAutospacing="0"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商务技术分：70分（</w:t>
      </w:r>
      <w:r>
        <w:rPr>
          <w:rFonts w:hint="eastAsia" w:ascii="黑体" w:hAnsi="黑体" w:eastAsia="黑体" w:cs="黑体"/>
          <w:bCs/>
          <w:color w:val="auto"/>
          <w:sz w:val="28"/>
          <w:szCs w:val="28"/>
          <w:highlight w:val="none"/>
          <w:lang w:val="zh-CN"/>
        </w:rPr>
        <w:t xml:space="preserve">各投标投标单位得分为评委会成员评分的算术平均分，分值保留小数点后两位）。</w:t>
      </w:r>
      <w:r/>
    </w:p>
    <w:p>
      <w:pPr>
        <w:spacing w:line="288" w:lineRule="auto"/>
        <w:rPr>
          <w:rFonts w:ascii="黑体" w:hAnsi="黑体" w:eastAsia="黑体" w:cs="黑体"/>
          <w:color w:val="auto"/>
          <w:sz w:val="2"/>
          <w:highlight w:val="none"/>
        </w:rPr>
      </w:pPr>
      <w:r>
        <w:rPr>
          <w:rFonts w:ascii="黑体" w:hAnsi="黑体" w:eastAsia="黑体" w:cs="黑体"/>
          <w:color w:val="auto"/>
          <w:sz w:val="2"/>
          <w:highlight w:val="none"/>
        </w:rPr>
      </w:r>
      <w:r/>
    </w:p>
    <w:tbl>
      <w:tblPr>
        <w:tblStyle w:val="1153"/>
        <w:tblW w:w="94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1702"/>
        <w:gridCol w:w="1102"/>
        <w:gridCol w:w="5645"/>
      </w:tblGrid>
      <w:tr>
        <w:trPr>
          <w:trHeight w:val="635"/>
        </w:trPr>
        <w:tc>
          <w:tcPr>
            <w:gridSpan w:val="3"/>
            <w:tcW w:w="3818" w:type="dxa"/>
            <w:textDirection w:val="lrTb"/>
            <w:noWrap w:val="false"/>
          </w:tcPr>
          <w:p>
            <w:pPr>
              <w:ind w:left="700"/>
              <w:spacing w:before="177"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分值构成（100</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4"/>
                <w:sz w:val="28"/>
                <w:szCs w:val="28"/>
                <w:highlight w:val="none"/>
              </w:rPr>
              <w:t xml:space="preserve">分）</w:t>
            </w:r>
            <w:r/>
          </w:p>
        </w:tc>
        <w:tc>
          <w:tcPr>
            <w:tcW w:w="5645" w:type="dxa"/>
            <w:textDirection w:val="lrTb"/>
            <w:noWrap w:val="false"/>
          </w:tcPr>
          <w:p>
            <w:pPr>
              <w:ind w:left="878"/>
              <w:spacing w:before="177"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商务技术标</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4"/>
                <w:sz w:val="28"/>
                <w:szCs w:val="28"/>
                <w:highlight w:val="none"/>
              </w:rPr>
              <w:t xml:space="preserve">70</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4"/>
                <w:sz w:val="28"/>
                <w:szCs w:val="28"/>
                <w:highlight w:val="none"/>
              </w:rPr>
              <w:t xml:space="preserve">分，报价标</w:t>
            </w:r>
            <w:r>
              <w:rPr>
                <w:rFonts w:hint="eastAsia" w:ascii="黑体" w:hAnsi="黑体" w:eastAsia="黑体" w:cs="黑体"/>
                <w:color w:val="auto"/>
                <w:spacing w:val="-62"/>
                <w:sz w:val="28"/>
                <w:szCs w:val="28"/>
                <w:highlight w:val="none"/>
              </w:rPr>
              <w:t xml:space="preserve"> </w:t>
            </w:r>
            <w:r>
              <w:rPr>
                <w:rFonts w:hint="eastAsia" w:ascii="黑体" w:hAnsi="黑体" w:eastAsia="黑体" w:cs="黑体"/>
                <w:color w:val="auto"/>
                <w:spacing w:val="-4"/>
                <w:sz w:val="28"/>
                <w:szCs w:val="28"/>
                <w:highlight w:val="none"/>
              </w:rPr>
              <w:t xml:space="preserve">30</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4"/>
                <w:sz w:val="28"/>
                <w:szCs w:val="28"/>
                <w:highlight w:val="none"/>
              </w:rPr>
              <w:t xml:space="preserve">分</w:t>
            </w:r>
            <w:r/>
          </w:p>
        </w:tc>
      </w:tr>
      <w:tr>
        <w:trPr>
          <w:trHeight w:val="652"/>
        </w:trPr>
        <w:tc>
          <w:tcPr>
            <w:tcW w:w="1014" w:type="dxa"/>
            <w:textDirection w:val="lrTb"/>
            <w:noWrap w:val="false"/>
          </w:tcPr>
          <w:p>
            <w:pPr>
              <w:ind w:left="234"/>
              <w:spacing w:before="182"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序号</w:t>
            </w:r>
            <w:r/>
          </w:p>
        </w:tc>
        <w:tc>
          <w:tcPr>
            <w:tcW w:w="1702" w:type="dxa"/>
            <w:textDirection w:val="lrTb"/>
            <w:noWrap w:val="false"/>
          </w:tcPr>
          <w:p>
            <w:pPr>
              <w:ind w:left="206"/>
              <w:spacing w:before="183"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评分因素</w:t>
            </w:r>
            <w:r/>
          </w:p>
        </w:tc>
        <w:tc>
          <w:tcPr>
            <w:gridSpan w:val="2"/>
            <w:tcW w:w="6747" w:type="dxa"/>
            <w:textDirection w:val="lrTb"/>
            <w:noWrap w:val="false"/>
          </w:tcPr>
          <w:p>
            <w:pPr>
              <w:ind w:left="2909"/>
              <w:spacing w:before="183"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评分标准</w:t>
            </w:r>
            <w:r/>
          </w:p>
        </w:tc>
      </w:tr>
      <w:tr>
        <w:trPr>
          <w:trHeight w:val="1469"/>
        </w:trPr>
        <w:tc>
          <w:tcPr>
            <w:tcW w:w="1014"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60"/>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w:t>
            </w:r>
            <w:r/>
          </w:p>
        </w:tc>
        <w:tc>
          <w:tcPr>
            <w:tcW w:w="170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94" w:right="269" w:hanging="214"/>
              <w:spacing w:before="91" w:line="288" w:lineRule="auto"/>
              <w:rPr>
                <w:rFonts w:hint="eastAsia" w:ascii="黑体" w:hAnsi="黑体" w:eastAsia="黑体" w:cs="黑体"/>
                <w:color w:val="auto"/>
                <w:sz w:val="28"/>
                <w:szCs w:val="28"/>
                <w:highlight w:val="none"/>
                <w:lang w:eastAsia="zh-CN"/>
              </w:rPr>
            </w:pPr>
            <w:r>
              <w:rPr>
                <w:rFonts w:hint="eastAsia" w:ascii="黑体" w:hAnsi="黑体" w:eastAsia="黑体" w:cs="黑体"/>
                <w:color w:val="auto"/>
                <w:spacing w:val="-4"/>
                <w:sz w:val="28"/>
                <w:szCs w:val="28"/>
                <w:highlight w:val="none"/>
              </w:rPr>
              <w:t xml:space="preserve">业绩（6</w:t>
            </w:r>
            <w:r>
              <w:rPr>
                <w:rFonts w:hint="eastAsia" w:ascii="黑体" w:hAnsi="黑体" w:eastAsia="黑体" w:cs="黑体"/>
                <w:color w:val="auto"/>
                <w:spacing w:val="1"/>
                <w:sz w:val="28"/>
                <w:szCs w:val="28"/>
                <w:highlight w:val="none"/>
              </w:rPr>
              <w:t xml:space="preserve"> </w:t>
            </w:r>
            <w:r>
              <w:rPr>
                <w:rFonts w:hint="eastAsia" w:ascii="黑体" w:hAnsi="黑体" w:eastAsia="黑体" w:cs="黑体"/>
                <w:color w:val="auto"/>
                <w:spacing w:val="-9"/>
                <w:sz w:val="28"/>
                <w:szCs w:val="28"/>
                <w:highlight w:val="none"/>
              </w:rPr>
              <w:t xml:space="preserve">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1" w:right="106" w:firstLine="3"/>
              <w:spacing w:before="5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投标单位</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3"/>
                <w:sz w:val="28"/>
                <w:szCs w:val="28"/>
                <w:highlight w:val="none"/>
              </w:rPr>
              <w:t xml:space="preserve">2023</w:t>
            </w:r>
            <w:r>
              <w:rPr>
                <w:rFonts w:hint="eastAsia" w:ascii="黑体" w:hAnsi="黑体" w:eastAsia="黑体" w:cs="黑体"/>
                <w:color w:val="auto"/>
                <w:spacing w:val="-55"/>
                <w:sz w:val="28"/>
                <w:szCs w:val="28"/>
                <w:highlight w:val="none"/>
              </w:rPr>
              <w:t xml:space="preserve"> </w:t>
            </w:r>
            <w:r>
              <w:rPr>
                <w:rFonts w:hint="eastAsia" w:ascii="黑体" w:hAnsi="黑体" w:eastAsia="黑体" w:cs="黑体"/>
                <w:color w:val="auto"/>
                <w:spacing w:val="-3"/>
                <w:sz w:val="28"/>
                <w:szCs w:val="28"/>
                <w:highlight w:val="none"/>
              </w:rPr>
              <w:t xml:space="preserve">年</w:t>
            </w:r>
            <w:r>
              <w:rPr>
                <w:rFonts w:hint="eastAsia" w:ascii="黑体" w:hAnsi="黑体" w:eastAsia="黑体" w:cs="黑体"/>
                <w:color w:val="auto"/>
                <w:spacing w:val="-38"/>
                <w:sz w:val="28"/>
                <w:szCs w:val="28"/>
                <w:highlight w:val="none"/>
              </w:rPr>
              <w:t xml:space="preserve"> </w:t>
            </w:r>
            <w:r>
              <w:rPr>
                <w:rFonts w:hint="eastAsia" w:ascii="黑体" w:hAnsi="黑体" w:eastAsia="黑体" w:cs="黑体"/>
                <w:color w:val="auto"/>
                <w:spacing w:val="-3"/>
                <w:sz w:val="28"/>
                <w:szCs w:val="28"/>
                <w:highlight w:val="none"/>
              </w:rPr>
              <w:t xml:space="preserve">1</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3"/>
                <w:sz w:val="28"/>
                <w:szCs w:val="28"/>
                <w:highlight w:val="none"/>
              </w:rPr>
              <w:t xml:space="preserve">月</w:t>
            </w:r>
            <w:r>
              <w:rPr>
                <w:rFonts w:hint="eastAsia" w:ascii="黑体" w:hAnsi="黑体" w:eastAsia="黑体" w:cs="黑体"/>
                <w:color w:val="auto"/>
                <w:spacing w:val="-41"/>
                <w:sz w:val="28"/>
                <w:szCs w:val="28"/>
                <w:highlight w:val="none"/>
              </w:rPr>
              <w:t xml:space="preserve"> </w:t>
            </w:r>
            <w:r>
              <w:rPr>
                <w:rFonts w:hint="eastAsia" w:ascii="黑体" w:hAnsi="黑体" w:eastAsia="黑体" w:cs="黑体"/>
                <w:color w:val="auto"/>
                <w:spacing w:val="-3"/>
                <w:sz w:val="28"/>
                <w:szCs w:val="28"/>
                <w:highlight w:val="none"/>
              </w:rPr>
              <w:t xml:space="preserve">1日至今承担过类似装配式公厕业</w:t>
            </w:r>
            <w:r>
              <w:rPr>
                <w:rFonts w:hint="eastAsia" w:ascii="黑体" w:hAnsi="黑体" w:eastAsia="黑体" w:cs="黑体"/>
                <w:color w:val="auto"/>
                <w:spacing w:val="6"/>
                <w:sz w:val="28"/>
                <w:szCs w:val="28"/>
                <w:highlight w:val="none"/>
              </w:rPr>
              <w:t xml:space="preserve">绩，有一个得2分，满分6分。（以上业绩需提供中</w:t>
            </w:r>
            <w:r>
              <w:rPr>
                <w:rFonts w:hint="eastAsia" w:ascii="黑体" w:hAnsi="黑体" w:eastAsia="黑体" w:cs="黑体"/>
                <w:color w:val="auto"/>
                <w:spacing w:val="11"/>
                <w:sz w:val="28"/>
                <w:szCs w:val="28"/>
                <w:highlight w:val="none"/>
              </w:rPr>
              <w:t xml:space="preserve">标通知书、发票、合同及公厕的实物照片，原件扫描件加盖</w:t>
            </w:r>
            <w:r>
              <w:rPr>
                <w:rFonts w:hint="eastAsia" w:ascii="黑体" w:hAnsi="黑体" w:eastAsia="黑体" w:cs="黑体"/>
                <w:color w:val="auto"/>
                <w:spacing w:val="-1"/>
                <w:sz w:val="28"/>
                <w:szCs w:val="28"/>
                <w:highlight w:val="none"/>
              </w:rPr>
              <w:t xml:space="preserve">投标单位公章）</w:t>
            </w:r>
            <w:r/>
          </w:p>
        </w:tc>
      </w:tr>
      <w:tr>
        <w:trPr>
          <w:trHeight w:val="1901"/>
        </w:trPr>
        <w:tc>
          <w:tcPr>
            <w:tcW w:w="1014"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43"/>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w:t>
            </w:r>
            <w:r/>
          </w:p>
        </w:tc>
        <w:tc>
          <w:tcPr>
            <w:tcW w:w="170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99" w:right="198" w:hanging="294"/>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2"/>
                <w:sz w:val="28"/>
                <w:szCs w:val="28"/>
                <w:highlight w:val="none"/>
              </w:rPr>
              <w:t xml:space="preserve">产品要求</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1"/>
                <w:sz w:val="28"/>
                <w:szCs w:val="28"/>
                <w:highlight w:val="none"/>
              </w:rPr>
              <w:t xml:space="preserve">响应</w:t>
            </w:r>
            <w:r/>
          </w:p>
          <w:p>
            <w:pPr>
              <w:ind w:left="192"/>
              <w:spacing w:before="40" w:line="288" w:lineRule="auto"/>
              <w:rPr>
                <w:rFonts w:ascii="黑体" w:hAnsi="黑体" w:eastAsia="黑体" w:cs="黑体"/>
                <w:color w:val="auto"/>
                <w:sz w:val="28"/>
                <w:szCs w:val="28"/>
                <w:highlight w:val="none"/>
              </w:rPr>
            </w:pPr>
            <w:r>
              <w:rPr>
                <w:rFonts w:hint="eastAsia" w:ascii="黑体" w:hAnsi="黑体" w:eastAsia="黑体" w:cs="黑体"/>
                <w:color w:val="auto"/>
                <w:spacing w:val="-10"/>
                <w:sz w:val="28"/>
                <w:szCs w:val="28"/>
                <w:highlight w:val="none"/>
              </w:rPr>
              <w:t xml:space="preserve">（20分）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5"/>
              <w:spacing w:before="44" w:line="288" w:lineRule="auto"/>
              <w:rPr>
                <w:rFonts w:ascii="黑体" w:hAnsi="黑体" w:eastAsia="黑体" w:cs="黑体"/>
                <w:color w:val="auto"/>
                <w:spacing w:val="-1"/>
                <w:sz w:val="28"/>
                <w:szCs w:val="28"/>
                <w:highlight w:val="none"/>
              </w:rPr>
            </w:pPr>
            <w:r>
              <w:rPr>
                <w:rFonts w:hint="eastAsia" w:ascii="黑体" w:hAnsi="黑体" w:eastAsia="黑体" w:cs="黑体"/>
                <w:b/>
                <w:bCs/>
                <w:color w:val="auto"/>
                <w:spacing w:val="-3"/>
                <w:sz w:val="28"/>
                <w:szCs w:val="28"/>
                <w:highlight w:val="none"/>
              </w:rPr>
              <w:t xml:space="preserve">评审小组对投标文件中产品规格参数响应进行评分：</w:t>
            </w:r>
            <w:r/>
          </w:p>
          <w:p>
            <w:pPr>
              <w:pStyle w:val="866"/>
              <w:ind w:firstLine="0"/>
              <w:rPr>
                <w:rFonts w:ascii="仿宋" w:hAnsi="仿宋" w:eastAsia="仿宋" w:cs="仿宋"/>
                <w:color w:val="auto"/>
                <w:spacing w:val="-1"/>
                <w:sz w:val="28"/>
                <w:szCs w:val="28"/>
                <w:highlight w:val="none"/>
              </w:rPr>
            </w:pPr>
            <w:r>
              <w:rPr>
                <w:rStyle w:val="861"/>
                <w:rFonts w:hint="eastAsia" w:ascii="黑体" w:hAnsi="黑体" w:eastAsia="黑体" w:cs="黑体"/>
                <w:bCs/>
                <w:color w:val="auto"/>
                <w:sz w:val="28"/>
                <w:szCs w:val="28"/>
                <w:highlight w:val="none"/>
                <w:shd w:val="clear" w:color="auto" w:fill="ffffff"/>
              </w:rPr>
              <w:t xml:space="preserve">1、焊接工艺等级：</w:t>
            </w:r>
            <w:r>
              <w:rPr>
                <w:rFonts w:hint="eastAsia" w:ascii="黑体" w:hAnsi="黑体" w:eastAsia="黑体" w:cs="黑体"/>
                <w:color w:val="auto"/>
                <w:sz w:val="28"/>
                <w:szCs w:val="28"/>
                <w:highlight w:val="none"/>
                <w:shd w:val="clear" w:color="auto" w:fill="ffffff"/>
              </w:rPr>
              <w:t xml:space="preserve">除提供ISO 3834-2证书外，若同时具备</w:t>
            </w:r>
            <w:r>
              <w:rPr>
                <w:rStyle w:val="861"/>
                <w:rFonts w:hint="eastAsia" w:ascii="黑体" w:hAnsi="黑体" w:eastAsia="黑体" w:cs="黑体"/>
                <w:bCs/>
                <w:color w:val="auto"/>
                <w:sz w:val="28"/>
                <w:szCs w:val="28"/>
                <w:highlight w:val="none"/>
                <w:shd w:val="clear" w:color="auto" w:fill="ffffff"/>
              </w:rPr>
              <w:t xml:space="preserve">ISO 3834-3（更高等级）</w:t>
            </w:r>
            <w:r>
              <w:rPr>
                <w:rFonts w:hint="eastAsia" w:ascii="黑体" w:hAnsi="黑体" w:eastAsia="黑体" w:cs="黑体"/>
                <w:color w:val="auto"/>
                <w:sz w:val="28"/>
                <w:szCs w:val="28"/>
                <w:highlight w:val="none"/>
                <w:shd w:val="clear" w:color="auto" w:fill="ffffff"/>
              </w:rPr>
              <w:t xml:space="preserve">且提供焊缝无损检测（UT/RT）一次合格率≥99%的第三方证明的，得5分。</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投标人提供第三方专业性检测机构出具检测报告</w:t>
            </w:r>
            <w:r>
              <w:rPr>
                <w:rFonts w:hint="eastAsia" w:ascii="黑体" w:hAnsi="黑体" w:eastAsia="黑体" w:cs="黑体"/>
                <w:color w:val="auto"/>
                <w:spacing w:val="11"/>
                <w:sz w:val="28"/>
                <w:szCs w:val="28"/>
                <w:highlight w:val="none"/>
                <w:lang w:val="en-US" w:eastAsia="zh-CN"/>
              </w:rPr>
              <w:t xml:space="preserve">原件扫描件</w:t>
            </w:r>
            <w:r>
              <w:rPr>
                <w:rFonts w:hint="eastAsia" w:ascii="黑体" w:hAnsi="黑体" w:eastAsia="黑体" w:cs="黑体"/>
                <w:color w:val="auto"/>
                <w:spacing w:val="-1"/>
                <w:sz w:val="28"/>
                <w:szCs w:val="28"/>
                <w:highlight w:val="none"/>
              </w:rPr>
              <w:t xml:space="preserve">）</w:t>
            </w:r>
            <w:r/>
          </w:p>
          <w:p>
            <w:pPr>
              <w:pStyle w:val="866"/>
              <w:ind w:firstLine="0"/>
              <w:rPr>
                <w:rFonts w:ascii="黑体" w:hAnsi="黑体" w:eastAsia="黑体" w:cs="黑体"/>
                <w:color w:val="auto"/>
                <w:sz w:val="28"/>
                <w:szCs w:val="28"/>
                <w:highlight w:val="none"/>
                <w:shd w:val="clear" w:color="auto" w:fill="ffffff"/>
              </w:rPr>
            </w:pPr>
            <w:r>
              <w:rPr>
                <w:rFonts w:hint="eastAsia" w:ascii="黑体" w:hAnsi="黑体" w:eastAsia="黑体" w:cs="黑体"/>
                <w:b/>
                <w:bCs/>
                <w:color w:val="auto"/>
                <w:sz w:val="28"/>
                <w:szCs w:val="28"/>
                <w:highlight w:val="none"/>
                <w:shd w:val="clear" w:color="auto" w:fill="ffffff"/>
              </w:rPr>
              <w:t xml:space="preserve">2</w:t>
            </w:r>
            <w:r>
              <w:rPr>
                <w:rFonts w:hint="eastAsia" w:ascii="黑体" w:hAnsi="黑体" w:eastAsia="黑体" w:cs="黑体"/>
                <w:color w:val="auto"/>
                <w:sz w:val="28"/>
                <w:szCs w:val="28"/>
                <w:highlight w:val="none"/>
                <w:shd w:val="clear" w:color="auto" w:fill="ffffff"/>
              </w:rPr>
              <w:t xml:space="preserve">、</w:t>
            </w:r>
            <w:r>
              <w:rPr>
                <w:rStyle w:val="861"/>
                <w:rFonts w:hint="eastAsia" w:ascii="黑体" w:hAnsi="黑体" w:eastAsia="黑体" w:cs="黑体"/>
                <w:bCs/>
                <w:color w:val="auto"/>
                <w:sz w:val="28"/>
                <w:szCs w:val="28"/>
                <w:highlight w:val="none"/>
                <w:shd w:val="clear" w:color="auto" w:fill="ffffff"/>
              </w:rPr>
              <w:t xml:space="preserve">甲醛释放量：</w:t>
            </w:r>
            <w:r>
              <w:rPr>
                <w:rFonts w:hint="eastAsia" w:ascii="黑体" w:hAnsi="黑体" w:eastAsia="黑体" w:cs="黑体"/>
                <w:color w:val="auto"/>
                <w:sz w:val="28"/>
                <w:szCs w:val="28"/>
                <w:highlight w:val="none"/>
                <w:shd w:val="clear" w:color="auto" w:fill="ffffff"/>
              </w:rPr>
              <w:t xml:space="preserve">在满足厕间甲醛≤0.1mg/m³基础上，若投标人提供第三方检测报告，证明</w:t>
            </w:r>
            <w:r>
              <w:rPr>
                <w:rStyle w:val="861"/>
                <w:rFonts w:hint="eastAsia" w:ascii="黑体" w:hAnsi="黑体" w:eastAsia="黑体" w:cs="黑体"/>
                <w:b w:val="0"/>
                <w:color w:val="auto"/>
                <w:sz w:val="28"/>
                <w:szCs w:val="28"/>
                <w:highlight w:val="none"/>
                <w:shd w:val="clear" w:color="auto" w:fill="ffffff"/>
              </w:rPr>
              <w:t xml:space="preserve">甲醛含量≤0.03mg/m³</w:t>
            </w:r>
            <w:r>
              <w:rPr>
                <w:rFonts w:hint="eastAsia" w:ascii="黑体" w:hAnsi="黑体" w:eastAsia="黑体" w:cs="黑体"/>
                <w:color w:val="auto"/>
                <w:sz w:val="28"/>
                <w:szCs w:val="28"/>
                <w:highlight w:val="none"/>
                <w:shd w:val="clear" w:color="auto" w:fill="ffffff"/>
              </w:rPr>
              <w:t xml:space="preserve">（达到婴童级空气质量标准），或TVOC（总挥发性有机化合物）≤0.2mg/m³的，得5分。</w:t>
            </w:r>
            <w:r>
              <w:rPr>
                <w:rFonts w:hint="eastAsia" w:ascii="黑体" w:hAnsi="黑体" w:eastAsia="黑体" w:cs="黑体"/>
                <w:color w:val="auto"/>
                <w:spacing w:val="3"/>
                <w:sz w:val="28"/>
                <w:szCs w:val="28"/>
                <w:highlight w:val="none"/>
              </w:rPr>
              <w:t xml:space="preserve">(投标</w:t>
            </w:r>
            <w:r>
              <w:rPr>
                <w:rFonts w:hint="eastAsia" w:ascii="黑体" w:hAnsi="黑体" w:eastAsia="黑体" w:cs="黑体"/>
                <w:color w:val="auto"/>
                <w:spacing w:val="2"/>
                <w:sz w:val="28"/>
                <w:szCs w:val="28"/>
                <w:highlight w:val="none"/>
              </w:rPr>
              <w:t xml:space="preserve">人提</w:t>
            </w:r>
            <w:r>
              <w:rPr>
                <w:rFonts w:hint="eastAsia" w:ascii="黑体" w:hAnsi="黑体" w:eastAsia="黑体" w:cs="黑体"/>
                <w:color w:val="auto"/>
                <w:spacing w:val="11"/>
                <w:sz w:val="28"/>
                <w:szCs w:val="28"/>
                <w:highlight w:val="none"/>
              </w:rPr>
              <w:t xml:space="preserve">供具备第三方专业性检测机构出具的钢结构厕所甲醛</w:t>
            </w:r>
            <w:r>
              <w:rPr>
                <w:rFonts w:hint="eastAsia" w:ascii="黑体" w:hAnsi="黑体" w:eastAsia="黑体" w:cs="黑体"/>
                <w:color w:val="auto"/>
                <w:spacing w:val="-1"/>
                <w:sz w:val="28"/>
                <w:szCs w:val="28"/>
                <w:highlight w:val="none"/>
              </w:rPr>
              <w:t xml:space="preserve">含量的相关检测报告</w:t>
            </w:r>
            <w:r>
              <w:rPr>
                <w:rFonts w:hint="eastAsia" w:ascii="黑体" w:hAnsi="黑体" w:eastAsia="黑体" w:cs="黑体"/>
                <w:color w:val="auto"/>
                <w:spacing w:val="11"/>
                <w:sz w:val="28"/>
                <w:szCs w:val="28"/>
                <w:highlight w:val="none"/>
                <w:lang w:val="en-US" w:eastAsia="zh-CN"/>
              </w:rPr>
              <w:t xml:space="preserve">原件扫描件</w:t>
            </w:r>
            <w:r>
              <w:rPr>
                <w:rFonts w:hint="eastAsia" w:ascii="黑体" w:hAnsi="黑体" w:eastAsia="黑体" w:cs="黑体"/>
                <w:color w:val="auto"/>
                <w:spacing w:val="-1"/>
                <w:sz w:val="28"/>
                <w:szCs w:val="28"/>
                <w:highlight w:val="none"/>
              </w:rPr>
              <w:t xml:space="preserve">）</w:t>
            </w:r>
            <w:r/>
          </w:p>
          <w:p>
            <w:pPr>
              <w:pStyle w:val="866"/>
              <w:ind w:firstLine="0"/>
              <w:rPr>
                <w:rFonts w:ascii="黑体" w:hAnsi="黑体" w:eastAsia="黑体" w:cs="黑体"/>
                <w:color w:val="auto"/>
                <w:spacing w:val="-1"/>
                <w:sz w:val="28"/>
                <w:szCs w:val="28"/>
                <w:highlight w:val="none"/>
              </w:rPr>
            </w:pPr>
            <w:r>
              <w:rPr>
                <w:rStyle w:val="861"/>
                <w:rFonts w:hint="eastAsia" w:ascii="黑体" w:hAnsi="黑体" w:eastAsia="黑体" w:cs="黑体"/>
                <w:bCs/>
                <w:color w:val="auto"/>
                <w:sz w:val="28"/>
                <w:szCs w:val="28"/>
                <w:highlight w:val="none"/>
                <w:shd w:val="clear" w:color="auto" w:fill="ffffff"/>
              </w:rPr>
              <w:t xml:space="preserve">3、墙体保温/隔热性能提升</w:t>
            </w:r>
            <w:r>
              <w:rPr>
                <w:rStyle w:val="861"/>
                <w:rFonts w:hint="eastAsia" w:ascii="黑体" w:hAnsi="黑体" w:eastAsia="黑体" w:cs="黑体"/>
                <w:b w:val="0"/>
                <w:color w:val="auto"/>
                <w:sz w:val="28"/>
                <w:szCs w:val="28"/>
                <w:highlight w:val="none"/>
                <w:shd w:val="clear" w:color="auto" w:fill="ffffff"/>
              </w:rPr>
              <w:t xml:space="preserve">：</w:t>
            </w:r>
            <w:r>
              <w:rPr>
                <w:rFonts w:hint="eastAsia" w:ascii="黑体" w:hAnsi="黑体" w:eastAsia="黑体" w:cs="黑体"/>
                <w:color w:val="auto"/>
                <w:sz w:val="28"/>
                <w:szCs w:val="28"/>
                <w:highlight w:val="none"/>
                <w:shd w:val="clear" w:color="auto" w:fill="ffffff"/>
              </w:rPr>
              <w:t xml:space="preserve">在满足</w:t>
            </w:r>
            <w:r>
              <w:rPr>
                <w:rFonts w:hint="eastAsia" w:ascii="黑体" w:hAnsi="黑体" w:eastAsia="黑体" w:cs="黑体"/>
                <w:color w:val="auto"/>
                <w:spacing w:val="22"/>
                <w:sz w:val="28"/>
                <w:szCs w:val="28"/>
                <w:highlight w:val="none"/>
              </w:rPr>
              <w:t xml:space="preserve">渣球含量≤</w:t>
            </w:r>
            <w:r>
              <w:rPr>
                <w:rFonts w:hint="eastAsia" w:ascii="黑体" w:hAnsi="黑体" w:eastAsia="黑体" w:cs="黑体"/>
                <w:color w:val="auto"/>
                <w:spacing w:val="-97"/>
                <w:sz w:val="28"/>
                <w:szCs w:val="28"/>
                <w:highlight w:val="none"/>
              </w:rPr>
              <w:t xml:space="preserve"> </w:t>
            </w:r>
            <w:r>
              <w:rPr>
                <w:rFonts w:hint="eastAsia" w:ascii="黑体" w:hAnsi="黑体" w:eastAsia="黑体" w:cs="黑体"/>
                <w:color w:val="auto"/>
                <w:spacing w:val="22"/>
                <w:sz w:val="28"/>
                <w:szCs w:val="28"/>
                <w:highlight w:val="none"/>
              </w:rPr>
              <w:t xml:space="preserve">5%</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z w:val="28"/>
                <w:szCs w:val="28"/>
                <w:highlight w:val="none"/>
                <w:shd w:val="clear" w:color="auto" w:fill="ffffff"/>
              </w:rPr>
              <w:t xml:space="preserve">岩棉板憎水率≥99.5%基础上，使墙体传热系数K值≤0.45 W/(㎡·K)的，得5分。</w:t>
            </w:r>
            <w:r>
              <w:rPr>
                <w:rFonts w:hint="eastAsia" w:ascii="黑体" w:hAnsi="黑体" w:eastAsia="黑体" w:cs="黑体"/>
                <w:color w:val="auto"/>
                <w:spacing w:val="10"/>
                <w:sz w:val="28"/>
                <w:szCs w:val="28"/>
                <w:highlight w:val="none"/>
              </w:rPr>
              <w:t xml:space="preserve">（</w:t>
            </w:r>
            <w:r>
              <w:rPr>
                <w:rFonts w:hint="eastAsia" w:ascii="黑体" w:hAnsi="黑体" w:eastAsia="黑体" w:cs="黑体"/>
                <w:color w:val="auto"/>
                <w:spacing w:val="11"/>
                <w:sz w:val="28"/>
                <w:szCs w:val="28"/>
                <w:highlight w:val="none"/>
              </w:rPr>
              <w:t xml:space="preserve">投标人提供第三方专业性检测机构出具检测报告</w:t>
            </w:r>
            <w:r>
              <w:rPr>
                <w:rFonts w:hint="eastAsia" w:ascii="黑体" w:hAnsi="黑体" w:eastAsia="黑体" w:cs="黑体"/>
                <w:color w:val="auto"/>
                <w:spacing w:val="11"/>
                <w:sz w:val="28"/>
                <w:szCs w:val="28"/>
                <w:highlight w:val="none"/>
                <w:lang w:val="en-US" w:eastAsia="zh-CN"/>
              </w:rPr>
              <w:t xml:space="preserve">原件扫描件</w:t>
            </w:r>
            <w:r>
              <w:rPr>
                <w:rFonts w:hint="eastAsia" w:ascii="黑体" w:hAnsi="黑体" w:eastAsia="黑体" w:cs="黑体"/>
                <w:color w:val="auto"/>
                <w:spacing w:val="-1"/>
                <w:sz w:val="28"/>
                <w:szCs w:val="28"/>
                <w:highlight w:val="none"/>
              </w:rPr>
              <w:t xml:space="preserve">）</w:t>
            </w:r>
            <w:r/>
          </w:p>
          <w:p>
            <w:pPr>
              <w:ind w:right="170"/>
              <w:spacing w:before="47" w:line="288" w:lineRule="auto"/>
              <w:rPr>
                <w:rFonts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 xml:space="preserve">4、</w:t>
            </w:r>
            <w:r>
              <w:rPr>
                <w:rFonts w:hint="eastAsia" w:ascii="黑体" w:hAnsi="黑体" w:eastAsia="黑体" w:cs="黑体"/>
                <w:b/>
                <w:bCs/>
                <w:color w:val="auto"/>
                <w:sz w:val="28"/>
                <w:szCs w:val="28"/>
                <w:highlight w:val="none"/>
                <w:shd w:val="clear" w:color="auto" w:fill="ffffff"/>
              </w:rPr>
              <w:t xml:space="preserve">房屋淋雨试验：</w:t>
            </w:r>
            <w:r>
              <w:rPr>
                <w:rFonts w:hint="eastAsia" w:ascii="黑体" w:hAnsi="黑体" w:eastAsia="黑体" w:cs="黑体"/>
                <w:color w:val="auto"/>
                <w:sz w:val="28"/>
                <w:szCs w:val="28"/>
                <w:highlight w:val="none"/>
                <w:shd w:val="clear" w:color="auto" w:fill="ffffff"/>
              </w:rPr>
              <w:t xml:space="preserve">在满足房屋判定标准《淋雨试 验标准》GJB150.8（在淋雨强度≥8mm/min，历时时间≥14min，受检位置≥2 处的情况下检测无明显渗漏、渗水现象）的前提下，可达到在淋雨强度≥9mm/min，历时时间≥20min，受检位置≥2 处的情况下检测无明显渗漏、渗水现象的，得5分。（投标单位提供第三方专业性检测机构出具检测报告</w:t>
            </w:r>
            <w:r>
              <w:rPr>
                <w:rFonts w:hint="eastAsia" w:ascii="黑体" w:hAnsi="黑体" w:eastAsia="黑体" w:cs="黑体"/>
                <w:color w:val="auto"/>
                <w:spacing w:val="11"/>
                <w:sz w:val="28"/>
                <w:szCs w:val="28"/>
                <w:highlight w:val="none"/>
                <w:lang w:val="en-US" w:eastAsia="zh-CN"/>
              </w:rPr>
              <w:t xml:space="preserve">原件扫描件</w:t>
            </w:r>
            <w:r>
              <w:rPr>
                <w:rFonts w:hint="eastAsia" w:ascii="黑体" w:hAnsi="黑体" w:eastAsia="黑体" w:cs="黑体"/>
                <w:color w:val="auto"/>
                <w:sz w:val="28"/>
                <w:szCs w:val="28"/>
                <w:highlight w:val="none"/>
                <w:shd w:val="clear" w:color="auto" w:fill="ffffff"/>
              </w:rPr>
              <w:t xml:space="preserve">）</w:t>
            </w:r>
            <w:r/>
          </w:p>
          <w:p>
            <w:pPr>
              <w:ind w:left="111" w:right="106" w:firstLine="24"/>
              <w:spacing w:before="26" w:line="288" w:lineRule="auto"/>
              <w:rPr>
                <w:rFonts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注：以上参数请单独列出，并标明页码，未明确证明材料投标供应商均需提供相关证明材料。中标后三个工作日内需提供所有佐证资料原件需加盖公章，如无法提供则取消其中标资格。</w:t>
            </w:r>
            <w:r/>
          </w:p>
        </w:tc>
      </w:tr>
      <w:tr>
        <w:trPr>
          <w:trHeight w:val="6315"/>
        </w:trPr>
        <w:tc>
          <w:tcPr>
            <w:tcW w:w="1014"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46"/>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w:t>
            </w:r>
            <w:r/>
          </w:p>
        </w:tc>
        <w:tc>
          <w:tcPr>
            <w:tcW w:w="170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192" w:right="191" w:firstLine="15"/>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设计方案</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5"/>
                <w:sz w:val="28"/>
                <w:szCs w:val="28"/>
                <w:highlight w:val="none"/>
              </w:rPr>
              <w:t xml:space="preserve">（8分）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spacing w:before="46"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11"/>
                <w:sz w:val="28"/>
                <w:szCs w:val="28"/>
                <w:highlight w:val="none"/>
              </w:rPr>
              <w:t xml:space="preserve">根据</w:t>
            </w:r>
            <w:bookmarkStart w:id="112" w:name="_GoBack"/>
            <w:r/>
            <w:bookmarkEnd w:id="112"/>
            <w:r>
              <w:rPr>
                <w:rFonts w:hint="eastAsia" w:ascii="黑体" w:hAnsi="黑体" w:eastAsia="黑体" w:cs="黑体"/>
                <w:color w:val="auto"/>
                <w:spacing w:val="11"/>
                <w:sz w:val="28"/>
                <w:szCs w:val="28"/>
                <w:highlight w:val="none"/>
              </w:rPr>
              <w:t xml:space="preserve">投标单位提供针对本项目的设计方案（要求为：绘制实景外</w:t>
            </w:r>
            <w:r>
              <w:rPr>
                <w:rFonts w:hint="eastAsia" w:ascii="黑体" w:hAnsi="黑体" w:eastAsia="黑体" w:cs="黑体"/>
                <w:color w:val="auto"/>
                <w:spacing w:val="8"/>
                <w:sz w:val="28"/>
                <w:szCs w:val="28"/>
                <w:highlight w:val="none"/>
              </w:rPr>
              <w:t xml:space="preserve">观效果图（需与周边环境协调一致）、平面图、立面</w:t>
            </w:r>
            <w:r>
              <w:rPr>
                <w:rFonts w:hint="eastAsia" w:ascii="黑体" w:hAnsi="黑体" w:eastAsia="黑体" w:cs="黑体"/>
                <w:color w:val="auto"/>
                <w:spacing w:val="11"/>
                <w:sz w:val="28"/>
                <w:szCs w:val="28"/>
                <w:highlight w:val="none"/>
              </w:rPr>
              <w:t xml:space="preserve">图、钢结构焊接结构图一套（设计应包含苏锡通园区</w:t>
            </w:r>
            <w:r>
              <w:rPr>
                <w:rFonts w:hint="eastAsia" w:ascii="黑体" w:hAnsi="黑体" w:eastAsia="黑体" w:cs="黑体"/>
                <w:color w:val="auto"/>
                <w:spacing w:val="1"/>
                <w:sz w:val="28"/>
                <w:szCs w:val="28"/>
                <w:highlight w:val="none"/>
              </w:rPr>
              <w:t xml:space="preserve">特有元素，例如园区城市</w:t>
            </w:r>
            <w:r>
              <w:rPr>
                <w:rFonts w:hint="eastAsia" w:ascii="黑体" w:hAnsi="黑体" w:eastAsia="黑体" w:cs="黑体"/>
                <w:color w:val="auto"/>
                <w:sz w:val="28"/>
                <w:szCs w:val="28"/>
                <w:highlight w:val="none"/>
              </w:rPr>
              <w:t xml:space="preserve">IP</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1"/>
                <w:sz w:val="28"/>
                <w:szCs w:val="28"/>
                <w:highlight w:val="none"/>
              </w:rPr>
              <w:t xml:space="preserve">形象设计的“特色文化图</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2"/>
                <w:sz w:val="28"/>
                <w:szCs w:val="28"/>
                <w:highlight w:val="none"/>
              </w:rPr>
              <w:t xml:space="preserve">案”等</w:t>
            </w:r>
            <w:r>
              <w:rPr>
                <w:rFonts w:hint="eastAsia" w:ascii="黑体" w:hAnsi="黑体" w:eastAsia="黑体" w:cs="黑体"/>
                <w:color w:val="auto"/>
                <w:spacing w:val="9"/>
                <w:sz w:val="28"/>
                <w:szCs w:val="28"/>
                <w:highlight w:val="none"/>
              </w:rPr>
              <w:t xml:space="preserve">），</w:t>
            </w:r>
            <w:r>
              <w:rPr>
                <w:rFonts w:hint="eastAsia" w:ascii="黑体" w:hAnsi="黑体" w:eastAsia="黑体" w:cs="黑体"/>
                <w:color w:val="auto"/>
                <w:spacing w:val="-2"/>
                <w:sz w:val="28"/>
                <w:szCs w:val="28"/>
                <w:highlight w:val="none"/>
              </w:rPr>
              <w:t xml:space="preserve">平面图设计需含驿站）进行评分：</w:t>
            </w:r>
            <w:r/>
          </w:p>
          <w:p>
            <w:pPr>
              <w:ind w:left="123" w:right="106" w:firstLine="7"/>
              <w:spacing w:before="39"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1、提供平面图、立面图、钢结构焊接结构图、实景效</w:t>
            </w:r>
            <w:r>
              <w:rPr>
                <w:rFonts w:hint="eastAsia" w:ascii="黑体" w:hAnsi="黑体" w:eastAsia="黑体" w:cs="黑体"/>
                <w:color w:val="auto"/>
                <w:spacing w:val="-5"/>
                <w:sz w:val="28"/>
                <w:szCs w:val="28"/>
                <w:highlight w:val="none"/>
              </w:rPr>
              <w:t xml:space="preserve">果图齐全的，得</w:t>
            </w:r>
            <w:r>
              <w:rPr>
                <w:rFonts w:hint="eastAsia" w:ascii="黑体" w:hAnsi="黑体" w:eastAsia="黑体" w:cs="黑体"/>
                <w:color w:val="auto"/>
                <w:spacing w:val="-57"/>
                <w:sz w:val="28"/>
                <w:szCs w:val="28"/>
                <w:highlight w:val="none"/>
              </w:rPr>
              <w:t xml:space="preserve">4</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5"/>
                <w:sz w:val="28"/>
                <w:szCs w:val="28"/>
                <w:highlight w:val="none"/>
              </w:rPr>
              <w:t xml:space="preserve">分，每少一个的扣</w:t>
            </w:r>
            <w:r>
              <w:rPr>
                <w:rFonts w:hint="eastAsia" w:ascii="黑体" w:hAnsi="黑体" w:eastAsia="黑体" w:cs="黑体"/>
                <w:color w:val="auto"/>
                <w:spacing w:val="-45"/>
                <w:sz w:val="28"/>
                <w:szCs w:val="28"/>
                <w:highlight w:val="none"/>
              </w:rPr>
              <w:t xml:space="preserve"> </w:t>
            </w:r>
            <w:r>
              <w:rPr>
                <w:rFonts w:hint="eastAsia" w:ascii="黑体" w:hAnsi="黑体" w:eastAsia="黑体" w:cs="黑体"/>
                <w:color w:val="auto"/>
                <w:spacing w:val="-5"/>
                <w:sz w:val="28"/>
                <w:szCs w:val="28"/>
                <w:highlight w:val="none"/>
              </w:rPr>
              <w:t xml:space="preserve">1</w:t>
            </w:r>
            <w:r>
              <w:rPr>
                <w:rFonts w:hint="eastAsia" w:ascii="黑体" w:hAnsi="黑体" w:eastAsia="黑体" w:cs="黑体"/>
                <w:color w:val="auto"/>
                <w:spacing w:val="-54"/>
                <w:sz w:val="28"/>
                <w:szCs w:val="28"/>
                <w:highlight w:val="none"/>
              </w:rPr>
              <w:t xml:space="preserve"> </w:t>
            </w:r>
            <w:r>
              <w:rPr>
                <w:rFonts w:hint="eastAsia" w:ascii="黑体" w:hAnsi="黑体" w:eastAsia="黑体" w:cs="黑体"/>
                <w:color w:val="auto"/>
                <w:spacing w:val="-5"/>
                <w:sz w:val="28"/>
                <w:szCs w:val="28"/>
                <w:highlight w:val="none"/>
              </w:rPr>
              <w:t xml:space="preserve">分；</w:t>
            </w:r>
            <w:r/>
          </w:p>
          <w:p>
            <w:pPr>
              <w:ind w:left="117" w:right="104" w:hanging="3"/>
              <w:spacing w:before="40" w:line="288" w:lineRule="auto"/>
              <w:rPr>
                <w:rFonts w:ascii="黑体" w:hAnsi="黑体" w:eastAsia="黑体" w:cs="黑体"/>
                <w:color w:val="auto"/>
                <w:sz w:val="28"/>
                <w:szCs w:val="28"/>
                <w:highlight w:val="none"/>
              </w:rPr>
            </w:pPr>
            <w:r>
              <w:rPr>
                <w:rFonts w:hint="eastAsia" w:ascii="黑体" w:hAnsi="黑体" w:eastAsia="黑体" w:cs="黑体"/>
                <w:color w:val="auto"/>
                <w:spacing w:val="5"/>
                <w:sz w:val="28"/>
                <w:szCs w:val="28"/>
                <w:highlight w:val="none"/>
              </w:rPr>
              <w:t xml:space="preserve">2、实景外观效</w:t>
            </w:r>
            <w:r>
              <w:rPr>
                <w:rFonts w:hint="eastAsia" w:ascii="黑体" w:hAnsi="黑体" w:eastAsia="黑体" w:cs="黑体"/>
                <w:color w:val="auto"/>
                <w:spacing w:val="11"/>
                <w:sz w:val="28"/>
                <w:szCs w:val="28"/>
                <w:highlight w:val="none"/>
              </w:rPr>
              <w:t xml:space="preserve">果图美观、设计合理（体现苏锡通园区特有元素）与周边环境协调一致效果图能清晰传达公厕的的整体视</w:t>
            </w:r>
            <w:r>
              <w:rPr>
                <w:rFonts w:hint="eastAsia" w:ascii="黑体" w:hAnsi="黑体" w:eastAsia="黑体" w:cs="黑体"/>
                <w:color w:val="auto"/>
                <w:spacing w:val="3"/>
                <w:sz w:val="28"/>
                <w:szCs w:val="28"/>
                <w:highlight w:val="none"/>
              </w:rPr>
              <w:t xml:space="preserve">觉效果和氛围的，得</w:t>
            </w:r>
            <w:r>
              <w:rPr>
                <w:rFonts w:hint="eastAsia" w:ascii="黑体" w:hAnsi="黑体" w:eastAsia="黑体" w:cs="黑体"/>
                <w:color w:val="auto"/>
                <w:spacing w:val="-48"/>
                <w:sz w:val="28"/>
                <w:szCs w:val="28"/>
                <w:highlight w:val="none"/>
              </w:rPr>
              <w:t xml:space="preserve">4</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3"/>
                <w:sz w:val="28"/>
                <w:szCs w:val="28"/>
                <w:highlight w:val="none"/>
              </w:rPr>
              <w:t xml:space="preserve">分；设计方案较合理（较能体现苏锡通园</w:t>
            </w:r>
            <w:r>
              <w:rPr>
                <w:rFonts w:hint="eastAsia" w:ascii="黑体" w:hAnsi="黑体" w:eastAsia="黑体" w:cs="黑体"/>
                <w:color w:val="auto"/>
                <w:spacing w:val="8"/>
                <w:sz w:val="28"/>
                <w:szCs w:val="28"/>
                <w:highlight w:val="none"/>
              </w:rPr>
              <w:t xml:space="preserve">区特有元素）、视觉效果较美观的，</w:t>
            </w:r>
            <w:r>
              <w:rPr>
                <w:rFonts w:hint="eastAsia" w:ascii="黑体" w:hAnsi="黑体" w:eastAsia="黑体" w:cs="黑体"/>
                <w:color w:val="auto"/>
                <w:spacing w:val="2"/>
                <w:sz w:val="28"/>
                <w:szCs w:val="28"/>
                <w:highlight w:val="none"/>
              </w:rPr>
              <w:t xml:space="preserve">得</w:t>
            </w:r>
            <w:r>
              <w:rPr>
                <w:rFonts w:hint="eastAsia" w:ascii="黑体" w:hAnsi="黑体" w:eastAsia="黑体" w:cs="黑体"/>
                <w:color w:val="auto"/>
                <w:spacing w:val="-22"/>
                <w:sz w:val="28"/>
                <w:szCs w:val="28"/>
                <w:highlight w:val="none"/>
              </w:rPr>
              <w:t xml:space="preserve"> </w:t>
            </w:r>
            <w:r>
              <w:rPr>
                <w:rFonts w:hint="eastAsia" w:ascii="黑体" w:hAnsi="黑体" w:eastAsia="黑体" w:cs="黑体"/>
                <w:color w:val="auto"/>
                <w:spacing w:val="2"/>
                <w:sz w:val="28"/>
                <w:szCs w:val="28"/>
                <w:highlight w:val="none"/>
              </w:rPr>
              <w:t xml:space="preserve">2</w:t>
            </w:r>
            <w:r>
              <w:rPr>
                <w:rFonts w:hint="eastAsia" w:ascii="黑体" w:hAnsi="黑体" w:eastAsia="黑体" w:cs="黑体"/>
                <w:color w:val="auto"/>
                <w:spacing w:val="-47"/>
                <w:sz w:val="28"/>
                <w:szCs w:val="28"/>
                <w:highlight w:val="none"/>
              </w:rPr>
              <w:t xml:space="preserve"> </w:t>
            </w:r>
            <w:r>
              <w:rPr>
                <w:rFonts w:hint="eastAsia" w:ascii="黑体" w:hAnsi="黑体" w:eastAsia="黑体" w:cs="黑体"/>
                <w:color w:val="auto"/>
                <w:spacing w:val="2"/>
                <w:sz w:val="28"/>
                <w:szCs w:val="28"/>
                <w:highlight w:val="none"/>
              </w:rPr>
              <w:t xml:space="preserve">分；</w:t>
            </w:r>
            <w:r>
              <w:rPr>
                <w:rFonts w:hint="eastAsia" w:ascii="黑体" w:hAnsi="黑体" w:eastAsia="黑体" w:cs="黑体"/>
                <w:color w:val="auto"/>
                <w:spacing w:val="3"/>
                <w:sz w:val="28"/>
                <w:szCs w:val="28"/>
                <w:highlight w:val="none"/>
              </w:rPr>
              <w:t xml:space="preserve">设计方案合理性一般（能体现出苏锡通园</w:t>
            </w:r>
            <w:r>
              <w:rPr>
                <w:rFonts w:hint="eastAsia" w:ascii="黑体" w:hAnsi="黑体" w:eastAsia="黑体" w:cs="黑体"/>
                <w:color w:val="auto"/>
                <w:spacing w:val="8"/>
                <w:sz w:val="28"/>
                <w:szCs w:val="28"/>
                <w:highlight w:val="none"/>
              </w:rPr>
              <w:t xml:space="preserve">区特有元素）、视觉效果一般的，</w:t>
            </w:r>
            <w:r>
              <w:rPr>
                <w:rFonts w:hint="eastAsia" w:ascii="黑体" w:hAnsi="黑体" w:eastAsia="黑体" w:cs="黑体"/>
                <w:color w:val="auto"/>
                <w:spacing w:val="2"/>
                <w:sz w:val="28"/>
                <w:szCs w:val="28"/>
                <w:highlight w:val="none"/>
              </w:rPr>
              <w:t xml:space="preserve">得</w:t>
            </w:r>
            <w:r>
              <w:rPr>
                <w:rFonts w:hint="eastAsia" w:ascii="黑体" w:hAnsi="黑体" w:eastAsia="黑体" w:cs="黑体"/>
                <w:color w:val="auto"/>
                <w:spacing w:val="-22"/>
                <w:sz w:val="28"/>
                <w:szCs w:val="28"/>
                <w:highlight w:val="none"/>
              </w:rPr>
              <w:t xml:space="preserve"> </w:t>
            </w:r>
            <w:r>
              <w:rPr>
                <w:rFonts w:hint="eastAsia" w:ascii="黑体" w:hAnsi="黑体" w:eastAsia="黑体" w:cs="黑体"/>
                <w:color w:val="auto"/>
                <w:spacing w:val="2"/>
                <w:sz w:val="28"/>
                <w:szCs w:val="28"/>
                <w:highlight w:val="none"/>
              </w:rPr>
              <w:t xml:space="preserve">1分；效果图的视觉效果不合理或无法准确展现</w:t>
            </w:r>
            <w:r>
              <w:rPr>
                <w:rFonts w:hint="eastAsia" w:ascii="黑体" w:hAnsi="黑体" w:eastAsia="黑体" w:cs="黑体"/>
                <w:color w:val="auto"/>
                <w:spacing w:val="-1"/>
                <w:sz w:val="28"/>
                <w:szCs w:val="28"/>
                <w:highlight w:val="none"/>
              </w:rPr>
              <w:t xml:space="preserve">特点（苏锡通元素）的，不得分。</w:t>
            </w:r>
            <w:r/>
          </w:p>
        </w:tc>
      </w:tr>
      <w:tr>
        <w:trPr>
          <w:trHeight w:val="929"/>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w:t>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生产供货进度计划（4分）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5"/>
                <w:sz w:val="28"/>
                <w:szCs w:val="28"/>
                <w:highlight w:val="none"/>
              </w:rPr>
              <w:t xml:space="preserve">根据投标单位提供的生产供货进度计划进行评分：供货进度计划完整性针对性强的，得4分；完整性针对性较强的，得2分；完整性针对性一般的，得1分；不提供或不符合本项目需求的，不得分。</w:t>
            </w:r>
            <w:r/>
          </w:p>
        </w:tc>
      </w:tr>
      <w:tr>
        <w:trPr>
          <w:trHeight w:val="2592"/>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w:t>
            </w:r>
            <w:r/>
          </w:p>
          <w:p>
            <w:pP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right="104"/>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left="117" w:right="104" w:hanging="3"/>
              <w:jc w:val="center"/>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供货保证措施（4分）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1"/>
                <w:sz w:val="28"/>
                <w:szCs w:val="28"/>
                <w:highlight w:val="none"/>
              </w:rPr>
            </w:pPr>
            <w:r>
              <w:rPr>
                <w:rFonts w:hint="eastAsia" w:ascii="黑体" w:hAnsi="黑体" w:eastAsia="黑体" w:cs="黑体"/>
                <w:color w:val="auto"/>
                <w:spacing w:val="5"/>
                <w:sz w:val="28"/>
                <w:szCs w:val="28"/>
                <w:highlight w:val="none"/>
              </w:rPr>
              <w:t xml:space="preserve">根据投标单位提供的供货保证措施进行评分：供货保证措施详细、清晰、合理的，得4分；供货保证措施较详细、较清晰、较合理的，得2分；供货保证措施详细性一般、清晰性一般、合理性一般的，得1分；不提供或不符合本项目需求的，不得分。</w:t>
            </w:r>
            <w:r/>
          </w:p>
        </w:tc>
      </w:tr>
      <w:tr>
        <w:trPr>
          <w:trHeight w:val="2730"/>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w:t>
            </w:r>
            <w:r/>
          </w:p>
        </w:tc>
        <w:tc>
          <w:tcPr>
            <w:tcW w:w="1702"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right="104"/>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针对产品检验的具体把关过程（4分）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根据投标单位针对产品检验的具体把关过程进行评分：针对性、可操作性强的，得4分；针对性、可操作性较强的，得2分；针对性、可操作性一般的，得1分；不提供或不符合本项目需求的，不得分。</w:t>
            </w:r>
            <w:r/>
          </w:p>
        </w:tc>
      </w:tr>
      <w:tr>
        <w:trPr>
          <w:trHeight w:val="2354"/>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w:t>
            </w:r>
            <w:r/>
          </w:p>
        </w:tc>
        <w:tc>
          <w:tcPr>
            <w:tcW w:w="1702"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left="117" w:right="104" w:hanging="3"/>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质量保证 措施（4分）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spacing w:before="40"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5"/>
                <w:sz w:val="28"/>
                <w:szCs w:val="28"/>
                <w:highlight w:val="none"/>
              </w:rPr>
              <w:t xml:space="preserve">根据投标单位质量保证措施（质量管理制度是否齐全，责任落实是否到位）进行评分：方案完整性合理性强的，得4分；方案完整性合理性较强的，得2分；方案完整性合理性一般的，得1分；不提供或不符合本项目需求的，不得分。</w:t>
            </w:r>
            <w:r/>
          </w:p>
        </w:tc>
      </w:tr>
      <w:tr>
        <w:trPr>
          <w:trHeight w:val="2150"/>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11"/>
                <w:sz w:val="28"/>
                <w:szCs w:val="28"/>
                <w:highlight w:val="none"/>
              </w:rPr>
              <w:t xml:space="preserve">项目实地状况分析、平面图设计理念方案（4分）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11"/>
                <w:sz w:val="28"/>
                <w:szCs w:val="28"/>
                <w:highlight w:val="none"/>
              </w:rPr>
              <w:t xml:space="preserve">根据项目实地状况分析、平面图设计理念方案进行评分：</w:t>
            </w:r>
            <w:r>
              <w:rPr>
                <w:rFonts w:hint="eastAsia" w:ascii="黑体" w:hAnsi="黑体" w:eastAsia="黑体" w:cs="黑体"/>
                <w:color w:val="auto"/>
                <w:spacing w:val="5"/>
                <w:sz w:val="28"/>
                <w:szCs w:val="28"/>
                <w:highlight w:val="none"/>
              </w:rPr>
              <w:t xml:space="preserve">符合本项目要求的，完整性、针对性强的，得4分；符合本项目要求的，完整性、针对性较强的，得2分；符合本项目要求的，完整性、针对性一般的，得1分；不提供或不符合本项目需求的，不得分。</w:t>
            </w:r>
            <w:r/>
          </w:p>
        </w:tc>
      </w:tr>
      <w:tr>
        <w:trPr>
          <w:trHeight w:val="2571"/>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r>
            <w:r/>
          </w:p>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1"/>
                <w:sz w:val="28"/>
                <w:szCs w:val="28"/>
                <w:highlight w:val="none"/>
              </w:rPr>
              <w:t xml:space="preserve">厕所基础图、供电解决方案（4分）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1"/>
                <w:sz w:val="28"/>
                <w:szCs w:val="28"/>
                <w:highlight w:val="none"/>
              </w:rPr>
              <w:t xml:space="preserve">根据投标单位提供厕所基础图，并能结合现场实际情况提供合理可行的给水、排污、供电解决方案完整性和符合性进行评分：图纸内容完整性、合理性强的，得</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
                <w:sz w:val="28"/>
                <w:szCs w:val="28"/>
                <w:highlight w:val="none"/>
              </w:rPr>
              <w:t xml:space="preserve">4</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分；图纸内容完整性、合理性较强的，得</w:t>
            </w:r>
            <w:r>
              <w:rPr>
                <w:rFonts w:hint="eastAsia" w:ascii="黑体" w:hAnsi="黑体" w:eastAsia="黑体" w:cs="黑体"/>
                <w:color w:val="auto"/>
                <w:spacing w:val="-60"/>
                <w:sz w:val="28"/>
                <w:szCs w:val="28"/>
                <w:highlight w:val="none"/>
              </w:rPr>
              <w:t xml:space="preserve">2</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
                <w:sz w:val="28"/>
                <w:szCs w:val="28"/>
                <w:highlight w:val="none"/>
              </w:rPr>
              <w:t xml:space="preserve">分</w:t>
            </w:r>
            <w:r>
              <w:rPr>
                <w:rFonts w:hint="eastAsia" w:ascii="黑体" w:hAnsi="黑体" w:eastAsia="黑体" w:cs="黑体"/>
                <w:color w:val="auto"/>
                <w:spacing w:val="-3"/>
                <w:sz w:val="28"/>
                <w:szCs w:val="28"/>
                <w:highlight w:val="none"/>
              </w:rPr>
              <w:t xml:space="preserve">；</w:t>
            </w:r>
            <w:r>
              <w:rPr>
                <w:rFonts w:hint="eastAsia" w:ascii="黑体" w:hAnsi="黑体" w:eastAsia="黑体" w:cs="黑体"/>
                <w:color w:val="auto"/>
                <w:spacing w:val="-1"/>
                <w:sz w:val="28"/>
                <w:szCs w:val="28"/>
                <w:highlight w:val="none"/>
              </w:rPr>
              <w:t xml:space="preserve">图纸内容完整性、合理性一般的，得</w:t>
            </w:r>
            <w:r>
              <w:rPr>
                <w:rFonts w:hint="eastAsia" w:ascii="黑体" w:hAnsi="黑体" w:eastAsia="黑体" w:cs="黑体"/>
                <w:color w:val="auto"/>
                <w:spacing w:val="-60"/>
                <w:sz w:val="28"/>
                <w:szCs w:val="28"/>
                <w:highlight w:val="none"/>
              </w:rPr>
              <w:t xml:space="preserve"> </w:t>
            </w:r>
            <w:r>
              <w:rPr>
                <w:rFonts w:hint="eastAsia" w:ascii="黑体" w:hAnsi="黑体" w:eastAsia="黑体" w:cs="黑体"/>
                <w:color w:val="auto"/>
                <w:spacing w:val="-1"/>
                <w:sz w:val="28"/>
                <w:szCs w:val="28"/>
                <w:highlight w:val="none"/>
              </w:rPr>
              <w:t xml:space="preserve">1分</w:t>
            </w:r>
            <w:r>
              <w:rPr>
                <w:rFonts w:hint="eastAsia" w:ascii="黑体" w:hAnsi="黑体" w:eastAsia="黑体" w:cs="黑体"/>
                <w:color w:val="auto"/>
                <w:spacing w:val="-3"/>
                <w:sz w:val="28"/>
                <w:szCs w:val="28"/>
                <w:highlight w:val="none"/>
              </w:rPr>
              <w:t xml:space="preserve">；未提供本项的，不</w:t>
            </w:r>
            <w:r>
              <w:rPr>
                <w:rFonts w:hint="eastAsia" w:ascii="黑体" w:hAnsi="黑体" w:eastAsia="黑体" w:cs="黑体"/>
                <w:color w:val="auto"/>
                <w:spacing w:val="-4"/>
                <w:sz w:val="28"/>
                <w:szCs w:val="28"/>
                <w:highlight w:val="none"/>
              </w:rPr>
              <w:t xml:space="preserve">得分。</w:t>
            </w:r>
            <w:r/>
          </w:p>
        </w:tc>
      </w:tr>
      <w:tr>
        <w:trPr>
          <w:trHeight w:val="1815"/>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10</w:t>
            </w:r>
            <w:r/>
          </w:p>
        </w:tc>
        <w:tc>
          <w:tcPr>
            <w:tcW w:w="1702" w:type="dxa"/>
            <w:textDirection w:val="lrTb"/>
            <w:noWrap w:val="false"/>
          </w:tcPr>
          <w:p>
            <w:pPr>
              <w:ind w:left="117" w:right="104" w:hanging="3"/>
              <w:jc w:val="center"/>
              <w:spacing w:before="40" w:line="288" w:lineRule="auto"/>
              <w:rPr>
                <w:rFonts w:ascii="黑体" w:hAnsi="黑体" w:eastAsia="黑体" w:cs="黑体"/>
                <w:color w:val="auto"/>
                <w:spacing w:val="5"/>
                <w:sz w:val="28"/>
                <w:szCs w:val="28"/>
                <w:highlight w:val="none"/>
              </w:rPr>
            </w:pPr>
            <w:r>
              <w:rPr>
                <w:rFonts w:ascii="黑体" w:hAnsi="黑体" w:eastAsia="黑体" w:cs="黑体"/>
                <w:color w:val="auto"/>
                <w:spacing w:val="5"/>
                <w:sz w:val="28"/>
                <w:szCs w:val="28"/>
                <w:highlight w:val="none"/>
              </w:rPr>
            </w:r>
            <w:r/>
          </w:p>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5"/>
                <w:sz w:val="28"/>
                <w:szCs w:val="28"/>
                <w:highlight w:val="none"/>
              </w:rPr>
              <w:t xml:space="preserve">实施进度计划（4分）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根据投标单位提供的实施进度计划：符合本项目要求的实施进度计划完整性、针对性强的，得4分；完整性、针对性较强的，得2分；完整性、针对性一般的，得1分；不提供或不符合本项目需求的，不得分。</w:t>
            </w:r>
            <w:r/>
          </w:p>
        </w:tc>
      </w:tr>
      <w:tr>
        <w:trPr>
          <w:trHeight w:val="2423"/>
        </w:trPr>
        <w:tc>
          <w:tcPr>
            <w:tcW w:w="1014" w:type="dxa"/>
            <w:textDirection w:val="lrTb"/>
            <w:noWrap w:val="false"/>
          </w:tcPr>
          <w:p>
            <w:pPr>
              <w:ind w:left="446"/>
              <w:jc w:val="center"/>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46"/>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11</w:t>
            </w:r>
            <w:r/>
          </w:p>
        </w:tc>
        <w:tc>
          <w:tcPr>
            <w:tcW w:w="1702" w:type="dxa"/>
            <w:textDirection w:val="lrTb"/>
            <w:noWrap w:val="false"/>
          </w:tcPr>
          <w:p>
            <w:pPr>
              <w:ind w:left="207"/>
              <w:jc w:val="center"/>
              <w:spacing w:before="91" w:line="288" w:lineRule="auto"/>
              <w:rPr>
                <w:rFonts w:ascii="黑体" w:hAnsi="黑体" w:eastAsia="黑体" w:cs="黑体"/>
                <w:color w:val="auto"/>
                <w:spacing w:val="-3"/>
                <w:sz w:val="28"/>
                <w:szCs w:val="28"/>
                <w:highlight w:val="none"/>
              </w:rPr>
            </w:pPr>
            <w:r>
              <w:rPr>
                <w:rFonts w:ascii="黑体" w:hAnsi="黑体" w:eastAsia="黑体" w:cs="黑体"/>
                <w:color w:val="auto"/>
                <w:spacing w:val="-3"/>
                <w:sz w:val="28"/>
                <w:szCs w:val="28"/>
                <w:highlight w:val="none"/>
              </w:rPr>
            </w:r>
            <w:r/>
          </w:p>
          <w:p>
            <w:pPr>
              <w:ind w:left="207"/>
              <w:jc w:val="center"/>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项目实施</w:t>
            </w:r>
            <w:r/>
          </w:p>
          <w:p>
            <w:pPr>
              <w:ind w:left="117" w:right="104" w:hanging="3"/>
              <w:jc w:val="center"/>
              <w:spacing w:before="40" w:line="288" w:lineRule="auto"/>
              <w:rPr>
                <w:rFonts w:ascii="黑体" w:hAnsi="黑体" w:eastAsia="黑体" w:cs="黑体"/>
                <w:color w:val="auto"/>
                <w:spacing w:val="-4"/>
                <w:sz w:val="28"/>
                <w:szCs w:val="28"/>
                <w:highlight w:val="none"/>
              </w:rPr>
            </w:pPr>
            <w:r>
              <w:rPr>
                <w:rFonts w:hint="eastAsia" w:ascii="黑体" w:hAnsi="黑体" w:eastAsia="黑体" w:cs="黑体"/>
                <w:color w:val="auto"/>
                <w:spacing w:val="-4"/>
                <w:sz w:val="28"/>
                <w:szCs w:val="28"/>
                <w:highlight w:val="none"/>
              </w:rPr>
              <w:t xml:space="preserve">方案（4分）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主观分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7" w:right="104" w:hanging="3"/>
              <w:spacing w:before="40" w:line="288" w:lineRule="auto"/>
              <w:rPr>
                <w:rFonts w:ascii="黑体" w:hAnsi="黑体" w:eastAsia="黑体" w:cs="黑体"/>
                <w:color w:val="auto"/>
                <w:spacing w:val="5"/>
                <w:sz w:val="28"/>
                <w:szCs w:val="28"/>
                <w:highlight w:val="none"/>
              </w:rPr>
            </w:pPr>
            <w:r>
              <w:rPr>
                <w:rFonts w:hint="eastAsia" w:ascii="黑体" w:hAnsi="黑体" w:eastAsia="黑体" w:cs="黑体"/>
                <w:color w:val="auto"/>
                <w:spacing w:val="5"/>
                <w:sz w:val="28"/>
                <w:szCs w:val="28"/>
                <w:highlight w:val="none"/>
              </w:rPr>
              <w:t xml:space="preserve">根据投标单位提供的项目实施方案（</w:t>
            </w:r>
            <w:r>
              <w:rPr>
                <w:rFonts w:hint="eastAsia" w:ascii="黑体" w:hAnsi="黑体" w:eastAsia="黑体" w:cs="黑体"/>
                <w:color w:val="auto"/>
                <w:spacing w:val="17"/>
                <w:sz w:val="28"/>
                <w:szCs w:val="28"/>
                <w:highlight w:val="none"/>
              </w:rPr>
              <w:t xml:space="preserve">工作程序和步骤</w:t>
            </w:r>
            <w:r>
              <w:rPr>
                <w:rFonts w:hint="eastAsia" w:ascii="黑体" w:hAnsi="黑体" w:eastAsia="黑体" w:cs="黑体"/>
                <w:color w:val="auto"/>
                <w:spacing w:val="-73"/>
                <w:sz w:val="28"/>
                <w:szCs w:val="28"/>
                <w:highlight w:val="none"/>
              </w:rPr>
              <w:t xml:space="preserve"> </w:t>
            </w:r>
            <w:r>
              <w:rPr>
                <w:rFonts w:hint="eastAsia" w:ascii="黑体" w:hAnsi="黑体" w:eastAsia="黑体" w:cs="黑体"/>
                <w:color w:val="auto"/>
                <w:spacing w:val="17"/>
                <w:sz w:val="28"/>
                <w:szCs w:val="28"/>
                <w:highlight w:val="none"/>
              </w:rPr>
              <w:t xml:space="preserve">、安全文明施</w:t>
            </w:r>
            <w:r>
              <w:rPr>
                <w:rFonts w:hint="eastAsia" w:ascii="黑体" w:hAnsi="黑体" w:eastAsia="黑体" w:cs="黑体"/>
                <w:color w:val="auto"/>
                <w:spacing w:val="11"/>
                <w:sz w:val="28"/>
                <w:szCs w:val="28"/>
                <w:highlight w:val="none"/>
              </w:rPr>
              <w:t xml:space="preserve">工、管理和协调方法、售后服务方案等） 进行评分：完</w:t>
            </w:r>
            <w:r>
              <w:rPr>
                <w:rFonts w:hint="eastAsia" w:ascii="黑体" w:hAnsi="黑体" w:eastAsia="黑体" w:cs="黑体"/>
                <w:color w:val="auto"/>
                <w:spacing w:val="5"/>
                <w:sz w:val="28"/>
                <w:szCs w:val="28"/>
                <w:highlight w:val="none"/>
              </w:rPr>
              <w:t xml:space="preserve">整性、针对性强的，得4分；完整性、针对性较强的，得2分；完整性、针对性一般的，得1分；不提供或不符合本项目需求的，不得分。</w:t>
            </w:r>
            <w:r/>
          </w:p>
        </w:tc>
      </w:tr>
      <w:tr>
        <w:trPr>
          <w:trHeight w:val="2423"/>
        </w:trPr>
        <w:tc>
          <w:tcPr>
            <w:tcW w:w="1014" w:type="dxa"/>
            <w:textDirection w:val="lrTb"/>
            <w:noWrap w:val="false"/>
          </w:tcPr>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left="439"/>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12</w:t>
            </w:r>
            <w:r/>
          </w:p>
        </w:tc>
        <w:tc>
          <w:tcPr>
            <w:tcW w:w="170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61" w:right="198" w:hanging="50"/>
              <w:spacing w:before="91" w:line="288" w:lineRule="auto"/>
              <w:rPr>
                <w:rFonts w:ascii="黑体" w:hAnsi="黑体" w:eastAsia="黑体" w:cs="黑体"/>
                <w:color w:val="auto"/>
                <w:spacing w:val="-4"/>
                <w:sz w:val="28"/>
                <w:szCs w:val="28"/>
                <w:highlight w:val="none"/>
              </w:rPr>
            </w:pPr>
            <w:r>
              <w:rPr>
                <w:rFonts w:ascii="黑体" w:hAnsi="黑体" w:eastAsia="黑体" w:cs="黑体"/>
                <w:color w:val="auto"/>
                <w:spacing w:val="-4"/>
                <w:sz w:val="28"/>
                <w:szCs w:val="28"/>
                <w:highlight w:val="none"/>
              </w:rPr>
            </w:r>
            <w:r/>
          </w:p>
          <w:p>
            <w:pPr>
              <w:ind w:left="261" w:right="198" w:hanging="50"/>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4"/>
                <w:sz w:val="28"/>
                <w:szCs w:val="28"/>
                <w:highlight w:val="none"/>
              </w:rPr>
              <w:t xml:space="preserve">节能环保</w:t>
            </w:r>
            <w:r>
              <w:rPr>
                <w:rFonts w:hint="eastAsia" w:ascii="黑体" w:hAnsi="黑体" w:eastAsia="黑体" w:cs="黑体"/>
                <w:color w:val="auto"/>
                <w:sz w:val="28"/>
                <w:szCs w:val="28"/>
                <w:highlight w:val="none"/>
              </w:rPr>
              <w:t xml:space="preserve"> </w:t>
            </w:r>
            <w:r>
              <w:rPr>
                <w:rFonts w:hint="eastAsia" w:ascii="黑体" w:hAnsi="黑体" w:eastAsia="黑体" w:cs="黑体"/>
                <w:color w:val="auto"/>
                <w:spacing w:val="-12"/>
                <w:sz w:val="28"/>
                <w:szCs w:val="28"/>
                <w:highlight w:val="none"/>
              </w:rPr>
              <w:t xml:space="preserve">（2分）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1" w:right="104" w:firstLine="3"/>
              <w:spacing w:before="43"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1、投标产品属于财政部、国家发改委公布的“节能产品品目清单”范围内的，投标单位提供国家确定的认证机构出具的，处于有效期之内的该节能产品认证证书原</w:t>
            </w:r>
            <w:r>
              <w:rPr>
                <w:rFonts w:hint="eastAsia" w:ascii="黑体" w:hAnsi="黑体" w:eastAsia="黑体" w:cs="黑体"/>
                <w:color w:val="auto"/>
                <w:spacing w:val="-2"/>
                <w:sz w:val="28"/>
                <w:szCs w:val="28"/>
                <w:highlight w:val="none"/>
              </w:rPr>
              <w:t xml:space="preserve">件彩色扫描件的,有</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2"/>
                <w:sz w:val="28"/>
                <w:szCs w:val="28"/>
                <w:highlight w:val="none"/>
              </w:rPr>
              <w:t xml:space="preserve">1</w:t>
            </w:r>
            <w:r>
              <w:rPr>
                <w:rFonts w:hint="eastAsia" w:ascii="黑体" w:hAnsi="黑体" w:eastAsia="黑体" w:cs="黑体"/>
                <w:color w:val="auto"/>
                <w:spacing w:val="-56"/>
                <w:sz w:val="28"/>
                <w:szCs w:val="28"/>
                <w:highlight w:val="none"/>
              </w:rPr>
              <w:t xml:space="preserve"> </w:t>
            </w:r>
            <w:r>
              <w:rPr>
                <w:rFonts w:hint="eastAsia" w:ascii="黑体" w:hAnsi="黑体" w:eastAsia="黑体" w:cs="黑体"/>
                <w:color w:val="auto"/>
                <w:spacing w:val="-2"/>
                <w:sz w:val="28"/>
                <w:szCs w:val="28"/>
                <w:highlight w:val="none"/>
              </w:rPr>
              <w:t xml:space="preserve">个得 0.5</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2"/>
                <w:sz w:val="28"/>
                <w:szCs w:val="28"/>
                <w:highlight w:val="none"/>
              </w:rPr>
              <w:t xml:space="preserve">分，最多得</w:t>
            </w:r>
            <w:r>
              <w:rPr>
                <w:rFonts w:hint="eastAsia" w:ascii="黑体" w:hAnsi="黑体" w:eastAsia="黑体" w:cs="黑体"/>
                <w:color w:val="auto"/>
                <w:spacing w:val="-43"/>
                <w:sz w:val="28"/>
                <w:szCs w:val="28"/>
                <w:highlight w:val="none"/>
              </w:rPr>
              <w:t xml:space="preserve"> </w:t>
            </w:r>
            <w:r>
              <w:rPr>
                <w:rFonts w:hint="eastAsia" w:ascii="黑体" w:hAnsi="黑体" w:eastAsia="黑体" w:cs="黑体"/>
                <w:color w:val="auto"/>
                <w:spacing w:val="-2"/>
                <w:sz w:val="28"/>
                <w:szCs w:val="28"/>
                <w:highlight w:val="none"/>
              </w:rPr>
              <w:t xml:space="preserve">1</w:t>
            </w:r>
            <w:r>
              <w:rPr>
                <w:rFonts w:hint="eastAsia" w:ascii="黑体" w:hAnsi="黑体" w:eastAsia="黑体" w:cs="黑体"/>
                <w:color w:val="auto"/>
                <w:spacing w:val="-50"/>
                <w:sz w:val="28"/>
                <w:szCs w:val="28"/>
                <w:highlight w:val="none"/>
              </w:rPr>
              <w:t xml:space="preserve"> </w:t>
            </w:r>
            <w:r>
              <w:rPr>
                <w:rFonts w:hint="eastAsia" w:ascii="黑体" w:hAnsi="黑体" w:eastAsia="黑体" w:cs="黑体"/>
                <w:color w:val="auto"/>
                <w:spacing w:val="-2"/>
                <w:sz w:val="28"/>
                <w:szCs w:val="28"/>
                <w:highlight w:val="none"/>
              </w:rPr>
              <w:t xml:space="preserve">分。</w:t>
            </w:r>
            <w:r>
              <w:rPr>
                <w:rFonts w:hint="eastAsia" w:ascii="黑体" w:hAnsi="黑体" w:eastAsia="黑体" w:cs="黑体"/>
                <w:color w:val="auto"/>
                <w:spacing w:val="-3"/>
                <w:sz w:val="28"/>
                <w:szCs w:val="28"/>
                <w:highlight w:val="none"/>
              </w:rPr>
              <w:t xml:space="preserve">如投</w:t>
            </w:r>
            <w:r>
              <w:rPr>
                <w:rFonts w:hint="eastAsia" w:ascii="黑体" w:hAnsi="黑体" w:eastAsia="黑体" w:cs="黑体"/>
                <w:color w:val="auto"/>
                <w:spacing w:val="24"/>
                <w:sz w:val="28"/>
                <w:szCs w:val="28"/>
                <w:highlight w:val="none"/>
              </w:rPr>
              <w:t xml:space="preserve">标产品均属于政府强制采购节能产品品目清单范围</w:t>
            </w:r>
            <w:r>
              <w:rPr>
                <w:rFonts w:hint="eastAsia" w:ascii="黑体" w:hAnsi="黑体" w:eastAsia="黑体" w:cs="黑体"/>
                <w:color w:val="auto"/>
                <w:spacing w:val="-1"/>
                <w:sz w:val="28"/>
                <w:szCs w:val="28"/>
                <w:highlight w:val="none"/>
              </w:rPr>
              <w:t xml:space="preserve">内，本项不得分。</w:t>
            </w:r>
            <w:r/>
          </w:p>
          <w:p>
            <w:pPr>
              <w:ind w:left="114" w:right="104"/>
              <w:spacing w:before="41"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2、投标产品属于财政部、生态环境部公布的“环境标志产品品目清单”范国内的，投标单位提供国家确定的认证机构出具的、处于有效期内的该环保产品认证证书</w:t>
            </w:r>
            <w:r>
              <w:rPr>
                <w:rFonts w:hint="eastAsia" w:ascii="黑体" w:hAnsi="黑体" w:eastAsia="黑体" w:cs="黑体"/>
                <w:color w:val="auto"/>
                <w:spacing w:val="10"/>
                <w:sz w:val="28"/>
                <w:szCs w:val="28"/>
                <w:highlight w:val="none"/>
              </w:rPr>
              <w:t xml:space="preserve"> </w:t>
            </w:r>
            <w:r>
              <w:rPr>
                <w:rFonts w:hint="eastAsia" w:ascii="黑体" w:hAnsi="黑体" w:eastAsia="黑体" w:cs="黑体"/>
                <w:color w:val="auto"/>
                <w:spacing w:val="-5"/>
                <w:sz w:val="28"/>
                <w:szCs w:val="28"/>
                <w:highlight w:val="none"/>
              </w:rPr>
              <w:t xml:space="preserve">原件彩色扫描件的，有</w:t>
            </w:r>
            <w:r>
              <w:rPr>
                <w:rFonts w:hint="eastAsia" w:ascii="黑体" w:hAnsi="黑体" w:eastAsia="黑体" w:cs="黑体"/>
                <w:color w:val="auto"/>
                <w:spacing w:val="-36"/>
                <w:sz w:val="28"/>
                <w:szCs w:val="28"/>
                <w:highlight w:val="none"/>
              </w:rPr>
              <w:t xml:space="preserve"> </w:t>
            </w:r>
            <w:r>
              <w:rPr>
                <w:rFonts w:hint="eastAsia" w:ascii="黑体" w:hAnsi="黑体" w:eastAsia="黑体" w:cs="黑体"/>
                <w:color w:val="auto"/>
                <w:spacing w:val="-5"/>
                <w:sz w:val="28"/>
                <w:szCs w:val="28"/>
                <w:highlight w:val="none"/>
              </w:rPr>
              <w:t xml:space="preserve">1</w:t>
            </w:r>
            <w:r>
              <w:rPr>
                <w:rFonts w:hint="eastAsia" w:ascii="黑体" w:hAnsi="黑体" w:eastAsia="黑体" w:cs="黑体"/>
                <w:color w:val="auto"/>
                <w:spacing w:val="-58"/>
                <w:sz w:val="28"/>
                <w:szCs w:val="28"/>
                <w:highlight w:val="none"/>
              </w:rPr>
              <w:t xml:space="preserve"> </w:t>
            </w:r>
            <w:r>
              <w:rPr>
                <w:rFonts w:hint="eastAsia" w:ascii="黑体" w:hAnsi="黑体" w:eastAsia="黑体" w:cs="黑体"/>
                <w:color w:val="auto"/>
                <w:spacing w:val="-5"/>
                <w:sz w:val="28"/>
                <w:szCs w:val="28"/>
                <w:highlight w:val="none"/>
              </w:rPr>
              <w:t xml:space="preserve">个得</w:t>
            </w:r>
            <w:r>
              <w:rPr>
                <w:rFonts w:hint="eastAsia" w:ascii="黑体" w:hAnsi="黑体" w:eastAsia="黑体" w:cs="黑体"/>
                <w:color w:val="auto"/>
                <w:spacing w:val="-64"/>
                <w:sz w:val="28"/>
                <w:szCs w:val="28"/>
                <w:highlight w:val="none"/>
              </w:rPr>
              <w:t xml:space="preserve"> </w:t>
            </w:r>
            <w:r>
              <w:rPr>
                <w:rFonts w:hint="eastAsia" w:ascii="黑体" w:hAnsi="黑体" w:eastAsia="黑体" w:cs="黑体"/>
                <w:color w:val="auto"/>
                <w:spacing w:val="-5"/>
                <w:sz w:val="28"/>
                <w:szCs w:val="28"/>
                <w:highlight w:val="none"/>
              </w:rPr>
              <w:t xml:space="preserve">0.5</w:t>
            </w:r>
            <w:r>
              <w:rPr>
                <w:rFonts w:hint="eastAsia" w:ascii="黑体" w:hAnsi="黑体" w:eastAsia="黑体" w:cs="黑体"/>
                <w:color w:val="auto"/>
                <w:spacing w:val="-52"/>
                <w:sz w:val="28"/>
                <w:szCs w:val="28"/>
                <w:highlight w:val="none"/>
              </w:rPr>
              <w:t xml:space="preserve"> </w:t>
            </w:r>
            <w:r>
              <w:rPr>
                <w:rFonts w:hint="eastAsia" w:ascii="黑体" w:hAnsi="黑体" w:eastAsia="黑体" w:cs="黑体"/>
                <w:color w:val="auto"/>
                <w:spacing w:val="-5"/>
                <w:sz w:val="28"/>
                <w:szCs w:val="28"/>
                <w:highlight w:val="none"/>
              </w:rPr>
              <w:t xml:space="preserve">分，最多得</w:t>
            </w:r>
            <w:r>
              <w:rPr>
                <w:rFonts w:hint="eastAsia" w:ascii="黑体" w:hAnsi="黑体" w:eastAsia="黑体" w:cs="黑体"/>
                <w:color w:val="auto"/>
                <w:spacing w:val="-48"/>
                <w:sz w:val="28"/>
                <w:szCs w:val="28"/>
                <w:highlight w:val="none"/>
              </w:rPr>
              <w:t xml:space="preserve"> </w:t>
            </w:r>
            <w:r>
              <w:rPr>
                <w:rFonts w:hint="eastAsia" w:ascii="黑体" w:hAnsi="黑体" w:eastAsia="黑体" w:cs="黑体"/>
                <w:color w:val="auto"/>
                <w:spacing w:val="-5"/>
                <w:sz w:val="28"/>
                <w:szCs w:val="28"/>
                <w:highlight w:val="none"/>
              </w:rPr>
              <w:t xml:space="preserve">1</w:t>
            </w:r>
            <w:r>
              <w:rPr>
                <w:rFonts w:hint="eastAsia" w:ascii="黑体" w:hAnsi="黑体" w:eastAsia="黑体" w:cs="黑体"/>
                <w:color w:val="auto"/>
                <w:spacing w:val="-51"/>
                <w:sz w:val="28"/>
                <w:szCs w:val="28"/>
                <w:highlight w:val="none"/>
              </w:rPr>
              <w:t xml:space="preserve"> </w:t>
            </w:r>
            <w:r>
              <w:rPr>
                <w:rFonts w:hint="eastAsia" w:ascii="黑体" w:hAnsi="黑体" w:eastAsia="黑体" w:cs="黑体"/>
                <w:color w:val="auto"/>
                <w:spacing w:val="-5"/>
                <w:sz w:val="28"/>
                <w:szCs w:val="28"/>
                <w:highlight w:val="none"/>
              </w:rPr>
              <w:t xml:space="preserve">分。</w:t>
            </w:r>
            <w:r/>
          </w:p>
        </w:tc>
      </w:tr>
      <w:tr>
        <w:trPr>
          <w:trHeight w:val="2879"/>
        </w:trPr>
        <w:tc>
          <w:tcPr>
            <w:tcW w:w="1014"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445"/>
              <w:spacing w:before="91" w:line="288"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13</w:t>
            </w:r>
            <w:r/>
          </w:p>
        </w:tc>
        <w:tc>
          <w:tcPr>
            <w:tcW w:w="1702" w:type="dxa"/>
            <w:textDirection w:val="lrTb"/>
            <w:noWrap w:val="false"/>
          </w:tcPr>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pStyle w:val="1152"/>
              <w:spacing w:line="288" w:lineRule="auto"/>
              <w:rPr>
                <w:rFonts w:ascii="黑体" w:hAnsi="黑体" w:eastAsia="黑体" w:cs="黑体"/>
                <w:color w:val="auto"/>
                <w:highlight w:val="none"/>
              </w:rPr>
            </w:pPr>
            <w:r>
              <w:rPr>
                <w:rFonts w:ascii="黑体" w:hAnsi="黑体" w:eastAsia="黑体" w:cs="黑体"/>
                <w:color w:val="auto"/>
                <w:highlight w:val="none"/>
              </w:rPr>
            </w:r>
            <w:r/>
          </w:p>
          <w:p>
            <w:pPr>
              <w:ind w:left="206"/>
              <w:spacing w:before="91"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低挥发性</w:t>
            </w:r>
            <w:r/>
          </w:p>
          <w:p>
            <w:pPr>
              <w:ind w:left="494" w:right="127" w:hanging="356"/>
              <w:spacing w:before="28" w:line="288" w:lineRule="auto"/>
              <w:rPr>
                <w:rFonts w:ascii="黑体" w:hAnsi="黑体" w:eastAsia="黑体" w:cs="黑体"/>
                <w:color w:val="auto"/>
                <w:sz w:val="28"/>
                <w:szCs w:val="28"/>
                <w:highlight w:val="none"/>
              </w:rPr>
            </w:pPr>
            <w:r>
              <w:rPr>
                <w:rFonts w:hint="eastAsia" w:ascii="黑体" w:hAnsi="黑体" w:eastAsia="黑体" w:cs="黑体"/>
                <w:color w:val="auto"/>
                <w:spacing w:val="-3"/>
                <w:sz w:val="28"/>
                <w:szCs w:val="28"/>
                <w:highlight w:val="none"/>
              </w:rPr>
              <w:t xml:space="preserve">原辅料（2</w:t>
            </w:r>
            <w:r>
              <w:rPr>
                <w:rFonts w:hint="eastAsia" w:ascii="黑体" w:hAnsi="黑体" w:eastAsia="黑体" w:cs="黑体"/>
                <w:color w:val="auto"/>
                <w:spacing w:val="-9"/>
                <w:sz w:val="28"/>
                <w:szCs w:val="28"/>
                <w:highlight w:val="none"/>
              </w:rPr>
              <w:t xml:space="preserve">分）</w:t>
            </w:r>
            <w:r>
              <w:rPr>
                <w:rFonts w:hint="eastAsia" w:ascii="黑体" w:hAnsi="黑体" w:eastAsia="黑体" w:cs="黑体"/>
                <w:color w:val="auto"/>
                <w:spacing w:val="-9"/>
                <w:sz w:val="28"/>
                <w:szCs w:val="28"/>
                <w:highlight w:val="none"/>
                <w:lang w:eastAsia="zh-CN"/>
              </w:rPr>
              <w:t xml:space="preserve">（</w:t>
            </w:r>
            <w:r>
              <w:rPr>
                <w:rFonts w:hint="eastAsia" w:ascii="黑体" w:hAnsi="黑体" w:eastAsia="黑体" w:cs="黑体"/>
                <w:color w:val="auto"/>
                <w:spacing w:val="-9"/>
                <w:sz w:val="28"/>
                <w:szCs w:val="28"/>
                <w:highlight w:val="none"/>
                <w:lang w:val="en-US" w:eastAsia="zh-CN"/>
              </w:rPr>
              <w:t xml:space="preserve">客观分</w:t>
            </w:r>
            <w:r>
              <w:rPr>
                <w:rFonts w:hint="eastAsia" w:ascii="黑体" w:hAnsi="黑体" w:eastAsia="黑体" w:cs="黑体"/>
                <w:color w:val="auto"/>
                <w:spacing w:val="-9"/>
                <w:sz w:val="28"/>
                <w:szCs w:val="28"/>
                <w:highlight w:val="none"/>
                <w:lang w:eastAsia="zh-CN"/>
              </w:rPr>
              <w:t xml:space="preserve">）</w:t>
            </w:r>
            <w:r/>
          </w:p>
        </w:tc>
        <w:tc>
          <w:tcPr>
            <w:gridSpan w:val="2"/>
            <w:tcW w:w="6747" w:type="dxa"/>
            <w:textDirection w:val="lrTb"/>
            <w:noWrap w:val="false"/>
          </w:tcPr>
          <w:p>
            <w:pPr>
              <w:ind w:left="114" w:right="104" w:firstLine="1"/>
              <w:spacing w:before="48" w:line="288" w:lineRule="auto"/>
              <w:rPr>
                <w:rFonts w:ascii="黑体" w:hAnsi="黑体" w:eastAsia="黑体" w:cs="黑体"/>
                <w:color w:val="auto"/>
                <w:sz w:val="28"/>
                <w:szCs w:val="28"/>
                <w:highlight w:val="none"/>
              </w:rPr>
            </w:pPr>
            <w:r>
              <w:rPr>
                <w:rFonts w:hint="eastAsia" w:ascii="黑体" w:hAnsi="黑体" w:eastAsia="黑体" w:cs="黑体"/>
                <w:color w:val="auto"/>
                <w:spacing w:val="11"/>
                <w:sz w:val="28"/>
                <w:szCs w:val="28"/>
                <w:highlight w:val="none"/>
              </w:rPr>
              <w:t xml:space="preserve">依据《江苏省财政厅关于加强政府绿色采购有关事项</w:t>
            </w:r>
            <w:r>
              <w:rPr>
                <w:rFonts w:hint="eastAsia" w:ascii="黑体" w:hAnsi="黑体" w:eastAsia="黑体" w:cs="黑体"/>
                <w:color w:val="auto"/>
                <w:spacing w:val="4"/>
                <w:sz w:val="28"/>
                <w:szCs w:val="28"/>
                <w:highlight w:val="none"/>
              </w:rPr>
              <w:t xml:space="preserve">的通知》</w:t>
            </w:r>
            <w:r>
              <w:rPr>
                <w:rFonts w:hint="eastAsia" w:ascii="黑体" w:hAnsi="黑体" w:eastAsia="黑体" w:cs="黑体"/>
                <w:color w:val="auto"/>
                <w:spacing w:val="-120"/>
                <w:sz w:val="28"/>
                <w:szCs w:val="28"/>
                <w:highlight w:val="none"/>
              </w:rPr>
              <w:t xml:space="preserve"> </w:t>
            </w:r>
            <w:r>
              <w:rPr>
                <w:rFonts w:hint="eastAsia" w:ascii="黑体" w:hAnsi="黑体" w:eastAsia="黑体" w:cs="黑体"/>
                <w:color w:val="auto"/>
                <w:spacing w:val="4"/>
                <w:sz w:val="28"/>
                <w:szCs w:val="28"/>
                <w:highlight w:val="none"/>
              </w:rPr>
              <w:t xml:space="preserve">（苏财购〔2023〕65</w:t>
            </w:r>
            <w:r>
              <w:rPr>
                <w:rFonts w:hint="eastAsia" w:ascii="黑体" w:hAnsi="黑体" w:eastAsia="黑体" w:cs="黑体"/>
                <w:color w:val="auto"/>
                <w:spacing w:val="-46"/>
                <w:sz w:val="28"/>
                <w:szCs w:val="28"/>
                <w:highlight w:val="none"/>
              </w:rPr>
              <w:t xml:space="preserve"> </w:t>
            </w:r>
            <w:r>
              <w:rPr>
                <w:rFonts w:hint="eastAsia" w:ascii="黑体" w:hAnsi="黑体" w:eastAsia="黑体" w:cs="黑体"/>
                <w:color w:val="auto"/>
                <w:spacing w:val="4"/>
                <w:sz w:val="28"/>
                <w:szCs w:val="28"/>
                <w:highlight w:val="none"/>
              </w:rPr>
              <w:t xml:space="preserve">号</w:t>
            </w:r>
            <w:r>
              <w:rPr>
                <w:rFonts w:hint="eastAsia" w:ascii="黑体" w:hAnsi="黑体" w:eastAsia="黑体" w:cs="黑体"/>
                <w:color w:val="auto"/>
                <w:spacing w:val="25"/>
                <w:sz w:val="28"/>
                <w:szCs w:val="28"/>
                <w:highlight w:val="none"/>
              </w:rPr>
              <w:t xml:space="preserve">），</w:t>
            </w:r>
            <w:r>
              <w:rPr>
                <w:rFonts w:hint="eastAsia" w:ascii="黑体" w:hAnsi="黑体" w:eastAsia="黑体" w:cs="黑体"/>
                <w:color w:val="auto"/>
                <w:spacing w:val="4"/>
                <w:sz w:val="28"/>
                <w:szCs w:val="28"/>
                <w:highlight w:val="none"/>
              </w:rPr>
              <w:t xml:space="preserve">投标单位提供符合</w:t>
            </w:r>
            <w:r>
              <w:rPr>
                <w:rFonts w:hint="eastAsia" w:ascii="黑体" w:hAnsi="黑体" w:eastAsia="黑体" w:cs="黑体"/>
                <w:color w:val="auto"/>
                <w:spacing w:val="11"/>
                <w:sz w:val="28"/>
                <w:szCs w:val="28"/>
                <w:highlight w:val="none"/>
              </w:rPr>
              <w:t xml:space="preserve">推荐性标准的涂料、胶黏剂、油墨、清洗剂等挥发性有机物产品的或者在通用类货物采购项目中，优先使</w:t>
            </w:r>
            <w:r>
              <w:rPr>
                <w:rFonts w:hint="eastAsia" w:ascii="黑体" w:hAnsi="黑体" w:eastAsia="黑体" w:cs="黑体"/>
                <w:color w:val="auto"/>
                <w:spacing w:val="8"/>
                <w:sz w:val="28"/>
                <w:szCs w:val="28"/>
                <w:highlight w:val="none"/>
              </w:rPr>
              <w:t xml:space="preserve">用低挥发性原辅材料的加</w:t>
            </w:r>
            <w:r>
              <w:rPr>
                <w:rFonts w:hint="eastAsia" w:ascii="黑体" w:hAnsi="黑体" w:eastAsia="黑体" w:cs="黑体"/>
                <w:color w:val="auto"/>
                <w:spacing w:val="-24"/>
                <w:sz w:val="28"/>
                <w:szCs w:val="28"/>
                <w:highlight w:val="none"/>
              </w:rPr>
              <w:t xml:space="preserve">2</w:t>
            </w:r>
            <w:r>
              <w:rPr>
                <w:rFonts w:hint="eastAsia" w:ascii="黑体" w:hAnsi="黑体" w:eastAsia="黑体" w:cs="黑体"/>
                <w:color w:val="auto"/>
                <w:spacing w:val="-40"/>
                <w:sz w:val="28"/>
                <w:szCs w:val="28"/>
                <w:highlight w:val="none"/>
              </w:rPr>
              <w:t xml:space="preserve"> </w:t>
            </w:r>
            <w:r>
              <w:rPr>
                <w:rFonts w:hint="eastAsia" w:ascii="黑体" w:hAnsi="黑体" w:eastAsia="黑体" w:cs="黑体"/>
                <w:color w:val="auto"/>
                <w:spacing w:val="8"/>
                <w:sz w:val="28"/>
                <w:szCs w:val="28"/>
                <w:highlight w:val="none"/>
              </w:rPr>
              <w:t xml:space="preserve">分（投标时须提供相应使</w:t>
            </w:r>
            <w:r>
              <w:rPr>
                <w:rFonts w:hint="eastAsia" w:ascii="黑体" w:hAnsi="黑体" w:eastAsia="黑体" w:cs="黑体"/>
                <w:color w:val="auto"/>
                <w:spacing w:val="3"/>
                <w:sz w:val="28"/>
                <w:szCs w:val="28"/>
                <w:highlight w:val="none"/>
              </w:rPr>
              <w:t xml:space="preserve">用低</w:t>
            </w:r>
            <w:r>
              <w:rPr>
                <w:rFonts w:hint="eastAsia" w:ascii="黑体" w:hAnsi="黑体" w:eastAsia="黑体" w:cs="黑体"/>
                <w:color w:val="auto"/>
                <w:sz w:val="28"/>
                <w:szCs w:val="28"/>
                <w:highlight w:val="none"/>
              </w:rPr>
              <w:t xml:space="preserve">VOCs</w:t>
            </w:r>
            <w:r>
              <w:rPr>
                <w:rFonts w:hint="eastAsia" w:ascii="黑体" w:hAnsi="黑体" w:eastAsia="黑体" w:cs="黑体"/>
                <w:color w:val="auto"/>
                <w:spacing w:val="3"/>
                <w:sz w:val="28"/>
                <w:szCs w:val="28"/>
                <w:highlight w:val="none"/>
              </w:rPr>
              <w:t xml:space="preserve"> 含量的有效证明材料，否则不得分）。</w:t>
            </w:r>
            <w:r/>
          </w:p>
        </w:tc>
      </w:tr>
      <w:tr>
        <w:trPr>
          <w:trHeight w:val="1002"/>
        </w:trPr>
        <w:tc>
          <w:tcPr>
            <w:gridSpan w:val="4"/>
            <w:tcW w:w="9463" w:type="dxa"/>
            <w:textDirection w:val="lrTb"/>
            <w:noWrap w:val="false"/>
          </w:tcPr>
          <w:p>
            <w:pPr>
              <w:ind w:left="114" w:right="104" w:firstLine="1"/>
              <w:spacing w:before="48" w:line="288" w:lineRule="auto"/>
              <w:rPr>
                <w:rFonts w:ascii="黑体" w:hAnsi="黑体" w:eastAsia="黑体" w:cs="黑体"/>
                <w:color w:val="auto"/>
                <w:spacing w:val="11"/>
                <w:sz w:val="28"/>
                <w:szCs w:val="28"/>
                <w:highlight w:val="none"/>
              </w:rPr>
            </w:pPr>
            <w:r>
              <w:rPr>
                <w:rFonts w:hint="eastAsia" w:ascii="黑体" w:hAnsi="黑体" w:eastAsia="黑体" w:cs="黑体"/>
                <w:color w:val="auto"/>
                <w:spacing w:val="11"/>
                <w:sz w:val="24"/>
                <w:szCs w:val="24"/>
                <w:highlight w:val="none"/>
              </w:rPr>
              <w:t xml:space="preserve">注明：商务技术标的响应所有佐证材料需提供清晰的原件扫描件并加盖单位公章，投标文件中资料不清晰或资料不全或未响应的不予得分。</w:t>
            </w:r>
            <w:r/>
          </w:p>
        </w:tc>
      </w:tr>
    </w:tbl>
    <w:p>
      <w:pPr>
        <w:spacing w:line="288" w:lineRule="auto"/>
        <w:rPr>
          <w:rFonts w:ascii="黑体" w:hAnsi="黑体" w:eastAsia="黑体" w:cs="黑体"/>
          <w:color w:val="auto"/>
          <w:highlight w:val="none"/>
        </w:rPr>
      </w:pPr>
      <w:r>
        <w:rPr>
          <w:rFonts w:ascii="黑体" w:hAnsi="黑体" w:eastAsia="黑体" w:cs="黑体"/>
          <w:color w:val="auto"/>
          <w:highlight w:val="none"/>
        </w:rPr>
      </w:r>
      <w:r/>
    </w:p>
    <w:p>
      <w:pPr>
        <w:spacing w:line="288" w:lineRule="auto"/>
        <w:rPr>
          <w:rFonts w:ascii="黑体" w:hAnsi="黑体" w:eastAsia="黑体" w:cs="黑体"/>
          <w:color w:val="auto"/>
          <w:highlight w:val="none"/>
        </w:rPr>
        <w:sectPr>
          <w:footerReference w:type="default" r:id="rId13"/>
          <w:footnotePr/>
          <w:endnotePr/>
          <w:type w:val="nextPage"/>
          <w:pgSz w:w="11906" w:h="16839" w:orient="portrait"/>
          <w:pgMar w:top="1431" w:right="1219" w:bottom="1176" w:left="1218" w:header="0" w:footer="989" w:gutter="0"/>
          <w:cols w:num="1" w:sep="0" w:space="720" w:equalWidth="1"/>
          <w:docGrid w:linePitch="360"/>
        </w:sectPr>
      </w:pPr>
      <w:r>
        <w:rPr>
          <w:rFonts w:ascii="黑体" w:hAnsi="黑体" w:eastAsia="黑体" w:cs="黑体"/>
          <w:color w:val="auto"/>
          <w:highlight w:val="none"/>
        </w:rPr>
      </w:r>
      <w:r/>
    </w:p>
    <w:p>
      <w:pPr>
        <w:pStyle w:val="833"/>
        <w:spacing w:before="158" w:line="288" w:lineRule="auto"/>
        <w:rPr>
          <w:rFonts w:ascii="黑体" w:hAnsi="黑体" w:eastAsia="黑体" w:cs="黑体"/>
          <w:color w:val="auto"/>
          <w:sz w:val="28"/>
          <w:szCs w:val="28"/>
          <w:highlight w:val="none"/>
        </w:rPr>
        <w:outlineLvl w:val="4"/>
      </w:pPr>
      <w:r>
        <w:rPr>
          <w:rFonts w:hint="eastAsia" w:ascii="黑体" w:hAnsi="黑体" w:eastAsia="黑体" w:cs="黑体"/>
          <w:b/>
          <w:bCs/>
          <w:color w:val="auto"/>
          <w:spacing w:val="-5"/>
          <w:sz w:val="28"/>
          <w:szCs w:val="28"/>
          <w:highlight w:val="none"/>
        </w:rPr>
        <w:t xml:space="preserve">（四）价格分：30</w:t>
      </w:r>
      <w:r>
        <w:rPr>
          <w:rFonts w:hint="eastAsia" w:ascii="黑体" w:hAnsi="黑体" w:eastAsia="黑体" w:cs="黑体"/>
          <w:color w:val="auto"/>
          <w:spacing w:val="-52"/>
          <w:sz w:val="28"/>
          <w:szCs w:val="28"/>
          <w:highlight w:val="none"/>
        </w:rPr>
        <w:t xml:space="preserve"> </w:t>
      </w:r>
      <w:r>
        <w:rPr>
          <w:rFonts w:hint="eastAsia" w:ascii="黑体" w:hAnsi="黑体" w:eastAsia="黑体" w:cs="黑体"/>
          <w:b/>
          <w:bCs/>
          <w:color w:val="auto"/>
          <w:spacing w:val="-5"/>
          <w:sz w:val="28"/>
          <w:szCs w:val="28"/>
          <w:highlight w:val="none"/>
        </w:rPr>
        <w:t xml:space="preserve">分</w:t>
      </w:r>
      <w:r/>
    </w:p>
    <w:p>
      <w:pPr>
        <w:ind w:firstLine="570"/>
        <w:spacing w:line="288" w:lineRule="auto"/>
        <w:rPr>
          <w:rFonts w:ascii="黑体" w:hAnsi="黑体" w:eastAsia="黑体" w:cs="黑体"/>
          <w:bCs/>
          <w:color w:val="auto"/>
          <w:sz w:val="28"/>
          <w:szCs w:val="21"/>
          <w:highlight w:val="none"/>
        </w:rPr>
      </w:pPr>
      <w:r>
        <w:rPr>
          <w:rFonts w:hint="eastAsia" w:ascii="黑体" w:hAnsi="黑体" w:eastAsia="黑体" w:cs="黑体"/>
          <w:bCs/>
          <w:color w:val="auto"/>
          <w:sz w:val="28"/>
          <w:szCs w:val="21"/>
          <w:highlight w:val="none"/>
        </w:rPr>
        <w:t xml:space="preserve">价格分统一采用低价优先法计算，即满足招标文件要求且投标 价格最低的投标报价为评标基准价，其价格分为满分。其他投标单位 的价格分统一按照下列公式计算：</w:t>
      </w:r>
      <w:r/>
    </w:p>
    <w:p>
      <w:pPr>
        <w:spacing w:line="288" w:lineRule="auto"/>
        <w:rPr>
          <w:rFonts w:ascii="黑体" w:hAnsi="黑体" w:eastAsia="黑体" w:cs="黑体"/>
          <w:bCs/>
          <w:color w:val="auto"/>
          <w:sz w:val="28"/>
          <w:szCs w:val="21"/>
          <w:highlight w:val="none"/>
        </w:rPr>
      </w:pPr>
      <w:r>
        <w:rPr>
          <w:rFonts w:hint="eastAsia" w:ascii="黑体" w:hAnsi="黑体" w:eastAsia="黑体" w:cs="黑体"/>
          <w:bCs/>
          <w:color w:val="auto"/>
          <w:sz w:val="28"/>
          <w:szCs w:val="21"/>
          <w:highlight w:val="none"/>
        </w:rPr>
        <w:t xml:space="preserve">投标报价得分=（评标基准价/投标报价）×价格权值30%×100</w:t>
      </w:r>
      <w:r/>
    </w:p>
    <w:p>
      <w:pPr>
        <w:pStyle w:val="1088"/>
        <w:ind w:left="0" w:right="0" w:firstLine="0"/>
        <w:jc w:val="both"/>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（五）政府采购政策功能落实</w:t>
      </w:r>
      <w:r/>
    </w:p>
    <w:p>
      <w:pPr>
        <w:ind w:firstLine="570"/>
        <w:spacing w:line="288" w:lineRule="auto"/>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本项目专门面向中小企业，不享受价格扣除优惠政策。</w:t>
      </w:r>
      <w:r/>
    </w:p>
    <w:p>
      <w:pPr>
        <w:pStyle w:val="1088"/>
        <w:ind w:left="0" w:right="0" w:firstLine="0"/>
        <w:jc w:val="both"/>
        <w:spacing w:before="0"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（六）采购本国产品的支持政策</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 本项目政府采购活动中既有本国产品又有非本国产品参与竞争的，依法对本国产品给予价格评审优惠，对本国产品的报价给予</w:t>
      </w:r>
      <w:r>
        <w:rPr>
          <w:rFonts w:hint="eastAsia" w:ascii="黑体" w:hAnsi="黑体" w:eastAsia="黑体" w:cs="黑体"/>
          <w:color w:val="auto"/>
          <w:sz w:val="28"/>
          <w:szCs w:val="28"/>
          <w:highlight w:val="none"/>
          <w:u w:val="single"/>
        </w:rPr>
        <w:t xml:space="preserve">20%</w:t>
      </w:r>
      <w:r>
        <w:rPr>
          <w:rFonts w:hint="eastAsia" w:ascii="黑体" w:hAnsi="黑体" w:eastAsia="黑体" w:cs="黑体"/>
          <w:color w:val="auto"/>
          <w:sz w:val="28"/>
          <w:szCs w:val="28"/>
          <w:highlight w:val="none"/>
        </w:rPr>
        <w:t xml:space="preserve">的价格扣除，用扣除后的价格参与评审。</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黑体" w:hAnsi="黑体" w:eastAsia="黑体" w:cs="黑体"/>
          <w:color w:val="auto"/>
          <w:sz w:val="28"/>
          <w:szCs w:val="28"/>
          <w:highlight w:val="none"/>
          <w:u w:val="single"/>
        </w:rPr>
        <w:t xml:space="preserve">80%</w:t>
      </w:r>
      <w:r>
        <w:rPr>
          <w:rFonts w:hint="eastAsia" w:ascii="黑体" w:hAnsi="黑体" w:eastAsia="黑体" w:cs="黑体"/>
          <w:color w:val="auto"/>
          <w:sz w:val="28"/>
          <w:szCs w:val="28"/>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黑体" w:hAnsi="黑体" w:eastAsia="黑体" w:cs="黑体"/>
          <w:color w:val="auto"/>
          <w:sz w:val="28"/>
          <w:szCs w:val="28"/>
          <w:highlight w:val="none"/>
          <w:u w:val="single"/>
        </w:rPr>
        <w:t xml:space="preserve">20%</w:t>
      </w:r>
      <w:r>
        <w:rPr>
          <w:rFonts w:hint="eastAsia" w:ascii="黑体" w:hAnsi="黑体" w:eastAsia="黑体" w:cs="黑体"/>
          <w:color w:val="auto"/>
          <w:sz w:val="28"/>
          <w:szCs w:val="28"/>
          <w:highlight w:val="none"/>
        </w:rPr>
        <w:t xml:space="preserve">的价格扣除，用扣除后的价格参与评审。供应商未填写比例数值，或比例数值不足</w:t>
      </w:r>
      <w:r>
        <w:rPr>
          <w:rFonts w:hint="eastAsia" w:ascii="黑体" w:hAnsi="黑体" w:eastAsia="黑体" w:cs="黑体"/>
          <w:color w:val="auto"/>
          <w:sz w:val="28"/>
          <w:szCs w:val="28"/>
          <w:highlight w:val="none"/>
          <w:u w:val="single"/>
        </w:rPr>
        <w:t xml:space="preserve">80%</w:t>
      </w:r>
      <w:r>
        <w:rPr>
          <w:rFonts w:hint="eastAsia" w:ascii="黑体" w:hAnsi="黑体" w:eastAsia="黑体" w:cs="黑体"/>
          <w:color w:val="auto"/>
          <w:sz w:val="28"/>
          <w:szCs w:val="28"/>
          <w:highlight w:val="none"/>
        </w:rPr>
        <w:t xml:space="preserve">的，将不享受本国产品价格评审优惠。</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3、供应商需按照招标文件的要求提供《关于符合本国产品标准的声明函》（以下简称《声明函》），如不提供将不享受本国产品价格评审优惠。</w:t>
      </w:r>
      <w:r/>
    </w:p>
    <w:p>
      <w:pPr>
        <w:ind w:firstLine="480"/>
        <w:jc w:val="left"/>
        <w:spacing w:line="400" w:lineRule="exac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 供应商需在《声明函》中逐一、准确填写产品名称、厂名、生产厂址三项信息（《声明函》中标注</w:t>
      </w:r>
      <w:r>
        <w:rPr>
          <w:rFonts w:hint="eastAsia" w:ascii="黑体" w:hAnsi="黑体" w:eastAsia="黑体" w:cs="黑体"/>
          <w:color w:val="auto"/>
          <w:sz w:val="28"/>
          <w:szCs w:val="28"/>
          <w:highlight w:val="none"/>
          <w:u w:val="single"/>
        </w:rPr>
        <w:t xml:space="preserve">“  /  ”</w:t>
      </w:r>
      <w:r>
        <w:rPr>
          <w:rFonts w:hint="eastAsia" w:ascii="黑体" w:hAnsi="黑体" w:eastAsia="黑体" w:cs="黑体"/>
          <w:color w:val="auto"/>
          <w:sz w:val="28"/>
          <w:szCs w:val="28"/>
          <w:highlight w:val="none"/>
        </w:rPr>
        <w:t xml:space="preserve">的地方无需填写），三项信息中任意一项未填写的视为该项产品不符合本国产品标准，不享受本国产品价格评审优惠。</w:t>
      </w:r>
      <w:r/>
    </w:p>
    <w:p>
      <w:pPr>
        <w:ind w:firstLine="480"/>
        <w:jc w:val="left"/>
        <w:spacing w:line="400" w:lineRule="exact"/>
        <w:rPr>
          <w:rFonts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（七）中标人的确定</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评委会汇总各评委评分后，按照得分从高到低的顺序推荐三名中标候选人，并编写评标报告。</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招标人委托评标委员会直接确定排名第一的中标候选人为中标人。</w:t>
      </w:r>
      <w:r/>
    </w:p>
    <w:p>
      <w:pPr>
        <w:ind w:firstLine="557"/>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（八）招标人代表宣布评标结果。</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（九）公告中标结果</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自确定中标人之日起2个工作日内，在江苏政府采购网公告中标结果，公告期限为1个工作日。</w:t>
      </w:r>
      <w:r/>
    </w:p>
    <w:p>
      <w:pPr>
        <w:ind w:firstLine="562"/>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（十）发放中标通知书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公告中标结果的同时，招标人或采购代理机构向中标单位发放中标通知书。</w:t>
      </w:r>
      <w:r/>
    </w:p>
    <w:p>
      <w:pPr>
        <w:ind w:firstLine="57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中标通知书发出后，招标人不得违法改变中标结果，中标单位无正当理由不得放弃中标。</w:t>
      </w:r>
      <w:r/>
    </w:p>
    <w:p>
      <w:pPr>
        <w:ind w:firstLine="554"/>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中标单位在中标公示期后、领取中标通知书前必须按要求提供纸质响应文件（资格审查材料、</w:t>
      </w:r>
      <w:r>
        <w:rPr>
          <w:rFonts w:hint="eastAsia" w:ascii="黑体" w:hAnsi="黑体" w:eastAsia="黑体" w:cs="黑体"/>
          <w:bCs/>
          <w:color w:val="auto"/>
          <w:sz w:val="28"/>
          <w:szCs w:val="28"/>
          <w:highlight w:val="none"/>
          <w:lang w:val="en-US" w:eastAsia="zh-CN"/>
        </w:rPr>
        <w:t xml:space="preserve">符合性审查材料、</w:t>
      </w:r>
      <w:r>
        <w:rPr>
          <w:rFonts w:hint="eastAsia" w:ascii="黑体" w:hAnsi="黑体" w:eastAsia="黑体" w:cs="黑体"/>
          <w:bCs/>
          <w:color w:val="auto"/>
          <w:sz w:val="28"/>
          <w:szCs w:val="28"/>
          <w:highlight w:val="none"/>
        </w:rPr>
        <w:t xml:space="preserve">技术标、报价标）叁份及电子格式投标文件（光盘贰份），以供存档。纸质响应文件应使用CA系统打印，且必须保证与评标时的电子标书完全一致，否则不予签订合同。</w:t>
      </w:r>
      <w:r/>
    </w:p>
    <w:p>
      <w:pPr>
        <w:pStyle w:val="840"/>
        <w:ind w:firstLine="560"/>
        <w:spacing w:line="360" w:lineRule="auto"/>
        <w:widowControl/>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（十一）其他</w:t>
      </w:r>
      <w:r/>
    </w:p>
    <w:p>
      <w:pPr>
        <w:pStyle w:val="840"/>
        <w:ind w:firstLine="560"/>
        <w:spacing w:line="360" w:lineRule="auto"/>
        <w:widowControl/>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当排名第一的中标候选人无正当理由放弃中标，被查实存在影响中标结果的违法行为等情形，招标人有权按照政府采购相关法律法规的规定对其采取惩戒措施，包含但不限于列入采购失信人黑名单等措施。</w:t>
      </w:r>
      <w:r/>
    </w:p>
    <w:p>
      <w:pPr>
        <w:pStyle w:val="840"/>
        <w:ind w:firstLine="560"/>
        <w:spacing w:line="360" w:lineRule="auto"/>
        <w:widowControl/>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放弃中标、因不可抗力不能履行合同，或者被查实存在影响中标结果的违法行为等情形，不符合中标条件的，招标人可以按照评标委员会提出的中标候选人名单排序（按照综合得分由高到低顺序）依次确定其他中标候选人为成交供应商，也可以重新招标。</w:t>
      </w:r>
      <w:r/>
    </w:p>
    <w:p>
      <w:pPr>
        <w:pStyle w:val="866"/>
        <w:rPr>
          <w:color w:val="auto"/>
          <w:highlight w:val="none"/>
        </w:rPr>
      </w:pPr>
      <w:r>
        <w:rPr>
          <w:color w:val="auto"/>
          <w:highlight w:val="none"/>
        </w:rPr>
      </w:r>
      <w:r/>
    </w:p>
    <w:p>
      <w:pPr>
        <w:jc w:val="center"/>
        <w:spacing w:line="288" w:lineRule="auto"/>
        <w:rPr>
          <w:rFonts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br w:type="page" w:clear="all"/>
      </w:r>
      <w:r>
        <w:rPr>
          <w:rFonts w:hint="eastAsia" w:ascii="黑体" w:hAnsi="黑体" w:eastAsia="黑体" w:cs="黑体"/>
          <w:bCs/>
          <w:color w:val="auto"/>
          <w:sz w:val="36"/>
          <w:szCs w:val="36"/>
          <w:highlight w:val="none"/>
        </w:rPr>
        <w:t xml:space="preserve">第五部分  投标文件组成</w:t>
      </w:r>
      <w:r/>
    </w:p>
    <w:p>
      <w:pPr>
        <w:ind w:firstLine="555"/>
        <w:jc w:val="left"/>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投标文件由资格审查证明材料、符合性审查材料、商务技术标、价格标、四部分组成。</w:t>
      </w:r>
      <w:r>
        <w:rPr>
          <w:rFonts w:hint="eastAsia" w:ascii="黑体" w:hAnsi="黑体" w:eastAsia="黑体" w:cs="黑体"/>
          <w:bCs/>
          <w:color w:val="auto"/>
          <w:sz w:val="28"/>
          <w:szCs w:val="28"/>
          <w:highlight w:val="none"/>
          <w:lang w:val="zh-CN"/>
        </w:rPr>
        <w:t xml:space="preserve">请投标单位根据本招标文件的要求在以上</w:t>
      </w:r>
      <w:r>
        <w:rPr>
          <w:rFonts w:hint="eastAsia" w:ascii="黑体" w:hAnsi="黑体" w:eastAsia="黑体" w:cs="黑体"/>
          <w:bCs/>
          <w:color w:val="auto"/>
          <w:sz w:val="28"/>
          <w:szCs w:val="28"/>
          <w:highlight w:val="none"/>
        </w:rPr>
        <w:t xml:space="preserve">四部分中</w:t>
      </w:r>
      <w:r>
        <w:rPr>
          <w:rFonts w:hint="eastAsia" w:ascii="黑体" w:hAnsi="黑体" w:eastAsia="黑体" w:cs="黑体"/>
          <w:bCs/>
          <w:color w:val="auto"/>
          <w:sz w:val="28"/>
          <w:szCs w:val="28"/>
          <w:highlight w:val="none"/>
          <w:lang w:val="zh-CN"/>
        </w:rPr>
        <w:t xml:space="preserve">分别上传响应的投标材料。</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一、资格审查证明材料（不能出现商务技术标、价格标）</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1.投标单位符合《政府采购法》第二十二条规定条件的承诺函（格式见附件1）；</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2.</w:t>
      </w:r>
      <w:r>
        <w:rPr>
          <w:rFonts w:hint="eastAsia" w:ascii="黑体" w:hAnsi="黑体" w:eastAsia="黑体" w:cs="黑体"/>
          <w:bCs/>
          <w:color w:val="auto"/>
          <w:sz w:val="28"/>
          <w:szCs w:val="28"/>
          <w:highlight w:val="none"/>
        </w:rPr>
        <w:t xml:space="preserve">投标单位法定代表人参加的，必须提供法定代表人身份证明及法定代表人本人身份证扫描件</w:t>
      </w:r>
      <w:r>
        <w:rPr>
          <w:rFonts w:hint="eastAsia" w:ascii="黑体" w:hAnsi="黑体" w:eastAsia="黑体" w:cs="黑体"/>
          <w:bCs/>
          <w:color w:val="auto"/>
          <w:sz w:val="28"/>
          <w:szCs w:val="28"/>
          <w:highlight w:val="none"/>
          <w:lang w:val="zh-CN"/>
        </w:rPr>
        <w:t xml:space="preserve">（格式见附件2）</w:t>
      </w:r>
      <w:r>
        <w:rPr>
          <w:rFonts w:hint="eastAsia" w:ascii="黑体" w:hAnsi="黑体" w:eastAsia="黑体" w:cs="黑体"/>
          <w:bCs/>
          <w:color w:val="auto"/>
          <w:sz w:val="28"/>
          <w:szCs w:val="28"/>
          <w:highlight w:val="none"/>
        </w:rPr>
        <w:t xml:space="preserve">；非法定代表人参加的，必须提供法定代表人签字或盖章的授权委托书及法定代表人、被授权人的两人身份证的扫描件</w:t>
      </w:r>
      <w:r>
        <w:rPr>
          <w:rFonts w:hint="eastAsia" w:ascii="黑体" w:hAnsi="黑体" w:eastAsia="黑体" w:cs="黑体"/>
          <w:bCs/>
          <w:color w:val="auto"/>
          <w:sz w:val="28"/>
          <w:szCs w:val="28"/>
          <w:highlight w:val="none"/>
          <w:lang w:val="zh-CN"/>
        </w:rPr>
        <w:t xml:space="preserve">（格式见附件3）；</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在“信用中国”网站（https://www.creditchina.gov.cn）查询，无被列入</w:t>
      </w:r>
      <w:r>
        <w:rPr>
          <w:color w:val="auto"/>
          <w:highlight w:val="none"/>
        </w:rPr>
        <w:fldChar w:fldCharType="begin"/>
      </w:r>
      <w:r>
        <w:rPr>
          <w:color w:val="auto"/>
          <w:highlight w:val="none"/>
        </w:rPr>
        <w:instrText xml:space="preserve"> HYPERLINK "https://zxgk.court.gov.cn/shixin/" </w:instrText>
      </w:r>
      <w:r>
        <w:rPr>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1"/>
          <w:highlight w:val="none"/>
        </w:rPr>
        <w:t xml:space="preserve">4</w:t>
      </w:r>
      <w:r>
        <w:rPr>
          <w:rFonts w:hint="eastAsia" w:ascii="黑体" w:hAnsi="黑体" w:eastAsia="黑体" w:cs="黑体"/>
          <w:bCs/>
          <w:color w:val="auto"/>
          <w:sz w:val="28"/>
          <w:szCs w:val="21"/>
          <w:highlight w:val="none"/>
          <w:lang w:val="zh-CN"/>
        </w:rPr>
        <w:t xml:space="preserve">.</w:t>
      </w:r>
      <w:r>
        <w:rPr>
          <w:rFonts w:hint="eastAsia" w:ascii="黑体" w:hAnsi="黑体" w:eastAsia="黑体" w:cs="黑体"/>
          <w:bCs/>
          <w:color w:val="auto"/>
          <w:sz w:val="28"/>
          <w:szCs w:val="28"/>
          <w:highlight w:val="none"/>
          <w:lang w:val="zh-CN"/>
        </w:rPr>
        <w:t xml:space="preserve">提供中小企业声明函（格式见附件</w:t>
      </w:r>
      <w:r>
        <w:rPr>
          <w:rFonts w:hint="eastAsia" w:ascii="黑体" w:hAnsi="黑体" w:eastAsia="黑体" w:cs="黑体"/>
          <w:bCs/>
          <w:color w:val="auto"/>
          <w:sz w:val="28"/>
          <w:szCs w:val="28"/>
          <w:highlight w:val="none"/>
        </w:rPr>
        <w:t xml:space="preserve">8</w:t>
      </w:r>
      <w:r>
        <w:rPr>
          <w:rFonts w:hint="eastAsia" w:ascii="黑体" w:hAnsi="黑体" w:eastAsia="黑体" w:cs="黑体"/>
          <w:bCs/>
          <w:color w:val="auto"/>
          <w:sz w:val="28"/>
          <w:szCs w:val="28"/>
          <w:highlight w:val="none"/>
          <w:lang w:val="zh-CN"/>
        </w:rPr>
        <w:t xml:space="preserve">）或残疾人福利性单位声明函（格式见附件</w:t>
      </w:r>
      <w:r>
        <w:rPr>
          <w:rFonts w:hint="eastAsia" w:ascii="黑体" w:hAnsi="黑体" w:eastAsia="黑体" w:cs="黑体"/>
          <w:bCs/>
          <w:color w:val="auto"/>
          <w:sz w:val="28"/>
          <w:szCs w:val="28"/>
          <w:highlight w:val="none"/>
        </w:rPr>
        <w:t xml:space="preserve">9</w:t>
      </w:r>
      <w:r>
        <w:rPr>
          <w:rFonts w:hint="eastAsia" w:ascii="黑体" w:hAnsi="黑体" w:eastAsia="黑体" w:cs="黑体"/>
          <w:bCs/>
          <w:color w:val="auto"/>
          <w:sz w:val="28"/>
          <w:szCs w:val="28"/>
          <w:highlight w:val="none"/>
          <w:lang w:val="zh-CN"/>
        </w:rPr>
        <w:t xml:space="preserve">）或监狱或戒毒企业证明材料（格式见附件</w:t>
      </w:r>
      <w:r>
        <w:rPr>
          <w:rFonts w:hint="eastAsia" w:ascii="黑体" w:hAnsi="黑体" w:eastAsia="黑体" w:cs="黑体"/>
          <w:bCs/>
          <w:color w:val="auto"/>
          <w:sz w:val="28"/>
          <w:szCs w:val="28"/>
          <w:highlight w:val="none"/>
        </w:rPr>
        <w:t xml:space="preserve">10</w:t>
      </w:r>
      <w:r>
        <w:rPr>
          <w:rFonts w:hint="eastAsia" w:ascii="黑体" w:hAnsi="黑体" w:eastAsia="黑体" w:cs="黑体"/>
          <w:bCs/>
          <w:color w:val="auto"/>
          <w:sz w:val="28"/>
          <w:szCs w:val="28"/>
          <w:highlight w:val="none"/>
          <w:lang w:val="zh-CN"/>
        </w:rPr>
        <w:t xml:space="preserve">）（如有）</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5、投标单位信用承诺书（格式见</w:t>
      </w:r>
      <w:r>
        <w:rPr>
          <w:rFonts w:hint="eastAsia" w:ascii="黑体" w:hAnsi="黑体" w:eastAsia="黑体" w:cs="黑体"/>
          <w:bCs/>
          <w:color w:val="auto"/>
          <w:sz w:val="28"/>
          <w:szCs w:val="28"/>
          <w:highlight w:val="none"/>
          <w:lang w:val="zh-CN"/>
        </w:rPr>
        <w:t xml:space="preserve">附件</w:t>
      </w:r>
      <w:r>
        <w:rPr>
          <w:rFonts w:hint="eastAsia" w:ascii="黑体" w:hAnsi="黑体" w:eastAsia="黑体" w:cs="黑体"/>
          <w:bCs/>
          <w:color w:val="auto"/>
          <w:sz w:val="28"/>
          <w:szCs w:val="28"/>
          <w:highlight w:val="none"/>
        </w:rPr>
        <w:t xml:space="preserve">11）</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6、强制采购节能产品承诺书：</w:t>
      </w:r>
      <w:r>
        <w:rPr>
          <w:rFonts w:hint="eastAsia" w:ascii="黑体" w:hAnsi="黑体" w:eastAsia="黑体" w:cs="黑体"/>
          <w:b/>
          <w:bCs/>
          <w:color w:val="auto"/>
          <w:spacing w:val="-1"/>
          <w:sz w:val="28"/>
          <w:szCs w:val="28"/>
          <w:highlight w:val="none"/>
        </w:rPr>
        <w:t xml:space="preserve">本项目招标文件“第三部分项目需求（三）本项目需满足的质量、安全、技术规格、物理特性等要求如下表：1、实施产品的清单及技术要求”中提供的</w:t>
      </w:r>
      <w:r>
        <w:rPr>
          <w:rFonts w:hint="eastAsia" w:ascii="黑体" w:hAnsi="黑体" w:eastAsia="黑体" w:cs="黑体"/>
          <w:b/>
          <w:bCs/>
          <w:color w:val="auto"/>
          <w:spacing w:val="-1"/>
          <w:sz w:val="28"/>
          <w:szCs w:val="28"/>
          <w:highlight w:val="none"/>
          <w:u w:val="single"/>
        </w:rPr>
        <w:t xml:space="preserve">便器、空调、水嘴</w:t>
      </w:r>
      <w:r>
        <w:rPr>
          <w:rFonts w:hint="eastAsia" w:ascii="黑体" w:hAnsi="黑体" w:eastAsia="黑体" w:cs="黑体"/>
          <w:b/>
          <w:bCs/>
          <w:color w:val="auto"/>
          <w:spacing w:val="-1"/>
          <w:sz w:val="28"/>
          <w:szCs w:val="28"/>
          <w:highlight w:val="none"/>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color w:val="auto"/>
          <w:spacing w:val="-1"/>
          <w:sz w:val="28"/>
          <w:szCs w:val="28"/>
          <w:highlight w:val="none"/>
        </w:rPr>
        <w:t xml:space="preserve">。</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8</w:t>
      </w:r>
      <w:r>
        <w:rPr>
          <w:rFonts w:hint="eastAsia" w:ascii="黑体" w:hAnsi="黑体" w:eastAsia="黑体" w:cs="黑体"/>
          <w:bCs/>
          <w:color w:val="auto"/>
          <w:sz w:val="28"/>
          <w:szCs w:val="28"/>
          <w:highlight w:val="none"/>
          <w:lang w:val="zh-CN"/>
        </w:rPr>
        <w:t xml:space="preserve">.招标公告资格要求提供相应的佐证材料；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9</w:t>
      </w:r>
      <w:r>
        <w:rPr>
          <w:rFonts w:hint="eastAsia" w:ascii="黑体" w:hAnsi="黑体" w:eastAsia="黑体" w:cs="黑体"/>
          <w:bCs/>
          <w:color w:val="auto"/>
          <w:sz w:val="28"/>
          <w:szCs w:val="28"/>
          <w:highlight w:val="none"/>
          <w:lang w:val="zh-CN"/>
        </w:rPr>
        <w:t xml:space="preserve">.其它需要提交的资格审查证明材料。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如采购</w:t>
      </w:r>
      <w:r>
        <w:rPr>
          <w:rFonts w:hint="eastAsia" w:ascii="黑体" w:hAnsi="黑体" w:eastAsia="黑体" w:cs="黑体"/>
          <w:bCs/>
          <w:color w:val="auto"/>
          <w:sz w:val="28"/>
          <w:szCs w:val="28"/>
          <w:highlight w:val="none"/>
          <w:lang w:val="zh-CN"/>
        </w:rPr>
        <w:t xml:space="preserve">文件要求提供的资格审查证明材料中没有对应的接口上传的资料，可以在本部分的其他材料的接口中上传）</w:t>
      </w:r>
      <w:r/>
    </w:p>
    <w:p>
      <w:pPr>
        <w:numPr>
          <w:ilvl w:val="0"/>
          <w:numId w:val="5"/>
        </w:num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符合性审查</w:t>
      </w:r>
      <w:r/>
    </w:p>
    <w:p>
      <w:pPr>
        <w:ind w:firstLine="562"/>
        <w:spacing w:line="400" w:lineRule="exact"/>
        <w:rPr>
          <w:rFonts w:ascii="黑体" w:hAnsi="黑体" w:eastAsia="黑体" w:cs="黑体"/>
          <w:bCs/>
          <w:color w:val="auto"/>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1、</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招标</w:t>
      </w:r>
      <w:r>
        <w:rPr>
          <w:rFonts w:hint="eastAsia" w:ascii="黑体" w:hAnsi="黑体" w:eastAsia="黑体" w:cs="黑体"/>
          <w:bCs/>
          <w:color w:val="auto"/>
          <w:sz w:val="28"/>
          <w:szCs w:val="28"/>
          <w:highlight w:val="none"/>
          <w:lang w:val="zh-CN"/>
        </w:rPr>
        <w:t xml:space="preserve">文件》要求提供承诺书</w:t>
      </w:r>
      <w:r>
        <w:rPr>
          <w:rFonts w:hint="eastAsia" w:ascii="黑体" w:hAnsi="黑体" w:eastAsia="黑体" w:cs="黑体"/>
          <w:bCs/>
          <w:color w:val="auto"/>
          <w:sz w:val="28"/>
          <w:szCs w:val="28"/>
          <w:highlight w:val="none"/>
        </w:rPr>
        <w:t xml:space="preserve">或设计方案</w:t>
      </w:r>
      <w:r>
        <w:rPr>
          <w:rFonts w:hint="eastAsia" w:ascii="黑体" w:hAnsi="黑体" w:eastAsia="黑体" w:cs="黑体"/>
          <w:bCs/>
          <w:color w:val="auto"/>
          <w:sz w:val="28"/>
          <w:szCs w:val="28"/>
          <w:highlight w:val="none"/>
          <w:lang w:val="zh-CN"/>
        </w:rPr>
        <w:t xml:space="preserve">。</w:t>
      </w:r>
      <w:r/>
    </w:p>
    <w:p>
      <w:pPr>
        <w:ind w:firstLine="562"/>
        <w:spacing w:line="400" w:lineRule="exact"/>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2、</w:t>
      </w:r>
      <w:r>
        <w:rPr>
          <w:rFonts w:hint="eastAsia" w:ascii="黑体" w:hAnsi="黑体" w:eastAsia="黑体" w:cs="黑体"/>
          <w:bCs/>
          <w:color w:val="auto"/>
          <w:sz w:val="28"/>
          <w:szCs w:val="28"/>
          <w:highlight w:val="none"/>
          <w:lang w:val="zh-CN"/>
        </w:rPr>
        <w:t xml:space="preserve">商务部分正负偏离表；（格式见附件</w:t>
      </w:r>
      <w:r>
        <w:rPr>
          <w:rFonts w:hint="eastAsia" w:ascii="黑体" w:hAnsi="黑体" w:eastAsia="黑体" w:cs="黑体"/>
          <w:bCs/>
          <w:color w:val="auto"/>
          <w:sz w:val="28"/>
          <w:szCs w:val="28"/>
          <w:highlight w:val="none"/>
        </w:rPr>
        <w:t xml:space="preserve">4</w:t>
      </w:r>
      <w:r>
        <w:rPr>
          <w:rFonts w:hint="eastAsia" w:ascii="黑体" w:hAnsi="黑体" w:eastAsia="黑体" w:cs="黑体"/>
          <w:bCs/>
          <w:color w:val="auto"/>
          <w:sz w:val="28"/>
          <w:szCs w:val="28"/>
          <w:highlight w:val="none"/>
          <w:lang w:val="zh-CN"/>
        </w:rPr>
        <w:t xml:space="preserve">）</w:t>
      </w:r>
      <w:r/>
    </w:p>
    <w:p>
      <w:pPr>
        <w:ind w:firstLine="562"/>
        <w:spacing w:line="400" w:lineRule="exact"/>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lang w:val="zh-CN"/>
        </w:rPr>
        <w:t xml:space="preserve">技术部分正负偏离表；（格式见附件</w:t>
      </w:r>
      <w:r>
        <w:rPr>
          <w:rFonts w:hint="eastAsia" w:ascii="黑体" w:hAnsi="黑体" w:eastAsia="黑体" w:cs="黑体"/>
          <w:bCs/>
          <w:color w:val="auto"/>
          <w:sz w:val="28"/>
          <w:szCs w:val="28"/>
          <w:highlight w:val="none"/>
        </w:rPr>
        <w:t xml:space="preserve">5</w:t>
      </w:r>
      <w:r>
        <w:rPr>
          <w:rFonts w:hint="eastAsia" w:ascii="黑体" w:hAnsi="黑体" w:eastAsia="黑体" w:cs="黑体"/>
          <w:bCs/>
          <w:color w:val="auto"/>
          <w:sz w:val="28"/>
          <w:szCs w:val="28"/>
          <w:highlight w:val="none"/>
          <w:lang w:val="zh-CN"/>
        </w:rPr>
        <w:t xml:space="preserve">）</w:t>
      </w:r>
      <w:r/>
    </w:p>
    <w:p>
      <w:pPr>
        <w:pStyle w:val="833"/>
        <w:ind w:left="22" w:right="118" w:firstLine="564"/>
        <w:spacing w:before="72" w:line="288" w:lineRule="auto"/>
        <w:rPr>
          <w:rFonts w:ascii="黑体" w:hAnsi="黑体" w:eastAsia="黑体" w:cs="黑体"/>
          <w:bCs/>
          <w:color w:val="auto"/>
          <w:sz w:val="28"/>
          <w:szCs w:val="28"/>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4、包装相关承诺书；</w:t>
      </w:r>
      <w:r>
        <w:rPr>
          <w:rFonts w:hint="eastAsia" w:ascii="黑体" w:hAnsi="黑体" w:eastAsia="黑体" w:cs="黑体"/>
          <w:b/>
          <w:bCs/>
          <w:color w:val="auto"/>
          <w:spacing w:val="-1"/>
          <w:sz w:val="28"/>
          <w:szCs w:val="28"/>
          <w:highlight w:val="none"/>
        </w:rPr>
        <w:t xml:space="preserve">投标投标单位对涉及商品的包装应按照“财办库〔2020〕123号《关于印发《商品包装政府采购需求标准（试行）》、《快递包装政府采购需求标准（试行）》的通知》”执行；涉及设备运维参考《绿色数据中心政府采购需求标准（试行）》（财库【2023】7号文）执行。投标单位应提供绿化利用率，倡导城市绿化低碳环保理念、因地制宜促进资源的可持续性发展。投标单位投标时需针对以上要求承诺，承诺书格式自拟。</w:t>
      </w:r>
      <w:r/>
    </w:p>
    <w:p>
      <w:pPr>
        <w:pStyle w:val="837"/>
        <w:ind w:left="0" w:firstLine="562"/>
        <w:spacing w:line="400" w:lineRule="exact"/>
        <w:rPr>
          <w:rFonts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5、货物（服务）清单需求清单，需列明</w:t>
      </w:r>
      <w:r>
        <w:rPr>
          <w:rFonts w:hint="eastAsia" w:ascii="黑体" w:hAnsi="黑体" w:eastAsia="黑体" w:cs="黑体"/>
          <w:bCs/>
          <w:color w:val="auto"/>
          <w:sz w:val="28"/>
          <w:szCs w:val="28"/>
          <w:highlight w:val="none"/>
          <w:lang w:val="zh-CN"/>
        </w:rPr>
        <w:t xml:space="preserve">具</w:t>
      </w:r>
      <w:r>
        <w:rPr>
          <w:rFonts w:hint="eastAsia" w:ascii="黑体" w:hAnsi="黑体" w:eastAsia="黑体" w:cs="黑体"/>
          <w:bCs/>
          <w:color w:val="auto"/>
          <w:sz w:val="28"/>
          <w:szCs w:val="28"/>
          <w:highlight w:val="none"/>
        </w:rPr>
        <w:t xml:space="preserve">体</w:t>
      </w:r>
      <w:r>
        <w:rPr>
          <w:rFonts w:hint="eastAsia" w:ascii="黑体" w:hAnsi="黑体" w:eastAsia="黑体" w:cs="黑体"/>
          <w:bCs/>
          <w:color w:val="auto"/>
          <w:sz w:val="28"/>
          <w:szCs w:val="28"/>
          <w:highlight w:val="none"/>
          <w:lang w:val="zh-CN"/>
        </w:rPr>
        <w:t xml:space="preserve">项目、数量、品牌、型号、配置性能、</w:t>
      </w:r>
      <w:r>
        <w:rPr>
          <w:rFonts w:hint="eastAsia" w:ascii="黑体" w:hAnsi="黑体" w:eastAsia="黑体" w:cs="黑体"/>
          <w:bCs/>
          <w:color w:val="auto"/>
          <w:sz w:val="28"/>
          <w:szCs w:val="28"/>
          <w:highlight w:val="none"/>
        </w:rPr>
        <w:t xml:space="preserve">制造商名称</w:t>
      </w:r>
      <w:r>
        <w:rPr>
          <w:rFonts w:hint="eastAsia" w:ascii="黑体" w:hAnsi="黑体" w:eastAsia="黑体" w:cs="黑体"/>
          <w:bCs/>
          <w:color w:val="auto"/>
          <w:sz w:val="28"/>
          <w:szCs w:val="28"/>
          <w:highlight w:val="none"/>
          <w:lang w:val="zh-CN"/>
        </w:rPr>
        <w:t xml:space="preserve">等；</w:t>
      </w:r>
      <w:r/>
    </w:p>
    <w:p>
      <w:pPr>
        <w:pStyle w:val="832"/>
        <w:ind w:firstLine="562"/>
        <w:rPr>
          <w:rFonts w:ascii="黑体" w:hAnsi="黑体" w:eastAsia="黑体" w:cs="黑体"/>
          <w:color w:val="auto"/>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6、强制采购节能产品清单；</w:t>
      </w:r>
      <w:r>
        <w:rPr>
          <w:rFonts w:hint="eastAsia" w:ascii="黑体" w:hAnsi="黑体" w:eastAsia="黑体" w:cs="黑体"/>
          <w:bCs/>
          <w:color w:val="auto"/>
          <w:sz w:val="28"/>
          <w:szCs w:val="28"/>
          <w:highlight w:val="none"/>
          <w:lang w:val="zh-CN"/>
        </w:rPr>
        <w:t xml:space="preserve">（格式见附件</w:t>
      </w:r>
      <w:r>
        <w:rPr>
          <w:rFonts w:hint="eastAsia" w:ascii="黑体" w:hAnsi="黑体" w:eastAsia="黑体" w:cs="黑体"/>
          <w:bCs/>
          <w:color w:val="auto"/>
          <w:sz w:val="28"/>
          <w:szCs w:val="28"/>
          <w:highlight w:val="none"/>
        </w:rPr>
        <w:t xml:space="preserve">6</w:t>
      </w:r>
      <w:r>
        <w:rPr>
          <w:rFonts w:hint="eastAsia" w:ascii="黑体" w:hAnsi="黑体" w:eastAsia="黑体" w:cs="黑体"/>
          <w:bCs/>
          <w:color w:val="auto"/>
          <w:sz w:val="28"/>
          <w:szCs w:val="28"/>
          <w:highlight w:val="none"/>
          <w:lang w:val="zh-CN"/>
        </w:rPr>
        <w:t xml:space="preserve">）</w:t>
      </w:r>
      <w:r/>
    </w:p>
    <w:p>
      <w:pPr>
        <w:pStyle w:val="837"/>
        <w:ind w:left="0" w:firstLine="560"/>
        <w:spacing w:line="400" w:lineRule="exact"/>
        <w:rPr>
          <w:rFonts w:ascii="黑体" w:hAnsi="黑体" w:eastAsia="黑体" w:cs="黑体"/>
          <w:bCs/>
          <w:color w:val="auto"/>
          <w:highlight w:val="none"/>
          <w:lang w:val="zh-CN"/>
        </w:rPr>
      </w:pPr>
      <w:r>
        <w:rPr>
          <w:rFonts w:hint="eastAsia" w:ascii="黑体" w:hAnsi="黑体" w:eastAsia="黑体" w:cs="黑体"/>
          <w:bCs/>
          <w:color w:val="auto"/>
          <w:sz w:val="28"/>
          <w:szCs w:val="28"/>
          <w:highlight w:val="none"/>
        </w:rPr>
        <w:t xml:space="preserve">上述材料为符合性检查项，未提供或不符合要求均按无效标处理。</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三</w:t>
      </w:r>
      <w:r>
        <w:rPr>
          <w:rFonts w:hint="eastAsia" w:ascii="黑体" w:hAnsi="黑体" w:eastAsia="黑体" w:cs="黑体"/>
          <w:bCs/>
          <w:color w:val="auto"/>
          <w:sz w:val="28"/>
          <w:szCs w:val="28"/>
          <w:highlight w:val="none"/>
          <w:lang w:val="zh-CN"/>
        </w:rPr>
        <w:t xml:space="preserve">、商务技术标（不能出现价格标）</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1</w:t>
      </w:r>
      <w:r>
        <w:rPr>
          <w:rFonts w:hint="eastAsia" w:ascii="黑体" w:hAnsi="黑体" w:eastAsia="黑体" w:cs="黑体"/>
          <w:bCs/>
          <w:color w:val="auto"/>
          <w:sz w:val="28"/>
          <w:szCs w:val="28"/>
          <w:highlight w:val="none"/>
          <w:lang w:val="zh-CN"/>
        </w:rPr>
        <w:t xml:space="preserve">.投标方案。</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2</w:t>
      </w:r>
      <w:r>
        <w:rPr>
          <w:rFonts w:hint="eastAsia" w:ascii="黑体" w:hAnsi="黑体" w:eastAsia="黑体" w:cs="黑体"/>
          <w:bCs/>
          <w:color w:val="auto"/>
          <w:sz w:val="28"/>
          <w:szCs w:val="28"/>
          <w:highlight w:val="none"/>
          <w:lang w:val="zh-CN"/>
        </w:rPr>
        <w:t xml:space="preserve">.商务技术评分标准中须提供的相关得分佐证材料；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lang w:val="zh-CN"/>
        </w:rPr>
        <w:t xml:space="preserve">.投标单位认为需要提交的其他商务技术材料。</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（招标文件要求提供的商务技术标材料中没有对应的接口上传的资料，可以在本部分的其他材料的接口中上传）</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四</w:t>
      </w:r>
      <w:r>
        <w:rPr>
          <w:rFonts w:hint="eastAsia" w:ascii="黑体" w:hAnsi="黑体" w:eastAsia="黑体" w:cs="黑体"/>
          <w:bCs/>
          <w:color w:val="auto"/>
          <w:sz w:val="28"/>
          <w:szCs w:val="28"/>
          <w:highlight w:val="none"/>
          <w:lang w:val="zh-CN"/>
        </w:rPr>
        <w:t xml:space="preserve">、价格标</w:t>
      </w:r>
      <w:r/>
    </w:p>
    <w:p>
      <w:pPr>
        <w:ind w:firstLine="560"/>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1.开标一览表（格式见附件</w:t>
      </w:r>
      <w:r>
        <w:rPr>
          <w:rFonts w:hint="eastAsia" w:ascii="黑体" w:hAnsi="黑体" w:eastAsia="黑体" w:cs="黑体"/>
          <w:bCs/>
          <w:color w:val="auto"/>
          <w:sz w:val="28"/>
          <w:szCs w:val="28"/>
          <w:highlight w:val="none"/>
        </w:rPr>
        <w:t xml:space="preserve">7</w:t>
      </w:r>
      <w:r>
        <w:rPr>
          <w:rFonts w:hint="eastAsia" w:ascii="黑体" w:hAnsi="黑体" w:eastAsia="黑体" w:cs="黑体"/>
          <w:bCs/>
          <w:color w:val="auto"/>
          <w:sz w:val="28"/>
          <w:szCs w:val="28"/>
          <w:highlight w:val="none"/>
          <w:lang w:val="zh-CN"/>
        </w:rPr>
        <w:t xml:space="preserve">）；</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2.分项明细表（格式见附件8）</w:t>
      </w:r>
      <w:r/>
    </w:p>
    <w:p>
      <w:pPr>
        <w:ind w:firstLine="560"/>
        <w:spacing w:line="400" w:lineRule="exact"/>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3、关于符合本国产品标准的声明函（格式见附件13）</w:t>
      </w:r>
      <w:r/>
    </w:p>
    <w:p>
      <w:pPr>
        <w:spacing w:line="400" w:lineRule="exact"/>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（如招标文件要求提供的价格标资料中没有对应的接口上传的资料可以在本部分的其他材料的接口中上传）</w:t>
      </w:r>
      <w:r/>
    </w:p>
    <w:p>
      <w:pPr>
        <w:contextualSpacing/>
        <w:spacing w:line="400" w:lineRule="exact"/>
        <w:rPr>
          <w:rFonts w:ascii="黑体" w:hAnsi="黑体" w:eastAsia="黑体" w:cs="黑体"/>
          <w:bCs/>
          <w:color w:val="auto"/>
          <w:sz w:val="32"/>
          <w:szCs w:val="32"/>
          <w:highlight w:val="none"/>
          <w:lang w:val="zh-CN"/>
        </w:rPr>
      </w:pPr>
      <w:r>
        <w:rPr>
          <w:rFonts w:hint="eastAsia" w:ascii="黑体" w:hAnsi="黑体" w:eastAsia="黑体" w:cs="黑体"/>
          <w:bCs/>
          <w:color w:val="auto"/>
          <w:sz w:val="32"/>
          <w:szCs w:val="32"/>
          <w:highlight w:val="none"/>
          <w:lang w:val="zh-CN"/>
        </w:rPr>
        <w:br w:type="page" w:clear="all"/>
      </w:r>
      <w:r>
        <w:rPr>
          <w:rFonts w:hint="eastAsia" w:ascii="黑体" w:hAnsi="黑体" w:eastAsia="黑体" w:cs="黑体"/>
          <w:bCs/>
          <w:color w:val="auto"/>
          <w:sz w:val="32"/>
          <w:szCs w:val="32"/>
          <w:highlight w:val="none"/>
          <w:lang w:val="zh-CN"/>
        </w:rPr>
        <w:t xml:space="preserve">附件1</w:t>
      </w:r>
      <w:r/>
    </w:p>
    <w:p>
      <w:pPr>
        <w:jc w:val="center"/>
        <w:spacing w:line="288" w:lineRule="auto"/>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投标单位符合《中华人民共和国政府采购法政府采购法》第二十二条规定条件的声明函</w:t>
      </w:r>
      <w:r/>
    </w:p>
    <w:p>
      <w:pP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24"/>
          <w:szCs w:val="21"/>
          <w:highlight w:val="none"/>
        </w:rPr>
        <w:t xml:space="preserve">                       </w:t>
      </w:r>
      <w:r>
        <w:rPr>
          <w:rFonts w:hint="eastAsia" w:ascii="黑体" w:hAnsi="黑体" w:eastAsia="黑体" w:cs="黑体"/>
          <w:bCs/>
          <w:color w:val="auto"/>
          <w:sz w:val="44"/>
          <w:szCs w:val="44"/>
          <w:highlight w:val="none"/>
        </w:rPr>
        <w:t xml:space="preserve">   </w:t>
      </w:r>
      <w:r/>
    </w:p>
    <w:p>
      <w:pPr>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我单位参加</w:t>
      </w:r>
      <w:r>
        <w:rPr>
          <w:rFonts w:hint="eastAsia" w:ascii="黑体" w:hAnsi="黑体" w:eastAsia="黑体" w:cs="黑体"/>
          <w:bCs/>
          <w:color w:val="auto"/>
          <w:sz w:val="24"/>
          <w:szCs w:val="21"/>
          <w:highlight w:val="none"/>
          <w:u w:val="single"/>
        </w:rPr>
        <w:t xml:space="preserve">________________ _</w:t>
      </w:r>
      <w:r>
        <w:rPr>
          <w:rFonts w:hint="eastAsia" w:ascii="黑体" w:hAnsi="黑体" w:eastAsia="黑体" w:cs="黑体"/>
          <w:bCs/>
          <w:color w:val="auto"/>
          <w:sz w:val="24"/>
          <w:szCs w:val="21"/>
          <w:highlight w:val="none"/>
        </w:rPr>
        <w:t xml:space="preserve">（项目名称），</w:t>
      </w:r>
      <w:r>
        <w:rPr>
          <w:rFonts w:hint="eastAsia" w:ascii="黑体" w:hAnsi="黑体" w:eastAsia="黑体" w:cs="黑体"/>
          <w:bCs/>
          <w:color w:val="auto"/>
          <w:sz w:val="24"/>
          <w:szCs w:val="21"/>
          <w:highlight w:val="none"/>
          <w:u w:val="single"/>
        </w:rPr>
        <w:t xml:space="preserve">_______ __________</w:t>
      </w:r>
      <w:r>
        <w:rPr>
          <w:rFonts w:hint="eastAsia" w:ascii="黑体" w:hAnsi="黑体" w:eastAsia="黑体" w:cs="黑体"/>
          <w:bCs/>
          <w:color w:val="auto"/>
          <w:sz w:val="24"/>
          <w:szCs w:val="21"/>
          <w:highlight w:val="none"/>
        </w:rPr>
        <w:t xml:space="preserve">（项目编号）投标活动。针对《中华人民共和国政府采购法》第二十二条规定做出如下声明：</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szCs w:val="21"/>
          <w:highlight w:val="none"/>
        </w:rPr>
        <w:t xml:space="preserve">1.我单位具有独立承担民事责任的能力；</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2.我单位具有良好的商业信誉和健全的财务会计制度；</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3.我单位具有履行合同所必需的设备和专业技术能力；</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4.我单位有依法缴纳税收和社会保障资金的良好记录；</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5.我单位参加政府采购活动前三年内，在经营活动中没有重大违法记录；（1.投标单位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6.我单位满足法律、行政法规规定的其他条件。</w:t>
      </w:r>
      <w:r/>
    </w:p>
    <w:p>
      <w:pPr>
        <w:ind w:firstLine="482"/>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spacing w:line="288" w:lineRule="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spacing w:line="288" w:lineRule="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spacing w:line="288" w:lineRule="auto"/>
        <w:rPr>
          <w:rFonts w:ascii="黑体" w:hAnsi="黑体" w:eastAsia="黑体" w:cs="黑体"/>
          <w:bCs/>
          <w:color w:val="auto"/>
          <w:sz w:val="24"/>
          <w:szCs w:val="21"/>
          <w:highlight w:val="none"/>
        </w:rPr>
      </w:pPr>
      <w:r>
        <w:rPr>
          <w:rFonts w:ascii="黑体" w:hAnsi="黑体" w:eastAsia="黑体" w:cs="黑体"/>
          <w:bCs/>
          <w:color w:val="auto"/>
          <w:sz w:val="24"/>
          <w:szCs w:val="21"/>
          <w:highlight w:val="none"/>
        </w:rPr>
      </w:r>
      <w:r/>
    </w:p>
    <w:p>
      <w:pPr>
        <w:jc w:val="center"/>
        <w:spacing w:line="288" w:lineRule="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t xml:space="preserve">                                             承诺人名称（公章）：</w:t>
      </w:r>
      <w:r/>
    </w:p>
    <w:p>
      <w:pPr>
        <w:jc w:val="right"/>
        <w:spacing w:line="288" w:lineRule="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t xml:space="preserve">    </w:t>
      </w:r>
      <w:r/>
    </w:p>
    <w:p>
      <w:pPr>
        <w:jc w:val="right"/>
        <w:spacing w:line="288" w:lineRule="auto"/>
        <w:rPr>
          <w:rFonts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t xml:space="preserve">                                 日期：</w:t>
      </w:r>
      <w:r>
        <w:rPr>
          <w:rFonts w:hint="eastAsia" w:ascii="黑体" w:hAnsi="黑体" w:eastAsia="黑体" w:cs="黑体"/>
          <w:bCs/>
          <w:color w:val="auto"/>
          <w:sz w:val="24"/>
          <w:szCs w:val="21"/>
          <w:highlight w:val="none"/>
          <w:u w:val="single"/>
        </w:rPr>
        <w:t xml:space="preserve">______</w:t>
      </w:r>
      <w:r>
        <w:rPr>
          <w:rFonts w:hint="eastAsia" w:ascii="黑体" w:hAnsi="黑体" w:eastAsia="黑体" w:cs="黑体"/>
          <w:bCs/>
          <w:color w:val="auto"/>
          <w:sz w:val="24"/>
          <w:szCs w:val="21"/>
          <w:highlight w:val="none"/>
        </w:rPr>
        <w:t xml:space="preserve">年</w:t>
      </w:r>
      <w:r>
        <w:rPr>
          <w:rFonts w:hint="eastAsia" w:ascii="黑体" w:hAnsi="黑体" w:eastAsia="黑体" w:cs="黑体"/>
          <w:bCs/>
          <w:color w:val="auto"/>
          <w:sz w:val="24"/>
          <w:szCs w:val="21"/>
          <w:highlight w:val="none"/>
          <w:u w:val="single"/>
        </w:rPr>
        <w:t xml:space="preserve">    </w:t>
      </w:r>
      <w:r>
        <w:rPr>
          <w:rFonts w:hint="eastAsia" w:ascii="黑体" w:hAnsi="黑体" w:eastAsia="黑体" w:cs="黑体"/>
          <w:bCs/>
          <w:color w:val="auto"/>
          <w:sz w:val="24"/>
          <w:szCs w:val="21"/>
          <w:highlight w:val="none"/>
        </w:rPr>
        <w:t xml:space="preserve">月</w:t>
      </w:r>
      <w:r>
        <w:rPr>
          <w:rFonts w:hint="eastAsia" w:ascii="黑体" w:hAnsi="黑体" w:eastAsia="黑体" w:cs="黑体"/>
          <w:bCs/>
          <w:color w:val="auto"/>
          <w:sz w:val="24"/>
          <w:szCs w:val="21"/>
          <w:highlight w:val="none"/>
          <w:u w:val="single"/>
        </w:rPr>
        <w:t xml:space="preserve">    </w:t>
      </w:r>
      <w:r>
        <w:rPr>
          <w:rFonts w:hint="eastAsia" w:ascii="黑体" w:hAnsi="黑体" w:eastAsia="黑体" w:cs="黑体"/>
          <w:bCs/>
          <w:color w:val="auto"/>
          <w:sz w:val="24"/>
          <w:szCs w:val="21"/>
          <w:highlight w:val="none"/>
        </w:rPr>
        <w:t xml:space="preserve">日</w:t>
      </w:r>
      <w:r/>
    </w:p>
    <w:p>
      <w:pPr>
        <w:spacing w:line="288" w:lineRule="auto"/>
        <w:rPr>
          <w:rFonts w:ascii="黑体" w:hAnsi="黑体" w:eastAsia="黑体" w:cs="黑体"/>
          <w:bCs/>
          <w:color w:val="auto"/>
          <w:szCs w:val="21"/>
          <w:highlight w:val="none"/>
        </w:rPr>
      </w:pPr>
      <w:r>
        <w:rPr>
          <w:rFonts w:ascii="黑体" w:hAnsi="黑体" w:eastAsia="黑体" w:cs="黑体"/>
          <w:bCs/>
          <w:color w:val="auto"/>
          <w:szCs w:val="21"/>
          <w:highlight w:val="none"/>
        </w:rPr>
      </w:r>
      <w:r/>
    </w:p>
    <w:p>
      <w:pPr>
        <w:contextualSpacing/>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spacing w:line="288" w:lineRule="auto"/>
        <w:rPr>
          <w:rFonts w:ascii="黑体" w:hAnsi="黑体" w:eastAsia="黑体" w:cs="黑体"/>
          <w:bCs/>
          <w:color w:val="auto"/>
          <w:sz w:val="32"/>
          <w:szCs w:val="32"/>
          <w:highlight w:val="none"/>
          <w:lang w:val="zh-CN"/>
        </w:rPr>
      </w:pPr>
      <w:r>
        <w:rPr>
          <w:rFonts w:hint="eastAsia" w:ascii="黑体" w:hAnsi="黑体" w:eastAsia="黑体" w:cs="黑体"/>
          <w:bCs/>
          <w:color w:val="auto"/>
          <w:sz w:val="32"/>
          <w:szCs w:val="32"/>
          <w:highlight w:val="none"/>
          <w:lang w:val="zh-CN"/>
        </w:rPr>
        <w:br w:type="page" w:clear="all"/>
      </w:r>
      <w:r>
        <w:rPr>
          <w:rFonts w:hint="eastAsia" w:ascii="黑体" w:hAnsi="黑体" w:eastAsia="黑体" w:cs="黑体"/>
          <w:bCs/>
          <w:color w:val="auto"/>
          <w:sz w:val="32"/>
          <w:szCs w:val="32"/>
          <w:highlight w:val="none"/>
          <w:lang w:val="zh-CN"/>
        </w:rPr>
        <w:t xml:space="preserve">附件2</w:t>
      </w:r>
      <w:r/>
    </w:p>
    <w:p>
      <w:pPr>
        <w:pStyle w:val="1133"/>
        <w:jc w:val="cente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法定代表人身份证明</w:t>
      </w:r>
      <w:r/>
    </w:p>
    <w:p>
      <w:pP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先生/女士： 现任我单位</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职务，为法定代表人，特此证明。</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身份证号码：</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132"/>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注：提供法定代表人的身份证扫描件盖公章。</w:t>
      </w:r>
      <w:r/>
    </w:p>
    <w:p>
      <w:pPr>
        <w:ind w:firstLine="480"/>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     </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ind w:firstLine="540"/>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spacing w:line="288" w:lineRule="auto"/>
        <w:rPr>
          <w:rFonts w:ascii="黑体" w:hAnsi="黑体" w:eastAsia="黑体" w:cs="黑体"/>
          <w:bCs/>
          <w:color w:val="auto"/>
          <w:sz w:val="28"/>
          <w:szCs w:val="28"/>
          <w:highlight w:val="none"/>
          <w:lang w:val="zh-CN"/>
        </w:rPr>
      </w:pPr>
      <w:r>
        <w:rPr>
          <w:rFonts w:ascii="黑体" w:hAnsi="黑体" w:eastAsia="黑体" w:cs="黑体"/>
          <w:bCs/>
          <w:color w:val="auto"/>
          <w:sz w:val="28"/>
          <w:szCs w:val="28"/>
          <w:highlight w:val="none"/>
          <w:lang w:val="zh-CN"/>
        </w:rPr>
      </w:r>
      <w:r/>
    </w:p>
    <w:p>
      <w:pPr>
        <w:contextualSpacing/>
        <w:spacing w:line="288" w:lineRule="auto"/>
        <w:rPr>
          <w:rFonts w:ascii="黑体" w:hAnsi="黑体" w:eastAsia="黑体" w:cs="黑体"/>
          <w:bCs/>
          <w:color w:val="auto"/>
          <w:sz w:val="32"/>
          <w:szCs w:val="32"/>
          <w:highlight w:val="none"/>
          <w:lang w:val="zh-CN"/>
        </w:rPr>
      </w:pPr>
      <w:r>
        <w:rPr>
          <w:rFonts w:hint="eastAsia" w:ascii="黑体" w:hAnsi="黑体" w:eastAsia="黑体" w:cs="黑体"/>
          <w:bCs/>
          <w:color w:val="auto"/>
          <w:sz w:val="32"/>
          <w:szCs w:val="32"/>
          <w:highlight w:val="none"/>
          <w:lang w:val="zh-CN"/>
        </w:rPr>
        <w:t xml:space="preserve">附件3</w:t>
      </w:r>
      <w:r/>
    </w:p>
    <w:p>
      <w:pPr>
        <w:jc w:val="cente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法定代表人授权委托书</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（姓名）系</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（授权单位名称）的法定代表人，现委托</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（姓名）（身份证号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）为我方代理人，以我方名义全权处理与本次采购项目（编号：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）有关的一切事务，其法律后果由我方承担。</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本授权书于</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日起生效。代理人无转委托权。</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代理人(被授权人):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授权单位名称（盖章）：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授权单位法定代表人（签字或盖章）：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jc w:val="righ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jc w:val="righ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注：提供投标代表本人身份证扫描件盖公章。</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附件4</w:t>
      </w:r>
      <w:r/>
    </w:p>
    <w:p>
      <w:pPr>
        <w:contextualSpacing/>
        <w:jc w:val="center"/>
        <w:spacing w:line="288" w:lineRule="auto"/>
        <w:rPr>
          <w:rFonts w:ascii="黑体" w:hAnsi="黑体" w:eastAsia="黑体" w:cs="黑体"/>
          <w:bCs/>
          <w:color w:val="auto"/>
          <w:sz w:val="32"/>
          <w:szCs w:val="32"/>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32"/>
          <w:szCs w:val="32"/>
          <w:highlight w:val="none"/>
        </w:rPr>
        <w:t xml:space="preserve">商务部分正负偏离表</w:t>
      </w:r>
      <w:r/>
    </w:p>
    <w:p>
      <w:pPr>
        <w:ind w:firstLine="56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（由投标单位据实填写，表格不够自行添加）</w:t>
      </w:r>
      <w:r/>
    </w:p>
    <w:tbl>
      <w:tblPr>
        <w:tblStyle w:val="828"/>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序号</w:t>
            </w:r>
            <w:r/>
          </w:p>
        </w:tc>
        <w:tc>
          <w:tcPr>
            <w:tcW w:w="1254"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货物或服务名称</w:t>
            </w:r>
            <w:r/>
          </w:p>
        </w:tc>
        <w:tc>
          <w:tcPr>
            <w:tcW w:w="1095"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招标文件要求的商务条款</w:t>
            </w:r>
            <w:r/>
          </w:p>
        </w:tc>
        <w:tc>
          <w:tcPr>
            <w:tcW w:w="1413"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投标文件响应情况</w:t>
            </w:r>
            <w:r/>
          </w:p>
        </w:tc>
        <w:tc>
          <w:tcPr>
            <w:tcW w:w="778" w:type="dxa"/>
            <w:textDirection w:val="lrTb"/>
            <w:noWrap w:val="false"/>
          </w:tcPr>
          <w:p>
            <w:pPr>
              <w:jc w:val="cente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偏离说明</w:t>
            </w:r>
            <w:r/>
          </w:p>
        </w:tc>
      </w:tr>
      <w:tr>
        <w:trPr>
          <w:trHeight w:val="414"/>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548"/>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00"/>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19"/>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bl>
    <w:p>
      <w:pPr>
        <w:contextualSpacing/>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1.投标单位提交的投标文件中与招标文件第三部分“项目需求”中的商务部分的要求，应逐条填列在偏离表中。</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2.“偏离说明”一栏选择“正偏离”、“无偏离”、“负偏离”进行填写。正偏离、无偏离的确认和负偏离的是否响应招标文件，由评委认定。</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3.投标单位如果虚假响应，将被暂停参加招标人组织的政府采购活动。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4.投标单位若提供其他增值服务，可以在表中自行据实填写。</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附件5</w:t>
      </w:r>
      <w:r/>
    </w:p>
    <w:p>
      <w:pPr>
        <w:contextualSpacing/>
        <w:jc w:val="center"/>
        <w:spacing w:line="288" w:lineRule="auto"/>
        <w:rPr>
          <w:rFonts w:ascii="黑体" w:hAnsi="黑体" w:eastAsia="黑体" w:cs="黑体"/>
          <w:bCs/>
          <w:color w:val="auto"/>
          <w:sz w:val="32"/>
          <w:szCs w:val="32"/>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32"/>
          <w:szCs w:val="32"/>
          <w:highlight w:val="none"/>
        </w:rPr>
        <w:t xml:space="preserve">技术部分正负偏离表</w:t>
      </w:r>
      <w:r/>
    </w:p>
    <w:p>
      <w:pPr>
        <w:ind w:firstLine="56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（由投标单位据实填写，表格不够自行添加）</w:t>
      </w:r>
      <w:r/>
    </w:p>
    <w:tbl>
      <w:tblPr>
        <w:tblStyle w:val="828"/>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序号</w:t>
            </w:r>
            <w:r/>
          </w:p>
        </w:tc>
        <w:tc>
          <w:tcPr>
            <w:tcW w:w="1254"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货物或服务名称</w:t>
            </w:r>
            <w:r/>
          </w:p>
        </w:tc>
        <w:tc>
          <w:tcPr>
            <w:tcW w:w="1095"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招标文件要求的技术要求</w:t>
            </w:r>
            <w:r/>
          </w:p>
        </w:tc>
        <w:tc>
          <w:tcPr>
            <w:tcW w:w="1413" w:type="dxa"/>
            <w:vAlign w:val="center"/>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投标文件响应情况</w:t>
            </w:r>
            <w:r/>
          </w:p>
        </w:tc>
        <w:tc>
          <w:tcPr>
            <w:tcW w:w="778" w:type="dxa"/>
            <w:textDirection w:val="lrTb"/>
            <w:noWrap w:val="false"/>
          </w:tcPr>
          <w:p>
            <w:pPr>
              <w:jc w:val="center"/>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偏离说明</w:t>
            </w:r>
            <w:r/>
          </w:p>
        </w:tc>
      </w:tr>
      <w:tr>
        <w:trPr>
          <w:trHeight w:val="414"/>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548"/>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00"/>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r>
        <w:trPr>
          <w:trHeight w:val="419"/>
        </w:trPr>
        <w:tc>
          <w:tcPr>
            <w:tcW w:w="460" w:type="dxa"/>
            <w:textDirection w:val="lrTb"/>
            <w:noWrap w:val="false"/>
          </w:tcPr>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w:t>
            </w:r>
            <w:r/>
          </w:p>
        </w:tc>
        <w:tc>
          <w:tcPr>
            <w:tcW w:w="1254"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095"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1413" w:type="dxa"/>
            <w:vAlign w:val="center"/>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c>
          <w:tcPr>
            <w:tcW w:w="778" w:type="dxa"/>
            <w:textDirection w:val="lrTb"/>
            <w:noWrap w:val="false"/>
          </w:tcPr>
          <w:p>
            <w:pPr>
              <w:jc w:val="left"/>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tc>
      </w:tr>
    </w:tbl>
    <w:p>
      <w:pPr>
        <w:contextualSpacing/>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1.投标单位提交的投标文件中与招标文件第三部分“项目需求”中的技术部分的要求，应逐条填列在偏离表中。</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2. “偏离说明”一栏选择“正偏离”、“无偏离”、“负偏离”进行填写。正偏离、无偏离的确认和负偏离的是否响应招标文件，由评委认定。</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3.投标单位如果虚假响应，将被暂停参加招标人组织的政府采购活动。</w:t>
      </w:r>
      <w:r/>
    </w:p>
    <w:p>
      <w:pPr>
        <w:contextualSpacing/>
        <w:ind w:firstLine="480"/>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4.投标单位若提供其他增值服务，可以在表中自行据实填写。</w:t>
      </w:r>
      <w:r/>
    </w:p>
    <w:p>
      <w:pPr>
        <w:contextualSpacing/>
        <w:ind w:firstLine="540"/>
        <w:spacing w:line="288" w:lineRule="auto"/>
        <w:rPr>
          <w:rFonts w:ascii="黑体" w:hAnsi="黑体" w:eastAsia="黑体" w:cs="黑体"/>
          <w:bCs/>
          <w:color w:val="auto"/>
          <w:sz w:val="28"/>
          <w:szCs w:val="28"/>
          <w:highlight w:val="none"/>
        </w:rPr>
      </w:pPr>
      <w:r>
        <w:rPr>
          <w:rFonts w:hint="eastAsia" w:ascii="黑体" w:hAnsi="黑体" w:eastAsia="黑体" w:cs="黑体"/>
          <w:b/>
          <w:color w:val="auto"/>
          <w:sz w:val="24"/>
          <w:szCs w:val="22"/>
          <w:highlight w:val="none"/>
        </w:rPr>
        <w:t xml:space="preserve">5、投标时需提供产品质量证明书或第三方检测机构出具的相关材料检测报告原件扫描件）请放置在技术部分正负偏离表后。</w:t>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pStyle w:val="866"/>
        <w:rPr>
          <w:rFonts w:ascii="黑体" w:hAnsi="黑体" w:eastAsia="黑体" w:cs="黑体"/>
          <w:color w:val="auto"/>
          <w:highlight w:val="none"/>
        </w:rPr>
      </w:pPr>
      <w:r>
        <w:rPr>
          <w:rFonts w:ascii="黑体" w:hAnsi="黑体" w:eastAsia="黑体" w:cs="黑体"/>
          <w:color w:val="auto"/>
          <w:highlight w:val="none"/>
        </w:rPr>
      </w:r>
      <w:r/>
    </w:p>
    <w:p>
      <w:pPr>
        <w:contextualSpacing/>
        <w:spacing w:line="288" w:lineRule="auto"/>
        <w:rPr>
          <w:rFonts w:ascii="黑体" w:hAnsi="黑体" w:eastAsia="黑体" w:cs="黑体"/>
          <w:bCs/>
          <w:color w:val="auto"/>
          <w:sz w:val="36"/>
          <w:szCs w:val="36"/>
          <w:highlight w:val="none"/>
        </w:rPr>
      </w:pPr>
      <w:r>
        <w:rPr>
          <w:rFonts w:hint="eastAsia" w:ascii="黑体" w:hAnsi="黑体" w:eastAsia="黑体" w:cs="黑体"/>
          <w:bCs/>
          <w:color w:val="auto"/>
          <w:sz w:val="32"/>
          <w:szCs w:val="32"/>
          <w:highlight w:val="none"/>
        </w:rPr>
        <w:t xml:space="preserve">附件6        </w:t>
      </w: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32"/>
          <w:szCs w:val="32"/>
          <w:highlight w:val="none"/>
        </w:rPr>
        <w:t xml:space="preserve"> </w:t>
      </w:r>
      <w:r>
        <w:rPr>
          <w:rFonts w:hint="eastAsia" w:ascii="黑体" w:hAnsi="黑体" w:eastAsia="黑体" w:cs="黑体"/>
          <w:bCs/>
          <w:color w:val="auto"/>
          <w:sz w:val="36"/>
          <w:szCs w:val="36"/>
          <w:highlight w:val="none"/>
        </w:rPr>
        <w:t xml:space="preserve">强制采购节能产品清单</w:t>
      </w:r>
      <w:r/>
    </w:p>
    <w:p>
      <w:pPr>
        <w:pStyle w:val="866"/>
        <w:ind w:firstLine="0"/>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项目名称：</w:t>
      </w:r>
      <w:r/>
    </w:p>
    <w:p>
      <w:pPr>
        <w:pStyle w:val="866"/>
        <w:ind w:firstLine="0"/>
        <w:rPr>
          <w:rFonts w:ascii="黑体" w:hAnsi="黑体" w:eastAsia="黑体" w:cs="黑体"/>
          <w:bCs/>
          <w:color w:val="auto"/>
          <w:sz w:val="36"/>
          <w:szCs w:val="36"/>
          <w:highlight w:val="none"/>
        </w:rPr>
      </w:pPr>
      <w:r>
        <w:rPr>
          <w:rFonts w:hint="eastAsia" w:ascii="黑体" w:hAnsi="黑体" w:eastAsia="黑体" w:cs="黑体"/>
          <w:bCs/>
          <w:color w:val="auto"/>
          <w:sz w:val="32"/>
          <w:szCs w:val="32"/>
          <w:highlight w:val="none"/>
        </w:rPr>
        <w:t xml:space="preserve">项目编号：</w:t>
      </w:r>
      <w:r/>
    </w:p>
    <w:tbl>
      <w:tblPr>
        <w:tblStyle w:val="8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66"/>
        <w:gridCol w:w="1768"/>
        <w:gridCol w:w="978"/>
        <w:gridCol w:w="1634"/>
        <w:gridCol w:w="1339"/>
      </w:tblGrid>
      <w:tr>
        <w:trPr/>
        <w:tc>
          <w:tcPr>
            <w:tcW w:w="989" w:type="dxa"/>
            <w:textDirection w:val="lrTb"/>
            <w:noWrap w:val="false"/>
          </w:tcPr>
          <w:p>
            <w:pPr>
              <w:pStyle w:val="866"/>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序号</w:t>
            </w:r>
            <w:r/>
          </w:p>
        </w:tc>
        <w:tc>
          <w:tcPr>
            <w:tcW w:w="1366" w:type="dxa"/>
            <w:textDirection w:val="lrTb"/>
            <w:noWrap w:val="false"/>
          </w:tcPr>
          <w:p>
            <w:pPr>
              <w:pStyle w:val="866"/>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产品名称</w:t>
            </w:r>
            <w:r/>
          </w:p>
        </w:tc>
        <w:tc>
          <w:tcPr>
            <w:tcW w:w="1768" w:type="dxa"/>
            <w:textDirection w:val="lrTb"/>
            <w:noWrap w:val="false"/>
          </w:tcPr>
          <w:p>
            <w:pPr>
              <w:pStyle w:val="866"/>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型号及参数</w:t>
            </w:r>
            <w:r/>
          </w:p>
        </w:tc>
        <w:tc>
          <w:tcPr>
            <w:tcW w:w="978" w:type="dxa"/>
            <w:textDirection w:val="lrTb"/>
            <w:noWrap w:val="false"/>
          </w:tcPr>
          <w:p>
            <w:pPr>
              <w:pStyle w:val="866"/>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数量</w:t>
            </w:r>
            <w:r/>
          </w:p>
        </w:tc>
        <w:tc>
          <w:tcPr>
            <w:tcW w:w="1634" w:type="dxa"/>
            <w:textDirection w:val="lrTb"/>
            <w:noWrap w:val="false"/>
          </w:tcPr>
          <w:p>
            <w:pPr>
              <w:pStyle w:val="866"/>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投标品牌</w:t>
            </w:r>
            <w:r/>
          </w:p>
        </w:tc>
        <w:tc>
          <w:tcPr>
            <w:tcW w:w="1339" w:type="dxa"/>
            <w:textDirection w:val="lrTb"/>
            <w:noWrap w:val="false"/>
          </w:tcPr>
          <w:p>
            <w:pPr>
              <w:pStyle w:val="866"/>
              <w:ind w:firstLine="0"/>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制造商</w:t>
            </w:r>
            <w:r/>
          </w:p>
        </w:tc>
      </w:tr>
      <w:tr>
        <w:trPr/>
        <w:tc>
          <w:tcPr>
            <w:tcW w:w="989"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r>
        <w:trPr/>
        <w:tc>
          <w:tcPr>
            <w:tcW w:w="989"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66"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768"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978"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634"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c>
          <w:tcPr>
            <w:tcW w:w="1339" w:type="dxa"/>
            <w:textDirection w:val="lrTb"/>
            <w:noWrap w:val="false"/>
          </w:tcPr>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tc>
      </w:tr>
    </w:tbl>
    <w:p>
      <w:pPr>
        <w:pStyle w:val="866"/>
        <w:ind w:firstLine="0"/>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p>
      <w:pPr>
        <w:pStyle w:val="868"/>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法定代表人或者授权代表（签字或盖章）：                    </w:t>
      </w:r>
      <w:r/>
    </w:p>
    <w:p>
      <w:pPr>
        <w:pStyle w:val="868"/>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投标投标单位全称（盖章）：</w:t>
      </w:r>
      <w:r/>
    </w:p>
    <w:p>
      <w:pPr>
        <w:pStyle w:val="867"/>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68"/>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日期：   年   月    日</w:t>
      </w:r>
      <w:r/>
    </w:p>
    <w:p>
      <w:pPr>
        <w:pStyle w:val="1150"/>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1、本表式，可根据实际的明细需要自行添加。</w:t>
      </w:r>
      <w:r/>
    </w:p>
    <w:p>
      <w:pPr>
        <w:pStyle w:val="1150"/>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2、如果不提供将视为未实质性响应招标文件要求。</w:t>
      </w:r>
      <w:r/>
    </w:p>
    <w:p>
      <w:pPr>
        <w:pStyle w:val="1150"/>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3、节能产品、环境标志产品品目清单以递交响应文件截止时已正式公布的最近一期信息为准。</w:t>
      </w:r>
      <w:r/>
    </w:p>
    <w:p>
      <w:pPr>
        <w:pStyle w:val="1150"/>
        <w:ind w:firstLine="480"/>
        <w:spacing w:line="288" w:lineRule="auto"/>
        <w:rPr>
          <w:rFonts w:ascii="黑体" w:hAnsi="黑体" w:eastAsia="黑体" w:cs="黑体"/>
          <w:bCs/>
          <w:color w:val="auto"/>
          <w:szCs w:val="28"/>
          <w:highlight w:val="none"/>
        </w:rPr>
      </w:pPr>
      <w:r>
        <w:rPr>
          <w:rFonts w:ascii="黑体" w:hAnsi="黑体" w:eastAsia="黑体" w:cs="黑体"/>
          <w:bCs/>
          <w:color w:val="auto"/>
          <w:szCs w:val="28"/>
          <w:highlight w:val="none"/>
        </w:rPr>
      </w:r>
      <w:r/>
    </w:p>
    <w:p>
      <w:pPr>
        <w:pStyle w:val="866"/>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p>
      <w:pPr>
        <w:pStyle w:val="866"/>
        <w:ind w:firstLine="0"/>
        <w:rPr>
          <w:rFonts w:ascii="黑体" w:hAnsi="黑体" w:eastAsia="黑体" w:cs="黑体"/>
          <w:bCs/>
          <w:color w:val="auto"/>
          <w:sz w:val="36"/>
          <w:szCs w:val="36"/>
          <w:highlight w:val="none"/>
        </w:rPr>
      </w:pPr>
      <w:r>
        <w:rPr>
          <w:rFonts w:ascii="黑体" w:hAnsi="黑体" w:eastAsia="黑体" w:cs="黑体"/>
          <w:bCs/>
          <w:color w:val="auto"/>
          <w:sz w:val="36"/>
          <w:szCs w:val="36"/>
          <w:highlight w:val="none"/>
        </w:rPr>
      </w:r>
      <w:r/>
    </w:p>
    <w:p>
      <w:pPr>
        <w:contextualSpacing/>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附件7</w:t>
      </w:r>
      <w:r/>
    </w:p>
    <w:p>
      <w:pPr>
        <w:pStyle w:val="1018"/>
        <w:jc w:val="center"/>
        <w:keepLines w:val="0"/>
        <w:keepNext w:val="0"/>
        <w:spacing w:line="288" w:lineRule="auto"/>
        <w:widowControl/>
        <w:rPr>
          <w:rFonts w:ascii="黑体" w:hAnsi="黑体" w:eastAsia="黑体" w:cs="黑体"/>
          <w:b w:val="0"/>
          <w:color w:val="auto"/>
          <w:highlight w:val="none"/>
        </w:rPr>
      </w:pPr>
      <w:r>
        <w:rPr>
          <w:rStyle w:val="1071"/>
          <w:rFonts w:hint="eastAsia" w:ascii="黑体" w:hAnsi="黑体" w:eastAsia="黑体" w:cs="黑体"/>
          <w:b w:val="0"/>
          <w:bCs/>
          <w:color w:val="auto"/>
          <w:highlight w:val="none"/>
        </w:rPr>
        <w:t xml:space="preserve">开标一览表</w:t>
      </w:r>
      <w:r/>
    </w:p>
    <w:p>
      <w:pPr>
        <w:pStyle w:val="1067"/>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项目编号： </w:t>
      </w:r>
      <w:r/>
    </w:p>
    <w:p>
      <w:pPr>
        <w:pStyle w:val="1067"/>
        <w:spacing w:line="288" w:lineRule="auto"/>
        <w:rPr>
          <w:rFonts w:ascii="黑体" w:hAnsi="黑体" w:eastAsia="黑体" w:cs="黑体"/>
          <w:bCs/>
          <w:color w:val="auto"/>
          <w:highlight w:val="none"/>
        </w:rPr>
      </w:pPr>
      <w:r>
        <w:rPr>
          <w:rFonts w:ascii="Calibri" w:hAnsi="Calibri" w:eastAsia="黑体" w:cs="Calibri"/>
          <w:bCs/>
          <w:color w:val="auto"/>
          <w:highlight w:val="none"/>
        </w:rPr>
        <w:t xml:space="preserve"> </w:t>
      </w:r>
      <w:r/>
    </w:p>
    <w:p>
      <w:pPr>
        <w:pStyle w:val="1067"/>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投标单位名称：                                            货币单位：人民币元</w:t>
      </w:r>
      <w:r/>
    </w:p>
    <w:p>
      <w:pPr>
        <w:spacing w:line="288" w:lineRule="auto"/>
        <w:rPr>
          <w:rFonts w:ascii="黑体" w:hAnsi="黑体" w:eastAsia="黑体" w:cs="黑体"/>
          <w:bCs/>
          <w:color w:val="auto"/>
          <w:highlight w:val="none"/>
        </w:rPr>
      </w:pPr>
      <w:r>
        <w:rPr>
          <w:rFonts w:ascii="Calibri" w:hAnsi="Calibri" w:eastAsia="黑体" w:cs="Calibri"/>
          <w:bCs/>
          <w:color w:val="auto"/>
          <w:highlight w:val="none"/>
        </w:rPr>
        <w:t xml:space="preserve"> </w:t>
      </w:r>
      <w:r/>
    </w:p>
    <w:tbl>
      <w:tblPr>
        <w:tblStyle w:val="828"/>
        <w:tblW w:w="0" w:type="auto"/>
        <w:tblCellSpacing w:w="15"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769"/>
        <w:gridCol w:w="2539"/>
        <w:gridCol w:w="3314"/>
      </w:tblGrid>
      <w:tr>
        <w:trPr>
          <w:tblCellSpacing w:w="15" w:type="dxa"/>
        </w:trPr>
        <w:tc>
          <w:tcPr>
            <w:tcW w:w="2892" w:type="dxa"/>
            <w:vAlign w:val="center"/>
            <w:textDirection w:val="lrTb"/>
            <w:noWrap w:val="false"/>
          </w:tcPr>
          <w:p>
            <w:pPr>
              <w:pStyle w:val="1067"/>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项目名称</w:t>
            </w:r>
            <w:r/>
          </w:p>
        </w:tc>
        <w:tc>
          <w:tcPr>
            <w:tcW w:w="2700" w:type="dxa"/>
            <w:vAlign w:val="center"/>
            <w:textDirection w:val="lrTb"/>
            <w:noWrap w:val="false"/>
          </w:tcPr>
          <w:p>
            <w:pPr>
              <w:pStyle w:val="1067"/>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项目内容</w:t>
            </w:r>
            <w:r/>
          </w:p>
        </w:tc>
        <w:tc>
          <w:tcPr>
            <w:tcW w:w="3453" w:type="dxa"/>
            <w:vAlign w:val="center"/>
            <w:textDirection w:val="lrTb"/>
            <w:noWrap w:val="false"/>
          </w:tcPr>
          <w:p>
            <w:pPr>
              <w:pStyle w:val="1067"/>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总价（小写）</w:t>
            </w:r>
            <w:r/>
          </w:p>
        </w:tc>
      </w:tr>
      <w:tr>
        <w:trPr>
          <w:tblCellSpacing w:w="15" w:type="dxa"/>
        </w:trPr>
        <w:tc>
          <w:tcPr>
            <w:tcW w:w="2892" w:type="dxa"/>
            <w:vAlign w:val="center"/>
            <w:textDirection w:val="lrTb"/>
            <w:noWrap w:val="false"/>
          </w:tcPr>
          <w:p>
            <w:pPr>
              <w:pStyle w:val="1067"/>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项目名称 </w:t>
            </w:r>
            <w:r/>
          </w:p>
        </w:tc>
        <w:tc>
          <w:tcPr>
            <w:tcW w:w="2700" w:type="dxa"/>
            <w:vAlign w:val="center"/>
            <w:textDirection w:val="lrTb"/>
            <w:noWrap w:val="false"/>
          </w:tcPr>
          <w:p>
            <w:pPr>
              <w:pStyle w:val="1067"/>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详见投标文件</w:t>
            </w:r>
            <w:r/>
          </w:p>
        </w:tc>
        <w:tc>
          <w:tcPr>
            <w:tcW w:w="3453" w:type="dxa"/>
            <w:vAlign w:val="center"/>
            <w:textDirection w:val="lrTb"/>
            <w:noWrap w:val="false"/>
          </w:tcPr>
          <w:p>
            <w:pPr>
              <w:pStyle w:val="1067"/>
              <w:spacing w:line="288" w:lineRule="auto"/>
              <w:rPr>
                <w:rFonts w:ascii="黑体" w:hAnsi="黑体" w:eastAsia="黑体" w:cs="黑体"/>
                <w:bCs/>
                <w:color w:val="auto"/>
                <w:highlight w:val="none"/>
              </w:rPr>
            </w:pPr>
            <w:r>
              <w:rPr>
                <w:rFonts w:hint="eastAsia" w:ascii="黑体" w:hAnsi="黑体" w:eastAsia="黑体" w:cs="黑体"/>
                <w:bCs/>
                <w:color w:val="auto"/>
                <w:highlight w:val="none"/>
              </w:rPr>
              <w:fldChar w:fldCharType="begin"/>
            </w:r>
            <w:r>
              <w:rPr>
                <w:highlight w:val="none"/>
              </w:rPr>
              <w:instrText xml:space="preserve"> CONTROL Forms.HTML:Text.1 \s  \* MERGEFORMAT</w:instrText>
            </w:r>
            <w:r>
              <w:rPr>
                <w:rFonts w:hint="eastAsia" w:ascii="黑体" w:hAnsi="黑体" w:eastAsia="黑体" w:cs="黑体"/>
                <w:bCs/>
                <w:color w:val="auto"/>
                <w:highlight w:val="none"/>
              </w:rPr>
              <w:fldChar w:fldCharType="separate"/>
            </w:r>
            <w:r>
              <w:rPr>
                <w:rFonts w:hint="eastAsia" w:ascii="黑体" w:hAnsi="黑体" w:eastAsia="黑体" w:cs="黑体"/>
                <w:bCs/>
                <w:color w:val="auto"/>
                <w:highlight w:val="none"/>
              </w:rPr>
              <mc:AlternateContent>
                <mc:Choice Requires="wpg">
                  <w:drawing>
                    <wp:inline xmlns:wp="http://schemas.openxmlformats.org/drawingml/2006/wordprocessingDrawing" distT="0" distB="0" distL="0" distR="0">
                      <wp:extent cx="685800" cy="228600"/>
                      <wp:effectExtent l="0" t="0" r="0" b="0"/>
                      <wp:docPr id="10"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2"/>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4.0pt;height:18.0pt;mso-wrap-distance-left:0.0pt;mso-wrap-distance-top:0.0pt;mso-wrap-distance-right:0.0pt;mso-wrap-distance-bottom:0.0pt;" stroked="f">
                      <v:path textboxrect="0,0,0,0"/>
                      <v:imagedata r:id="rId22" o:title=""/>
                    </v:shape>
                  </w:pict>
                </mc:Fallback>
              </mc:AlternateContent>
            </w:r>
            <w:r>
              <w:rPr>
                <w:rFonts w:hint="eastAsia" w:ascii="黑体" w:hAnsi="黑体" w:eastAsia="黑体" w:cs="黑体"/>
                <w:bCs/>
                <w:color w:val="auto"/>
                <w:highlight w:val="none"/>
              </w:rPr>
              <w:fldChar w:fldCharType="end"/>
            </w:r>
            <w:r>
              <w:rPr>
                <w:rFonts w:hint="eastAsia" w:ascii="黑体" w:hAnsi="黑体" w:eastAsia="黑体" w:cs="黑体"/>
                <w:bCs/>
                <w:color w:val="auto"/>
                <w:highlight w:val="none"/>
              </w:rPr>
              <w:t xml:space="preserve">元</w:t>
            </w:r>
            <w:r/>
          </w:p>
        </w:tc>
      </w:tr>
      <w:tr>
        <w:trPr>
          <w:tblCellSpacing w:w="15" w:type="dxa"/>
        </w:trPr>
        <w:tc>
          <w:tcPr>
            <w:tcW w:w="2892" w:type="dxa"/>
            <w:vAlign w:val="center"/>
            <w:textDirection w:val="lrTb"/>
            <w:noWrap w:val="false"/>
          </w:tcPr>
          <w:p>
            <w:pPr>
              <w:pStyle w:val="1067"/>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总价（大写）：</w:t>
            </w:r>
            <w:r/>
          </w:p>
        </w:tc>
        <w:tc>
          <w:tcPr>
            <w:gridSpan w:val="2"/>
            <w:tcW w:w="6183" w:type="dxa"/>
            <w:vAlign w:val="center"/>
            <w:textDirection w:val="lrTb"/>
            <w:noWrap w:val="false"/>
          </w:tcPr>
          <w:p>
            <w:pPr>
              <w:pStyle w:val="1067"/>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大写 </w:t>
            </w:r>
            <w:r/>
          </w:p>
        </w:tc>
      </w:tr>
    </w:tbl>
    <w:p>
      <w:pPr>
        <w:pStyle w:val="1067"/>
        <w:spacing w:line="288" w:lineRule="auto"/>
        <w:rPr>
          <w:rFonts w:ascii="黑体" w:hAnsi="黑体" w:eastAsia="黑体" w:cs="黑体"/>
          <w:bCs/>
          <w:color w:val="auto"/>
          <w:highlight w:val="none"/>
        </w:rPr>
      </w:pPr>
      <w:r>
        <w:rPr>
          <w:rFonts w:ascii="Calibri" w:hAnsi="Calibri" w:eastAsia="黑体" w:cs="Calibri"/>
          <w:bCs/>
          <w:color w:val="auto"/>
          <w:highlight w:val="none"/>
        </w:rPr>
        <w:t xml:space="preserve"> </w:t>
      </w:r>
      <w:r/>
    </w:p>
    <w:p>
      <w:pPr>
        <w:pStyle w:val="1067"/>
        <w:spacing w:line="288" w:lineRule="auto"/>
        <w:rPr>
          <w:rFonts w:ascii="黑体" w:hAnsi="黑体" w:eastAsia="黑体" w:cs="黑体"/>
          <w:bCs/>
          <w:color w:val="auto"/>
          <w:highlight w:val="none"/>
        </w:rPr>
      </w:pPr>
      <w:r>
        <w:rPr>
          <w:rFonts w:hint="eastAsia" w:ascii="黑体" w:hAnsi="黑体" w:eastAsia="黑体" w:cs="黑体"/>
          <w:bCs/>
          <w:color w:val="auto"/>
          <w:highlight w:val="none"/>
        </w:rPr>
        <w:t xml:space="preserve">盖章（公章）：</w:t>
      </w:r>
      <w:r/>
    </w:p>
    <w:p>
      <w:pPr>
        <w:spacing w:line="288" w:lineRule="auto"/>
        <w:rPr>
          <w:rFonts w:ascii="黑体" w:hAnsi="黑体" w:eastAsia="黑体" w:cs="黑体"/>
          <w:bCs/>
          <w:color w:val="auto"/>
          <w:highlight w:val="none"/>
        </w:rPr>
      </w:pPr>
      <w:r>
        <w:rPr>
          <w:rFonts w:ascii="黑体" w:hAnsi="黑体" w:eastAsia="黑体" w:cs="黑体"/>
          <w:bCs/>
          <w:color w:val="auto"/>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ind w:firstLine="54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66"/>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66"/>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66"/>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66"/>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contextualSpacing/>
        <w:jc w:val="left"/>
        <w:spacing w:line="288" w:lineRule="auto"/>
        <w:rPr>
          <w:rFonts w:ascii="黑体" w:hAnsi="黑体" w:eastAsia="黑体" w:cs="黑体"/>
          <w:bCs/>
          <w:color w:val="auto"/>
          <w:sz w:val="36"/>
          <w:szCs w:val="36"/>
          <w:highlight w:val="none"/>
        </w:rPr>
      </w:pPr>
      <w:r>
        <w:rPr>
          <w:rFonts w:hint="eastAsia" w:ascii="黑体" w:hAnsi="黑体" w:eastAsia="黑体" w:cs="黑体"/>
          <w:bCs/>
          <w:color w:val="auto"/>
          <w:sz w:val="32"/>
          <w:szCs w:val="32"/>
          <w:highlight w:val="none"/>
        </w:rPr>
        <w:t xml:space="preserve">附件8            </w:t>
      </w:r>
      <w:r>
        <w:rPr>
          <w:rFonts w:hint="eastAsia" w:ascii="黑体" w:hAnsi="黑体" w:eastAsia="黑体" w:cs="黑体"/>
          <w:bCs/>
          <w:color w:val="auto"/>
          <w:sz w:val="36"/>
          <w:szCs w:val="36"/>
          <w:highlight w:val="none"/>
        </w:rPr>
        <w:t xml:space="preserve">分项明细表</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项目编号：</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w:t>
      </w:r>
      <w:r/>
    </w:p>
    <w:tbl>
      <w:tblPr>
        <w:tblStyle w:val="828"/>
        <w:tblpPr w:horzAnchor="page" w:tblpX="413" w:vertAnchor="text" w:tblpY="543" w:leftFromText="180" w:topFromText="0" w:rightFromText="180" w:bottomFromText="0"/>
        <w:tblW w:w="5923" w:type="pct"/>
        <w:tblInd w:w="0" w:type="dxa"/>
        <w:tblLayout w:type="fixed"/>
        <w:tblCellMar>
          <w:left w:w="108" w:type="dxa"/>
          <w:top w:w="0" w:type="dxa"/>
          <w:right w:w="108" w:type="dxa"/>
          <w:bottom w:w="0" w:type="dxa"/>
        </w:tblCellMar>
        <w:tblLook w:val="04A0" w:firstRow="1" w:lastRow="0" w:firstColumn="1" w:lastColumn="0" w:noHBand="0" w:noVBand="1"/>
      </w:tblPr>
      <w:tblGrid>
        <w:gridCol w:w="847"/>
        <w:gridCol w:w="996"/>
        <w:gridCol w:w="1210"/>
        <w:gridCol w:w="814"/>
        <w:gridCol w:w="1552"/>
        <w:gridCol w:w="1382"/>
        <w:gridCol w:w="1121"/>
        <w:gridCol w:w="1141"/>
        <w:gridCol w:w="1034"/>
      </w:tblGrid>
      <w:tr>
        <w:trPr>
          <w:trHeight w:val="9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序号</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产品名称</w:t>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型号及参数</w:t>
            </w:r>
            <w:r/>
          </w:p>
        </w:tc>
        <w:tc>
          <w:tcPr>
            <w:tcBorders>
              <w:top w:val="single" w:color="000000" w:sz="4" w:space="0"/>
              <w:left w:val="none" w:color="000000" w:sz="4" w:space="0"/>
              <w:bottom w:val="single" w:color="000000" w:sz="4" w:space="0"/>
              <w:right w:val="single" w:color="000000" w:sz="4" w:space="0"/>
            </w:tcBorders>
            <w:tcW w:w="811"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数量</w:t>
            </w:r>
            <w:r/>
          </w:p>
        </w:tc>
        <w:tc>
          <w:tcPr>
            <w:tcBorders>
              <w:top w:val="single" w:color="000000" w:sz="4" w:space="0"/>
              <w:left w:val="none" w:color="000000" w:sz="4" w:space="0"/>
              <w:bottom w:val="single" w:color="000000" w:sz="4" w:space="0"/>
              <w:right w:val="single" w:color="000000" w:sz="4" w:space="0"/>
            </w:tcBorders>
            <w:tcW w:w="1556"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投标综合单（元）</w:t>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投标总价（元）</w:t>
            </w:r>
            <w:r/>
          </w:p>
        </w:tc>
        <w:tc>
          <w:tcPr>
            <w:tcBorders>
              <w:top w:val="single" w:color="000000" w:sz="4" w:space="0"/>
              <w:left w:val="none" w:color="000000" w:sz="4" w:space="0"/>
              <w:bottom w:val="single" w:color="000000" w:sz="4" w:space="0"/>
              <w:right w:val="single" w:color="000000" w:sz="4" w:space="0"/>
            </w:tcBorders>
            <w:tcW w:w="1121"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图片</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投标品牌</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tcPr>
          <w:p>
            <w:pPr>
              <w:spacing w:line="288" w:lineRule="auto"/>
              <w:widowControl/>
              <w:rPr>
                <w:rFonts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lang w:bidi="ar"/>
              </w:rPr>
              <w:t xml:space="preserve">制造商</w:t>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ascii="黑体" w:hAnsi="黑体" w:eastAsia="黑体" w:cs="黑体"/>
                <w:bCs/>
                <w:color w:val="auto"/>
                <w:sz w:val="28"/>
                <w:szCs w:val="28"/>
                <w:highlight w:val="none"/>
                <w:lang w:bidi="ar"/>
              </w:rPr>
            </w:r>
            <w:r/>
          </w:p>
        </w:tc>
      </w:tr>
      <w:tr>
        <w:trPr>
          <w:trHeight w:val="641"/>
        </w:trPr>
        <w:tc>
          <w:tcPr>
            <w:gridSpan w:val="9"/>
            <w:tcBorders>
              <w:top w:val="single" w:color="000000" w:sz="4" w:space="0"/>
              <w:left w:val="single" w:color="000000" w:sz="4" w:space="0"/>
              <w:bottom w:val="single" w:color="000000" w:sz="4" w:space="0"/>
              <w:right w:val="single" w:color="000000" w:sz="4" w:space="0"/>
            </w:tcBorders>
            <w:tcW w:w="10096"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lang w:bidi="ar"/>
              </w:rPr>
              <w:t xml:space="preserve">合计投标总金额：大写：           小写：（¥）</w:t>
            </w:r>
            <w:r/>
          </w:p>
        </w:tc>
      </w:tr>
      <w:tr>
        <w:trPr>
          <w:trHeight w:val="641"/>
        </w:trPr>
        <w:tc>
          <w:tcPr>
            <w:gridSpan w:val="9"/>
            <w:tcBorders>
              <w:top w:val="single" w:color="000000" w:sz="4" w:space="0"/>
              <w:left w:val="single" w:color="000000" w:sz="4" w:space="0"/>
              <w:bottom w:val="single" w:color="000000" w:sz="4" w:space="0"/>
              <w:right w:val="single" w:color="000000" w:sz="4" w:space="0"/>
            </w:tcBorders>
            <w:tcW w:w="10096" w:type="dxa"/>
            <w:vAlign w:val="center"/>
            <w:textDirection w:val="lrTb"/>
            <w:noWrap/>
          </w:tcPr>
          <w:p>
            <w:pPr>
              <w:jc w:val="left"/>
              <w:spacing w:line="288" w:lineRule="auto"/>
              <w:widowControl/>
              <w:rPr>
                <w:rFonts w:ascii="黑体" w:hAnsi="黑体" w:eastAsia="黑体" w:cs="黑体"/>
                <w:bCs/>
                <w:color w:val="auto"/>
                <w:sz w:val="28"/>
                <w:szCs w:val="28"/>
                <w:highlight w:val="none"/>
                <w:lang w:bidi="ar"/>
              </w:rPr>
            </w:pPr>
            <w:r>
              <w:rPr>
                <w:rFonts w:hint="eastAsia" w:ascii="宋体" w:hAnsi="宋体" w:cs="宋体"/>
                <w:color w:val="auto"/>
                <w:sz w:val="22"/>
                <w:highlight w:val="none"/>
              </w:rPr>
              <w:t xml:space="preserve">本</w:t>
            </w:r>
            <w:r>
              <w:rPr>
                <w:rFonts w:ascii="Arial" w:hAnsi="Arial" w:eastAsia="Arial" w:cs="Arial"/>
                <w:color w:val="auto"/>
                <w:sz w:val="22"/>
                <w:highlight w:val="none"/>
              </w:rPr>
              <w:t xml:space="preserve">采购包中提供的符合本国产品标准的产品成本之和占该采购包提供的全部产品成本之和的比例为</w:t>
            </w:r>
            <w:r>
              <w:rPr>
                <w:rFonts w:ascii="Arial" w:hAnsi="Arial" w:eastAsia="Arial" w:cs="Arial"/>
                <w:color w:val="auto"/>
                <w:sz w:val="22"/>
                <w:highlight w:val="none"/>
                <w:u w:val="single"/>
              </w:rPr>
              <w:t xml:space="preserve">***</w:t>
            </w:r>
            <w:r>
              <w:rPr>
                <w:rFonts w:ascii="Arial" w:hAnsi="Arial" w:eastAsia="Arial" w:cs="Arial"/>
                <w:color w:val="auto"/>
                <w:sz w:val="22"/>
                <w:highlight w:val="none"/>
              </w:rPr>
              <w:t xml:space="preserve">%。</w:t>
            </w:r>
            <w:r/>
          </w:p>
        </w:tc>
      </w:tr>
    </w:tbl>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bidi="ar"/>
        </w:rPr>
        <w:t xml:space="preserve">（此表按照项目需求中表格中顺序填写）</w:t>
      </w:r>
      <w:r/>
    </w:p>
    <w:p>
      <w:pPr>
        <w:pStyle w:val="1137"/>
        <w:ind w:firstLine="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68"/>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法定代表人或者授权代表（签字或盖章）：                    </w:t>
      </w:r>
      <w:r/>
    </w:p>
    <w:p>
      <w:pPr>
        <w:pStyle w:val="868"/>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投标投标单位全称（盖章）：</w:t>
      </w:r>
      <w:r/>
    </w:p>
    <w:p>
      <w:pPr>
        <w:pStyle w:val="867"/>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68"/>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日期：   年   月    日</w:t>
      </w:r>
      <w:r/>
    </w:p>
    <w:p>
      <w:pPr>
        <w:pStyle w:val="1150"/>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1、本表式，可根据实际报价的明细需要自行添加。</w:t>
      </w:r>
      <w:r/>
    </w:p>
    <w:p>
      <w:pPr>
        <w:pStyle w:val="1150"/>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2、如果不提供详细分项报价将视为未实质性响应招标文件要求。</w:t>
      </w:r>
      <w:r/>
    </w:p>
    <w:p>
      <w:pPr>
        <w:pStyle w:val="1150"/>
        <w:ind w:firstLine="480"/>
        <w:spacing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备注:投标投标单位列入投标响应报价明细表中的其它费用, 格式自拟。</w:t>
      </w:r>
      <w:r/>
    </w:p>
    <w:p>
      <w:pPr>
        <w:ind w:firstLine="480"/>
        <w:spacing w:line="288" w:lineRule="auto"/>
        <w:rPr>
          <w:rFonts w:ascii="黑体" w:hAnsi="黑体" w:eastAsia="黑体" w:cs="黑体"/>
          <w:bCs/>
          <w:color w:val="auto"/>
          <w:sz w:val="28"/>
          <w:szCs w:val="28"/>
          <w:highlight w:val="none"/>
        </w:rPr>
        <w:outlineLvl w:val="1"/>
      </w:pPr>
      <w:r>
        <w:rPr>
          <w:rFonts w:hint="eastAsia" w:ascii="黑体" w:hAnsi="黑体" w:eastAsia="黑体" w:cs="黑体"/>
          <w:bCs/>
          <w:color w:val="auto"/>
          <w:sz w:val="28"/>
          <w:szCs w:val="28"/>
          <w:highlight w:val="none"/>
        </w:rPr>
        <w:t xml:space="preserve">3、请按照本次提供的本项目中招标文件第三部分项目需求清单及技术要求”的格式及顺序进行报价，若出现漏项或不报价格的视为无效报价。</w:t>
      </w:r>
      <w:r/>
    </w:p>
    <w:p>
      <w:pPr>
        <w:pStyle w:val="1137"/>
        <w:ind w:firstLine="48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4、报价小数点后保留2位小数。</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br w:type="page" w:clear="all"/>
      </w:r>
      <w:r/>
    </w:p>
    <w:p>
      <w:pPr>
        <w:spacing w:line="288" w:lineRule="auto"/>
        <w:rPr>
          <w:rFonts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附件9</w:t>
      </w:r>
      <w:r/>
    </w:p>
    <w:p>
      <w:pPr>
        <w:jc w:val="center"/>
        <w:spacing w:line="300" w:lineRule="auto"/>
        <w:rPr>
          <w:rFonts w:ascii="黑体" w:hAnsi="黑体" w:eastAsia="黑体" w:cs="黑体"/>
          <w:b/>
          <w:bCs/>
          <w:color w:val="auto"/>
          <w:sz w:val="30"/>
          <w:szCs w:val="30"/>
          <w:highlight w:val="none"/>
          <w:lang w:bidi="zh-CN"/>
        </w:rPr>
        <w:outlineLvl w:val="0"/>
      </w:pPr>
      <w:r>
        <w:rPr>
          <w:rFonts w:hint="eastAsia" w:ascii="黑体" w:hAnsi="黑体" w:eastAsia="黑体" w:cs="黑体"/>
          <w:b/>
          <w:bCs/>
          <w:color w:val="auto"/>
          <w:sz w:val="30"/>
          <w:szCs w:val="30"/>
          <w:highlight w:val="none"/>
          <w:lang w:bidi="zh-CN"/>
        </w:rPr>
        <w:t xml:space="preserve">中小企业声明函（货物）</w:t>
      </w:r>
      <w:r/>
    </w:p>
    <w:p>
      <w:pPr>
        <w:ind w:firstLine="480"/>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本公司（联合体）郑重声明，根据《政府采购促进中小企业发展管理办法》（财库﹝2020﹞46 号）的规定，本公司（联合体）参加</w:t>
      </w:r>
      <w:r>
        <w:rPr>
          <w:rFonts w:hint="eastAsia" w:ascii="黑体" w:hAnsi="黑体" w:eastAsia="黑体" w:cs="黑体"/>
          <w:color w:val="auto"/>
          <w:sz w:val="24"/>
          <w:highlight w:val="none"/>
          <w:u w:val="single"/>
          <w:lang w:bidi="zh-CN"/>
        </w:rPr>
        <w:t xml:space="preserve">（单位名称）</w:t>
      </w:r>
      <w:r>
        <w:rPr>
          <w:rFonts w:hint="eastAsia" w:ascii="黑体" w:hAnsi="黑体" w:eastAsia="黑体" w:cs="黑体"/>
          <w:color w:val="auto"/>
          <w:sz w:val="24"/>
          <w:highlight w:val="none"/>
          <w:lang w:bidi="zh-CN"/>
        </w:rPr>
        <w:t xml:space="preserve">的</w:t>
      </w:r>
      <w:r>
        <w:rPr>
          <w:rFonts w:hint="eastAsia" w:ascii="黑体" w:hAnsi="黑体" w:eastAsia="黑体" w:cs="黑体"/>
          <w:color w:val="auto"/>
          <w:sz w:val="24"/>
          <w:highlight w:val="none"/>
          <w:u w:val="single"/>
          <w:lang w:bidi="zh-CN"/>
        </w:rPr>
        <w:t xml:space="preserve">（项目名称）</w:t>
      </w:r>
      <w:r>
        <w:rPr>
          <w:rFonts w:hint="eastAsia" w:ascii="黑体" w:hAnsi="黑体" w:eastAsia="黑体" w:cs="黑体"/>
          <w:color w:val="auto"/>
          <w:sz w:val="24"/>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1.</w:t>
      </w:r>
      <w:r>
        <w:rPr>
          <w:rFonts w:hint="eastAsia" w:ascii="黑体" w:hAnsi="黑体" w:eastAsia="黑体" w:cs="黑体"/>
          <w:color w:val="auto"/>
          <w:sz w:val="24"/>
          <w:highlight w:val="none"/>
          <w:u w:val="single"/>
          <w:lang w:bidi="zh-CN"/>
        </w:rPr>
        <w:t xml:space="preserve"> （标的名称）</w:t>
      </w:r>
      <w:r>
        <w:rPr>
          <w:rFonts w:hint="eastAsia" w:ascii="黑体" w:hAnsi="黑体" w:eastAsia="黑体" w:cs="黑体"/>
          <w:color w:val="auto"/>
          <w:sz w:val="24"/>
          <w:highlight w:val="none"/>
          <w:lang w:bidi="zh-CN"/>
        </w:rPr>
        <w:t xml:space="preserve"> ，属于</w:t>
      </w:r>
      <w:r>
        <w:rPr>
          <w:rFonts w:hint="eastAsia" w:ascii="黑体" w:hAnsi="黑体" w:eastAsia="黑体" w:cs="黑体"/>
          <w:color w:val="auto"/>
          <w:sz w:val="24"/>
          <w:highlight w:val="none"/>
          <w:u w:val="single"/>
          <w:lang w:bidi="zh-CN"/>
        </w:rPr>
        <w:t xml:space="preserve">工业（采购文件中明确的所属行业）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 （□中型企业 □小型企业 □微型企业）</w:t>
      </w:r>
      <w:r>
        <w:rPr>
          <w:rFonts w:hint="eastAsia" w:ascii="黑体" w:hAnsi="黑体" w:eastAsia="黑体" w:cs="黑体"/>
          <w:color w:val="auto"/>
          <w:sz w:val="24"/>
          <w:highlight w:val="none"/>
          <w:lang w:bidi="zh-CN"/>
        </w:rPr>
        <w:t xml:space="preserve">；</w:t>
      </w:r>
      <w:r/>
    </w:p>
    <w:p>
      <w:pPr>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2.</w:t>
      </w:r>
      <w:r>
        <w:rPr>
          <w:rFonts w:hint="eastAsia" w:ascii="黑体" w:hAnsi="黑体" w:eastAsia="黑体" w:cs="黑体"/>
          <w:i/>
          <w:color w:val="auto"/>
          <w:sz w:val="24"/>
          <w:highlight w:val="none"/>
          <w:u w:val="single"/>
          <w:lang w:bidi="zh-CN"/>
        </w:rPr>
        <w:t xml:space="preserve"> </w:t>
      </w:r>
      <w:r>
        <w:rPr>
          <w:rFonts w:hint="eastAsia" w:ascii="黑体" w:hAnsi="黑体" w:eastAsia="黑体" w:cs="黑体"/>
          <w:color w:val="auto"/>
          <w:sz w:val="24"/>
          <w:highlight w:val="none"/>
          <w:u w:val="single"/>
          <w:lang w:bidi="zh-CN"/>
        </w:rPr>
        <w:t xml:space="preserve">（标的名称） </w:t>
      </w:r>
      <w:r>
        <w:rPr>
          <w:rFonts w:hint="eastAsia" w:ascii="黑体" w:hAnsi="黑体" w:eastAsia="黑体" w:cs="黑体"/>
          <w:color w:val="auto"/>
          <w:sz w:val="24"/>
          <w:highlight w:val="none"/>
          <w:lang w:bidi="zh-CN"/>
        </w:rPr>
        <w:t xml:space="preserve">，属于</w:t>
      </w:r>
      <w:r>
        <w:rPr>
          <w:rFonts w:hint="eastAsia" w:ascii="黑体" w:hAnsi="黑体" w:eastAsia="黑体" w:cs="黑体"/>
          <w:color w:val="auto"/>
          <w:sz w:val="24"/>
          <w:highlight w:val="none"/>
          <w:u w:val="single"/>
          <w:lang w:bidi="zh-CN"/>
        </w:rPr>
        <w:t xml:space="preserve">工业（采购文件中明确的所属行业）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（□中型企业 □小型企业 □微型企业））</w:t>
      </w:r>
      <w:r>
        <w:rPr>
          <w:rFonts w:hint="eastAsia" w:ascii="黑体" w:hAnsi="黑体" w:eastAsia="黑体" w:cs="黑体"/>
          <w:color w:val="auto"/>
          <w:sz w:val="24"/>
          <w:highlight w:val="none"/>
          <w:lang w:bidi="zh-CN"/>
        </w:rPr>
        <w:t xml:space="preserve">；</w:t>
      </w:r>
      <w:r/>
    </w:p>
    <w:p>
      <w:pPr>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w:t>
      </w:r>
      <w:r/>
    </w:p>
    <w:p>
      <w:pPr>
        <w:ind w:firstLine="480"/>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本企业对上述声明内容的真实性负责。如有虚假，将依法承担相应责任。</w:t>
      </w:r>
      <w:r/>
    </w:p>
    <w:p>
      <w:pPr>
        <w:spacing w:line="300" w:lineRule="auto"/>
        <w:rPr>
          <w:rFonts w:ascii="黑体" w:hAnsi="黑体" w:eastAsia="黑体" w:cs="黑体"/>
          <w:color w:val="auto"/>
          <w:sz w:val="24"/>
          <w:highlight w:val="none"/>
          <w:lang w:bidi="zh-CN"/>
        </w:rPr>
        <w:outlineLvl w:val="0"/>
      </w:pPr>
      <w:r>
        <w:rPr>
          <w:rFonts w:ascii="黑体" w:hAnsi="黑体" w:eastAsia="黑体" w:cs="黑体"/>
          <w:color w:val="auto"/>
          <w:sz w:val="24"/>
          <w:highlight w:val="none"/>
          <w:lang w:bidi="zh-CN"/>
        </w:rPr>
      </w:r>
      <w:r/>
    </w:p>
    <w:p>
      <w:pPr>
        <w:jc w:val="center"/>
        <w:spacing w:line="30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企业名称（盖章）：</w:t>
      </w:r>
      <w:r/>
    </w:p>
    <w:p>
      <w:pPr>
        <w:jc w:val="center"/>
        <w:spacing w:line="300" w:lineRule="auto"/>
        <w:rPr>
          <w:rFonts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日期：</w:t>
      </w:r>
      <w:r/>
    </w:p>
    <w:p>
      <w:pPr>
        <w:ind w:firstLine="482"/>
        <w:spacing w:line="500" w:lineRule="exact"/>
        <w:rPr>
          <w:rFonts w:ascii="黑体" w:hAnsi="黑体" w:eastAsia="黑体" w:cs="黑体"/>
          <w:b/>
          <w:bCs/>
          <w:color w:val="auto"/>
          <w:sz w:val="24"/>
          <w:highlight w:val="none"/>
        </w:rPr>
      </w:pPr>
      <w:r>
        <w:rPr>
          <w:rFonts w:ascii="黑体" w:hAnsi="黑体" w:eastAsia="黑体" w:cs="黑体"/>
          <w:b/>
          <w:bCs/>
          <w:color w:val="auto"/>
          <w:sz w:val="24"/>
          <w:highlight w:val="none"/>
        </w:rPr>
      </w:r>
      <w:r/>
    </w:p>
    <w:p>
      <w:pPr>
        <w:ind w:firstLine="480"/>
        <w:spacing w:line="4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4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1.从业人员、营业收入、资产总额填报上一年度数据，无上一年度数据的新成立企业可不填报。</w:t>
      </w:r>
      <w:r/>
    </w:p>
    <w:p>
      <w:pPr>
        <w:ind w:firstLine="482"/>
        <w:spacing w:line="400" w:lineRule="exact"/>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2.专门面向中小微型企业采购的项目，投标单位如不提供此声明函，则不能通过资格审查；非专门面向中小微型企业采购的项目，小微企业投标单位如不提供此声明函，价格将不做相应扣除。</w:t>
      </w:r>
      <w:r/>
    </w:p>
    <w:p>
      <w:pPr>
        <w:ind w:firstLine="480"/>
        <w:spacing w:line="46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3.投标单位自行勾选承接企业的企业规模类型。</w:t>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rPr>
          <w:rFonts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spacing w:line="300" w:lineRule="auto"/>
        <w:rPr>
          <w:rFonts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附件10</w:t>
      </w:r>
      <w:r/>
    </w:p>
    <w:p>
      <w:pPr>
        <w:jc w:val="center"/>
        <w:spacing w:line="460" w:lineRule="exact"/>
        <w:rPr>
          <w:rFonts w:ascii="黑体" w:hAnsi="黑体" w:eastAsia="黑体" w:cs="黑体"/>
          <w:b/>
          <w:color w:val="auto"/>
          <w:sz w:val="30"/>
          <w:szCs w:val="30"/>
          <w:highlight w:val="none"/>
        </w:rPr>
      </w:pPr>
      <w:r>
        <w:rPr>
          <w:rFonts w:hint="eastAsia" w:ascii="黑体" w:hAnsi="黑体" w:eastAsia="黑体" w:cs="黑体"/>
          <w:b/>
          <w:color w:val="auto"/>
          <w:sz w:val="30"/>
          <w:szCs w:val="30"/>
          <w:highlight w:val="none"/>
        </w:rPr>
        <w:t xml:space="preserve">残疾人福利性单位声明函</w:t>
      </w:r>
      <w:r/>
    </w:p>
    <w:p>
      <w:pPr>
        <w:ind w:firstLine="560"/>
        <w:spacing w:line="588"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本单位对上述声明的真实性负责。如有虚假，将依法承担相应责任。</w:t>
      </w:r>
      <w:r/>
    </w:p>
    <w:p>
      <w:pPr>
        <w:spacing w:line="588" w:lineRule="exact"/>
        <w:rPr>
          <w:rFonts w:ascii="黑体" w:hAnsi="黑体" w:eastAsia="黑体" w:cs="黑体"/>
          <w:color w:val="auto"/>
          <w:sz w:val="24"/>
          <w:highlight w:val="none"/>
        </w:rPr>
      </w:pPr>
      <w:r>
        <w:rPr>
          <w:rFonts w:ascii="黑体" w:hAnsi="黑体" w:eastAsia="黑体" w:cs="黑体"/>
          <w:color w:val="auto"/>
          <w:sz w:val="24"/>
          <w:highlight w:val="none"/>
        </w:rPr>
      </w:r>
      <w:r/>
    </w:p>
    <w:p>
      <w:pPr>
        <w:ind w:firstLine="560"/>
        <w:spacing w:line="48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1.专门面向中小微型企业采购的项目，投标单位为残疾人福利性单位并提供服务的必须提供此声明函，否则将不能通过资格审查。</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2.非专门面向中小微型企业采购的项目，投标单位如不提供此声明函，价格将不做相应扣除。</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3.中标/中标单位为残疾人福利性单位的，此声明函将随中标/中标结果同时公告，接受社会监督。</w:t>
      </w:r>
      <w:r/>
    </w:p>
    <w:p>
      <w:pPr>
        <w:ind w:firstLine="584"/>
        <w:spacing w:line="588" w:lineRule="exact"/>
        <w:rPr>
          <w:rFonts w:ascii="黑体" w:hAnsi="黑体" w:eastAsia="黑体" w:cs="黑体"/>
          <w:color w:val="auto"/>
          <w:spacing w:val="6"/>
          <w:sz w:val="24"/>
          <w:highlight w:val="none"/>
        </w:rPr>
      </w:pPr>
      <w:r>
        <w:rPr>
          <w:rFonts w:ascii="黑体" w:hAnsi="黑体" w:eastAsia="黑体" w:cs="黑体"/>
          <w:color w:val="auto"/>
          <w:spacing w:val="6"/>
          <w:sz w:val="24"/>
          <w:highlight w:val="none"/>
        </w:rPr>
      </w:r>
      <w:r/>
    </w:p>
    <w:p>
      <w:pPr>
        <w:ind w:firstLine="584"/>
        <w:spacing w:line="588" w:lineRule="exact"/>
        <w:rPr>
          <w:rFonts w:ascii="黑体" w:hAnsi="黑体" w:eastAsia="黑体" w:cs="黑体"/>
          <w:color w:val="auto"/>
          <w:spacing w:val="6"/>
          <w:sz w:val="24"/>
          <w:highlight w:val="none"/>
        </w:rPr>
      </w:pPr>
      <w:r>
        <w:rPr>
          <w:rFonts w:ascii="黑体" w:hAnsi="黑体" w:eastAsia="黑体" w:cs="黑体"/>
          <w:color w:val="auto"/>
          <w:spacing w:val="6"/>
          <w:sz w:val="24"/>
          <w:highlight w:val="none"/>
        </w:rPr>
      </w:r>
      <w:r/>
    </w:p>
    <w:p>
      <w:pPr>
        <w:ind w:right="1560" w:firstLine="584"/>
        <w:jc w:val="center"/>
        <w:spacing w:line="588" w:lineRule="exact"/>
        <w:tabs>
          <w:tab w:val="left" w:pos="4860" w:leader="none"/>
        </w:tabs>
        <w:rPr>
          <w:rFonts w:ascii="黑体" w:hAnsi="黑体" w:eastAsia="黑体" w:cs="黑体"/>
          <w:color w:val="auto"/>
          <w:sz w:val="24"/>
          <w:highlight w:val="none"/>
        </w:rPr>
      </w:pPr>
      <w:r>
        <w:rPr>
          <w:rFonts w:hint="eastAsia" w:ascii="黑体" w:hAnsi="黑体" w:eastAsia="黑体" w:cs="黑体"/>
          <w:color w:val="auto"/>
          <w:spacing w:val="6"/>
          <w:sz w:val="24"/>
          <w:highlight w:val="none"/>
        </w:rPr>
        <w:t xml:space="preserve">             </w:t>
      </w:r>
      <w:r>
        <w:rPr>
          <w:rFonts w:hint="eastAsia" w:ascii="黑体" w:hAnsi="黑体" w:eastAsia="黑体" w:cs="黑体"/>
          <w:color w:val="auto"/>
          <w:sz w:val="24"/>
          <w:highlight w:val="none"/>
        </w:rPr>
        <w:t xml:space="preserve">           投标单位全称（盖章）：</w:t>
      </w:r>
      <w:r/>
    </w:p>
    <w:p>
      <w:pPr>
        <w:ind w:right="1560" w:firstLine="560"/>
        <w:jc w:val="center"/>
        <w:spacing w:line="588" w:lineRule="exact"/>
        <w:tabs>
          <w:tab w:val="left" w:pos="4860" w:leader="none"/>
        </w:tabs>
        <w:rPr>
          <w:rFonts w:ascii="黑体" w:hAnsi="黑体" w:eastAsia="黑体" w:cs="黑体"/>
          <w:color w:val="auto"/>
          <w:sz w:val="24"/>
          <w:highlight w:val="none"/>
        </w:rPr>
      </w:pPr>
      <w:r>
        <w:rPr>
          <w:rFonts w:hint="eastAsia" w:ascii="黑体" w:hAnsi="黑体" w:eastAsia="黑体" w:cs="黑体"/>
          <w:color w:val="auto"/>
          <w:sz w:val="24"/>
          <w:highlight w:val="none"/>
        </w:rPr>
        <w:t xml:space="preserve">              日  期：</w:t>
      </w:r>
      <w:r/>
    </w:p>
    <w:p>
      <w:pPr>
        <w:ind w:firstLine="420"/>
        <w:rPr>
          <w:rFonts w:ascii="黑体" w:hAnsi="黑体" w:eastAsia="黑体" w:cs="黑体"/>
          <w:color w:val="auto"/>
          <w:sz w:val="24"/>
          <w:highlight w:val="none"/>
        </w:rPr>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rPr>
          <w:rFonts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spacing w:line="300" w:lineRule="auto"/>
        <w:rPr>
          <w:rFonts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附件11</w:t>
      </w:r>
      <w:r/>
    </w:p>
    <w:p>
      <w:pPr>
        <w:jc w:val="center"/>
        <w:spacing w:line="420" w:lineRule="exact"/>
        <w:rPr>
          <w:rFonts w:ascii="黑体" w:hAnsi="黑体" w:eastAsia="黑体" w:cs="黑体"/>
          <w:b/>
          <w:bCs/>
          <w:color w:val="auto"/>
          <w:sz w:val="30"/>
          <w:szCs w:val="30"/>
          <w:highlight w:val="none"/>
        </w:rPr>
        <w:outlineLvl w:val="3"/>
      </w:pPr>
      <w:r>
        <w:rPr>
          <w:rFonts w:hint="eastAsia" w:ascii="黑体" w:hAnsi="黑体" w:eastAsia="黑体" w:cs="黑体"/>
          <w:b/>
          <w:bCs/>
          <w:color w:val="auto"/>
          <w:sz w:val="30"/>
          <w:szCs w:val="30"/>
          <w:highlight w:val="none"/>
        </w:rPr>
        <w:t xml:space="preserve">监狱和戒毒企业证明材料</w:t>
      </w:r>
      <w:r/>
    </w:p>
    <w:p>
      <w:pPr>
        <w:ind w:firstLine="495"/>
        <w:spacing w:line="420" w:lineRule="exact"/>
        <w:rPr>
          <w:rFonts w:ascii="黑体" w:hAnsi="黑体" w:eastAsia="黑体" w:cs="黑体"/>
          <w:color w:val="auto"/>
          <w:sz w:val="24"/>
          <w:highlight w:val="none"/>
        </w:rPr>
      </w:pPr>
      <w:r>
        <w:rPr>
          <w:rFonts w:ascii="黑体" w:hAnsi="黑体" w:eastAsia="黑体" w:cs="黑体"/>
          <w:color w:val="auto"/>
          <w:sz w:val="24"/>
          <w:highlight w:val="none"/>
        </w:rPr>
      </w:r>
      <w:r/>
    </w:p>
    <w:p>
      <w:pPr>
        <w:ind w:firstLine="498"/>
        <w:spacing w:line="420" w:lineRule="exact"/>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（格式自拟）</w:t>
      </w:r>
      <w:r/>
    </w:p>
    <w:p>
      <w:pPr>
        <w:ind w:firstLine="495"/>
        <w:spacing w:line="420" w:lineRule="exact"/>
        <w:rPr>
          <w:rFonts w:ascii="黑体" w:hAnsi="黑体" w:eastAsia="黑体" w:cs="黑体"/>
          <w:color w:val="auto"/>
          <w:sz w:val="24"/>
          <w:highlight w:val="none"/>
        </w:rPr>
      </w:pPr>
      <w:r>
        <w:rPr>
          <w:rFonts w:ascii="黑体" w:hAnsi="黑体" w:eastAsia="黑体" w:cs="黑体"/>
          <w:color w:val="auto"/>
          <w:sz w:val="24"/>
          <w:highlight w:val="none"/>
        </w:rPr>
      </w:r>
      <w:r/>
    </w:p>
    <w:p>
      <w:pPr>
        <w:ind w:firstLine="660"/>
        <w:spacing w:line="42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单位属于监狱企业的证明文件。</w:t>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1.专门面向中小微型企业采购的项目，投标单位为监狱企业的并提供服务的必须提供此声明函，否则将不能通过资格审查。</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2.非专门面向中小微型企业采购的项目，投标单位如不提供此声明函，价格将不做相应扣除。</w:t>
      </w:r>
      <w:r/>
    </w:p>
    <w:p>
      <w:pPr>
        <w:ind w:firstLine="480"/>
        <w:spacing w:line="0" w:lineRule="atLeast"/>
        <w:rPr>
          <w:rFonts w:ascii="黑体" w:hAnsi="黑体" w:eastAsia="黑体" w:cs="黑体"/>
          <w:color w:val="auto"/>
          <w:sz w:val="24"/>
          <w:highlight w:val="none"/>
        </w:rPr>
      </w:pPr>
      <w:r>
        <w:rPr>
          <w:rFonts w:hint="eastAsia" w:ascii="黑体" w:hAnsi="黑体" w:eastAsia="黑体" w:cs="黑体"/>
          <w:color w:val="auto"/>
          <w:sz w:val="24"/>
          <w:highlight w:val="none"/>
        </w:rPr>
        <w:t xml:space="preserve">3.中标/中标单位为监狱企业的单位的，此声明函将随中标/中标结果同时公告，接受社会监督。</w:t>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spacing w:line="300" w:lineRule="auto"/>
        <w:rPr>
          <w:rFonts w:ascii="黑体" w:hAnsi="黑体" w:eastAsia="黑体" w:cs="黑体"/>
          <w:color w:val="auto"/>
          <w:sz w:val="24"/>
          <w:highlight w:val="none"/>
        </w:rPr>
        <w:outlineLvl w:val="0"/>
      </w:pPr>
      <w:r>
        <w:rPr>
          <w:rFonts w:ascii="黑体" w:hAnsi="黑体" w:eastAsia="黑体" w:cs="黑体"/>
          <w:color w:val="auto"/>
          <w:sz w:val="24"/>
          <w:highlight w:val="none"/>
        </w:rPr>
      </w:r>
      <w:r/>
    </w:p>
    <w:p>
      <w:pPr>
        <w:rPr>
          <w:rFonts w:ascii="黑体" w:hAnsi="黑体" w:eastAsia="黑体" w:cs="黑体"/>
          <w:bCs/>
          <w:color w:val="auto"/>
          <w:sz w:val="24"/>
          <w:highlight w:val="none"/>
        </w:rPr>
      </w:pPr>
      <w:r>
        <w:rPr>
          <w:rFonts w:ascii="黑体" w:hAnsi="黑体" w:eastAsia="黑体" w:cs="黑体"/>
          <w:bCs/>
          <w:color w:val="auto"/>
          <w:sz w:val="24"/>
          <w:highlight w:val="none"/>
        </w:rPr>
      </w:r>
      <w:r/>
    </w:p>
    <w:p>
      <w:pPr>
        <w:rPr>
          <w:rFonts w:ascii="黑体" w:hAnsi="黑体" w:eastAsia="黑体" w:cs="黑体"/>
          <w:bCs/>
          <w:color w:val="auto"/>
          <w:sz w:val="28"/>
          <w:szCs w:val="28"/>
          <w:highlight w:val="none"/>
        </w:rPr>
      </w:pPr>
      <w:r>
        <w:rPr>
          <w:rFonts w:hint="eastAsia" w:ascii="黑体" w:hAnsi="黑体" w:eastAsia="黑体" w:cs="黑体"/>
          <w:bCs/>
          <w:color w:val="auto"/>
          <w:sz w:val="24"/>
          <w:highlight w:val="none"/>
        </w:rPr>
        <w:br w:type="page" w:clear="all"/>
      </w:r>
      <w:r/>
    </w:p>
    <w:p>
      <w:pPr>
        <w:spacing w:line="288" w:lineRule="auto"/>
        <w:rPr>
          <w:rFonts w:ascii="黑体" w:hAnsi="黑体" w:eastAsia="黑体" w:cs="黑体"/>
          <w:bCs/>
          <w:color w:val="auto"/>
          <w:sz w:val="32"/>
          <w:szCs w:val="32"/>
          <w:highlight w:val="none"/>
          <w:lang w:bidi="ar"/>
        </w:rPr>
      </w:pPr>
      <w:r>
        <w:rPr>
          <w:rFonts w:hint="eastAsia" w:ascii="黑体" w:hAnsi="黑体" w:eastAsia="黑体" w:cs="黑体"/>
          <w:bCs/>
          <w:color w:val="auto"/>
          <w:sz w:val="32"/>
          <w:szCs w:val="32"/>
          <w:highlight w:val="none"/>
          <w:lang w:bidi="ar"/>
        </w:rPr>
        <w:t xml:space="preserve">附件12</w:t>
      </w:r>
      <w:r/>
    </w:p>
    <w:p>
      <w:pPr>
        <w:jc w:val="center"/>
        <w:spacing w:before="240" w:line="288" w:lineRule="auto"/>
        <w:rPr>
          <w:rFonts w:ascii="黑体" w:hAnsi="黑体" w:eastAsia="黑体" w:cs="黑体"/>
          <w:bCs/>
          <w:color w:val="auto"/>
          <w:sz w:val="32"/>
          <w:szCs w:val="32"/>
          <w:highlight w:val="none"/>
          <w:lang w:bidi="ar"/>
        </w:rPr>
      </w:pPr>
      <w:r>
        <w:rPr>
          <w:rFonts w:hint="eastAsia" w:ascii="黑体" w:hAnsi="黑体" w:eastAsia="黑体" w:cs="黑体"/>
          <w:bCs/>
          <w:color w:val="auto"/>
          <w:sz w:val="32"/>
          <w:szCs w:val="32"/>
          <w:highlight w:val="none"/>
          <w:lang w:bidi="ar"/>
        </w:rPr>
        <w:t xml:space="preserve">投标单位信用承诺书</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为营造公开、公平、公正的公共资源交易环境，树立诚信守法的投标单位形象，本人代表本单位作出以下承诺：</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三、严格遵守即时信息公示规定，及时更新公共资源交易中心主体信息库中信息；</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六、自觉接受政府部门、行业组织、社会公众、新闻舆论等监督；</w:t>
      </w:r>
      <w:r/>
    </w:p>
    <w:p>
      <w:pPr>
        <w:ind w:firstLine="480"/>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七、上述承诺已向本单位员工作了宣传教育；</w:t>
      </w:r>
      <w:r/>
    </w:p>
    <w:p>
      <w:pPr>
        <w:ind w:firstLine="482"/>
        <w:spacing w:line="288" w:lineRule="auto"/>
        <w:rPr>
          <w:rFonts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bidi="ar"/>
        </w:rPr>
        <w:t xml:space="preserve">如有违反上述承诺的不良行为，本单位同意将其予以上网公示。</w:t>
      </w:r>
      <w:r/>
    </w:p>
    <w:p>
      <w:pPr>
        <w:spacing w:line="288" w:lineRule="auto"/>
        <w:rPr>
          <w:rFonts w:ascii="黑体" w:hAnsi="黑体" w:eastAsia="黑体" w:cs="黑体"/>
          <w:bCs/>
          <w:color w:val="auto"/>
          <w:sz w:val="24"/>
          <w:highlight w:val="none"/>
          <w:lang w:val="zh-CN"/>
        </w:rPr>
      </w:pPr>
      <w:r>
        <w:rPr>
          <w:rFonts w:ascii="黑体" w:hAnsi="黑体" w:eastAsia="黑体" w:cs="黑体"/>
          <w:bCs/>
          <w:color w:val="auto"/>
          <w:sz w:val="24"/>
          <w:highlight w:val="none"/>
          <w:lang w:val="zh-CN"/>
        </w:rPr>
      </w:r>
      <w:r/>
    </w:p>
    <w:p>
      <w:pPr>
        <w:ind w:firstLine="4560"/>
        <w:spacing w:line="288" w:lineRule="auto"/>
        <w:rPr>
          <w:rFonts w:ascii="黑体" w:hAnsi="黑体" w:eastAsia="黑体" w:cs="黑体"/>
          <w:bCs/>
          <w:color w:val="auto"/>
          <w:sz w:val="24"/>
          <w:highlight w:val="none"/>
          <w:lang w:val="zh-CN"/>
        </w:rPr>
      </w:pPr>
      <w:r>
        <w:rPr>
          <w:rFonts w:ascii="黑体" w:hAnsi="黑体" w:eastAsia="黑体" w:cs="黑体"/>
          <w:bCs/>
          <w:color w:val="auto"/>
          <w:sz w:val="24"/>
          <w:highlight w:val="none"/>
          <w:lang w:val="zh-CN"/>
        </w:rPr>
      </w:r>
      <w:r/>
    </w:p>
    <w:p>
      <w:pPr>
        <w:ind w:firstLine="3080"/>
        <w:spacing w:line="288" w:lineRule="auto"/>
        <w:rPr>
          <w:rFonts w:ascii="黑体" w:hAnsi="黑体" w:eastAsia="黑体" w:cs="黑体"/>
          <w:bCs/>
          <w:color w:val="auto"/>
          <w:sz w:val="28"/>
          <w:szCs w:val="28"/>
          <w:highlight w:val="none"/>
          <w:u w:val="single"/>
          <w:lang w:val="zh-CN"/>
        </w:rPr>
      </w:pPr>
      <w:r>
        <w:rPr>
          <w:rFonts w:hint="eastAsia" w:ascii="黑体" w:hAnsi="黑体" w:eastAsia="黑体" w:cs="黑体"/>
          <w:bCs/>
          <w:color w:val="auto"/>
          <w:sz w:val="28"/>
          <w:szCs w:val="28"/>
          <w:highlight w:val="none"/>
          <w:lang w:val="zh-CN" w:bidi="ar"/>
        </w:rPr>
        <w:t xml:space="preserve">投标投标单位全称(盖公章)：</w:t>
      </w:r>
      <w:r/>
    </w:p>
    <w:p>
      <w:pPr>
        <w:ind w:firstLine="3080"/>
        <w:spacing w:line="288" w:lineRule="auto"/>
        <w:rPr>
          <w:rFonts w:ascii="黑体" w:hAnsi="黑体" w:eastAsia="黑体" w:cs="黑体"/>
          <w:bCs/>
          <w:color w:val="auto"/>
          <w:sz w:val="28"/>
          <w:szCs w:val="28"/>
          <w:highlight w:val="none"/>
          <w:u w:val="single"/>
          <w:lang w:val="zh-CN"/>
        </w:rPr>
      </w:pPr>
      <w:r>
        <w:rPr>
          <w:rFonts w:hint="eastAsia" w:ascii="黑体" w:hAnsi="黑体" w:eastAsia="黑体" w:cs="黑体"/>
          <w:bCs/>
          <w:color w:val="auto"/>
          <w:sz w:val="28"/>
          <w:szCs w:val="28"/>
          <w:highlight w:val="none"/>
          <w:lang w:val="zh-CN" w:bidi="ar"/>
        </w:rPr>
        <w:t xml:space="preserve">法定代表人（签字或盖章）：</w:t>
      </w:r>
      <w:r/>
    </w:p>
    <w:p>
      <w:pPr>
        <w:ind w:firstLine="3080"/>
        <w:spacing w:line="288" w:lineRule="auto"/>
        <w:rPr>
          <w:rFonts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bidi="ar"/>
        </w:rPr>
        <w:t xml:space="preserve">时间：  年  月   日</w:t>
      </w:r>
      <w:r/>
    </w:p>
    <w:p>
      <w:pPr>
        <w:spacing w:line="288" w:lineRule="auto"/>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jc w:val="center"/>
        <w:rPr>
          <w:rFonts w:ascii="黑体" w:hAnsi="黑体" w:eastAsia="黑体" w:cs="黑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 w:val="32"/>
          <w:szCs w:val="32"/>
          <w:highlight w:val="none"/>
          <w:lang w:bidi="ar"/>
        </w:rPr>
        <w:t xml:space="preserve">附件13</w:t>
      </w:r>
      <w:r>
        <w:rPr>
          <w:rFonts w:hint="eastAsia" w:ascii="黑体" w:hAnsi="黑体" w:eastAsia="黑体" w:cs="黑体"/>
          <w:b/>
          <w:color w:val="auto"/>
          <w:sz w:val="30"/>
          <w:szCs w:val="30"/>
          <w:highlight w:val="none"/>
        </w:rPr>
        <w:t xml:space="preserve">关于符合本国产品标准的声明函</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firstLine="42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0"/>
          <w:highlight w:val="none"/>
          <w:vertAlign w:val="superscript"/>
        </w:rPr>
        <w:t xml:space="preserve">1</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0"/>
          <w:highlight w:val="none"/>
          <w:vertAlign w:val="superscript"/>
        </w:rPr>
        <w:t xml:space="preserve">2</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 （产品名称1） </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0"/>
          <w:highlight w:val="none"/>
          <w:vertAlign w:val="superscript"/>
        </w:rPr>
        <w:t xml:space="preserve">3</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0"/>
          <w:highlight w:val="none"/>
          <w:vertAlign w:val="superscript"/>
        </w:rPr>
        <w:t xml:space="preserve">4</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0"/>
          <w:highlight w:val="none"/>
          <w:vertAlign w:val="superscript"/>
        </w:rPr>
        <w:t xml:space="preserve">5</w:t>
      </w:r>
      <w:r>
        <w:rPr>
          <w:rFonts w:hint="eastAsia" w:ascii="黑体" w:hAnsi="黑体" w:eastAsia="黑体" w:cs="黑体"/>
          <w:color w:val="auto"/>
          <w:sz w:val="24"/>
          <w:highlight w:val="none"/>
        </w:rPr>
        <w:t xml:space="preserve">在中国境内完成。</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2.</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4"/>
          <w:highlight w:val="none"/>
        </w:rPr>
        <w:t xml:space="preserve">在中国境内完成。</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w:t>
      </w:r>
      <w:r/>
    </w:p>
    <w:p>
      <w:pPr>
        <w:ind w:firstLine="4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本公司（单位）对上述声明内容的真实性负责。如有虚假，愿承担相应法律责任。</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ascii="Calibri" w:hAnsi="Calibri" w:eastAsia="黑体" w:cs="Calibri"/>
          <w:color w:val="auto"/>
          <w:sz w:val="24"/>
          <w:highlight w:val="none"/>
        </w:rPr>
        <w:t xml:space="preserve"> </w:t>
      </w:r>
      <w:r/>
    </w:p>
    <w:p>
      <w:pPr>
        <w:ind w:right="480" w:firstLine="3720"/>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公司（单位）名称（盖章）：　</w:t>
      </w:r>
      <w:r/>
    </w:p>
    <w:p>
      <w:pPr>
        <w:jc w:val="cente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ascii="Calibri" w:hAnsi="Calibri" w:eastAsia="黑体" w:cs="Calibri"/>
          <w:color w:val="auto"/>
          <w:sz w:val="24"/>
          <w:highlight w:val="none"/>
        </w:rPr>
        <w:t xml:space="preserve"> </w:t>
      </w:r>
      <w:r>
        <w:rPr>
          <w:rFonts w:hint="eastAsia" w:ascii="黑体" w:hAnsi="黑体" w:eastAsia="黑体" w:cs="黑体"/>
          <w:color w:val="auto"/>
          <w:sz w:val="24"/>
          <w:highlight w:val="none"/>
        </w:rPr>
        <w:t xml:space="preserve">                               日期：　   年　  月　  日         </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__________________</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1.产品如有型号，请在“产品名称”栏一并填写。</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2.生产厂名与厂址应与生产厂营业执照载明的相关信息保持一致。</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3.该产品的中国境内生产的组件成本占比相关要求实施前，“规定比例”栏可不填，下同。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4.该产品的关键组件要求实施前，“关键组件”栏可不填，下同。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5.该产品的关键工序要求实施前，“关键工序”栏可不填，下同。</w:t>
      </w:r>
      <w:r/>
    </w:p>
    <w:p>
      <w:pPr>
        <w:spacing w:before="30" w:after="30"/>
        <w:rPr>
          <w:rFonts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6.用斜线划除的地方无需填写。</w:t>
      </w:r>
      <w:r/>
    </w:p>
    <w:p>
      <w:pPr>
        <w:rPr>
          <w:color w:val="auto"/>
          <w:highlight w:val="none"/>
        </w:rPr>
      </w:pPr>
      <w:r>
        <w:rPr>
          <w:color w:val="auto"/>
          <w:highlight w:val="none"/>
        </w:rPr>
      </w:r>
      <w:r/>
    </w:p>
    <w:p>
      <w:pPr>
        <w:spacing w:line="288" w:lineRule="auto"/>
        <w:rPr>
          <w:rFonts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br w:type="page" w:clear="all"/>
      </w:r>
      <w:r>
        <w:rPr>
          <w:rFonts w:hint="eastAsia" w:ascii="黑体" w:hAnsi="黑体" w:eastAsia="黑体" w:cs="黑体"/>
          <w:bCs/>
          <w:color w:val="auto"/>
          <w:sz w:val="32"/>
          <w:szCs w:val="32"/>
          <w:highlight w:val="none"/>
        </w:rPr>
        <w:t xml:space="preserve">附件14</w:t>
      </w:r>
      <w:r/>
    </w:p>
    <w:p>
      <w:pPr>
        <w:jc w:val="cente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 xml:space="preserve">质疑函范本</w:t>
      </w:r>
      <w:r/>
    </w:p>
    <w:p>
      <w:pPr>
        <w:spacing w:before="312"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一、质疑投标单位基本信息</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质疑投标单位：</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地址：邮编：</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联系人：联系电话：</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授权代表：</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联系电话：</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地址：邮编：</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二、质疑项目基本情况</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质疑项目的名称：</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质疑项目的编号：包号：</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招标人名称：</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采购文件获取日期：</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三、质疑事项具体内容</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质疑事项1：</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事实依据：</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法律依据：</w:t>
      </w:r>
      <w:r/>
    </w:p>
    <w:p>
      <w:pPr>
        <w:spacing w:line="288" w:lineRule="auto"/>
        <w:rPr>
          <w:rFonts w:ascii="黑体" w:hAnsi="黑体" w:eastAsia="黑体" w:cs="黑体"/>
          <w:bCs/>
          <w:color w:val="auto"/>
          <w:sz w:val="32"/>
          <w:szCs w:val="32"/>
          <w:highlight w:val="none"/>
          <w:u w:val="single"/>
        </w:rPr>
      </w:pPr>
      <w:r>
        <w:rPr>
          <w:rFonts w:ascii="黑体" w:hAnsi="黑体" w:eastAsia="黑体" w:cs="黑体"/>
          <w:bCs/>
          <w:color w:val="auto"/>
          <w:sz w:val="32"/>
          <w:szCs w:val="32"/>
          <w:highlight w:val="none"/>
          <w:u w:val="single"/>
        </w:rPr>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质疑事项2</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w:t>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四、与质疑事项相关的质疑请求</w:t>
      </w:r>
      <w:r/>
    </w:p>
    <w:p>
      <w:pPr>
        <w:spacing w:line="288" w:lineRule="auto"/>
        <w:rPr>
          <w:rFonts w:ascii="黑体" w:hAnsi="黑体" w:eastAsia="黑体" w:cs="黑体"/>
          <w:bCs/>
          <w:color w:val="auto"/>
          <w:sz w:val="32"/>
          <w:szCs w:val="32"/>
          <w:highlight w:val="none"/>
          <w:u w:val="single"/>
        </w:rPr>
      </w:pPr>
      <w:r>
        <w:rPr>
          <w:rFonts w:hint="eastAsia" w:ascii="黑体" w:hAnsi="黑体" w:eastAsia="黑体" w:cs="黑体"/>
          <w:bCs/>
          <w:color w:val="auto"/>
          <w:sz w:val="32"/>
          <w:szCs w:val="32"/>
          <w:highlight w:val="none"/>
        </w:rPr>
        <w:t xml:space="preserve">请求：</w:t>
      </w:r>
      <w:r/>
    </w:p>
    <w:p>
      <w:pPr>
        <w:spacing w:line="288" w:lineRule="auto"/>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签字(签章)：                   公章：                      </w:t>
      </w:r>
      <w:r/>
    </w:p>
    <w:p>
      <w:pPr>
        <w:spacing w:line="288" w:lineRule="auto"/>
        <w:rPr>
          <w:rFonts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日期：    </w:t>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spacing w:line="288" w:lineRule="auto"/>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质疑函制作说明：</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1.投标单位提出质疑时，应提交质疑函和必要的证明材料。</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2.质疑投标单位若委托代理人进行质疑的，质疑函应按要求列明“授权代表”的有关内容，并在附件中提交由质疑投标单位签署的授权委托书。授权委托书应载明代理人的姓名或者名称、代理事项、具体权限、期限和相关事项。</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3.质疑投标单位若对项目的某一分包进行质疑，质疑函中应列明具体分包号。</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4.质疑函的质疑事项应具体、明确，并有必要的事实依据和法律依据。</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5.质疑函的质疑请求应与质疑事项相关。</w:t>
      </w:r>
      <w:r/>
    </w:p>
    <w:p>
      <w:pPr>
        <w:ind w:firstLine="640"/>
        <w:jc w:val="left"/>
        <w:spacing w:line="288" w:lineRule="auto"/>
        <w:widowControl/>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6.质疑投标单位为自然人的，质疑函应由本人签字；质疑投标单位为法人或者其他组织的，质疑函应由法定代表人、主要负责人，或者其授权代表签字或者盖章，并加盖公章。</w:t>
      </w:r>
      <w:r/>
    </w:p>
    <w:p>
      <w:pPr>
        <w:jc w:val="cente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 </w:t>
      </w:r>
      <w:r/>
    </w:p>
    <w:p>
      <w:pPr>
        <w:spacing w:line="288"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br w:type="page" w:clear="all"/>
      </w:r>
      <w:r/>
    </w:p>
    <w:p>
      <w:pPr>
        <w:jc w:val="center"/>
        <w:spacing w:line="288" w:lineRule="auto"/>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 xml:space="preserve">政府采购合同</w:t>
      </w:r>
      <w:r/>
    </w:p>
    <w:p>
      <w:pPr>
        <w:ind w:firstLine="120"/>
        <w:spacing w:line="288"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pStyle w:val="1024"/>
        <w:ind w:firstLine="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1024"/>
        <w:ind w:firstLine="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spacing w:before="120"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left="42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left="42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left="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w:t>
      </w:r>
      <w:r>
        <w:rPr>
          <w:rFonts w:hint="eastAsia" w:ascii="黑体" w:hAnsi="黑体" w:eastAsia="黑体" w:cs="黑体"/>
          <w:bCs/>
          <w:color w:val="auto"/>
          <w:sz w:val="28"/>
          <w:szCs w:val="28"/>
          <w:highlight w:val="none"/>
          <w:u w:val="single"/>
        </w:rPr>
        <w:t xml:space="preserve">                             </w:t>
      </w:r>
      <w:r/>
    </w:p>
    <w:p>
      <w:pPr>
        <w:ind w:left="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合同编号：</w:t>
      </w:r>
      <w:r>
        <w:rPr>
          <w:rFonts w:hint="eastAsia" w:ascii="黑体" w:hAnsi="黑体" w:eastAsia="黑体" w:cs="黑体"/>
          <w:bCs/>
          <w:color w:val="auto"/>
          <w:sz w:val="28"/>
          <w:szCs w:val="28"/>
          <w:highlight w:val="none"/>
          <w:u w:val="single"/>
        </w:rPr>
        <w:t xml:space="preserve">                             </w:t>
      </w:r>
      <w:r/>
    </w:p>
    <w:p>
      <w:pPr>
        <w:ind w:left="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    方：</w:t>
      </w:r>
      <w:r>
        <w:rPr>
          <w:rFonts w:hint="eastAsia" w:ascii="黑体" w:hAnsi="黑体" w:eastAsia="黑体" w:cs="黑体"/>
          <w:bCs/>
          <w:color w:val="auto"/>
          <w:sz w:val="28"/>
          <w:szCs w:val="28"/>
          <w:highlight w:val="none"/>
          <w:u w:val="single"/>
        </w:rPr>
        <w:t xml:space="preserve">                             </w:t>
      </w:r>
      <w:r/>
    </w:p>
    <w:p>
      <w:pPr>
        <w:ind w:left="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乙    方：</w:t>
      </w:r>
      <w:r>
        <w:rPr>
          <w:rFonts w:hint="eastAsia" w:ascii="黑体" w:hAnsi="黑体" w:eastAsia="黑体" w:cs="黑体"/>
          <w:bCs/>
          <w:color w:val="auto"/>
          <w:sz w:val="28"/>
          <w:szCs w:val="28"/>
          <w:highlight w:val="none"/>
          <w:u w:val="single"/>
        </w:rPr>
        <w:t xml:space="preserve">                             </w:t>
      </w:r>
      <w:r/>
    </w:p>
    <w:p>
      <w:pPr>
        <w:pStyle w:val="1024"/>
        <w:ind w:firstLine="560"/>
        <w:spacing w:line="288" w:lineRule="auto"/>
        <w:rPr>
          <w:rFonts w:ascii="黑体" w:hAnsi="黑体" w:eastAsia="黑体" w:cs="黑体"/>
          <w:bCs/>
          <w:color w:val="auto"/>
          <w:szCs w:val="24"/>
          <w:highlight w:val="none"/>
        </w:rPr>
      </w:pPr>
      <w:r>
        <w:rPr>
          <w:rFonts w:hint="eastAsia" w:ascii="黑体" w:hAnsi="黑体" w:eastAsia="黑体" w:cs="黑体"/>
          <w:bCs/>
          <w:color w:val="auto"/>
          <w:sz w:val="28"/>
          <w:szCs w:val="28"/>
          <w:highlight w:val="none"/>
        </w:rPr>
        <w:t xml:space="preserve">签订时间：</w:t>
      </w:r>
      <w:r>
        <w:rPr>
          <w:rFonts w:hint="eastAsia" w:ascii="黑体" w:hAnsi="黑体" w:eastAsia="黑体" w:cs="黑体"/>
          <w:bCs/>
          <w:color w:val="auto"/>
          <w:sz w:val="28"/>
          <w:szCs w:val="28"/>
          <w:highlight w:val="none"/>
          <w:u w:val="single"/>
        </w:rPr>
        <w:t xml:space="preserve">  </w:t>
      </w:r>
      <w:r/>
    </w:p>
    <w:p>
      <w:pPr>
        <w:pStyle w:val="1024"/>
        <w:ind w:firstLine="0"/>
        <w:spacing w:line="288" w:lineRule="auto"/>
        <w:rPr>
          <w:rFonts w:ascii="黑体" w:hAnsi="黑体" w:eastAsia="黑体" w:cs="黑体"/>
          <w:bCs/>
          <w:color w:val="auto"/>
          <w:szCs w:val="24"/>
          <w:highlight w:val="none"/>
        </w:rPr>
      </w:pPr>
      <w:r>
        <w:rPr>
          <w:rFonts w:ascii="黑体" w:hAnsi="黑体" w:eastAsia="黑体" w:cs="黑体"/>
          <w:bCs/>
          <w:color w:val="auto"/>
          <w:szCs w:val="24"/>
          <w:highlight w:val="none"/>
        </w:rPr>
      </w:r>
      <w:r/>
    </w:p>
    <w:p>
      <w:pPr>
        <w:pStyle w:val="1024"/>
        <w:ind w:firstLine="0"/>
        <w:spacing w:line="288" w:lineRule="auto"/>
        <w:rPr>
          <w:rFonts w:ascii="黑体" w:hAnsi="黑体" w:eastAsia="黑体" w:cs="黑体"/>
          <w:bCs/>
          <w:color w:val="auto"/>
          <w:szCs w:val="24"/>
          <w:highlight w:val="none"/>
        </w:rPr>
      </w:pPr>
      <w:r>
        <w:rPr>
          <w:rFonts w:ascii="黑体" w:hAnsi="黑体" w:eastAsia="黑体" w:cs="黑体"/>
          <w:bCs/>
          <w:color w:val="auto"/>
          <w:szCs w:val="24"/>
          <w:highlight w:val="none"/>
        </w:rPr>
      </w:r>
      <w:r/>
    </w:p>
    <w:p>
      <w:pPr>
        <w:pStyle w:val="1024"/>
        <w:ind w:firstLine="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Cs w:val="24"/>
          <w:highlight w:val="none"/>
        </w:rPr>
        <w:br w:type="page" w:clear="all"/>
      </w:r>
      <w:r>
        <w:rPr>
          <w:rFonts w:hint="eastAsia" w:ascii="黑体" w:hAnsi="黑体" w:eastAsia="黑体" w:cs="黑体"/>
          <w:bCs/>
          <w:color w:val="auto"/>
          <w:sz w:val="28"/>
          <w:szCs w:val="28"/>
          <w:highlight w:val="none"/>
        </w:rPr>
        <w:t xml:space="preserve">第一部分 合同书</w:t>
      </w:r>
      <w:r/>
    </w:p>
    <w:p>
      <w:pPr>
        <w:ind w:left="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使 用 说 明</w:t>
      </w:r>
      <w:r/>
    </w:p>
    <w:p>
      <w:pPr>
        <w:ind w:firstLine="560"/>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1.本合同标准文本适用于购买现成货物的采购项目，不包括需要投标单位定制开发、创新研发的货物采购项目。</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3.本合同标准文本各条款中，如涉及填写多家投标单位、制造商，多种采购标的、分包主要内容等信息的，可根据采购项目具体情况添加信息项。</w:t>
      </w:r>
      <w:r/>
    </w:p>
    <w:p>
      <w:pPr>
        <w:ind w:firstLine="560"/>
        <w:spacing w:line="288" w:lineRule="auto"/>
        <w:rPr>
          <w:rFonts w:ascii="黑体" w:hAnsi="黑体" w:eastAsia="黑体" w:cs="黑体"/>
          <w:bCs/>
          <w:color w:val="auto"/>
          <w:sz w:val="28"/>
          <w:szCs w:val="28"/>
          <w:highlight w:val="none"/>
        </w:rP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黑体"/>
          <w:bCs/>
          <w:color w:val="auto"/>
          <w:sz w:val="28"/>
          <w:szCs w:val="28"/>
          <w:highlight w:val="none"/>
        </w:rPr>
      </w:r>
      <w:r/>
    </w:p>
    <w:p>
      <w:pPr>
        <w:pStyle w:val="819"/>
        <w:jc w:val="center"/>
        <w:spacing w:line="288" w:lineRule="auto"/>
        <w:rPr>
          <w:rFonts w:ascii="黑体" w:hAnsi="黑体" w:eastAsia="黑体" w:cs="黑体"/>
          <w:bCs/>
          <w:color w:val="auto"/>
          <w:sz w:val="28"/>
          <w:szCs w:val="28"/>
          <w:highlight w:val="none"/>
        </w:rPr>
      </w:pPr>
      <w:r/>
      <w:bookmarkStart w:id="108" w:name="_Toc22209"/>
      <w:r>
        <w:rPr>
          <w:rFonts w:hint="eastAsia" w:ascii="黑体" w:hAnsi="黑体" w:eastAsia="黑体" w:cs="黑体"/>
          <w:bCs/>
          <w:color w:val="auto"/>
          <w:sz w:val="28"/>
          <w:szCs w:val="28"/>
          <w:highlight w:val="none"/>
        </w:rPr>
        <w:t xml:space="preserve">第一节 政府采购合同协议书</w:t>
      </w:r>
      <w:bookmarkEnd w:id="108"/>
      <w:r/>
      <w:r/>
    </w:p>
    <w:p>
      <w:pPr>
        <w:pStyle w:val="819"/>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甲方（全称）：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（招标人、受招标人委托签订合同的单位或采购文件约定的合同甲方）</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乙方（全称）：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（投标单位）</w:t>
      </w:r>
      <w:r/>
    </w:p>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34"/>
        <w:ind w:left="0" w:firstLine="560"/>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项目信息</w:t>
      </w:r>
      <w:r/>
    </w:p>
    <w:p>
      <w:pPr>
        <w:pStyle w:val="834"/>
        <w:numPr>
          <w:ilvl w:val="0"/>
          <w:numId w:val="7"/>
        </w:numPr>
        <w:ind w:left="0" w:firstLine="560"/>
        <w:spacing w:after="0"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采购项目名称：</w:t>
      </w:r>
      <w:r>
        <w:rPr>
          <w:rFonts w:hint="eastAsia" w:ascii="黑体" w:hAnsi="黑体" w:eastAsia="黑体" w:cs="黑体"/>
          <w:bCs/>
          <w:color w:val="auto"/>
          <w:sz w:val="28"/>
          <w:szCs w:val="28"/>
          <w:highlight w:val="none"/>
          <w:u w:val="single"/>
        </w:rPr>
        <w:t xml:space="preserve">                                          </w:t>
      </w:r>
      <w:r/>
    </w:p>
    <w:p>
      <w:pPr>
        <w:pStyle w:val="834"/>
        <w:numPr>
          <w:ilvl w:val="255"/>
          <w:numId w:val="0"/>
        </w:numPr>
        <w:spacing w:after="0" w:line="288" w:lineRule="auto"/>
        <w:tabs>
          <w:tab w:val="left" w:pos="999"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采购项目编号：</w:t>
      </w:r>
      <w:r>
        <w:rPr>
          <w:rFonts w:hint="eastAsia" w:ascii="黑体" w:hAnsi="黑体" w:eastAsia="黑体" w:cs="黑体"/>
          <w:bCs/>
          <w:color w:val="auto"/>
          <w:sz w:val="28"/>
          <w:szCs w:val="28"/>
          <w:highlight w:val="none"/>
          <w:u w:val="single"/>
        </w:rPr>
        <w:t xml:space="preserve">                                          </w:t>
      </w:r>
      <w:r/>
    </w:p>
    <w:p>
      <w:pPr>
        <w:pStyle w:val="834"/>
        <w:ind w:left="0" w:firstLine="560"/>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（2）采购计划编号：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（3）项目内容：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采购标的及数量（台/套</w:t>
      </w:r>
      <w:r>
        <w:rPr>
          <w:rFonts w:hint="eastAsia" w:ascii="黑体" w:hAnsi="黑体" w:eastAsia="黑体" w:cs="黑体"/>
          <w:bCs/>
          <w:color w:val="auto"/>
          <w:sz w:val="28"/>
          <w:szCs w:val="28"/>
          <w:highlight w:val="none"/>
          <w:lang w:val="en"/>
        </w:rPr>
        <w:t xml:space="preserve">/个/架/组等</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numPr>
          <w:ilvl w:val="255"/>
          <w:numId w:val="0"/>
        </w:numPr>
        <w:ind w:firstLine="560"/>
        <w:spacing w:line="288" w:lineRule="auto"/>
        <w:rPr>
          <w:rFonts w:ascii="黑体" w:hAnsi="黑体" w:eastAsia="黑体" w:cs="黑体"/>
          <w:bCs/>
          <w:color w:val="auto"/>
          <w:sz w:val="28"/>
          <w:szCs w:val="28"/>
          <w:highlight w:val="none"/>
          <w:lang w:val="en"/>
        </w:rPr>
      </w:pP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lang w:val="en"/>
        </w:rPr>
        <w:t xml:space="preserve">     </w:t>
      </w:r>
      <w:r>
        <w:rPr>
          <w:rFonts w:hint="eastAsia" w:ascii="黑体" w:hAnsi="黑体" w:eastAsia="黑体" w:cs="黑体"/>
          <w:bCs/>
          <w:color w:val="auto"/>
          <w:sz w:val="28"/>
          <w:szCs w:val="28"/>
          <w:highlight w:val="none"/>
        </w:rPr>
        <w:t xml:space="preserve">规格型号：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p>
    <w:p>
      <w:pPr>
        <w:ind w:firstLine="12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采购标的的技术要求、商务要求具体见附件。</w:t>
      </w:r>
      <w:r/>
    </w:p>
    <w:p>
      <w:pPr>
        <w:numPr>
          <w:ilvl w:val="255"/>
          <w:numId w:val="0"/>
        </w:numPr>
        <w:ind w:firstLine="12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①涉及信息类产品，请填写该产品关键部件的品牌、型号：</w:t>
      </w:r>
      <w:r/>
    </w:p>
    <w:p>
      <w:pPr>
        <w:numPr>
          <w:ilvl w:val="255"/>
          <w:numId w:val="0"/>
        </w:num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标的名称：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val="en"/>
        </w:rPr>
        <w:t xml:space="preserve">               </w:t>
      </w:r>
      <w:r>
        <w:rPr>
          <w:rFonts w:hint="eastAsia" w:ascii="黑体" w:hAnsi="黑体" w:eastAsia="黑体" w:cs="黑体"/>
          <w:bCs/>
          <w:color w:val="auto"/>
          <w:sz w:val="28"/>
          <w:szCs w:val="28"/>
          <w:highlight w:val="none"/>
          <w:u w:val="single"/>
        </w:rPr>
        <w:t xml:space="preserve">    </w:t>
      </w:r>
      <w:r/>
    </w:p>
    <w:p>
      <w:pPr>
        <w:numPr>
          <w:ilvl w:val="255"/>
          <w:numId w:val="0"/>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关键部件：</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151"/>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rPr>
        <w:t xml:space="preserve">关键部件</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151"/>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关键部件：</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型号：</w:t>
      </w:r>
      <w:r>
        <w:rPr>
          <w:rFonts w:hint="eastAsia" w:ascii="黑体" w:hAnsi="黑体" w:eastAsia="黑体" w:cs="黑体"/>
          <w:bCs/>
          <w:color w:val="auto"/>
          <w:sz w:val="28"/>
          <w:szCs w:val="28"/>
          <w:highlight w:val="none"/>
          <w:u w:val="single"/>
        </w:rPr>
        <w:t xml:space="preserve">       </w:t>
      </w:r>
      <w:r/>
    </w:p>
    <w:p>
      <w:pPr>
        <w:pStyle w:val="1151"/>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151"/>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②涉及车辆采购，请填写是否属于新能源汽车：</w:t>
      </w:r>
      <w:r/>
    </w:p>
    <w:p>
      <w:pPr>
        <w:pStyle w:val="1151"/>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是，《政府采购品目分类目录》底级品目名称：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数量：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金额：</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151"/>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pStyle w:val="1151"/>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lang w:val="en"/>
        </w:rPr>
        <w:t xml:space="preserve">4</w:t>
      </w:r>
      <w:r>
        <w:rPr>
          <w:rFonts w:hint="eastAsia" w:ascii="黑体" w:hAnsi="黑体" w:eastAsia="黑体" w:cs="黑体"/>
          <w:bCs/>
          <w:color w:val="auto"/>
          <w:sz w:val="28"/>
          <w:szCs w:val="28"/>
          <w:highlight w:val="none"/>
        </w:rPr>
        <w:t xml:space="preserve">）政府采购组织形式：</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政府集中采购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部门集中采购  </w:t>
      </w:r>
      <w:r>
        <w:rPr>
          <w:rFonts w:ascii="Wingdings" w:hAnsi="Wingdings" w:eastAsia="Wingdings" w:cs="Wingdings"/>
          <w:bCs/>
          <w:color w:val="auto"/>
          <w:sz w:val="28"/>
          <w:szCs w:val="28"/>
          <w:highlight w:val="none"/>
        </w:rPr>
        <w:t xml:space="preserve">þ</w:t>
      </w:r>
      <w:r>
        <w:rPr>
          <w:rFonts w:hint="eastAsia" w:ascii="黑体" w:hAnsi="黑体" w:eastAsia="黑体" w:cs="黑体"/>
          <w:bCs/>
          <w:color w:val="auto"/>
          <w:sz w:val="28"/>
          <w:szCs w:val="28"/>
          <w:highlight w:val="none"/>
        </w:rPr>
        <w:t xml:space="preserve">分散采购</w:t>
      </w:r>
      <w:r/>
    </w:p>
    <w:p>
      <w:pPr>
        <w:pStyle w:val="1151"/>
        <w:numPr>
          <w:ilvl w:val="255"/>
          <w:numId w:val="0"/>
        </w:num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val="en"/>
        </w:rPr>
        <w:t xml:space="preserve">5</w:t>
      </w:r>
      <w:r>
        <w:rPr>
          <w:rFonts w:hint="eastAsia" w:ascii="黑体" w:hAnsi="黑体" w:eastAsia="黑体" w:cs="黑体"/>
          <w:bCs/>
          <w:color w:val="auto"/>
          <w:sz w:val="28"/>
          <w:szCs w:val="28"/>
          <w:highlight w:val="none"/>
        </w:rPr>
        <w:t xml:space="preserve">）政府采购方式：</w:t>
      </w:r>
      <w:r>
        <w:rPr>
          <w:rFonts w:ascii="Wingdings" w:hAnsi="Wingdings" w:eastAsia="Wingdings" w:cs="Wingdings"/>
          <w:bCs/>
          <w:color w:val="auto"/>
          <w:sz w:val="28"/>
          <w:szCs w:val="28"/>
          <w:highlight w:val="none"/>
        </w:rPr>
        <w:t xml:space="preserve">þ</w:t>
      </w:r>
      <w:r>
        <w:rPr>
          <w:rFonts w:hint="eastAsia" w:ascii="黑体" w:hAnsi="黑体" w:eastAsia="黑体" w:cs="黑体"/>
          <w:bCs/>
          <w:color w:val="auto"/>
          <w:sz w:val="28"/>
          <w:szCs w:val="28"/>
          <w:highlight w:val="none"/>
        </w:rPr>
        <w:t xml:space="preserve">公开招标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邀请招标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竞争性谈判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竞争性磋商</w:t>
      </w:r>
      <w:r/>
    </w:p>
    <w:p>
      <w:pPr>
        <w:pStyle w:val="1151"/>
        <w:numPr>
          <w:ilvl w:val="255"/>
          <w:numId w:val="0"/>
        </w:numPr>
        <w:ind w:firstLine="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询价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单一来源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框架协议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其他：</w:t>
      </w:r>
      <w:r>
        <w:rPr>
          <w:rFonts w:hint="eastAsia" w:ascii="黑体" w:hAnsi="黑体" w:eastAsia="黑体" w:cs="黑体"/>
          <w:bCs/>
          <w:color w:val="auto"/>
          <w:sz w:val="28"/>
          <w:szCs w:val="28"/>
          <w:highlight w:val="none"/>
          <w:u w:val="single"/>
        </w:rPr>
        <w:t xml:space="preserve">          </w:t>
      </w:r>
      <w:r/>
    </w:p>
    <w:p>
      <w:pPr>
        <w:pStyle w:val="1151"/>
        <w:numPr>
          <w:ilvl w:val="255"/>
          <w:numId w:val="0"/>
        </w:num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（注：在框架协议采购的第二阶段，可选择使用该合同文本）</w:t>
      </w:r>
      <w:r/>
    </w:p>
    <w:p>
      <w:pPr>
        <w:pStyle w:val="1151"/>
        <w:numPr>
          <w:ilvl w:val="255"/>
          <w:numId w:val="0"/>
        </w:numPr>
        <w:ind w:firstLine="28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lang w:val="en"/>
        </w:rPr>
        <w:t xml:space="preserve">6</w:t>
      </w: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rPr>
        <w:t xml:space="preserve">中标（成交）采购标的制造商是否为中小企业：</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本合同是否为专门面向中小企业的采购合同（中小企业预留合同）：</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若本项目不专门面向中小企业采购，是否给予小微企业评审优惠：</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中标（成交）采购标的制造商是否为残疾人福利性单位：</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中标（成交）采购标的制造商是否为监狱企业：</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val="en"/>
        </w:rPr>
        <w:t xml:space="preserve">7</w:t>
      </w:r>
      <w:r>
        <w:rPr>
          <w:rFonts w:hint="eastAsia" w:ascii="黑体" w:hAnsi="黑体" w:eastAsia="黑体" w:cs="黑体"/>
          <w:bCs/>
          <w:color w:val="auto"/>
          <w:sz w:val="28"/>
          <w:szCs w:val="28"/>
          <w:highlight w:val="none"/>
        </w:rPr>
        <w:t xml:space="preserve">）合同是否分包：</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分包主要内容：</w:t>
      </w:r>
      <w:r>
        <w:rPr>
          <w:rFonts w:hint="eastAsia" w:ascii="黑体" w:hAnsi="黑体" w:eastAsia="黑体" w:cs="黑体"/>
          <w:bCs/>
          <w:color w:val="auto"/>
          <w:sz w:val="28"/>
          <w:szCs w:val="28"/>
          <w:highlight w:val="none"/>
          <w:u w:val="single"/>
        </w:rPr>
        <w:t xml:space="preserve">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分包投标单位/制造商名称（如投标单位和制造商不同，请分别填写）：</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u w:val="single"/>
        </w:rPr>
        <w:t xml:space="preserve">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分包投标单位/制造商类型（如果投标单位和制造商不同，只填写制造商类型）：</w:t>
      </w:r>
      <w:r/>
    </w:p>
    <w:p>
      <w:pPr>
        <w:ind w:firstLine="1120"/>
        <w:spacing w:line="288" w:lineRule="auto"/>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大型企业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中型企业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小微型企业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残疾人福利性单位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监狱企业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其他</w:t>
      </w:r>
      <w:r/>
    </w:p>
    <w:p>
      <w:pPr>
        <w:numPr>
          <w:ilvl w:val="255"/>
          <w:numId w:val="0"/>
        </w:numPr>
        <w:spacing w:line="288" w:lineRule="auto"/>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lang w:val="en"/>
        </w:rPr>
        <w:t xml:space="preserve">8</w:t>
      </w:r>
      <w:r>
        <w:rPr>
          <w:rFonts w:hint="eastAsia" w:ascii="黑体" w:hAnsi="黑体" w:eastAsia="黑体" w:cs="黑体"/>
          <w:bCs/>
          <w:color w:val="auto"/>
          <w:sz w:val="28"/>
          <w:szCs w:val="28"/>
          <w:highlight w:val="none"/>
        </w:rPr>
        <w:t xml:space="preserve">）中标（成交）投标单位是否为外商投资企业：</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是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否</w:t>
      </w:r>
      <w:r/>
    </w:p>
    <w:p>
      <w:pPr>
        <w:pStyle w:val="1151"/>
        <w:ind w:firstLine="560"/>
        <w:spacing w:line="288" w:lineRule="auto"/>
        <w:tabs>
          <w:tab w:val="left" w:pos="1340" w:leader="none"/>
        </w:tabs>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外商投资企业类型：</w:t>
      </w:r>
      <w:r>
        <w:rPr>
          <w:rFonts w:ascii="Wingdings" w:hAnsi="Wingdings" w:eastAsia="Wingdings" w:cs="Wingdings"/>
          <w:bCs/>
          <w:iCs/>
          <w:color w:val="auto"/>
          <w:sz w:val="28"/>
          <w:szCs w:val="28"/>
          <w:highlight w:val="none"/>
        </w:rPr>
        <w:t xml:space="preserve">¨</w:t>
      </w:r>
      <w:r>
        <w:rPr>
          <w:rFonts w:hint="eastAsia" w:ascii="黑体" w:hAnsi="黑体" w:eastAsia="黑体" w:cs="黑体"/>
          <w:bCs/>
          <w:color w:val="auto"/>
          <w:sz w:val="28"/>
          <w:szCs w:val="28"/>
          <w:highlight w:val="none"/>
        </w:rPr>
        <w:t xml:space="preserve">全部由外国投资者投资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部分由外国投资者投资</w:t>
      </w:r>
      <w:r/>
    </w:p>
    <w:p>
      <w:pPr>
        <w:numPr>
          <w:ilvl w:val="255"/>
          <w:numId w:val="0"/>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rPr>
          <w:rFonts w:hint="eastAsia" w:ascii="黑体" w:hAnsi="黑体" w:eastAsia="黑体" w:cs="黑体"/>
          <w:bCs/>
          <w:color w:val="auto"/>
          <w:sz w:val="28"/>
          <w:szCs w:val="28"/>
          <w:highlight w:val="none"/>
          <w:lang w:val="en"/>
        </w:rPr>
        <w:t xml:space="preserve">9</w:t>
      </w:r>
      <w:r>
        <w:rPr>
          <w:rFonts w:hint="eastAsia" w:ascii="黑体" w:hAnsi="黑体" w:eastAsia="黑体" w:cs="黑体"/>
          <w:bCs/>
          <w:color w:val="auto"/>
          <w:sz w:val="28"/>
          <w:szCs w:val="28"/>
          <w:highlight w:val="none"/>
        </w:rPr>
        <w:t xml:space="preserve">）是否涉及进口产品：</w:t>
      </w:r>
      <w:r/>
    </w:p>
    <w:p>
      <w:pPr>
        <w:numPr>
          <w:ilvl w:val="255"/>
          <w:numId w:val="0"/>
        </w:num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是，《政府采购品目分类目录》底级品目名称：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金额：</w:t>
      </w:r>
      <w:r>
        <w:rPr>
          <w:rFonts w:hint="eastAsia" w:ascii="黑体" w:hAnsi="黑体" w:eastAsia="黑体" w:cs="黑体"/>
          <w:bCs/>
          <w:color w:val="auto"/>
          <w:sz w:val="28"/>
          <w:szCs w:val="28"/>
          <w:highlight w:val="none"/>
          <w:u w:val="single"/>
        </w:rPr>
        <w:t xml:space="preserve">        </w:t>
      </w:r>
      <w:r/>
    </w:p>
    <w:p>
      <w:pPr>
        <w:numPr>
          <w:ilvl w:val="255"/>
          <w:numId w:val="0"/>
        </w:num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国别：</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品牌：</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规格型号：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（1</w:t>
      </w:r>
      <w:r>
        <w:rPr>
          <w:rFonts w:hint="eastAsia" w:ascii="黑体" w:hAnsi="黑体" w:eastAsia="黑体" w:cs="黑体"/>
          <w:bCs/>
          <w:color w:val="auto"/>
          <w:sz w:val="28"/>
          <w:szCs w:val="28"/>
          <w:highlight w:val="none"/>
          <w:lang w:val="en"/>
        </w:rPr>
        <w:t xml:space="preserve">0</w:t>
      </w:r>
      <w:r>
        <w:rPr>
          <w:rFonts w:hint="eastAsia" w:ascii="黑体" w:hAnsi="黑体" w:eastAsia="黑体" w:cs="黑体"/>
          <w:bCs/>
          <w:color w:val="auto"/>
          <w:sz w:val="28"/>
          <w:szCs w:val="28"/>
          <w:highlight w:val="none"/>
        </w:rPr>
        <w:t xml:space="preserve">）是否涉及节能产品：</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是，《节能产品政府采购品目清单》的底级品目名称：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     </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强制采购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优先采购    </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是否涉及环境标志产品：</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是，《环境标志产品政府采购品目清单》的底级品目名称：</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 </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强制采购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优先采购    </w:t>
      </w:r>
      <w:r/>
    </w:p>
    <w:p>
      <w:pPr>
        <w:numPr>
          <w:ilvl w:val="255"/>
          <w:numId w:val="0"/>
        </w:numPr>
        <w:spacing w:line="288" w:lineRule="auto"/>
        <w:tabs>
          <w:tab w:val="left" w:pos="740" w:leader="none"/>
        </w:tabs>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pStyle w:val="1151"/>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28"/>
          <w:szCs w:val="28"/>
          <w:highlight w:val="none"/>
        </w:rPr>
        <w:t xml:space="preserve">是否涉及绿色产品： </w:t>
      </w:r>
      <w:r/>
    </w:p>
    <w:p>
      <w:pPr>
        <w:pStyle w:val="1151"/>
        <w:ind w:firstLine="4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是，绿色产品政府采购相关政策确定的底级品目名称：</w:t>
      </w:r>
      <w:r>
        <w:rPr>
          <w:rFonts w:hint="eastAsia" w:ascii="黑体" w:hAnsi="黑体" w:eastAsia="黑体" w:cs="黑体"/>
          <w:bCs/>
          <w:color w:val="auto"/>
          <w:sz w:val="28"/>
          <w:szCs w:val="28"/>
          <w:highlight w:val="none"/>
          <w:u w:val="single"/>
        </w:rPr>
        <w:t xml:space="preserve">         </w:t>
      </w:r>
      <w:r/>
    </w:p>
    <w:p>
      <w:pPr>
        <w:numPr>
          <w:ilvl w:val="255"/>
          <w:numId w:val="0"/>
        </w:numPr>
        <w:spacing w:line="288" w:lineRule="auto"/>
        <w:tabs>
          <w:tab w:val="left" w:pos="740" w:leader="none"/>
        </w:tabs>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强制采购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优先采购    </w:t>
      </w:r>
      <w:r/>
    </w:p>
    <w:p>
      <w:pPr>
        <w:pStyle w:val="1151"/>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（1</w:t>
      </w:r>
      <w:r>
        <w:rPr>
          <w:rFonts w:hint="eastAsia" w:ascii="黑体" w:hAnsi="黑体" w:eastAsia="黑体" w:cs="黑体"/>
          <w:bCs/>
          <w:color w:val="auto"/>
          <w:sz w:val="28"/>
          <w:szCs w:val="28"/>
          <w:highlight w:val="none"/>
          <w:lang w:val="en"/>
        </w:rPr>
        <w:t xml:space="preserve">1</w:t>
      </w:r>
      <w:r>
        <w:rPr>
          <w:rFonts w:hint="eastAsia" w:ascii="黑体" w:hAnsi="黑体" w:eastAsia="黑体" w:cs="黑体"/>
          <w:bCs/>
          <w:color w:val="auto"/>
          <w:sz w:val="28"/>
          <w:szCs w:val="28"/>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120"/>
        <w:spacing w:line="288" w:lineRule="auto"/>
        <w:rPr>
          <w:rFonts w:ascii="黑体" w:hAnsi="黑体" w:eastAsia="黑体" w:cs="黑体"/>
          <w:bCs/>
          <w:color w:val="auto"/>
          <w:sz w:val="28"/>
          <w:szCs w:val="28"/>
          <w:highlight w:val="non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不涉及</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合同金额</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（1）合同金额小写：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大写：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分包金额（如有）小写：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                     大写：</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（注：固定单价合同应填写单价和最高限价）</w:t>
      </w:r>
      <w:r/>
    </w:p>
    <w:p>
      <w:pPr>
        <w:numPr>
          <w:ilvl w:val="255"/>
          <w:numId w:val="0"/>
        </w:num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（2）合同定价方式（采用组合定价方式的，可以勾选多项）：</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iCs/>
          <w:color w:val="auto"/>
          <w:sz w:val="28"/>
          <w:szCs w:val="28"/>
          <w:highlight w:val="none"/>
        </w:rPr>
        <w:t xml:space="preserve">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固定总价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固定单价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固定费率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成本补偿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绩效激励 </w:t>
      </w:r>
      <w:r>
        <w:rPr>
          <w:rFonts w:ascii="Wingdings" w:hAnsi="Wingdings" w:eastAsia="Wingdings" w:cs="Wingdings"/>
          <w:bCs/>
          <w:iCs/>
          <w:color w:val="auto"/>
          <w:sz w:val="28"/>
          <w:szCs w:val="28"/>
          <w:highlight w:val="none"/>
        </w:rPr>
        <w:t xml:space="preserve">¨</w:t>
      </w:r>
      <w:r>
        <w:rPr>
          <w:rFonts w:hint="eastAsia" w:ascii="黑体" w:hAnsi="黑体" w:eastAsia="黑体" w:cs="黑体"/>
          <w:bCs/>
          <w:iCs/>
          <w:color w:val="auto"/>
          <w:sz w:val="28"/>
          <w:szCs w:val="28"/>
          <w:highlight w:val="none"/>
        </w:rPr>
        <w:t xml:space="preserve">其他</w:t>
      </w:r>
      <w:r>
        <w:rPr>
          <w:rFonts w:hint="eastAsia" w:ascii="黑体" w:hAnsi="黑体" w:eastAsia="黑体" w:cs="黑体"/>
          <w:bCs/>
          <w:color w:val="auto"/>
          <w:sz w:val="28"/>
          <w:szCs w:val="28"/>
          <w:highlight w:val="none"/>
          <w:u w:val="single"/>
        </w:rPr>
        <w:t xml:space="preserve">       </w:t>
      </w:r>
      <w:r/>
    </w:p>
    <w:p>
      <w:pPr>
        <w:pStyle w:val="1085"/>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（3）付款方式（按项目实际勾选填写）：</w:t>
      </w:r>
      <w:r/>
    </w:p>
    <w:p>
      <w:pPr>
        <w:ind w:firstLine="840"/>
        <w:spacing w:line="288" w:lineRule="auto"/>
        <w:rPr>
          <w:rFonts w:ascii="黑体" w:hAnsi="黑体" w:eastAsia="黑体" w:cs="黑体"/>
          <w:bCs/>
          <w:color w:val="auto"/>
          <w:sz w:val="28"/>
          <w:szCs w:val="28"/>
          <w:highlight w:val="none"/>
          <w:u w:val="singl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全额付款：</w:t>
      </w:r>
      <w:r>
        <w:rPr>
          <w:rFonts w:hint="eastAsia" w:ascii="黑体" w:hAnsi="黑体" w:eastAsia="黑体" w:cs="黑体"/>
          <w:bCs/>
          <w:color w:val="auto"/>
          <w:sz w:val="28"/>
          <w:szCs w:val="28"/>
          <w:highlight w:val="none"/>
          <w:u w:val="single"/>
        </w:rPr>
        <w:t xml:space="preserve">     （应明确一次性支付合同款项的条件）                    </w:t>
      </w:r>
      <w:r/>
    </w:p>
    <w:p>
      <w:pPr>
        <w:ind w:firstLine="840"/>
        <w:spacing w:line="288" w:lineRule="auto"/>
        <w:rPr>
          <w:rFonts w:ascii="黑体" w:hAnsi="黑体" w:eastAsia="黑体" w:cs="黑体"/>
          <w:bCs/>
          <w:color w:val="auto"/>
          <w:sz w:val="28"/>
          <w:szCs w:val="28"/>
          <w:highlight w:val="non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分期付款：</w:t>
      </w:r>
      <w:r>
        <w:rPr>
          <w:rFonts w:hint="eastAsia" w:ascii="黑体" w:hAnsi="黑体" w:eastAsia="黑体" w:cs="黑体"/>
          <w:bCs/>
          <w:color w:val="auto"/>
          <w:sz w:val="28"/>
          <w:szCs w:val="28"/>
          <w:highlight w:val="none"/>
          <w:u w:val="single"/>
        </w:rPr>
        <w:t xml:space="preserve">  （应明确分期支付合同款项的各期比例和支付条件，各期支付条件应与分期履约验收情况挂钩） </w:t>
      </w:r>
      <w:r>
        <w:rPr>
          <w:rFonts w:hint="eastAsia" w:ascii="黑体" w:hAnsi="黑体" w:eastAsia="黑体" w:cs="黑体"/>
          <w:bCs/>
          <w:color w:val="auto"/>
          <w:sz w:val="28"/>
          <w:szCs w:val="28"/>
          <w:highlight w:val="none"/>
        </w:rPr>
        <w:t xml:space="preserve">，其中涉及预付款的：</w:t>
      </w:r>
      <w:r>
        <w:rPr>
          <w:rFonts w:hint="eastAsia" w:ascii="黑体" w:hAnsi="黑体" w:eastAsia="黑体" w:cs="黑体"/>
          <w:bCs/>
          <w:color w:val="auto"/>
          <w:sz w:val="28"/>
          <w:szCs w:val="28"/>
          <w:highlight w:val="none"/>
          <w:u w:val="single"/>
        </w:rPr>
        <w:t xml:space="preserve"> （应明确预付款的支付比例和支付条件） </w:t>
      </w:r>
      <w:r/>
    </w:p>
    <w:p>
      <w:pPr>
        <w:ind w:firstLine="840"/>
        <w:spacing w:line="288" w:lineRule="auto"/>
        <w:rPr>
          <w:rFonts w:ascii="黑体" w:hAnsi="黑体" w:eastAsia="黑体" w:cs="黑体"/>
          <w:bCs/>
          <w:color w:val="auto"/>
          <w:sz w:val="28"/>
          <w:szCs w:val="28"/>
          <w:highlight w:val="none"/>
          <w:u w:val="singl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成本补偿：</w:t>
      </w:r>
      <w:r>
        <w:rPr>
          <w:rFonts w:hint="eastAsia" w:ascii="黑体" w:hAnsi="黑体" w:eastAsia="黑体" w:cs="黑体"/>
          <w:bCs/>
          <w:color w:val="auto"/>
          <w:sz w:val="28"/>
          <w:szCs w:val="28"/>
          <w:highlight w:val="none"/>
          <w:u w:val="single"/>
        </w:rPr>
        <w:t xml:space="preserve">      （应明确按照成本补偿方式的支付方式和支付条件）   </w:t>
      </w:r>
      <w:r/>
    </w:p>
    <w:p>
      <w:pPr>
        <w:ind w:firstLine="840"/>
        <w:spacing w:line="288" w:lineRule="auto"/>
        <w:rPr>
          <w:rFonts w:ascii="黑体" w:hAnsi="黑体" w:eastAsia="黑体" w:cs="黑体"/>
          <w:bCs/>
          <w:color w:val="auto"/>
          <w:sz w:val="28"/>
          <w:szCs w:val="28"/>
          <w:highlight w:val="none"/>
        </w:rPr>
      </w:pP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绩效激励：</w:t>
      </w:r>
      <w:r>
        <w:rPr>
          <w:rFonts w:hint="eastAsia" w:ascii="黑体" w:hAnsi="黑体" w:eastAsia="黑体" w:cs="黑体"/>
          <w:bCs/>
          <w:color w:val="auto"/>
          <w:sz w:val="28"/>
          <w:szCs w:val="28"/>
          <w:highlight w:val="none"/>
          <w:u w:val="single"/>
        </w:rPr>
        <w:t xml:space="preserve">      （应明确按照绩效激励方式的支付方式和支付条件）   </w:t>
      </w:r>
      <w:r/>
    </w:p>
    <w:p>
      <w:pPr>
        <w:numPr>
          <w:ilvl w:val="0"/>
          <w:numId w:val="6"/>
        </w:num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合同履行</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（1）起始日期：</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日，完成日期：</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（2）履约地点：</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（3）履约担保：是否收取履约保证金：</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pStyle w:val="1151"/>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收取履约保证金形式：</w:t>
      </w:r>
      <w:r>
        <w:rPr>
          <w:rFonts w:hint="eastAsia" w:ascii="黑体" w:hAnsi="黑体" w:eastAsia="黑体" w:cs="黑体"/>
          <w:bCs/>
          <w:color w:val="auto"/>
          <w:sz w:val="28"/>
          <w:szCs w:val="28"/>
          <w:highlight w:val="none"/>
          <w:u w:val="single"/>
        </w:rPr>
        <w:t xml:space="preserve">                            </w:t>
      </w:r>
      <w:r/>
    </w:p>
    <w:p>
      <w:pPr>
        <w:pStyle w:val="1151"/>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收取履约保证金金额：</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履约担保期限：</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（4）分期履行要求：</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（5）风险处置措施和替代方案：</w:t>
      </w:r>
      <w:r>
        <w:rPr>
          <w:rFonts w:hint="eastAsia" w:ascii="黑体" w:hAnsi="黑体" w:eastAsia="黑体" w:cs="黑体"/>
          <w:bCs/>
          <w:color w:val="auto"/>
          <w:sz w:val="28"/>
          <w:szCs w:val="28"/>
          <w:highlight w:val="none"/>
          <w:u w:val="single"/>
        </w:rPr>
        <w:t xml:space="preserve">                                                               </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合同验收</w:t>
      </w:r>
      <w:r/>
    </w:p>
    <w:p>
      <w:pPr>
        <w:numPr>
          <w:ilvl w:val="0"/>
          <w:numId w:val="8"/>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验收组织方式：</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自行组织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委托第三方组织</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验收主体：</w:t>
      </w:r>
      <w:r>
        <w:rPr>
          <w:rFonts w:hint="eastAsia" w:ascii="黑体" w:hAnsi="黑体" w:eastAsia="黑体" w:cs="黑体"/>
          <w:bCs/>
          <w:color w:val="auto"/>
          <w:sz w:val="28"/>
          <w:szCs w:val="28"/>
          <w:highlight w:val="none"/>
          <w:u w:val="single"/>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是否邀请本项目的其他投标单位参加验收：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是否邀请专家参加验收：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是否邀请服务对象参加验收：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是否邀请第三方检测机构参加验收：</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是否进行抽查检测：</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是，抽查比例：</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是否存在破坏性检测：</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w:t>
      </w:r>
      <w:r>
        <w:rPr>
          <w:rFonts w:hint="eastAsia" w:ascii="黑体" w:hAnsi="黑体" w:eastAsia="黑体" w:cs="黑体"/>
          <w:bCs/>
          <w:color w:val="auto"/>
          <w:sz w:val="28"/>
          <w:szCs w:val="28"/>
          <w:highlight w:val="none"/>
          <w:u w:val="single"/>
        </w:rPr>
        <w:t xml:space="preserve">（应明确对被破坏的检测产品的处理方式）</w:t>
      </w:r>
      <w:r/>
    </w:p>
    <w:p>
      <w:pPr>
        <w:ind w:firstLine="11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112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验收组织的其他事项：</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（2）履约验收时间：</w:t>
      </w:r>
      <w:r>
        <w:rPr>
          <w:rFonts w:hint="eastAsia" w:ascii="黑体" w:hAnsi="黑体" w:eastAsia="黑体" w:cs="黑体"/>
          <w:bCs/>
          <w:color w:val="auto"/>
          <w:sz w:val="28"/>
          <w:szCs w:val="28"/>
          <w:highlight w:val="none"/>
          <w:u w:val="single"/>
        </w:rPr>
        <w:t xml:space="preserve">（计划于何时验收/投标单位提出验收申请之日起   日内组织验收）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（3）履约验收方式：</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一次性验收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分期/分项验收：</w:t>
      </w:r>
      <w:r>
        <w:rPr>
          <w:rFonts w:hint="eastAsia" w:ascii="黑体" w:hAnsi="黑体" w:eastAsia="黑体" w:cs="黑体"/>
          <w:bCs/>
          <w:color w:val="auto"/>
          <w:sz w:val="28"/>
          <w:szCs w:val="28"/>
          <w:highlight w:val="none"/>
          <w:u w:val="single"/>
        </w:rPr>
        <w:t xml:space="preserve"> （应明确分期</w:t>
      </w:r>
      <w:r>
        <w:rPr>
          <w:rFonts w:hint="eastAsia" w:ascii="黑体" w:hAnsi="黑体" w:eastAsia="黑体" w:cs="黑体"/>
          <w:bCs/>
          <w:color w:val="auto"/>
          <w:sz w:val="28"/>
          <w:szCs w:val="28"/>
          <w:highlight w:val="none"/>
          <w:u w:val="single"/>
          <w:lang w:val="en"/>
        </w:rPr>
        <w:t xml:space="preserve">/分项验收的工作安排</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（4）履约验收程序：</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（5）履约验收的内容：</w:t>
      </w:r>
      <w:r>
        <w:rPr>
          <w:rFonts w:hint="eastAsia" w:ascii="黑体" w:hAnsi="黑体" w:eastAsia="黑体" w:cs="黑体"/>
          <w:bCs/>
          <w:color w:val="auto"/>
          <w:sz w:val="28"/>
          <w:szCs w:val="28"/>
          <w:highlight w:val="none"/>
          <w:u w:val="single"/>
        </w:rPr>
        <w:t xml:space="preserve"> （应当包括每一项技术和商务要求的履约情况，特别是落实政府采购扶持中小企业，支持绿色发展和乡村振兴等政策情况）                                      </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（6）履约验收标准：</w:t>
      </w:r>
      <w:r>
        <w:rPr>
          <w:rFonts w:hint="eastAsia" w:ascii="黑体" w:hAnsi="黑体" w:eastAsia="黑体" w:cs="黑体"/>
          <w:bCs/>
          <w:color w:val="auto"/>
          <w:sz w:val="28"/>
          <w:szCs w:val="28"/>
          <w:highlight w:val="none"/>
          <w:u w:val="single"/>
        </w:rPr>
        <w:t xml:space="preserve">                                         </w:t>
      </w:r>
      <w:r/>
    </w:p>
    <w:p>
      <w:pPr>
        <w:pStyle w:val="1151"/>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（7）是否以采购活动中投标单位提供的样品作为参考：</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是  </w:t>
      </w:r>
      <w:r>
        <w:rPr>
          <w:rFonts w:ascii="Wingdings" w:hAnsi="Wingdings" w:eastAsia="Wingdings" w:cs="Wingdings"/>
          <w:bCs/>
          <w:color w:val="auto"/>
          <w:sz w:val="28"/>
          <w:szCs w:val="28"/>
          <w:highlight w:val="none"/>
        </w:rPr>
        <w:t xml:space="preserve">¨</w:t>
      </w:r>
      <w:r>
        <w:rPr>
          <w:rFonts w:hint="eastAsia" w:ascii="黑体" w:hAnsi="黑体" w:eastAsia="黑体" w:cs="黑体"/>
          <w:bCs/>
          <w:color w:val="auto"/>
          <w:sz w:val="28"/>
          <w:szCs w:val="28"/>
          <w:highlight w:val="none"/>
        </w:rPr>
        <w:t xml:space="preserve">否</w:t>
      </w:r>
      <w:r/>
    </w:p>
    <w:p>
      <w:pPr>
        <w:ind w:firstLine="560"/>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（8）履约验收其他事项：</w:t>
      </w:r>
      <w:r>
        <w:rPr>
          <w:rFonts w:hint="eastAsia" w:ascii="黑体" w:hAnsi="黑体" w:eastAsia="黑体" w:cs="黑体"/>
          <w:bCs/>
          <w:color w:val="auto"/>
          <w:sz w:val="28"/>
          <w:szCs w:val="28"/>
          <w:highlight w:val="none"/>
          <w:u w:val="single"/>
        </w:rPr>
        <w:t xml:space="preserve">      （产权过户登记等）          </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组成合同的文件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本协议书与下列文件一起构成合同文件，如下述文件之间有任何抵触、矛盾或歧义，应按以下顺序解释：</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（1）政府采购合同协议书及其变更、补充协议</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（2）政府采购合同专用条款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（3）政府采购合同通用条款</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（4）中标（成交）通知书</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（5）投标（响应）文件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（6）采购文件</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（7）有关技术文件，图纸</w:t>
      </w:r>
      <w:r/>
    </w:p>
    <w:p>
      <w:pPr>
        <w:pStyle w:val="1151"/>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w:t>
      </w:r>
      <w:r>
        <w:rPr>
          <w:rFonts w:hint="eastAsia" w:ascii="黑体" w:hAnsi="黑体" w:eastAsia="黑体" w:cs="黑体"/>
          <w:bCs/>
          <w:color w:val="auto"/>
          <w:sz w:val="28"/>
          <w:szCs w:val="28"/>
          <w:highlight w:val="none"/>
        </w:rPr>
        <w:t xml:space="preserve">国家法律、行政法规和规章制度规定或合同约定的作为合同组成部分的其他文件</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合同生效</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本合同自</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生效。</w:t>
      </w:r>
      <w:r/>
    </w:p>
    <w:p>
      <w:pPr>
        <w:numPr>
          <w:ilvl w:val="0"/>
          <w:numId w:val="6"/>
        </w:num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合同份数</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本合同一式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份，甲方执</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份，乙方执</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份，均具有同等法律效力。</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合同订立时间：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合同订立地点：</w:t>
      </w:r>
      <w:r>
        <w:rPr>
          <w:rFonts w:hint="eastAsia" w:ascii="黑体" w:hAnsi="黑体" w:eastAsia="黑体" w:cs="黑体"/>
          <w:bCs/>
          <w:color w:val="auto"/>
          <w:sz w:val="28"/>
          <w:szCs w:val="28"/>
          <w:highlight w:val="none"/>
          <w:u w:val="single"/>
        </w:rPr>
        <w:t xml:space="preserve">                           </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附件：具体标的及其技术要求和商务要求、联合协议、分包意向协议等。</w:t>
      </w:r>
      <w:r/>
    </w:p>
    <w:p>
      <w:pPr>
        <w:pStyle w:val="1085"/>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p>
      <w:pPr>
        <w:pStyle w:val="819"/>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
        </w:rPr>
        <w:t xml:space="preserve">   </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pStyle w:val="1085"/>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bl>
      <w:tblPr>
        <w:tblStyle w:val="82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甲方（招标人、受招标人委托签订合同的单位或采购文件约定的合同甲方）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乙方（投标单位）</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w:t>
            </w:r>
            <w:r/>
          </w:p>
          <w:p>
            <w:pPr>
              <w:ind w:firstLine="134"/>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法定代表人</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color w:val="auto"/>
                <w:spacing w:val="20"/>
                <w:sz w:val="28"/>
                <w:szCs w:val="28"/>
                <w:highlight w:val="none"/>
              </w:rPr>
            </w:pPr>
            <w:r>
              <w:rPr>
                <w:rFonts w:ascii="黑体" w:hAnsi="黑体" w:eastAsia="黑体" w:cs="黑体"/>
                <w:bCs/>
                <w:color w:val="auto"/>
                <w:spacing w:val="20"/>
                <w:sz w:val="28"/>
                <w:szCs w:val="28"/>
                <w:highlight w:val="none"/>
              </w:rPr>
            </w:r>
            <w:r/>
          </w:p>
        </w:tc>
      </w:tr>
      <w:tr>
        <w:trPr>
          <w:trHeight w:val="586"/>
        </w:trPr>
        <w:tc>
          <w:tcPr>
            <w:gridSpan w:val="4"/>
            <w:tcBorders>
              <w:top w:val="single" w:color="auto" w:sz="2" w:space="0"/>
            </w:tcBorders>
            <w:tcW w:w="5000" w:type="pct"/>
            <w:vAlign w:val="center"/>
            <w:textDirection w:val="lrTb"/>
            <w:noWrap w:val="false"/>
          </w:tcPr>
          <w:p>
            <w:pPr>
              <w:pStyle w:val="834"/>
              <w:ind w:left="0"/>
              <w:jc w:val="left"/>
              <w:spacing w:before="120" w:after="0" w:line="288" w:lineRule="auto"/>
              <w:rPr>
                <w:rFonts w:ascii="黑体" w:hAnsi="黑体" w:eastAsia="黑体" w:cs="黑体"/>
                <w:bCs/>
                <w:color w:val="auto"/>
                <w:spacing w:val="20"/>
                <w:sz w:val="28"/>
                <w:szCs w:val="28"/>
                <w:highlight w:val="none"/>
              </w:rPr>
            </w:pPr>
            <w:r>
              <w:rPr>
                <w:rFonts w:hint="eastAsia" w:ascii="黑体" w:hAnsi="黑体" w:eastAsia="黑体" w:cs="黑体"/>
                <w:bCs/>
                <w:color w:val="auto"/>
                <w:sz w:val="28"/>
                <w:szCs w:val="28"/>
                <w:highlight w:val="none"/>
              </w:rPr>
              <w:t xml:space="preserve">注：涉及联合体或其他合同主体的信息应按上表格式加列。</w:t>
            </w:r>
            <w:r/>
          </w:p>
        </w:tc>
      </w:tr>
    </w:tbl>
    <w:p>
      <w:pPr>
        <w:pStyle w:val="819"/>
        <w:jc w:val="center"/>
        <w:spacing w:before="12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br w:type="page" w:clear="all"/>
      </w:r>
      <w:bookmarkStart w:id="109" w:name="_Toc27624"/>
      <w:r>
        <w:rPr>
          <w:rFonts w:hint="eastAsia" w:ascii="黑体" w:hAnsi="黑体" w:eastAsia="黑体" w:cs="黑体"/>
          <w:bCs/>
          <w:color w:val="auto"/>
          <w:sz w:val="28"/>
          <w:szCs w:val="28"/>
          <w:highlight w:val="none"/>
        </w:rPr>
        <w:t xml:space="preserve">第二节 政府采购合同通用条款</w:t>
      </w:r>
      <w:bookmarkEnd w:id="109"/>
      <w:r/>
      <w:r/>
    </w:p>
    <w:p>
      <w:pPr>
        <w:jc w:val="left"/>
        <w:spacing w:line="288" w:lineRule="auto"/>
        <w:tabs>
          <w:tab w:val="left" w:pos="8820" w:leader="none"/>
          <w:tab w:val="left" w:pos="9345" w:leader="none"/>
          <w:tab w:val="left" w:pos="976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 定义</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1.1合同当事人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（1）招标人（以下称甲方）是指使用财政性资金，通过政府采购方式向投标单位购买货物及其相关服务的国家机关、事业单位、团体组织。</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（2）投标单位（以下称乙方）是指参加政府采购活动并且中标（成交），向招标人提供合同约定的货物及其相关服务的法人、非法人组织或者自然人。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（3）其他合同主体是指除招标人和投标单位以外，依法参与合同缔结或履行，享有权利、承担义务的合同当事人。</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1.2本合同下列术语应解释为：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w:t>
      </w:r>
      <w:r>
        <w:rPr>
          <w:rFonts w:hint="eastAsia" w:ascii="黑体" w:hAnsi="黑体" w:eastAsia="黑体" w:cs="黑体"/>
          <w:bCs/>
          <w:color w:val="auto"/>
          <w:sz w:val="28"/>
          <w:szCs w:val="28"/>
          <w:highlight w:val="none"/>
        </w:rPr>
        <w:t xml:space="preserve">国家法律、行政法规和规章制度规定或合同约定的作为合同组成部分的其他文件</w:t>
      </w:r>
      <w:r>
        <w:rPr>
          <w:rFonts w:hint="eastAsia" w:ascii="黑体" w:hAnsi="黑体" w:eastAsia="黑体" w:cs="黑体"/>
          <w:bCs/>
          <w:color w:val="auto"/>
          <w:sz w:val="28"/>
          <w:szCs w:val="28"/>
          <w:highlight w:val="none"/>
        </w:rPr>
        <w:t xml:space="preserve">。</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（2）“合同价款”系指根据本合同规定乙方在全面履行合同义务后甲方应支付给乙方的价款。</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（3）“货物”系指乙方根据本合同规定须向甲方提供的各种形态和种类的物品，包括原材料、设备、产品（包括软件）及相关的其备品备件、工具、手册及</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技术资料和材料等。</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（4）“相关服务”系指根据合同规定，乙方应提供的与货物有关的技术、管理和</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（5）“分包”系指中标（成交）投标单位按采购文件、投标（响应）文件的规定，根据分包意向协议，将中标（成交）项目中的部分履约内容，分给具有相应资质条件的投标单位履行合同的行为。</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联合体”系指由两个以上的自然人、法人或者非法人组织组成，以一个投标单位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560"/>
        <w:jc w:val="left"/>
        <w:spacing w:line="288" w:lineRule="auto"/>
        <w:tabs>
          <w:tab w:val="left" w:pos="570" w:leader="none"/>
          <w:tab w:val="left" w:pos="9240" w:leader="none"/>
          <w:tab w:val="left" w:pos="9555" w:leader="none"/>
        </w:tabs>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（7）其他术语解释，见【政府采购合同专用条款】。</w:t>
      </w:r>
      <w:r/>
    </w:p>
    <w:p>
      <w:pPr>
        <w:numPr>
          <w:ilvl w:val="0"/>
          <w:numId w:val="9"/>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合同标的及金额</w:t>
      </w:r>
      <w:r/>
    </w:p>
    <w:p>
      <w:pPr>
        <w:ind w:firstLine="560"/>
        <w:jc w:val="left"/>
        <w:spacing w:line="288" w:lineRule="auto"/>
        <w:rPr>
          <w:rFonts w:ascii="黑体" w:hAnsi="黑体" w:eastAsia="黑体" w:cs="黑体"/>
          <w:bCs/>
          <w:i/>
          <w:iCs/>
          <w:color w:val="auto"/>
          <w:sz w:val="28"/>
          <w:szCs w:val="28"/>
          <w:highlight w:val="none"/>
        </w:rPr>
      </w:pPr>
      <w:r>
        <w:rPr>
          <w:rFonts w:hint="eastAsia" w:ascii="黑体" w:hAnsi="黑体" w:eastAsia="黑体" w:cs="黑体"/>
          <w:bCs/>
          <w:color w:val="auto"/>
          <w:sz w:val="28"/>
          <w:szCs w:val="28"/>
          <w:highlight w:val="none"/>
        </w:rPr>
        <w:t xml:space="preserve">2.1 合同标的及金额应与中标（成交）结果一致。乙方为履行本合同而发生的所有费用均应包含在合同价款中，甲方不再另行支付</w:t>
      </w:r>
      <w:r>
        <w:rPr>
          <w:rFonts w:hint="eastAsia" w:ascii="黑体" w:hAnsi="黑体" w:eastAsia="黑体" w:cs="黑体"/>
          <w:bCs/>
          <w:color w:val="auto"/>
          <w:sz w:val="28"/>
          <w:szCs w:val="28"/>
          <w:highlight w:val="none"/>
          <w:lang w:val="en"/>
        </w:rPr>
        <w:t xml:space="preserve">其他</w:t>
      </w:r>
      <w:r>
        <w:rPr>
          <w:rFonts w:hint="eastAsia" w:ascii="黑体" w:hAnsi="黑体" w:eastAsia="黑体" w:cs="黑体"/>
          <w:bCs/>
          <w:color w:val="auto"/>
          <w:sz w:val="28"/>
          <w:szCs w:val="28"/>
          <w:highlight w:val="none"/>
        </w:rPr>
        <w:t xml:space="preserve">任何费用。</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 履行合同的时间、地点和方式</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乙方应当在约定的时间、地点，按照约定方式履行合同。</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 甲方的权利和义务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4.3 甲方有权要求乙方对缺陷部分予以修复，并按合同约定享有货物保修及其他合同约定的权利。</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4.5 甲方应当根据合同约定及时向乙方支付合同价款，不得以内部人员变更、履行内部付款流程等为由，拒绝或迟延支付。</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4.6 国家法律法规规定及【政府采购合同专用条款】约定应由甲方承担的其他义务和责任。</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 乙方的权利和义务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签署合同后，乙方应确定项目负责人（或项目联系人），负责与本合同有关的事务。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33"/>
        <w:ind w:firstLine="492"/>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5.3乙方有权根据合同约定向甲方收取合同价款。</w:t>
      </w:r>
      <w:r/>
    </w:p>
    <w:p>
      <w:pPr>
        <w:pStyle w:val="833"/>
        <w:ind w:firstLine="492"/>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5.4国家法律法规规定及【政府采购合同专用条款】约定应由乙方承担的其他义务和责任。</w:t>
      </w:r>
      <w:r/>
    </w:p>
    <w:p>
      <w:pPr>
        <w:numPr>
          <w:ilvl w:val="0"/>
          <w:numId w:val="10"/>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合同履行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 甲乙双方应当按照【政府采购合同专用条款】约定顺序履行合同义务；如果没有先后顺序的，应当同时履行。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 货物包装、运输、保险和交付要求</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7.2 除【政府采购合同专用条款】另有约定外，乙方负责办理将货物运抵本合同规定的交货地点，并装卸、交付至甲方的一切运输事项，相关费用应包含在合同价款中。</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7.3 货物保险要求按【政府采购合同专用条款】规定执行。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7.5 乙方在运输到达之前应提前通知甲方，并提示货物运输装卸的注意事项，甲方配合乙方做好货物的接收工作。</w:t>
      </w:r>
      <w:r/>
    </w:p>
    <w:p>
      <w:pPr>
        <w:pStyle w:val="1151"/>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7.6 如因包装、运输问题导致货物损毁、丢失或者品质下降，甲方有权要求降价、换货、拒收部分或整批货物，由此产生的费用和损失，均由乙方承担。</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 质量标准和保证</w:t>
      </w:r>
      <w:r/>
    </w:p>
    <w:p>
      <w:pPr>
        <w:pStyle w:val="840"/>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8.1 质量标准</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0"/>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（2）采用中华人民共和国法定计量单位。</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（3）乙方所提供的货物应符合国家有关安全、环保、卫生的规定。</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8.2 保证</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（2）在质量保证期内所发现的缺陷，甲方应尽快以书面形式通知乙方。</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（3）乙方收到通知后，应在【政府采购合同专用条款】规定的响应时间内以合理的速度免费维修或更换有缺陷的货物或部件。</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（5）乙方在约定的时间内未能弥补缺陷，甲方可采取必要的补救措施，但其风险和费用将由乙方承担，甲方根据合同约定对乙方行使的其他权利不受影响。</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 权利瑕疵担保</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9.1 乙方保证对其出售的货物享有合法的权利。</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9.2 乙方保证在交付的货物上不存在抵押权等担保物权。</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9.3 如甲方使用上述货物构成对第三人侵权的，则由乙方承担全部责任。</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 知识产权保护</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10.1 乙方对其所销售的货物应当享有知识产权或经权利人合法授权，保证没有侵犯任何第三人的知识产权等权利。</w:t>
      </w:r>
      <w:bookmarkStart w:id="110" w:name="_Hlk163047038"/>
      <w:r>
        <w:rPr>
          <w:rFonts w:hint="eastAsia" w:ascii="黑体" w:hAnsi="黑体" w:eastAsia="黑体" w:cs="黑体"/>
          <w:bCs/>
          <w:color w:val="auto"/>
          <w:sz w:val="28"/>
          <w:szCs w:val="28"/>
          <w:highlight w:val="none"/>
        </w:rPr>
        <w:t xml:space="preserve">因违反前述约定对第三人构成侵权的，应当由乙方向第三人承担法律责任；甲方依法向第三人赔偿后，有权向乙方追偿。甲方有其他损失的，乙方应当赔偿</w:t>
      </w:r>
      <w:bookmarkEnd w:id="110"/>
      <w:r>
        <w:rPr>
          <w:rFonts w:hint="eastAsia" w:ascii="黑体" w:hAnsi="黑体" w:eastAsia="黑体" w:cs="黑体"/>
          <w:bCs/>
          <w:color w:val="auto"/>
          <w:sz w:val="28"/>
          <w:szCs w:val="28"/>
          <w:highlight w:val="none"/>
        </w:rPr>
        <w:t xml:space="preserve">。</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保密义务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合同价款支付</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12.1 合同价款支付按照国库集中支付制度及财政管理相关规定执行。</w:t>
      </w:r>
      <w:r/>
    </w:p>
    <w:p>
      <w:pPr>
        <w:pStyle w:val="819"/>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12.2 </w:t>
      </w:r>
      <w:r>
        <w:rPr>
          <w:rFonts w:hint="eastAsia" w:ascii="黑体" w:hAnsi="黑体" w:eastAsia="黑体" w:cs="黑体"/>
          <w:bCs/>
          <w:color w:val="auto"/>
          <w:sz w:val="28"/>
          <w:szCs w:val="28"/>
          <w:highlight w:val="none"/>
        </w:rPr>
        <w:t xml:space="preserve">对于满足合同约定支付条件的，甲方</w:t>
      </w:r>
      <w:r>
        <w:rPr>
          <w:rFonts w:hint="eastAsia" w:ascii="黑体" w:hAnsi="黑体" w:eastAsia="黑体" w:cs="黑体"/>
          <w:bCs/>
          <w:color w:val="auto"/>
          <w:sz w:val="28"/>
          <w:szCs w:val="28"/>
          <w:highlight w:val="none"/>
        </w:rPr>
        <w:t xml:space="preserve">原则上应当自收到发票后10个工作日内</w:t>
      </w:r>
      <w:r>
        <w:rPr>
          <w:rFonts w:hint="eastAsia" w:ascii="黑体" w:hAnsi="黑体" w:eastAsia="黑体" w:cs="黑体"/>
          <w:bCs/>
          <w:color w:val="auto"/>
          <w:sz w:val="28"/>
          <w:szCs w:val="28"/>
          <w:highlight w:val="none"/>
        </w:rPr>
        <w:t xml:space="preserve">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33"/>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 履约保证金</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13.1 乙方应当以支票、汇票、本票或者金融机构、担保机构出具的保函等非现金形式提交。</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 售后服务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14.1 除项目不涉及或采购活动中明确约定无须承担外，乙方还应提供下列服务：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（1）货物的现场移动、安装、调试、启动监督及技术支持；</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（2）提供货物组装和维修所需的专用工具和辅助材料；</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（3）在【政府采购合同专用条款】约定的期限内对所有的货物实施运行监督、维修，但前提条件是该服务并不能免除乙方在质量保证期内所承担的义务；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（4）在制造商所在地或指定现场就货物的安装、启动、运营、维护、废弃处置等对甲方操作人员进行培训；</w:t>
      </w:r>
      <w:r/>
    </w:p>
    <w:p>
      <w:pPr>
        <w:pStyle w:val="1151"/>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（6）【政府采购合同专用条款】规定由乙方提供的其他服务。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14.2 乙方提供的售后服务的费用已包含在合同价款中，甲方不再另行支付。</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 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15.1质量瑕疵的违约责任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15.2 迟延交货的违约责任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15.3 迟延支付的违约责任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甲方存在迟延支付乙方合同款项的，应当承担【政府采购合同专用条款】规定的逾期付款利息。</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15.4其他违约责任根据项目实际需要按【政府采购合同专用条款】规定执行。</w:t>
      </w:r>
      <w:r/>
    </w:p>
    <w:p>
      <w:pPr>
        <w:numPr>
          <w:ilvl w:val="0"/>
          <w:numId w:val="11"/>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合同变更、中止与终止</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16.1合同的变更</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16.2合同的中止</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（1）合同履行过程中因投标单位就采购文件、采购过程或结果提起投诉的，甲方认为有必要的，可以中止合同的履行。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5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（4）甲方不得以行政区划调整、政府换届、机构或者职能调整以及相关责任人更替为由中止合同。</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16.3合同的终止</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（1）合同因有效期限届满而终止；</w:t>
      </w:r>
      <w:r/>
    </w:p>
    <w:p>
      <w:pPr>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（2）乙方未按合同约定履行，构成根本性违约的，甲方有权终止合同，并追究乙方的违约责任。</w:t>
      </w:r>
      <w:r/>
    </w:p>
    <w:p>
      <w:pPr>
        <w:pStyle w:val="1151"/>
        <w:ind w:firstLine="56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16.4 </w:t>
      </w:r>
      <w:r>
        <w:rPr>
          <w:rFonts w:hint="eastAsia" w:ascii="黑体" w:hAnsi="黑体" w:eastAsia="黑体" w:cs="黑体"/>
          <w:bCs/>
          <w:color w:val="auto"/>
          <w:sz w:val="28"/>
          <w:szCs w:val="28"/>
          <w:highlight w:val="none"/>
        </w:rPr>
        <w:t xml:space="preserve">涉及国家利益、社会公共利益的情形</w:t>
      </w:r>
      <w:r/>
    </w:p>
    <w:p>
      <w:pPr>
        <w:pStyle w:val="115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17. 合同分包</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17.1 乙方不得将合同转包给其他投标单位。涉及合同分包的，乙方应根据采购文件和投标（响应）文件规定进行合同分包。</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17.2 乙方执行政府采购政策向中小企业依法分包的，乙方应当按采购文件和投标（响应）文件签订分包意向协议，分包意向协议属于本合同组成部分。</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 不可抗力</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18.1 不可抗力是指合同双方不能预见、不能避免且不能克服的客观情况。</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18.2 任何一方对由于不可抗力造成的部分或全部不能履行合同不承担违约责任。但迟延履行后发生不可抗力的，不能免除责任。</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 解决争议的方法</w:t>
      </w:r>
      <w:r/>
    </w:p>
    <w:p>
      <w:pPr>
        <w:pStyle w:val="115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5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15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19.3 如甲乙双方有争议的事项不影响合同其他部分的履行，在争议解决期间，合同其他部分应当继续履行。</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 政府采购政策</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20.1 </w:t>
      </w:r>
      <w:r>
        <w:rPr>
          <w:rFonts w:hint="eastAsia" w:ascii="黑体" w:hAnsi="黑体" w:eastAsia="黑体" w:cs="黑体"/>
          <w:bCs/>
          <w:color w:val="auto"/>
          <w:sz w:val="28"/>
          <w:szCs w:val="28"/>
          <w:highlight w:val="none"/>
          <w:lang w:val="en-GB"/>
        </w:rPr>
        <w:t xml:space="preserve">本合同应当按照规定执行政府采购政策。</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20.2 本合同依法执行政府采购政策的方式和内容，属于合同履约验收的范围。甲乙双方</w:t>
      </w:r>
      <w:r>
        <w:rPr>
          <w:rFonts w:hint="eastAsia" w:ascii="黑体" w:hAnsi="黑体" w:eastAsia="黑体" w:cs="黑体"/>
          <w:bCs/>
          <w:color w:val="auto"/>
          <w:sz w:val="28"/>
          <w:szCs w:val="28"/>
          <w:highlight w:val="none"/>
          <w:lang w:val="en-GB"/>
        </w:rPr>
        <w:t xml:space="preserve">未按规定要求执行政府采购政策造成损失的</w:t>
      </w:r>
      <w:r>
        <w:rPr>
          <w:rFonts w:hint="eastAsia" w:ascii="黑体" w:hAnsi="黑体" w:eastAsia="黑体" w:cs="黑体"/>
          <w:bCs/>
          <w:color w:val="auto"/>
          <w:sz w:val="28"/>
          <w:szCs w:val="28"/>
          <w:highlight w:val="none"/>
        </w:rPr>
        <w:t xml:space="preserve">，有过错的一方应当承担赔偿责任，双方都有过错的，各自承担相应的责任。</w:t>
      </w:r>
      <w:r/>
    </w:p>
    <w:p>
      <w:pPr>
        <w:pStyle w:val="833"/>
        <w:ind w:firstLine="560"/>
        <w:spacing w:after="0"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法律适用</w:t>
      </w:r>
      <w:r/>
    </w:p>
    <w:p>
      <w:pPr>
        <w:pStyle w:val="115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21.1 本合同的订立、生效、解释、履行及与本合同有关的争议解决，均适用法律、行政法规。</w:t>
      </w:r>
      <w:r/>
    </w:p>
    <w:p>
      <w:pPr>
        <w:pStyle w:val="115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通知</w:t>
      </w:r>
      <w:r/>
    </w:p>
    <w:p>
      <w:pPr>
        <w:pStyle w:val="1151"/>
        <w:ind w:firstLine="56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22.1 本合同任何一方向对方发出的通知、信件、数据电文等，应当发送至本合同第一部分《政府采购合同协议书》所约定的通讯地址、联系人、联系电话或电子邮箱。</w:t>
      </w:r>
      <w:r/>
    </w:p>
    <w:p>
      <w:pPr>
        <w:pStyle w:val="1151"/>
        <w:ind w:firstLine="0"/>
        <w:jc w:val="both"/>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22.2 一方当事人变更名称、住所、联系人、联系电话或电子邮箱等信息的，应当在变更后3日内及时书面通知对方，对方实际收到变更通知前的送达仍为有效送达。</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22.3本合同一方给另一方的通知均应采用书面形式，传真或快递送到本合同中规定的对方的地址和办理签收手续。</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22.4通知以送达之日或通知书中规定的生效之日起生效，两者中以较迟之日为准。</w:t>
      </w:r>
      <w:r/>
    </w:p>
    <w:p>
      <w:pPr>
        <w:numPr>
          <w:ilvl w:val="0"/>
          <w:numId w:val="12"/>
        </w:num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合同未尽事项</w:t>
      </w:r>
      <w:r/>
    </w:p>
    <w:p>
      <w:pPr>
        <w:ind w:firstLine="560"/>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23.1合同未尽事项见【政府采购合同专用条款】。</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23.2 合同附件与合同正文具有同等的法律效力。</w:t>
      </w:r>
      <w:bookmarkStart w:id="111" w:name="_Toc20313"/>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pStyle w:val="819"/>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第三节 政府采购合同专用条款</w:t>
      </w:r>
      <w:bookmarkEnd w:id="111"/>
      <w:r/>
      <w:r/>
    </w:p>
    <w:tbl>
      <w:tblPr>
        <w:tblStyle w:val="82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第1.2（6）项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联合体具体要求</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p>
        </w:tc>
      </w:tr>
      <w:tr>
        <w:trPr>
          <w:trHeight w:val="604"/>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第1.2（7）项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其他术语解释</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项目合同价包含乙方履行本合同所需的全部费用，包括询价文件所确定范围内全部工作内容以及按合同规定为完成上述工作内容所必须包含所有应包括但不限于设备材料采购费、制作及安装人工费、装卸费费、施工费、人工费、检测费、验收费、保险（货物及人员相关保险）管理费、税金、利润、招标代理费用等各项费用全部费用、以及本项目其它相关费用等所需的一切费用，就本合同履行，甲方无需支付任何其他费用。</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第4.4款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履约验收中甲方提出异议或作出说明的期限</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验收标准：甲方按合同约定积极配合中标单位履约，乙方履约到位后，请以书面形式向甲方提出验收申请，招标人原则上在</w:t>
            </w:r>
            <w:r>
              <w:rPr>
                <w:rFonts w:hint="eastAsia" w:ascii="黑体" w:hAnsi="黑体" w:eastAsia="黑体" w:cs="黑体"/>
                <w:bCs/>
                <w:color w:val="auto"/>
                <w:sz w:val="28"/>
                <w:szCs w:val="28"/>
                <w:highlight w:val="none"/>
                <w:u w:val="single"/>
              </w:rPr>
              <w:t xml:space="preserve">接到申请后5个工作日内</w:t>
            </w:r>
            <w:r>
              <w:rPr>
                <w:rFonts w:hint="eastAsia" w:ascii="黑体" w:hAnsi="黑体" w:eastAsia="黑体" w:cs="黑体"/>
                <w:bCs/>
                <w:color w:val="auto"/>
                <w:sz w:val="28"/>
                <w:szCs w:val="28"/>
                <w:highlight w:val="none"/>
              </w:rPr>
              <w:t xml:space="preserve">及时组织相关专业技术人员，必要时邀请采购中心、质检等部门共同参与验收，并出具验收报告，</w:t>
            </w:r>
            <w:r>
              <w:rPr>
                <w:rFonts w:hint="eastAsia" w:ascii="黑体" w:hAnsi="黑体" w:eastAsia="黑体" w:cs="黑体"/>
                <w:bCs/>
                <w:color w:val="auto"/>
                <w:sz w:val="28"/>
                <w:szCs w:val="28"/>
                <w:highlight w:val="none"/>
                <w:u w:val="single"/>
              </w:rPr>
              <w:t xml:space="preserve">验收合格的原则上</w:t>
            </w:r>
            <w:r>
              <w:rPr>
                <w:rFonts w:hint="eastAsia" w:ascii="黑体" w:hAnsi="黑体" w:eastAsia="黑体" w:cs="黑体"/>
                <w:bCs/>
                <w:color w:val="auto"/>
                <w:sz w:val="28"/>
                <w:szCs w:val="28"/>
                <w:highlight w:val="none"/>
              </w:rPr>
              <w:t xml:space="preserve">甲方自收到发票后30日内发起国库集中支付申请且将资金支付到合同约定的乙方账户。</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第4.6款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约定甲方承担的其他义务和责任</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供货时甲方及上级相关部门对交货产品随机抽取检测，经甲方专家检验合格后方可安装，若不满足标准要求，视同乙方单方违约，取消合同，甲方有权根据乙方违约程度要求乙方支付相当于合同总价款5%的违约金。如违约金不足弥补甲方损失的，由乙方另行支付，由此引起的后果，甲方保留进一步追索的权利。</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第5.4款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约定乙方承担的其他义务和责任</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1、乙方应建立和完善履行合同的内部质量保证体系，并提供相关内部规章制度给甲方，以便甲方进行监督检查；</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2、乙方应保证履行合同的人员数量和素质、软件和硬件设备的配置、场地、环境和设施等满足全面履行合同的要求，并应接受甲方的监督检查。</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rPr>
                <w:rFonts w:hint="eastAsia" w:ascii="黑体" w:hAnsi="黑体" w:eastAsia="黑体" w:cs="黑体"/>
                <w:bCs/>
                <w:color w:val="auto"/>
                <w:sz w:val="28"/>
                <w:szCs w:val="28"/>
                <w:highlight w:val="none"/>
              </w:rPr>
              <w:t xml:space="preserve">在合同履行过程中，如果乙方遇到不能按时交付货物的情况，应及时以书面形式将不能按时交付货物的理由、预期延误时间通知甲方。</w:t>
            </w:r>
            <w:r/>
          </w:p>
          <w:p>
            <w:pPr>
              <w:pStyle w:val="1151"/>
              <w:ind w:firstLine="0"/>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4、货物的风险负担：乙方负责汽车运输及装卸，并负担费用及在途风险。</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第6.1款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履行合同义务的顺序</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67"/>
        </w:trPr>
        <w:tc>
          <w:tcPr>
            <w:tcW w:w="1607" w:type="dxa"/>
            <w:vAlign w:val="center"/>
            <w:vMerge w:val="restart"/>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第7.1款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包装特殊要求</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67"/>
        </w:trPr>
        <w:tc>
          <w:tcPr>
            <w:tcW w:w="1607" w:type="dxa"/>
            <w:vAlign w:val="center"/>
            <w:vMerge w:val="continue"/>
            <w:textDirection w:val="lrTb"/>
            <w:noWrap w:val="false"/>
          </w:tcPr>
          <w:p>
            <w:pPr>
              <w:jc w:val="cente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指定现场</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72"/>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第7.2款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运输特殊要求</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67"/>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第7.3款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保险要求</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第8.2（1）项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质量保证期</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此次招标的所有项目产品质保期不少于1年（即12个月）。从通过项目验收之日起计。</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第8.2（3）项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货物质量缺陷</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响应时间</w:t>
            </w:r>
            <w:r/>
          </w:p>
        </w:tc>
        <w:tc>
          <w:tcPr>
            <w:tcW w:w="5170"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1、产品出现故障损坏时，成交人接到报修通知后，安排的维修人员在约定的（24小时）内完成维修任务。</w:t>
            </w:r>
            <w:r/>
          </w:p>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2、如现场不能维修解决的故障问题，须提供故障不能排除时的解决方案。</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pStyle w:val="1151"/>
              <w:ind w:firstLine="0"/>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第11.1款</w:t>
            </w:r>
            <w:r/>
          </w:p>
        </w:tc>
        <w:tc>
          <w:tcPr>
            <w:tcW w:w="1742" w:type="dxa"/>
            <w:vAlign w:val="center"/>
            <w:textDirection w:val="lrTb"/>
            <w:noWrap w:val="false"/>
          </w:tcPr>
          <w:p>
            <w:pP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其他应当保密的信息</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697"/>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第12.2款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合同价款支付时间</w:t>
            </w:r>
            <w:r/>
          </w:p>
        </w:tc>
        <w:tc>
          <w:tcPr>
            <w:tcW w:w="5170" w:type="dxa"/>
            <w:vAlign w:val="center"/>
            <w:textDirection w:val="lrTb"/>
            <w:noWrap w:val="false"/>
          </w:tcPr>
          <w:p>
            <w:pPr>
              <w:pStyle w:val="1137"/>
              <w:ind w:firstLine="0"/>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（1）签订合同后乙方可向甲方申请合同价40%作为预付款。</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（2）按实际购买数量结算，在交付并验收通过后付至合同金额总价的97%，余款待所有产品验收合格一年后无任何问题一次性支付。</w:t>
            </w:r>
            <w:r/>
          </w:p>
          <w:p>
            <w:pPr>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（3） 发票开具方式：</w:t>
            </w:r>
            <w:r>
              <w:rPr>
                <w:rFonts w:hint="eastAsia" w:ascii="黑体" w:hAnsi="黑体" w:eastAsia="黑体" w:cs="黑体"/>
                <w:bCs/>
                <w:color w:val="auto"/>
                <w:sz w:val="28"/>
                <w:szCs w:val="28"/>
                <w:highlight w:val="none"/>
                <w:u w:val="single"/>
              </w:rPr>
              <w:t xml:space="preserve">结算时投标单位须提供招标人签字确认后的验收合格证明及正规销售发票  。</w:t>
            </w:r>
            <w:r/>
          </w:p>
          <w:p>
            <w:pPr>
              <w:pStyle w:val="866"/>
              <w:ind w:firstLine="0"/>
              <w:spacing w:after="0" w:line="288" w:lineRule="auto"/>
              <w:rPr>
                <w:rFonts w:ascii="黑体" w:hAnsi="黑体" w:eastAsia="黑体" w:cs="黑体"/>
                <w:bCs/>
                <w:color w:val="auto"/>
                <w:szCs w:val="28"/>
                <w:highlight w:val="none"/>
              </w:rPr>
            </w:pPr>
            <w:r>
              <w:rPr>
                <w:rFonts w:hint="eastAsia" w:ascii="黑体" w:hAnsi="黑体" w:eastAsia="黑体" w:cs="黑体"/>
                <w:bCs/>
                <w:color w:val="auto"/>
                <w:szCs w:val="28"/>
                <w:highlight w:val="none"/>
              </w:rPr>
              <w:t xml:space="preserve">（4）甲方自收到发票后30日内发起国库集中支付申请且将资金支付到合同约定的乙方账户。</w:t>
            </w:r>
            <w:r/>
          </w:p>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注明：签订合同时，乙方明确表示无需预付款或者主动要求降低预付款比例的，甲方不适用上述规定。</w:t>
            </w:r>
            <w:r/>
          </w:p>
        </w:tc>
      </w:tr>
      <w:tr>
        <w:trPr>
          <w:trHeight w:val="697"/>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第13.2款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履约保证金不予退还的情形</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第13.3款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履约保证金退还时间及逾期退还的违约金</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履约保证金在</w:t>
            </w:r>
            <w:r>
              <w:rPr>
                <w:rFonts w:hint="eastAsia" w:ascii="黑体" w:hAnsi="黑体" w:eastAsia="黑体" w:cs="黑体"/>
                <w:bCs/>
                <w:i/>
                <w:color w:val="auto"/>
                <w:sz w:val="28"/>
                <w:szCs w:val="28"/>
                <w:highlight w:val="none"/>
                <w:u w:val="single"/>
              </w:rPr>
              <w:t xml:space="preserve">合同专用条款</w:t>
            </w:r>
            <w:r>
              <w:rPr>
                <w:rFonts w:hint="eastAsia" w:ascii="黑体" w:hAnsi="黑体" w:eastAsia="黑体" w:cs="黑体"/>
                <w:bCs/>
                <w:color w:val="auto"/>
                <w:sz w:val="28"/>
                <w:szCs w:val="28"/>
                <w:highlight w:val="none"/>
              </w:rPr>
              <w:t xml:space="preserve">约定期间内或者货物质量保证期内不予退还或者应完全有效，前述约定期间届满或者货物质量保证期届满之日起</w:t>
            </w:r>
            <w:r>
              <w:rPr>
                <w:rFonts w:hint="eastAsia" w:ascii="黑体" w:hAnsi="黑体" w:eastAsia="黑体" w:cs="黑体"/>
                <w:bCs/>
                <w:color w:val="auto"/>
                <w:sz w:val="28"/>
                <w:szCs w:val="28"/>
                <w:highlight w:val="none"/>
                <w:u w:val="single"/>
              </w:rPr>
              <w:t xml:space="preserve"> 10 </w:t>
            </w:r>
            <w:r>
              <w:rPr>
                <w:rFonts w:hint="eastAsia" w:ascii="黑体" w:hAnsi="黑体" w:eastAsia="黑体" w:cs="黑体"/>
                <w:bCs/>
                <w:color w:val="auto"/>
                <w:sz w:val="28"/>
                <w:szCs w:val="28"/>
                <w:highlight w:val="none"/>
              </w:rPr>
              <w:t xml:space="preserve">个工作日内，甲方应将履约保证金退还乙方；</w:t>
            </w:r>
            <w:r/>
          </w:p>
        </w:tc>
      </w:tr>
      <w:tr>
        <w:trPr>
          <w:trHeight w:val="784"/>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第14.1（3）项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运行监督、维修期限</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84"/>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第14.1（5）项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货物回收的约定</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第14.1（6）项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乙方提供的其他服务</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修理、重作、更换相关具体规定</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第15.2（2）项</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迟延交货赔偿费</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如果乙方没有按照合同规定的时间交货和提供相关服务，甲方有权从货款中扣除误期赔偿费而不影响合同项下的其他补救方法，赔偿费按合同总价款</w:t>
            </w:r>
            <w:r>
              <w:rPr>
                <w:rFonts w:hint="eastAsia" w:ascii="黑体" w:hAnsi="黑体" w:eastAsia="黑体" w:cs="黑体"/>
                <w:bCs/>
                <w:color w:val="auto"/>
                <w:sz w:val="28"/>
                <w:szCs w:val="28"/>
                <w:highlight w:val="none"/>
                <w:u w:val="single"/>
              </w:rPr>
              <w:t xml:space="preserve"> 2</w:t>
            </w:r>
            <w:r>
              <w:rPr>
                <w:rFonts w:hint="eastAsia" w:ascii="黑体" w:hAnsi="黑体" w:eastAsia="黑体" w:cs="黑体"/>
                <w:bCs/>
                <w:color w:val="auto"/>
                <w:sz w:val="28"/>
                <w:szCs w:val="28"/>
                <w:highlight w:val="none"/>
              </w:rPr>
              <w:t xml:space="preserve">%的违约金。如违约金不足弥补招标人损失的，由投标单位另行支付。如果涉及公共利益，且赔偿金额无法弥补公共利益损失，甲方可要求继续履行或者采取其他补救措施。</w:t>
            </w:r>
            <w:r/>
          </w:p>
        </w:tc>
      </w:tr>
      <w:tr>
        <w:trPr>
          <w:trHeight w:val="736"/>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第15.3款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逾期付款利息</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u w:val="single"/>
              </w:rPr>
            </w:pPr>
            <w:r>
              <w:rPr>
                <w:rFonts w:ascii="黑体" w:hAnsi="黑体" w:eastAsia="黑体" w:cs="黑体"/>
                <w:bCs/>
                <w:color w:val="auto"/>
                <w:sz w:val="28"/>
                <w:szCs w:val="28"/>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line="288" w:lineRule="auto"/>
              <w:rPr>
                <w:rFonts w:ascii="黑体" w:hAnsi="黑体" w:eastAsia="黑体" w:cs="黑体"/>
                <w:bCs/>
                <w:color w:val="auto"/>
                <w:sz w:val="28"/>
                <w:szCs w:val="28"/>
                <w:highlight w:val="none"/>
                <w:u w:val="single"/>
              </w:rPr>
            </w:pPr>
            <w:r>
              <w:rPr>
                <w:rFonts w:ascii="黑体" w:hAnsi="黑体" w:eastAsia="黑体" w:cs="黑体"/>
                <w:bCs/>
                <w:color w:val="auto"/>
                <w:sz w:val="28"/>
                <w:szCs w:val="28"/>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288" w:lineRule="auto"/>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因本合同及合同有关事项发生的争议，按下列第</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种方式解决：</w:t>
            </w:r>
            <w:r/>
          </w:p>
          <w:p>
            <w:pPr>
              <w:jc w:val="left"/>
              <w:spacing w:line="288" w:lineRule="auto"/>
              <w:rPr>
                <w:rFonts w:ascii="黑体" w:hAnsi="黑体" w:eastAsia="黑体" w:cs="黑体"/>
                <w:bCs/>
                <w:iCs/>
                <w:color w:val="auto"/>
                <w:sz w:val="28"/>
                <w:szCs w:val="28"/>
                <w:highlight w:val="none"/>
              </w:rPr>
            </w:pPr>
            <w:r>
              <w:rPr>
                <w:rFonts w:hint="eastAsia" w:ascii="黑体" w:hAnsi="黑体" w:eastAsia="黑体" w:cs="黑体"/>
                <w:bCs/>
                <w:iCs/>
                <w:color w:val="auto"/>
                <w:sz w:val="28"/>
                <w:szCs w:val="28"/>
                <w:highlight w:val="none"/>
              </w:rPr>
              <w:t xml:space="preserve">（1）向</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仲裁委员会申请仲裁，仲裁地点为</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w:t>
            </w:r>
            <w:r/>
          </w:p>
          <w:p>
            <w:pPr>
              <w:jc w:val="left"/>
              <w:spacing w:line="288" w:lineRule="auto"/>
              <w:rPr>
                <w:rFonts w:ascii="黑体" w:hAnsi="黑体" w:eastAsia="黑体" w:cs="黑体"/>
                <w:bCs/>
                <w:color w:val="auto"/>
                <w:sz w:val="28"/>
                <w:szCs w:val="28"/>
                <w:highlight w:val="none"/>
                <w:u w:val="single"/>
              </w:rPr>
            </w:pPr>
            <w:r>
              <w:rPr>
                <w:rFonts w:hint="eastAsia" w:ascii="黑体" w:hAnsi="黑体" w:eastAsia="黑体" w:cs="黑体"/>
                <w:bCs/>
                <w:iCs/>
                <w:color w:val="auto"/>
                <w:sz w:val="28"/>
                <w:szCs w:val="28"/>
                <w:highlight w:val="none"/>
              </w:rPr>
              <w:t xml:space="preserve">（2）向</w:t>
            </w:r>
            <w:r>
              <w:rPr>
                <w:rFonts w:hint="eastAsia" w:ascii="黑体" w:hAnsi="黑体" w:eastAsia="黑体" w:cs="黑体"/>
                <w:bCs/>
                <w:iCs/>
                <w:color w:val="auto"/>
                <w:sz w:val="28"/>
                <w:szCs w:val="28"/>
                <w:highlight w:val="none"/>
                <w:u w:val="single"/>
              </w:rPr>
              <w:t xml:space="preserve">                    </w:t>
            </w:r>
            <w:r>
              <w:rPr>
                <w:rFonts w:hint="eastAsia" w:ascii="黑体" w:hAnsi="黑体" w:eastAsia="黑体" w:cs="黑体"/>
                <w:bCs/>
                <w:iCs/>
                <w:color w:val="auto"/>
                <w:sz w:val="28"/>
                <w:szCs w:val="28"/>
                <w:highlight w:val="none"/>
              </w:rPr>
              <w:t xml:space="preserve">人民法院起诉。</w:t>
            </w:r>
            <w:r/>
          </w:p>
        </w:tc>
      </w:tr>
      <w:tr>
        <w:trPr>
          <w:trHeight w:val="770"/>
        </w:trPr>
        <w:tc>
          <w:tcPr>
            <w:tcW w:w="1607" w:type="dxa"/>
            <w:vAlign w:val="center"/>
            <w:textDirection w:val="lrTb"/>
            <w:noWrap w:val="false"/>
          </w:tcPr>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第二节</w:t>
            </w:r>
            <w:r/>
          </w:p>
          <w:p>
            <w:pPr>
              <w:jc w:val="center"/>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第23.1款</w:t>
            </w:r>
            <w:r/>
          </w:p>
        </w:tc>
        <w:tc>
          <w:tcPr>
            <w:tcW w:w="1742"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其他专用条款</w:t>
            </w:r>
            <w:r/>
          </w:p>
        </w:tc>
        <w:tc>
          <w:tcPr>
            <w:tcW w:w="5170" w:type="dxa"/>
            <w:vAlign w:val="center"/>
            <w:textDirection w:val="lrTb"/>
            <w:noWrap w:val="false"/>
          </w:tcPr>
          <w:p>
            <w:pPr>
              <w:jc w:val="left"/>
              <w:spacing w:line="288" w:lineRule="auto"/>
              <w:rPr>
                <w:rFonts w:ascii="黑体" w:hAnsi="黑体" w:eastAsia="黑体" w:cs="黑体"/>
                <w:bCs/>
                <w:color w:val="auto"/>
                <w:sz w:val="28"/>
                <w:szCs w:val="28"/>
                <w:highlight w:val="none"/>
              </w:rPr>
            </w:pPr>
            <w:r>
              <w:rPr>
                <w:rFonts w:ascii="黑体" w:hAnsi="黑体" w:eastAsia="黑体" w:cs="黑体"/>
                <w:bCs/>
                <w:color w:val="auto"/>
                <w:sz w:val="28"/>
                <w:szCs w:val="28"/>
                <w:highlight w:val="none"/>
              </w:rPr>
            </w:r>
            <w:r/>
          </w:p>
        </w:tc>
      </w:tr>
    </w:tbl>
    <w:p>
      <w:pPr>
        <w:pStyle w:val="869"/>
        <w:spacing w:line="288" w:lineRule="auto"/>
        <w:rPr>
          <w:rFonts w:ascii="黑体" w:hAnsi="黑体" w:eastAsia="黑体" w:cs="黑体"/>
          <w:bCs/>
          <w:color w:val="auto"/>
          <w:highlight w:val="none"/>
        </w:rPr>
      </w:pPr>
      <w:r>
        <w:rPr>
          <w:rFonts w:hint="eastAsia" w:ascii="黑体" w:hAnsi="黑体" w:eastAsia="黑体" w:cs="黑体"/>
          <w:bCs/>
          <w:color w:val="auto"/>
          <w:sz w:val="28"/>
          <w:szCs w:val="28"/>
          <w:highlight w:val="none"/>
        </w:rPr>
        <w:t xml:space="preserve">注释：本合同样本中的条款仅作为双方签订合同的参考，为阐明各方的权利和义务，经协商可增加新的条款。但不得与招标文件、中标单位投标文件的实质性内容相背离。</w:t>
      </w:r>
      <w:r/>
    </w:p>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Tahoma">
    <w:panose1 w:val="020B0604030504040204"/>
  </w:font>
  <w:font w:name="Symbol">
    <w:panose1 w:val="05050102010706020507"/>
  </w:font>
  <w:font w:name="新宋体">
    <w:panose1 w:val="0201060903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65"/>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66"/>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3"/>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29"/>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702"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10"/>
  </w:num>
  <w:num w:numId="5">
    <w:abstractNumId w:val="9"/>
  </w:num>
  <w:num w:numId="6">
    <w:abstractNumId w:val="11"/>
  </w:num>
  <w:num w:numId="7">
    <w:abstractNumId w:val="3"/>
  </w:num>
  <w:num w:numId="8">
    <w:abstractNumId w:val="8"/>
  </w:num>
  <w:num w:numId="9">
    <w:abstractNumId w:val="6"/>
  </w:num>
  <w:num w:numId="10">
    <w:abstractNumId w:val="5"/>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7"/>
    <w:link w:val="818"/>
    <w:uiPriority w:val="9"/>
    <w:rPr>
      <w:rFonts w:ascii="Arial" w:hAnsi="Arial" w:eastAsia="Arial" w:cs="Arial"/>
      <w:sz w:val="40"/>
      <w:szCs w:val="40"/>
    </w:rPr>
  </w:style>
  <w:style w:type="character" w:styleId="15">
    <w:name w:val="Heading 2 Char"/>
    <w:basedOn w:val="827"/>
    <w:link w:val="819"/>
    <w:uiPriority w:val="9"/>
    <w:rPr>
      <w:rFonts w:ascii="Arial" w:hAnsi="Arial" w:eastAsia="Arial" w:cs="Arial"/>
      <w:sz w:val="34"/>
    </w:rPr>
  </w:style>
  <w:style w:type="character" w:styleId="17">
    <w:name w:val="Heading 3 Char"/>
    <w:basedOn w:val="827"/>
    <w:link w:val="820"/>
    <w:uiPriority w:val="9"/>
    <w:rPr>
      <w:rFonts w:ascii="Arial" w:hAnsi="Arial" w:eastAsia="Arial" w:cs="Arial"/>
      <w:sz w:val="30"/>
      <w:szCs w:val="30"/>
    </w:rPr>
  </w:style>
  <w:style w:type="character" w:styleId="19">
    <w:name w:val="Heading 4 Char"/>
    <w:basedOn w:val="827"/>
    <w:link w:val="821"/>
    <w:uiPriority w:val="9"/>
    <w:rPr>
      <w:rFonts w:ascii="Arial" w:hAnsi="Arial" w:eastAsia="Arial" w:cs="Arial"/>
      <w:b/>
      <w:bCs/>
      <w:sz w:val="26"/>
      <w:szCs w:val="26"/>
    </w:rPr>
  </w:style>
  <w:style w:type="character" w:styleId="21">
    <w:name w:val="Heading 5 Char"/>
    <w:basedOn w:val="827"/>
    <w:link w:val="822"/>
    <w:uiPriority w:val="9"/>
    <w:rPr>
      <w:rFonts w:ascii="Arial" w:hAnsi="Arial" w:eastAsia="Arial" w:cs="Arial"/>
      <w:b/>
      <w:bCs/>
      <w:sz w:val="24"/>
      <w:szCs w:val="24"/>
    </w:rPr>
  </w:style>
  <w:style w:type="character" w:styleId="23">
    <w:name w:val="Heading 6 Char"/>
    <w:basedOn w:val="827"/>
    <w:link w:val="823"/>
    <w:uiPriority w:val="9"/>
    <w:rPr>
      <w:rFonts w:ascii="Arial" w:hAnsi="Arial" w:eastAsia="Arial" w:cs="Arial"/>
      <w:b/>
      <w:bCs/>
      <w:sz w:val="22"/>
      <w:szCs w:val="22"/>
    </w:rPr>
  </w:style>
  <w:style w:type="character" w:styleId="25">
    <w:name w:val="Heading 7 Char"/>
    <w:basedOn w:val="827"/>
    <w:link w:val="824"/>
    <w:uiPriority w:val="9"/>
    <w:rPr>
      <w:rFonts w:ascii="Arial" w:hAnsi="Arial" w:eastAsia="Arial" w:cs="Arial"/>
      <w:b/>
      <w:bCs/>
      <w:i/>
      <w:iCs/>
      <w:sz w:val="22"/>
      <w:szCs w:val="22"/>
    </w:rPr>
  </w:style>
  <w:style w:type="character" w:styleId="27">
    <w:name w:val="Heading 8 Char"/>
    <w:basedOn w:val="827"/>
    <w:link w:val="825"/>
    <w:uiPriority w:val="9"/>
    <w:rPr>
      <w:rFonts w:ascii="Arial" w:hAnsi="Arial" w:eastAsia="Arial" w:cs="Arial"/>
      <w:i/>
      <w:iCs/>
      <w:sz w:val="22"/>
      <w:szCs w:val="22"/>
    </w:rPr>
  </w:style>
  <w:style w:type="character" w:styleId="29">
    <w:name w:val="Heading 9 Char"/>
    <w:basedOn w:val="827"/>
    <w:link w:val="826"/>
    <w:uiPriority w:val="9"/>
    <w:rPr>
      <w:rFonts w:ascii="Arial" w:hAnsi="Arial" w:eastAsia="Arial" w:cs="Arial"/>
      <w:i/>
      <w:iCs/>
      <w:sz w:val="21"/>
      <w:szCs w:val="21"/>
    </w:rPr>
  </w:style>
  <w:style w:type="character" w:styleId="34">
    <w:name w:val="Title Char"/>
    <w:basedOn w:val="827"/>
    <w:link w:val="856"/>
    <w:uiPriority w:val="10"/>
    <w:rPr>
      <w:sz w:val="48"/>
      <w:szCs w:val="48"/>
    </w:rPr>
  </w:style>
  <w:style w:type="character" w:styleId="36">
    <w:name w:val="Subtitle Char"/>
    <w:basedOn w:val="827"/>
    <w:link w:val="849"/>
    <w:uiPriority w:val="11"/>
    <w:rPr>
      <w:sz w:val="24"/>
      <w:szCs w:val="24"/>
    </w:rPr>
  </w:style>
  <w:style w:type="character" w:styleId="38">
    <w:name w:val="Quote Char"/>
    <w:link w:val="883"/>
    <w:uiPriority w:val="29"/>
    <w:rPr>
      <w:i/>
    </w:rPr>
  </w:style>
  <w:style w:type="character" w:styleId="40">
    <w:name w:val="Intense Quote Char"/>
    <w:link w:val="885"/>
    <w:uiPriority w:val="30"/>
    <w:rPr>
      <w:i/>
    </w:rPr>
  </w:style>
  <w:style w:type="character" w:styleId="42">
    <w:name w:val="Header Char"/>
    <w:basedOn w:val="827"/>
    <w:link w:val="846"/>
    <w:uiPriority w:val="99"/>
  </w:style>
  <w:style w:type="character" w:styleId="46">
    <w:name w:val="Caption Char"/>
    <w:basedOn w:val="831"/>
    <w:link w:val="845"/>
    <w:uiPriority w:val="99"/>
  </w:style>
  <w:style w:type="table" w:styleId="49">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50"/>
    <w:uiPriority w:val="99"/>
    <w:rPr>
      <w:sz w:val="18"/>
    </w:rPr>
  </w:style>
  <w:style w:type="character" w:styleId="178">
    <w:name w:val="Endnote Text Char"/>
    <w:link w:val="843"/>
    <w:uiPriority w:val="99"/>
    <w:rPr>
      <w:sz w:val="20"/>
    </w:rPr>
  </w:style>
  <w:style w:type="paragraph" w:styleId="189">
    <w:name w:val="TOC Heading"/>
    <w:uiPriority w:val="39"/>
    <w:unhideWhenUsed/>
  </w:style>
  <w:style w:type="paragraph" w:styleId="81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8">
    <w:name w:val="Heading 1"/>
    <w:basedOn w:val="817"/>
    <w:next w:val="817"/>
    <w:link w:val="870"/>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871"/>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link w:val="872"/>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73"/>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74"/>
    <w:uiPriority w:val="9"/>
    <w:unhideWhenUsed/>
    <w:qFormat/>
    <w:pPr>
      <w:keepLines/>
      <w:keepNext/>
      <w:spacing w:before="320" w:after="200"/>
      <w:outlineLvl w:val="4"/>
    </w:pPr>
    <w:rPr>
      <w:rFonts w:ascii="Arial" w:hAnsi="Arial" w:eastAsia="Arial" w:cs="Arial"/>
      <w:b/>
      <w:bCs/>
      <w:sz w:val="24"/>
    </w:rPr>
  </w:style>
  <w:style w:type="paragraph" w:styleId="823">
    <w:name w:val="Heading 6"/>
    <w:basedOn w:val="817"/>
    <w:next w:val="817"/>
    <w:link w:val="875"/>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77"/>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78"/>
    <w:uiPriority w:val="9"/>
    <w:unhideWhenUsed/>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unhideWhenUsed/>
    <w:qFormat/>
    <w:pPr>
      <w:ind w:left="1701"/>
      <w:spacing w:after="57"/>
    </w:pPr>
  </w:style>
  <w:style w:type="paragraph" w:styleId="830">
    <w:name w:val="Normal Indent"/>
    <w:basedOn w:val="817"/>
    <w:uiPriority w:val="0"/>
    <w:qFormat/>
    <w:pPr>
      <w:ind w:firstLine="420"/>
      <w:jc w:val="left"/>
    </w:pPr>
    <w:rPr>
      <w:rFonts w:eastAsia="楷体_GB2312"/>
      <w:sz w:val="24"/>
    </w:rPr>
  </w:style>
  <w:style w:type="paragraph" w:styleId="831">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annotation text"/>
    <w:basedOn w:val="817"/>
    <w:link w:val="1147"/>
    <w:uiPriority w:val="0"/>
    <w:qFormat/>
    <w:pPr>
      <w:jc w:val="left"/>
    </w:pPr>
  </w:style>
  <w:style w:type="paragraph" w:styleId="833">
    <w:name w:val="Body Text"/>
    <w:basedOn w:val="817"/>
    <w:uiPriority w:val="0"/>
    <w:qFormat/>
    <w:pPr>
      <w:spacing w:after="120"/>
    </w:pPr>
  </w:style>
  <w:style w:type="paragraph" w:styleId="834">
    <w:name w:val="Body Text Indent"/>
    <w:basedOn w:val="817"/>
    <w:next w:val="835"/>
    <w:uiPriority w:val="0"/>
    <w:qFormat/>
    <w:pPr>
      <w:ind w:left="420"/>
      <w:spacing w:after="120"/>
    </w:pPr>
  </w:style>
  <w:style w:type="paragraph" w:styleId="835">
    <w:name w:val="envelope return"/>
    <w:basedOn w:val="817"/>
    <w:uiPriority w:val="99"/>
    <w:unhideWhenUsed/>
    <w:qFormat/>
    <w:rPr>
      <w:rFonts w:ascii="Arial" w:hAnsi="Arial"/>
    </w:rPr>
  </w:style>
  <w:style w:type="paragraph" w:styleId="836">
    <w:name w:val="Block Text"/>
    <w:basedOn w:val="817"/>
    <w:uiPriority w:val="99"/>
    <w:unhideWhenUsed/>
    <w:qFormat/>
    <w:pPr>
      <w:ind w:left="1440" w:right="700"/>
    </w:pPr>
    <w:rPr>
      <w:rFonts w:ascii="Verdana" w:hAnsi="Verdana"/>
      <w:szCs w:val="20"/>
    </w:rPr>
  </w:style>
  <w:style w:type="paragraph" w:styleId="837">
    <w:name w:val="index 4"/>
    <w:basedOn w:val="817"/>
    <w:next w:val="817"/>
    <w:uiPriority w:val="99"/>
    <w:unhideWhenUsed/>
    <w:qFormat/>
    <w:pPr>
      <w:ind w:left="600"/>
    </w:pPr>
  </w:style>
  <w:style w:type="paragraph" w:styleId="838">
    <w:name w:val="toc 5"/>
    <w:basedOn w:val="817"/>
    <w:next w:val="817"/>
    <w:uiPriority w:val="39"/>
    <w:unhideWhenUsed/>
    <w:qFormat/>
    <w:pPr>
      <w:ind w:left="1134"/>
      <w:spacing w:after="57"/>
    </w:pPr>
  </w:style>
  <w:style w:type="paragraph" w:styleId="839">
    <w:name w:val="toc 3"/>
    <w:basedOn w:val="817"/>
    <w:next w:val="817"/>
    <w:uiPriority w:val="39"/>
    <w:unhideWhenUsed/>
    <w:qFormat/>
    <w:pPr>
      <w:ind w:left="567"/>
      <w:spacing w:after="57"/>
    </w:pPr>
  </w:style>
  <w:style w:type="paragraph" w:styleId="840">
    <w:name w:val="Plain Text"/>
    <w:basedOn w:val="817"/>
    <w:uiPriority w:val="0"/>
    <w:qFormat/>
    <w:rPr>
      <w:rFonts w:ascii="宋体" w:hAnsi="Courier New" w:cs="Courier New"/>
      <w:szCs w:val="21"/>
    </w:rPr>
  </w:style>
  <w:style w:type="paragraph" w:styleId="841">
    <w:name w:val="toc 8"/>
    <w:basedOn w:val="817"/>
    <w:next w:val="817"/>
    <w:uiPriority w:val="39"/>
    <w:unhideWhenUsed/>
    <w:qFormat/>
    <w:pPr>
      <w:ind w:left="1984"/>
      <w:spacing w:after="57"/>
    </w:pPr>
  </w:style>
  <w:style w:type="paragraph" w:styleId="842">
    <w:name w:val="Body Text Indent 2"/>
    <w:basedOn w:val="817"/>
    <w:uiPriority w:val="0"/>
    <w:semiHidden/>
    <w:unhideWhenUsed/>
    <w:qFormat/>
    <w:pPr>
      <w:ind w:firstLine="560"/>
      <w:spacing w:line="500" w:lineRule="exact"/>
    </w:pPr>
    <w:rPr>
      <w:rFonts w:eastAsia="仿宋_GB2312"/>
      <w:sz w:val="28"/>
      <w:szCs w:val="20"/>
    </w:rPr>
  </w:style>
  <w:style w:type="paragraph" w:styleId="843">
    <w:name w:val="endnote text"/>
    <w:basedOn w:val="817"/>
    <w:link w:val="1016"/>
    <w:uiPriority w:val="99"/>
    <w:semiHidden/>
    <w:unhideWhenUsed/>
    <w:qFormat/>
    <w:rPr>
      <w:sz w:val="20"/>
    </w:rPr>
  </w:style>
  <w:style w:type="paragraph" w:styleId="844">
    <w:name w:val="Balloon Text"/>
    <w:basedOn w:val="817"/>
    <w:link w:val="1146"/>
    <w:uiPriority w:val="99"/>
    <w:semiHidden/>
    <w:unhideWhenUsed/>
    <w:qFormat/>
    <w:rPr>
      <w:sz w:val="18"/>
      <w:szCs w:val="18"/>
    </w:rPr>
  </w:style>
  <w:style w:type="paragraph" w:styleId="845">
    <w:name w:val="Footer"/>
    <w:basedOn w:val="817"/>
    <w:link w:val="889"/>
    <w:uiPriority w:val="99"/>
    <w:unhideWhenUsed/>
    <w:qFormat/>
    <w:pPr>
      <w:tabs>
        <w:tab w:val="center" w:pos="7143" w:leader="none"/>
        <w:tab w:val="right" w:pos="14287" w:leader="none"/>
      </w:tabs>
    </w:pPr>
  </w:style>
  <w:style w:type="paragraph" w:styleId="846">
    <w:name w:val="Header"/>
    <w:basedOn w:val="817"/>
    <w:link w:val="887"/>
    <w:uiPriority w:val="99"/>
    <w:unhideWhenUsed/>
    <w:qFormat/>
    <w:pPr>
      <w:tabs>
        <w:tab w:val="center" w:pos="7143" w:leader="none"/>
        <w:tab w:val="right" w:pos="14287" w:leader="none"/>
      </w:tabs>
    </w:pPr>
  </w:style>
  <w:style w:type="paragraph" w:styleId="847">
    <w:name w:val="toc 1"/>
    <w:basedOn w:val="817"/>
    <w:next w:val="817"/>
    <w:uiPriority w:val="39"/>
    <w:unhideWhenUsed/>
    <w:qFormat/>
    <w:pPr>
      <w:spacing w:after="57"/>
    </w:pPr>
  </w:style>
  <w:style w:type="paragraph" w:styleId="848">
    <w:name w:val="toc 4"/>
    <w:basedOn w:val="817"/>
    <w:next w:val="817"/>
    <w:uiPriority w:val="39"/>
    <w:unhideWhenUsed/>
    <w:qFormat/>
    <w:pPr>
      <w:ind w:left="850"/>
      <w:spacing w:after="57"/>
    </w:pPr>
  </w:style>
  <w:style w:type="paragraph" w:styleId="849">
    <w:name w:val="Subtitle"/>
    <w:basedOn w:val="817"/>
    <w:next w:val="817"/>
    <w:link w:val="882"/>
    <w:uiPriority w:val="11"/>
    <w:qFormat/>
    <w:pPr>
      <w:spacing w:before="200" w:after="200"/>
    </w:pPr>
    <w:rPr>
      <w:sz w:val="24"/>
    </w:rPr>
  </w:style>
  <w:style w:type="paragraph" w:styleId="850">
    <w:name w:val="footnote text"/>
    <w:basedOn w:val="817"/>
    <w:link w:val="1015"/>
    <w:uiPriority w:val="99"/>
    <w:semiHidden/>
    <w:unhideWhenUsed/>
    <w:qFormat/>
    <w:pPr>
      <w:spacing w:after="40"/>
    </w:pPr>
    <w:rPr>
      <w:sz w:val="18"/>
    </w:rPr>
  </w:style>
  <w:style w:type="paragraph" w:styleId="851">
    <w:name w:val="toc 6"/>
    <w:basedOn w:val="817"/>
    <w:next w:val="817"/>
    <w:uiPriority w:val="39"/>
    <w:unhideWhenUsed/>
    <w:qFormat/>
    <w:pPr>
      <w:ind w:left="1417"/>
      <w:spacing w:after="57"/>
    </w:pPr>
  </w:style>
  <w:style w:type="paragraph" w:styleId="852">
    <w:name w:val="table of figures"/>
    <w:basedOn w:val="817"/>
    <w:next w:val="817"/>
    <w:uiPriority w:val="99"/>
    <w:unhideWhenUsed/>
    <w:qFormat/>
  </w:style>
  <w:style w:type="paragraph" w:styleId="853">
    <w:name w:val="toc 2"/>
    <w:basedOn w:val="817"/>
    <w:next w:val="817"/>
    <w:uiPriority w:val="39"/>
    <w:unhideWhenUsed/>
    <w:qFormat/>
    <w:pPr>
      <w:ind w:left="283"/>
      <w:spacing w:after="57"/>
    </w:pPr>
  </w:style>
  <w:style w:type="paragraph" w:styleId="854">
    <w:name w:val="toc 9"/>
    <w:basedOn w:val="817"/>
    <w:next w:val="817"/>
    <w:uiPriority w:val="39"/>
    <w:unhideWhenUsed/>
    <w:qFormat/>
    <w:pPr>
      <w:ind w:left="2268"/>
      <w:spacing w:after="57"/>
    </w:pPr>
  </w:style>
  <w:style w:type="paragraph" w:styleId="855">
    <w:name w:val="Normal (Web)"/>
    <w:basedOn w:val="817"/>
    <w:uiPriority w:val="99"/>
    <w:semiHidden/>
    <w:qFormat/>
    <w:pPr>
      <w:jc w:val="left"/>
      <w:spacing w:before="100" w:beforeAutospacing="1" w:after="100" w:afterAutospacing="1"/>
      <w:widowControl/>
    </w:pPr>
    <w:rPr>
      <w:rFonts w:ascii="宋体" w:hAnsi="宋体" w:cs="宋体"/>
      <w:sz w:val="24"/>
    </w:rPr>
  </w:style>
  <w:style w:type="paragraph" w:styleId="856">
    <w:name w:val="Title"/>
    <w:basedOn w:val="817"/>
    <w:next w:val="817"/>
    <w:link w:val="881"/>
    <w:uiPriority w:val="10"/>
    <w:qFormat/>
    <w:pPr>
      <w:contextualSpacing/>
      <w:spacing w:before="300" w:after="200"/>
    </w:pPr>
    <w:rPr>
      <w:sz w:val="48"/>
      <w:szCs w:val="48"/>
    </w:rPr>
  </w:style>
  <w:style w:type="paragraph" w:styleId="857">
    <w:name w:val="annotation subject"/>
    <w:basedOn w:val="832"/>
    <w:next w:val="832"/>
    <w:link w:val="1148"/>
    <w:uiPriority w:val="99"/>
    <w:semiHidden/>
    <w:unhideWhenUsed/>
    <w:qFormat/>
    <w:rPr>
      <w:b/>
      <w:bCs/>
    </w:rPr>
  </w:style>
  <w:style w:type="paragraph" w:styleId="858">
    <w:name w:val="Body Text First Indent"/>
    <w:basedOn w:val="833"/>
    <w:next w:val="851"/>
    <w:uiPriority w:val="0"/>
    <w:qFormat/>
    <w:pPr>
      <w:ind w:firstLine="482"/>
      <w:spacing w:line="360" w:lineRule="auto"/>
    </w:pPr>
    <w:rPr>
      <w:b/>
      <w:sz w:val="24"/>
    </w:rPr>
  </w:style>
  <w:style w:type="paragraph" w:styleId="859">
    <w:name w:val="Body Text First Indent 2"/>
    <w:basedOn w:val="834"/>
    <w:next w:val="817"/>
    <w:uiPriority w:val="99"/>
    <w:unhideWhenUsed/>
    <w:qFormat/>
    <w:pPr>
      <w:ind w:firstLine="200"/>
    </w:pPr>
  </w:style>
  <w:style w:type="table" w:styleId="8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Strong"/>
    <w:basedOn w:val="827"/>
    <w:uiPriority w:val="22"/>
    <w:qFormat/>
    <w:rPr>
      <w:b/>
    </w:rPr>
  </w:style>
  <w:style w:type="character" w:styleId="862">
    <w:name w:val="endnote reference"/>
    <w:uiPriority w:val="99"/>
    <w:unhideWhenUsed/>
    <w:qFormat/>
    <w:rPr>
      <w:vertAlign w:val="superscript"/>
    </w:rPr>
  </w:style>
  <w:style w:type="character" w:styleId="863">
    <w:name w:val="Hyperlink"/>
    <w:uiPriority w:val="99"/>
    <w:unhideWhenUsed/>
    <w:qFormat/>
    <w:rPr>
      <w:color w:val="0000ff" w:themeColor="hyperlink"/>
      <w:u w:val="single"/>
      <w14:textFill>
        <w14:solidFill>
          <w14:schemeClr w14:val="hlink"/>
        </w14:solidFill>
      </w14:textFill>
    </w:rPr>
  </w:style>
  <w:style w:type="character" w:styleId="864">
    <w:name w:val="annotation reference"/>
    <w:basedOn w:val="827"/>
    <w:uiPriority w:val="99"/>
    <w:semiHidden/>
    <w:unhideWhenUsed/>
    <w:qFormat/>
    <w:rPr>
      <w:sz w:val="21"/>
      <w:szCs w:val="21"/>
    </w:rPr>
  </w:style>
  <w:style w:type="character" w:styleId="865">
    <w:name w:val="footnote reference"/>
    <w:uiPriority w:val="99"/>
    <w:unhideWhenUsed/>
    <w:qFormat/>
    <w:rPr>
      <w:vertAlign w:val="superscript"/>
    </w:rPr>
  </w:style>
  <w:style w:type="paragraph" w:styleId="866" w:customStyle="1">
    <w:name w:val="正文首行缩进1"/>
    <w:basedOn w:val="867"/>
    <w:link w:val="1069"/>
    <w:uiPriority w:val="0"/>
    <w:qFormat/>
    <w:pPr>
      <w:ind w:firstLine="420"/>
      <w:spacing w:after="120"/>
    </w:pPr>
    <w:rPr>
      <w:rFonts w:ascii="Times New Roman" w:eastAsia="宋体"/>
      <w:szCs w:val="24"/>
    </w:rPr>
  </w:style>
  <w:style w:type="paragraph" w:styleId="867" w:customStyle="1">
    <w:name w:val="正文文本1"/>
    <w:basedOn w:val="868"/>
    <w:next w:val="817"/>
    <w:link w:val="1045"/>
    <w:uiPriority w:val="0"/>
    <w:qFormat/>
    <w:rPr>
      <w:rFonts w:ascii="仿宋_GB2312" w:eastAsia="仿宋_GB2312"/>
      <w:sz w:val="24"/>
      <w:szCs w:val="20"/>
    </w:rPr>
  </w:style>
  <w:style w:type="paragraph" w:styleId="868" w:customStyle="1">
    <w:name w:val="正文11"/>
    <w:next w:val="867"/>
    <w:uiPriority w:val="99"/>
    <w:qFormat/>
    <w:pPr>
      <w:jc w:val="both"/>
      <w:widowControl w:val="off"/>
    </w:pPr>
    <w:rPr>
      <w:rFonts w:ascii="Calibri" w:hAnsi="Calibri" w:eastAsia="宋体" w:cs="Times New Roman"/>
      <w:sz w:val="21"/>
      <w:szCs w:val="21"/>
      <w:lang w:val="en-US" w:eastAsia="zh-CN" w:bidi="ar-SA"/>
    </w:rPr>
  </w:style>
  <w:style w:type="paragraph" w:styleId="869"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870" w:customStyle="1">
    <w:name w:val="标题 1 字符1"/>
    <w:link w:val="818"/>
    <w:uiPriority w:val="9"/>
    <w:qFormat/>
    <w:rPr>
      <w:rFonts w:ascii="Arial" w:hAnsi="Arial" w:eastAsia="Arial" w:cs="Arial"/>
      <w:sz w:val="40"/>
      <w:szCs w:val="40"/>
    </w:rPr>
  </w:style>
  <w:style w:type="character" w:styleId="871" w:customStyle="1">
    <w:name w:val="标题 2 字符1"/>
    <w:link w:val="819"/>
    <w:uiPriority w:val="9"/>
    <w:qFormat/>
    <w:rPr>
      <w:rFonts w:ascii="Arial" w:hAnsi="Arial" w:eastAsia="Arial" w:cs="Arial"/>
      <w:sz w:val="34"/>
    </w:rPr>
  </w:style>
  <w:style w:type="character" w:styleId="872" w:customStyle="1">
    <w:name w:val="标题 3 字符1"/>
    <w:link w:val="820"/>
    <w:uiPriority w:val="9"/>
    <w:qFormat/>
    <w:rPr>
      <w:rFonts w:ascii="Arial" w:hAnsi="Arial" w:eastAsia="Arial" w:cs="Arial"/>
      <w:sz w:val="30"/>
      <w:szCs w:val="30"/>
    </w:rPr>
  </w:style>
  <w:style w:type="character" w:styleId="873" w:customStyle="1">
    <w:name w:val="标题 4 字符1"/>
    <w:link w:val="821"/>
    <w:uiPriority w:val="9"/>
    <w:qFormat/>
    <w:rPr>
      <w:rFonts w:ascii="Arial" w:hAnsi="Arial" w:eastAsia="Arial" w:cs="Arial"/>
      <w:b/>
      <w:bCs/>
      <w:sz w:val="26"/>
      <w:szCs w:val="26"/>
    </w:rPr>
  </w:style>
  <w:style w:type="character" w:styleId="874" w:customStyle="1">
    <w:name w:val="标题 5 字符1"/>
    <w:link w:val="822"/>
    <w:uiPriority w:val="9"/>
    <w:qFormat/>
    <w:rPr>
      <w:rFonts w:ascii="Arial" w:hAnsi="Arial" w:eastAsia="Arial" w:cs="Arial"/>
      <w:b/>
      <w:bCs/>
      <w:sz w:val="24"/>
      <w:szCs w:val="24"/>
    </w:rPr>
  </w:style>
  <w:style w:type="character" w:styleId="875" w:customStyle="1">
    <w:name w:val="标题 6 字符1"/>
    <w:link w:val="823"/>
    <w:uiPriority w:val="9"/>
    <w:qFormat/>
    <w:rPr>
      <w:rFonts w:ascii="Arial" w:hAnsi="Arial" w:eastAsia="Arial" w:cs="Arial"/>
      <w:b/>
      <w:bCs/>
      <w:sz w:val="22"/>
      <w:szCs w:val="22"/>
    </w:rPr>
  </w:style>
  <w:style w:type="character" w:styleId="876" w:customStyle="1">
    <w:name w:val="标题 7 字符1"/>
    <w:link w:val="824"/>
    <w:uiPriority w:val="9"/>
    <w:qFormat/>
    <w:rPr>
      <w:rFonts w:ascii="Arial" w:hAnsi="Arial" w:eastAsia="Arial" w:cs="Arial"/>
      <w:b/>
      <w:bCs/>
      <w:i/>
      <w:iCs/>
      <w:sz w:val="22"/>
      <w:szCs w:val="22"/>
    </w:rPr>
  </w:style>
  <w:style w:type="character" w:styleId="877" w:customStyle="1">
    <w:name w:val="标题 8 字符1"/>
    <w:link w:val="825"/>
    <w:uiPriority w:val="9"/>
    <w:qFormat/>
    <w:rPr>
      <w:rFonts w:ascii="Arial" w:hAnsi="Arial" w:eastAsia="Arial" w:cs="Arial"/>
      <w:i/>
      <w:iCs/>
      <w:sz w:val="22"/>
      <w:szCs w:val="22"/>
    </w:rPr>
  </w:style>
  <w:style w:type="character" w:styleId="878" w:customStyle="1">
    <w:name w:val="标题 9 字符1"/>
    <w:link w:val="826"/>
    <w:uiPriority w:val="9"/>
    <w:qFormat/>
    <w:rPr>
      <w:rFonts w:ascii="Arial" w:hAnsi="Arial" w:eastAsia="Arial" w:cs="Arial"/>
      <w:i/>
      <w:iCs/>
      <w:sz w:val="21"/>
      <w:szCs w:val="21"/>
    </w:rPr>
  </w:style>
  <w:style w:type="paragraph" w:styleId="879">
    <w:name w:val="List Paragraph"/>
    <w:basedOn w:val="817"/>
    <w:uiPriority w:val="34"/>
    <w:qFormat/>
    <w:pPr>
      <w:contextualSpacing/>
      <w:ind w:left="720"/>
    </w:pPr>
  </w:style>
  <w:style w:type="paragraph" w:styleId="880">
    <w:name w:val="No Spacing"/>
    <w:uiPriority w:val="1"/>
    <w:qFormat/>
    <w:rPr>
      <w:rFonts w:ascii="Times New Roman" w:hAnsi="Times New Roman" w:eastAsia="宋体" w:cs="Times New Roman"/>
      <w:lang w:val="en-US" w:eastAsia="zh-CN" w:bidi="ar-SA"/>
    </w:rPr>
  </w:style>
  <w:style w:type="character" w:styleId="881" w:customStyle="1">
    <w:name w:val="标题 字符"/>
    <w:link w:val="856"/>
    <w:uiPriority w:val="10"/>
    <w:qFormat/>
    <w:rPr>
      <w:sz w:val="48"/>
      <w:szCs w:val="48"/>
    </w:rPr>
  </w:style>
  <w:style w:type="character" w:styleId="882" w:customStyle="1">
    <w:name w:val="副标题 字符"/>
    <w:link w:val="849"/>
    <w:uiPriority w:val="11"/>
    <w:qFormat/>
    <w:rPr>
      <w:sz w:val="24"/>
      <w:szCs w:val="24"/>
    </w:rPr>
  </w:style>
  <w:style w:type="paragraph" w:styleId="883">
    <w:name w:val="Quote"/>
    <w:basedOn w:val="817"/>
    <w:next w:val="817"/>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817"/>
    <w:next w:val="817"/>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页眉 字符1"/>
    <w:link w:val="846"/>
    <w:uiPriority w:val="99"/>
    <w:qFormat/>
  </w:style>
  <w:style w:type="character" w:styleId="888" w:customStyle="1">
    <w:name w:val="Footer Char"/>
    <w:uiPriority w:val="99"/>
    <w:qFormat/>
  </w:style>
  <w:style w:type="character" w:styleId="889" w:customStyle="1">
    <w:name w:val="页脚 字符1"/>
    <w:link w:val="845"/>
    <w:uiPriority w:val="99"/>
    <w:qFormat/>
  </w:style>
  <w:style w:type="table" w:styleId="8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脚注文本 字符"/>
    <w:link w:val="850"/>
    <w:uiPriority w:val="99"/>
    <w:qFormat/>
    <w:rPr>
      <w:sz w:val="18"/>
    </w:rPr>
  </w:style>
  <w:style w:type="character" w:styleId="1016" w:customStyle="1">
    <w:name w:val="尾注文本 字符"/>
    <w:link w:val="843"/>
    <w:uiPriority w:val="99"/>
    <w:qFormat/>
    <w:rPr>
      <w:sz w:val="20"/>
    </w:rPr>
  </w:style>
  <w:style w:type="paragraph" w:styleId="1017" w:customStyle="1">
    <w:name w:val="TOC 标题1"/>
    <w:uiPriority w:val="39"/>
    <w:unhideWhenUsed/>
    <w:qFormat/>
    <w:rPr>
      <w:rFonts w:ascii="Times New Roman" w:hAnsi="Times New Roman" w:eastAsia="宋体" w:cs="Times New Roman"/>
      <w:lang w:val="en-US" w:eastAsia="zh-CN" w:bidi="ar-SA"/>
    </w:rPr>
  </w:style>
  <w:style w:type="paragraph" w:styleId="1018" w:customStyle="1">
    <w:name w:val="标题 11"/>
    <w:basedOn w:val="817"/>
    <w:next w:val="817"/>
    <w:link w:val="1030"/>
    <w:uiPriority w:val="0"/>
    <w:qFormat/>
    <w:pPr>
      <w:keepLines/>
      <w:keepNext/>
      <w:spacing w:before="340" w:after="330" w:line="578" w:lineRule="auto"/>
      <w:outlineLvl w:val="0"/>
    </w:pPr>
    <w:rPr>
      <w:b/>
      <w:bCs/>
      <w:sz w:val="44"/>
      <w:szCs w:val="44"/>
    </w:rPr>
  </w:style>
  <w:style w:type="paragraph" w:styleId="1019" w:customStyle="1">
    <w:name w:val="标题 21"/>
    <w:basedOn w:val="817"/>
    <w:next w:val="817"/>
    <w:link w:val="1031"/>
    <w:uiPriority w:val="0"/>
    <w:qFormat/>
    <w:pPr>
      <w:keepLines/>
      <w:keepNext/>
      <w:spacing w:before="260" w:after="260" w:line="416" w:lineRule="auto"/>
      <w:outlineLvl w:val="1"/>
    </w:pPr>
    <w:rPr>
      <w:rFonts w:ascii="Arial" w:hAnsi="Arial" w:eastAsia="黑体"/>
      <w:b/>
      <w:bCs/>
      <w:sz w:val="32"/>
      <w:szCs w:val="32"/>
    </w:rPr>
  </w:style>
  <w:style w:type="paragraph" w:styleId="1020" w:customStyle="1">
    <w:name w:val="标题 31"/>
    <w:basedOn w:val="817"/>
    <w:next w:val="817"/>
    <w:link w:val="1032"/>
    <w:uiPriority w:val="0"/>
    <w:qFormat/>
    <w:pPr>
      <w:keepLines/>
      <w:keepNext/>
      <w:spacing w:before="260" w:after="260" w:line="416" w:lineRule="auto"/>
      <w:outlineLvl w:val="2"/>
    </w:pPr>
    <w:rPr>
      <w:b/>
      <w:bCs/>
      <w:sz w:val="32"/>
      <w:szCs w:val="32"/>
    </w:rPr>
  </w:style>
  <w:style w:type="paragraph" w:styleId="1021" w:customStyle="1">
    <w:name w:val="标题 41"/>
    <w:basedOn w:val="817"/>
    <w:next w:val="817"/>
    <w:link w:val="1033"/>
    <w:uiPriority w:val="0"/>
    <w:qFormat/>
    <w:pPr>
      <w:jc w:val="center"/>
      <w:keepNext/>
      <w:outlineLvl w:val="3"/>
    </w:pPr>
    <w:rPr>
      <w:rFonts w:eastAsia="新宋体"/>
      <w:sz w:val="30"/>
      <w:szCs w:val="21"/>
    </w:rPr>
  </w:style>
  <w:style w:type="paragraph" w:styleId="1022" w:customStyle="1">
    <w:name w:val="标题 51"/>
    <w:basedOn w:val="817"/>
    <w:next w:val="817"/>
    <w:link w:val="1034"/>
    <w:uiPriority w:val="0"/>
    <w:qFormat/>
    <w:pPr>
      <w:keepLines/>
      <w:keepNext/>
      <w:spacing w:before="280" w:after="290" w:line="376" w:lineRule="auto"/>
      <w:outlineLvl w:val="4"/>
    </w:pPr>
    <w:rPr>
      <w:b/>
      <w:bCs/>
      <w:sz w:val="28"/>
      <w:szCs w:val="28"/>
    </w:rPr>
  </w:style>
  <w:style w:type="paragraph" w:styleId="1023" w:customStyle="1">
    <w:name w:val="标题 61"/>
    <w:basedOn w:val="817"/>
    <w:next w:val="1024"/>
    <w:link w:val="1035"/>
    <w:uiPriority w:val="0"/>
    <w:qFormat/>
    <w:pPr>
      <w:jc w:val="center"/>
      <w:keepNext/>
      <w:outlineLvl w:val="5"/>
    </w:pPr>
    <w:rPr>
      <w:b/>
      <w:sz w:val="44"/>
      <w:szCs w:val="20"/>
    </w:rPr>
  </w:style>
  <w:style w:type="paragraph" w:styleId="1024" w:customStyle="1">
    <w:name w:val="正文缩进1"/>
    <w:basedOn w:val="817"/>
    <w:link w:val="1036"/>
    <w:uiPriority w:val="0"/>
    <w:qFormat/>
    <w:pPr>
      <w:ind w:firstLine="420"/>
    </w:pPr>
    <w:rPr>
      <w:sz w:val="20"/>
      <w:szCs w:val="20"/>
    </w:rPr>
  </w:style>
  <w:style w:type="paragraph" w:styleId="1025" w:customStyle="1">
    <w:name w:val="标题 71"/>
    <w:basedOn w:val="817"/>
    <w:next w:val="817"/>
    <w:link w:val="1037"/>
    <w:uiPriority w:val="0"/>
    <w:qFormat/>
    <w:pPr>
      <w:keepLines/>
      <w:keepNext/>
      <w:spacing w:before="240" w:after="64" w:line="320" w:lineRule="auto"/>
      <w:outlineLvl w:val="6"/>
    </w:pPr>
    <w:rPr>
      <w:b/>
      <w:bCs/>
      <w:sz w:val="24"/>
    </w:rPr>
  </w:style>
  <w:style w:type="paragraph" w:styleId="1026" w:customStyle="1">
    <w:name w:val="标题 81"/>
    <w:basedOn w:val="817"/>
    <w:next w:val="817"/>
    <w:link w:val="1038"/>
    <w:uiPriority w:val="0"/>
    <w:qFormat/>
    <w:pPr>
      <w:keepLines/>
      <w:keepNext/>
      <w:spacing w:before="240" w:after="64" w:line="320" w:lineRule="auto"/>
      <w:outlineLvl w:val="7"/>
    </w:pPr>
    <w:rPr>
      <w:rFonts w:ascii="Arial" w:hAnsi="Arial" w:eastAsia="黑体"/>
      <w:sz w:val="24"/>
    </w:rPr>
  </w:style>
  <w:style w:type="paragraph" w:styleId="1027" w:customStyle="1">
    <w:name w:val="标题 91"/>
    <w:basedOn w:val="817"/>
    <w:next w:val="817"/>
    <w:link w:val="1039"/>
    <w:uiPriority w:val="0"/>
    <w:qFormat/>
    <w:pPr>
      <w:keepLines/>
      <w:keepNext/>
      <w:spacing w:before="240" w:after="64" w:line="320" w:lineRule="auto"/>
      <w:outlineLvl w:val="8"/>
    </w:pPr>
    <w:rPr>
      <w:rFonts w:ascii="Arial" w:hAnsi="Arial" w:eastAsia="黑体"/>
      <w:sz w:val="24"/>
      <w:szCs w:val="21"/>
    </w:rPr>
  </w:style>
  <w:style w:type="character" w:styleId="1028" w:customStyle="1">
    <w:name w:val="默认段落字体1"/>
    <w:uiPriority w:val="1"/>
    <w:unhideWhenUsed/>
    <w:qFormat/>
  </w:style>
  <w:style w:type="table" w:styleId="1029" w:customStyle="1">
    <w:name w:val="普通表格1"/>
    <w:uiPriority w:val="99"/>
    <w:unhideWhenUsed/>
    <w:qFormat/>
    <w:tblPr>
      <w:tblCellMar>
        <w:left w:w="0" w:type="dxa"/>
        <w:top w:w="0" w:type="dxa"/>
        <w:right w:w="0" w:type="dxa"/>
        <w:bottom w:w="0" w:type="dxa"/>
      </w:tblCellMar>
    </w:tblPr>
  </w:style>
  <w:style w:type="character" w:styleId="1030" w:customStyle="1">
    <w:name w:val="标题 1 字符"/>
    <w:link w:val="1018"/>
    <w:uiPriority w:val="0"/>
    <w:qFormat/>
    <w:rPr>
      <w:rFonts w:ascii="Times New Roman" w:hAnsi="Times New Roman" w:eastAsia="宋体" w:cs="Times New Roman"/>
      <w:b/>
      <w:bCs/>
      <w:sz w:val="44"/>
      <w:szCs w:val="44"/>
    </w:rPr>
  </w:style>
  <w:style w:type="character" w:styleId="1031" w:customStyle="1">
    <w:name w:val="标题 2 字符"/>
    <w:link w:val="1019"/>
    <w:uiPriority w:val="0"/>
    <w:qFormat/>
    <w:rPr>
      <w:rFonts w:ascii="Arial" w:hAnsi="Arial" w:eastAsia="黑体" w:cs="Times New Roman"/>
      <w:b/>
      <w:bCs/>
      <w:sz w:val="32"/>
      <w:szCs w:val="32"/>
    </w:rPr>
  </w:style>
  <w:style w:type="character" w:styleId="1032" w:customStyle="1">
    <w:name w:val="标题 3 字符"/>
    <w:link w:val="1020"/>
    <w:uiPriority w:val="0"/>
    <w:qFormat/>
    <w:rPr>
      <w:rFonts w:ascii="Times New Roman" w:hAnsi="Times New Roman" w:eastAsia="宋体" w:cs="Times New Roman"/>
      <w:b/>
      <w:bCs/>
      <w:sz w:val="32"/>
      <w:szCs w:val="32"/>
    </w:rPr>
  </w:style>
  <w:style w:type="character" w:styleId="1033" w:customStyle="1">
    <w:name w:val="标题 4 字符"/>
    <w:link w:val="1021"/>
    <w:uiPriority w:val="0"/>
    <w:qFormat/>
    <w:rPr>
      <w:rFonts w:ascii="Times New Roman" w:hAnsi="Times New Roman" w:eastAsia="新宋体" w:cs="Times New Roman"/>
      <w:sz w:val="30"/>
      <w:szCs w:val="21"/>
    </w:rPr>
  </w:style>
  <w:style w:type="character" w:styleId="1034" w:customStyle="1">
    <w:name w:val="标题 5 字符"/>
    <w:link w:val="1022"/>
    <w:uiPriority w:val="0"/>
    <w:qFormat/>
    <w:rPr>
      <w:rFonts w:ascii="Times New Roman" w:hAnsi="Times New Roman" w:eastAsia="宋体" w:cs="Times New Roman"/>
      <w:b/>
      <w:bCs/>
      <w:sz w:val="28"/>
      <w:szCs w:val="28"/>
    </w:rPr>
  </w:style>
  <w:style w:type="character" w:styleId="1035" w:customStyle="1">
    <w:name w:val="标题 6 字符"/>
    <w:link w:val="1023"/>
    <w:uiPriority w:val="0"/>
    <w:qFormat/>
    <w:rPr>
      <w:rFonts w:ascii="Times New Roman" w:hAnsi="Times New Roman" w:eastAsia="宋体" w:cs="Times New Roman"/>
      <w:b/>
      <w:sz w:val="44"/>
      <w:szCs w:val="20"/>
    </w:rPr>
  </w:style>
  <w:style w:type="character" w:styleId="1036" w:customStyle="1">
    <w:name w:val="正文缩进 字符"/>
    <w:link w:val="1024"/>
    <w:uiPriority w:val="0"/>
    <w:qFormat/>
    <w:rPr>
      <w:rFonts w:ascii="Times New Roman" w:hAnsi="Times New Roman" w:eastAsia="宋体" w:cs="Times New Roman"/>
      <w:sz w:val="20"/>
      <w:szCs w:val="20"/>
    </w:rPr>
  </w:style>
  <w:style w:type="character" w:styleId="1037" w:customStyle="1">
    <w:name w:val="标题 7 字符"/>
    <w:link w:val="1025"/>
    <w:uiPriority w:val="0"/>
    <w:qFormat/>
    <w:rPr>
      <w:rFonts w:ascii="Times New Roman" w:hAnsi="Times New Roman" w:eastAsia="宋体" w:cs="Times New Roman"/>
      <w:b/>
      <w:bCs/>
      <w:sz w:val="24"/>
      <w:szCs w:val="24"/>
    </w:rPr>
  </w:style>
  <w:style w:type="character" w:styleId="1038" w:customStyle="1">
    <w:name w:val="标题 8 字符"/>
    <w:link w:val="1026"/>
    <w:uiPriority w:val="0"/>
    <w:qFormat/>
    <w:rPr>
      <w:rFonts w:ascii="Arial" w:hAnsi="Arial" w:eastAsia="黑体" w:cs="Times New Roman"/>
      <w:sz w:val="24"/>
      <w:szCs w:val="24"/>
    </w:rPr>
  </w:style>
  <w:style w:type="character" w:styleId="1039" w:customStyle="1">
    <w:name w:val="标题 9 字符"/>
    <w:link w:val="1027"/>
    <w:uiPriority w:val="0"/>
    <w:qFormat/>
    <w:rPr>
      <w:rFonts w:ascii="Arial" w:hAnsi="Arial" w:eastAsia="黑体" w:cs="Times New Roman"/>
      <w:sz w:val="24"/>
      <w:szCs w:val="21"/>
    </w:rPr>
  </w:style>
  <w:style w:type="paragraph" w:styleId="1040" w:customStyle="1">
    <w:name w:val="文档结构图1"/>
    <w:basedOn w:val="817"/>
    <w:link w:val="1041"/>
    <w:uiPriority w:val="0"/>
    <w:semiHidden/>
    <w:qFormat/>
    <w:pPr>
      <w:shd w:val="clear" w:color="auto" w:fill="000080"/>
    </w:pPr>
    <w:rPr>
      <w:sz w:val="20"/>
    </w:rPr>
  </w:style>
  <w:style w:type="character" w:styleId="1041" w:customStyle="1">
    <w:name w:val="文档结构图 字符"/>
    <w:link w:val="1040"/>
    <w:uiPriority w:val="0"/>
    <w:semiHidden/>
    <w:qFormat/>
    <w:rPr>
      <w:szCs w:val="24"/>
      <w:shd w:val="clear" w:color="auto" w:fill="000080"/>
    </w:rPr>
  </w:style>
  <w:style w:type="paragraph" w:styleId="1042" w:customStyle="1">
    <w:name w:val="正文文本 31"/>
    <w:basedOn w:val="817"/>
    <w:link w:val="1043"/>
    <w:uiPriority w:val="0"/>
    <w:qFormat/>
    <w:pPr>
      <w:spacing w:after="120"/>
    </w:pPr>
    <w:rPr>
      <w:sz w:val="16"/>
      <w:szCs w:val="16"/>
    </w:rPr>
  </w:style>
  <w:style w:type="character" w:styleId="1043" w:customStyle="1">
    <w:name w:val="正文文本 3 字符"/>
    <w:link w:val="1042"/>
    <w:uiPriority w:val="0"/>
    <w:qFormat/>
    <w:rPr>
      <w:rFonts w:ascii="Times New Roman" w:hAnsi="Times New Roman" w:eastAsia="宋体" w:cs="Times New Roman"/>
      <w:sz w:val="16"/>
      <w:szCs w:val="16"/>
    </w:rPr>
  </w:style>
  <w:style w:type="paragraph" w:styleId="1044" w:customStyle="1">
    <w:name w:val="正文文本 21"/>
    <w:basedOn w:val="817"/>
    <w:next w:val="867"/>
    <w:link w:val="1046"/>
    <w:uiPriority w:val="0"/>
    <w:qFormat/>
    <w:rPr>
      <w:b/>
      <w:bCs/>
      <w:sz w:val="18"/>
    </w:rPr>
  </w:style>
  <w:style w:type="character" w:styleId="1045" w:customStyle="1">
    <w:name w:val="正文文本 字符"/>
    <w:link w:val="867"/>
    <w:uiPriority w:val="0"/>
    <w:qFormat/>
    <w:rPr>
      <w:rFonts w:ascii="仿宋_GB2312" w:hAnsi="Times New Roman" w:eastAsia="仿宋_GB2312" w:cs="Times New Roman"/>
      <w:sz w:val="24"/>
      <w:szCs w:val="20"/>
    </w:rPr>
  </w:style>
  <w:style w:type="character" w:styleId="1046" w:customStyle="1">
    <w:name w:val="正文文本 2 字符"/>
    <w:link w:val="1044"/>
    <w:uiPriority w:val="0"/>
    <w:qFormat/>
    <w:rPr>
      <w:rFonts w:ascii="Times New Roman" w:hAnsi="Times New Roman" w:eastAsia="宋体" w:cs="Times New Roman"/>
      <w:b/>
      <w:bCs/>
      <w:sz w:val="18"/>
      <w:szCs w:val="24"/>
    </w:rPr>
  </w:style>
  <w:style w:type="paragraph" w:styleId="1047" w:customStyle="1">
    <w:name w:val="正文文本缩进1"/>
    <w:basedOn w:val="817"/>
    <w:next w:val="1048"/>
    <w:link w:val="1049"/>
    <w:uiPriority w:val="0"/>
    <w:qFormat/>
    <w:pPr>
      <w:ind w:left="765"/>
    </w:pPr>
    <w:rPr>
      <w:rFonts w:ascii="仿宋_GB2312" w:eastAsia="仿宋_GB2312"/>
      <w:sz w:val="28"/>
      <w:szCs w:val="20"/>
    </w:rPr>
  </w:style>
  <w:style w:type="paragraph" w:styleId="1048" w:customStyle="1">
    <w:name w:val="寄信人地址1"/>
    <w:basedOn w:val="817"/>
    <w:uiPriority w:val="99"/>
    <w:unhideWhenUsed/>
    <w:qFormat/>
    <w:rPr>
      <w:rFonts w:ascii="Arial" w:hAnsi="Arial"/>
    </w:rPr>
  </w:style>
  <w:style w:type="character" w:styleId="1049" w:customStyle="1">
    <w:name w:val="正文文本缩进 字符"/>
    <w:link w:val="1047"/>
    <w:uiPriority w:val="0"/>
    <w:qFormat/>
    <w:rPr>
      <w:rFonts w:ascii="仿宋_GB2312" w:hAnsi="Times New Roman" w:eastAsia="仿宋_GB2312" w:cs="Times New Roman"/>
      <w:sz w:val="28"/>
      <w:szCs w:val="20"/>
    </w:rPr>
  </w:style>
  <w:style w:type="paragraph" w:styleId="1050" w:customStyle="1">
    <w:name w:val="纯文本1"/>
    <w:basedOn w:val="817"/>
    <w:link w:val="1051"/>
    <w:uiPriority w:val="0"/>
    <w:qFormat/>
    <w:rPr>
      <w:rFonts w:ascii="宋体" w:hAnsi="Courier New"/>
      <w:sz w:val="20"/>
      <w:szCs w:val="21"/>
    </w:rPr>
  </w:style>
  <w:style w:type="character" w:styleId="1051" w:customStyle="1">
    <w:name w:val="纯文本 字符"/>
    <w:link w:val="1050"/>
    <w:uiPriority w:val="0"/>
    <w:qFormat/>
    <w:rPr>
      <w:rFonts w:ascii="宋体" w:hAnsi="Courier New" w:eastAsia="宋体" w:cs="Courier New"/>
      <w:szCs w:val="21"/>
    </w:rPr>
  </w:style>
  <w:style w:type="paragraph" w:styleId="1052" w:customStyle="1">
    <w:name w:val="日期1"/>
    <w:basedOn w:val="817"/>
    <w:next w:val="817"/>
    <w:link w:val="1053"/>
    <w:uiPriority w:val="0"/>
    <w:qFormat/>
    <w:rPr>
      <w:sz w:val="24"/>
      <w:szCs w:val="20"/>
    </w:rPr>
  </w:style>
  <w:style w:type="character" w:styleId="1053" w:customStyle="1">
    <w:name w:val="日期 字符"/>
    <w:link w:val="1052"/>
    <w:uiPriority w:val="0"/>
    <w:qFormat/>
    <w:rPr>
      <w:rFonts w:ascii="Times New Roman" w:hAnsi="Times New Roman" w:eastAsia="宋体" w:cs="Times New Roman"/>
      <w:sz w:val="24"/>
      <w:szCs w:val="20"/>
    </w:rPr>
  </w:style>
  <w:style w:type="paragraph" w:styleId="1054" w:customStyle="1">
    <w:name w:val="正文文本缩进 21"/>
    <w:basedOn w:val="817"/>
    <w:link w:val="1055"/>
    <w:uiPriority w:val="0"/>
    <w:qFormat/>
    <w:pPr>
      <w:ind w:firstLine="560"/>
      <w:spacing w:line="500" w:lineRule="exact"/>
    </w:pPr>
    <w:rPr>
      <w:rFonts w:eastAsia="仿宋_GB2312"/>
      <w:sz w:val="28"/>
      <w:szCs w:val="20"/>
    </w:rPr>
  </w:style>
  <w:style w:type="character" w:styleId="1055" w:customStyle="1">
    <w:name w:val="正文文本缩进 2 字符"/>
    <w:link w:val="1054"/>
    <w:uiPriority w:val="0"/>
    <w:qFormat/>
    <w:rPr>
      <w:rFonts w:ascii="Times New Roman" w:hAnsi="Times New Roman" w:eastAsia="仿宋_GB2312" w:cs="Times New Roman"/>
      <w:sz w:val="28"/>
      <w:szCs w:val="20"/>
    </w:rPr>
  </w:style>
  <w:style w:type="paragraph" w:styleId="1056" w:customStyle="1">
    <w:name w:val="批注框文本1"/>
    <w:basedOn w:val="817"/>
    <w:link w:val="1057"/>
    <w:uiPriority w:val="0"/>
    <w:semiHidden/>
    <w:qFormat/>
    <w:rPr>
      <w:sz w:val="18"/>
      <w:szCs w:val="18"/>
    </w:rPr>
  </w:style>
  <w:style w:type="character" w:styleId="1057" w:customStyle="1">
    <w:name w:val="批注框文本 字符"/>
    <w:link w:val="1056"/>
    <w:uiPriority w:val="0"/>
    <w:semiHidden/>
    <w:qFormat/>
    <w:rPr>
      <w:sz w:val="18"/>
      <w:szCs w:val="18"/>
    </w:rPr>
  </w:style>
  <w:style w:type="paragraph" w:styleId="1058" w:customStyle="1">
    <w:name w:val="页脚1"/>
    <w:basedOn w:val="817"/>
    <w:link w:val="1059"/>
    <w:uiPriority w:val="99"/>
    <w:qFormat/>
    <w:pPr>
      <w:jc w:val="left"/>
      <w:tabs>
        <w:tab w:val="center" w:pos="4153" w:leader="none"/>
        <w:tab w:val="right" w:pos="8306" w:leader="none"/>
      </w:tabs>
    </w:pPr>
    <w:rPr>
      <w:sz w:val="18"/>
      <w:szCs w:val="20"/>
    </w:rPr>
  </w:style>
  <w:style w:type="character" w:styleId="1059" w:customStyle="1">
    <w:name w:val="页脚 字符"/>
    <w:link w:val="1058"/>
    <w:uiPriority w:val="99"/>
    <w:qFormat/>
    <w:rPr>
      <w:rFonts w:ascii="Times New Roman" w:hAnsi="Times New Roman" w:eastAsia="宋体" w:cs="Times New Roman"/>
      <w:sz w:val="18"/>
      <w:szCs w:val="20"/>
    </w:rPr>
  </w:style>
  <w:style w:type="paragraph" w:styleId="1060" w:customStyle="1">
    <w:name w:val="页眉1"/>
    <w:basedOn w:val="817"/>
    <w:link w:val="1061"/>
    <w:uiPriority w:val="0"/>
    <w:qFormat/>
    <w:pPr>
      <w:jc w:val="center"/>
      <w:tabs>
        <w:tab w:val="center" w:pos="4153" w:leader="none"/>
        <w:tab w:val="right" w:pos="8306" w:leader="none"/>
      </w:tabs>
      <w:pBdr>
        <w:bottom w:val="single" w:color="000000" w:sz="6" w:space="1"/>
      </w:pBdr>
    </w:pPr>
    <w:rPr>
      <w:sz w:val="18"/>
      <w:szCs w:val="18"/>
    </w:rPr>
  </w:style>
  <w:style w:type="character" w:styleId="1061" w:customStyle="1">
    <w:name w:val="页眉 字符"/>
    <w:link w:val="1060"/>
    <w:uiPriority w:val="0"/>
    <w:qFormat/>
    <w:rPr>
      <w:rFonts w:ascii="Times New Roman" w:hAnsi="Times New Roman" w:eastAsia="宋体" w:cs="Times New Roman"/>
      <w:sz w:val="18"/>
      <w:szCs w:val="18"/>
    </w:rPr>
  </w:style>
  <w:style w:type="paragraph" w:styleId="1062" w:customStyle="1">
    <w:name w:val="目录 11"/>
    <w:basedOn w:val="817"/>
    <w:next w:val="817"/>
    <w:uiPriority w:val="0"/>
    <w:semiHidden/>
    <w:qFormat/>
    <w:rPr>
      <w:sz w:val="24"/>
    </w:rPr>
  </w:style>
  <w:style w:type="paragraph" w:styleId="1063" w:customStyle="1">
    <w:name w:val="列表1"/>
    <w:basedOn w:val="817"/>
    <w:uiPriority w:val="0"/>
    <w:qFormat/>
    <w:pPr>
      <w:ind w:left="200" w:hanging="200"/>
    </w:pPr>
  </w:style>
  <w:style w:type="paragraph" w:styleId="1064" w:customStyle="1">
    <w:name w:val="脚注文本1"/>
    <w:basedOn w:val="817"/>
    <w:uiPriority w:val="99"/>
    <w:unhideWhenUsed/>
    <w:qFormat/>
    <w:pPr>
      <w:jc w:val="left"/>
    </w:pPr>
    <w:rPr>
      <w:sz w:val="18"/>
      <w:szCs w:val="18"/>
    </w:rPr>
  </w:style>
  <w:style w:type="paragraph" w:styleId="1065" w:customStyle="1">
    <w:name w:val="正文文本缩进 31"/>
    <w:basedOn w:val="817"/>
    <w:link w:val="1066"/>
    <w:uiPriority w:val="0"/>
    <w:qFormat/>
    <w:pPr>
      <w:ind w:left="420"/>
      <w:spacing w:after="120"/>
    </w:pPr>
    <w:rPr>
      <w:sz w:val="16"/>
      <w:szCs w:val="16"/>
    </w:rPr>
  </w:style>
  <w:style w:type="character" w:styleId="1066" w:customStyle="1">
    <w:name w:val="正文文本缩进 3 字符"/>
    <w:link w:val="1065"/>
    <w:uiPriority w:val="0"/>
    <w:qFormat/>
    <w:rPr>
      <w:rFonts w:ascii="Times New Roman" w:hAnsi="Times New Roman" w:eastAsia="宋体" w:cs="Times New Roman"/>
      <w:sz w:val="16"/>
      <w:szCs w:val="16"/>
    </w:rPr>
  </w:style>
  <w:style w:type="paragraph" w:styleId="1067" w:customStyle="1">
    <w:name w:val="普通(网站)1"/>
    <w:basedOn w:val="817"/>
    <w:uiPriority w:val="0"/>
    <w:qFormat/>
    <w:pPr>
      <w:jc w:val="left"/>
      <w:spacing w:before="100" w:beforeAutospacing="1" w:after="100" w:afterAutospacing="1"/>
      <w:widowControl/>
    </w:pPr>
    <w:rPr>
      <w:rFonts w:ascii="宋体" w:hAnsi="宋体"/>
      <w:color w:val="000000"/>
      <w:sz w:val="24"/>
    </w:rPr>
  </w:style>
  <w:style w:type="paragraph" w:styleId="1068" w:customStyle="1">
    <w:name w:val="正文文本11"/>
    <w:basedOn w:val="817"/>
    <w:uiPriority w:val="99"/>
    <w:qFormat/>
    <w:rPr>
      <w:rFonts w:ascii="楷体_GB2312" w:hAnsi="Arial" w:eastAsia="楷体_GB2312"/>
      <w:sz w:val="28"/>
      <w:szCs w:val="20"/>
    </w:rPr>
  </w:style>
  <w:style w:type="character" w:styleId="1069" w:customStyle="1">
    <w:name w:val="正文首行缩进 字符"/>
    <w:link w:val="866"/>
    <w:uiPriority w:val="0"/>
    <w:qFormat/>
    <w:rPr>
      <w:rFonts w:ascii="Times New Roman" w:hAnsi="Times New Roman" w:eastAsia="宋体" w:cs="Times New Roman"/>
      <w:sz w:val="24"/>
      <w:szCs w:val="24"/>
    </w:rPr>
  </w:style>
  <w:style w:type="table" w:styleId="1070" w:customStyle="1">
    <w:name w:val="网格型11"/>
    <w:basedOn w:val="1029"/>
    <w:uiPriority w:val="59"/>
    <w:qFormat/>
    <w:tblPr/>
  </w:style>
  <w:style w:type="character" w:styleId="1071" w:customStyle="1">
    <w:name w:val="要点1"/>
    <w:uiPriority w:val="0"/>
    <w:qFormat/>
    <w:rPr>
      <w:b/>
      <w:bCs/>
    </w:rPr>
  </w:style>
  <w:style w:type="character" w:styleId="1072" w:customStyle="1">
    <w:name w:val="页码1"/>
    <w:uiPriority w:val="0"/>
    <w:qFormat/>
  </w:style>
  <w:style w:type="character" w:styleId="1073" w:customStyle="1">
    <w:name w:val="已访问的超链接1"/>
    <w:uiPriority w:val="0"/>
    <w:qFormat/>
    <w:rPr>
      <w:color w:val="800080"/>
      <w:u w:val="none"/>
    </w:rPr>
  </w:style>
  <w:style w:type="character" w:styleId="1074" w:customStyle="1">
    <w:name w:val="强调1"/>
    <w:uiPriority w:val="20"/>
    <w:qFormat/>
    <w:rPr>
      <w:b/>
      <w:bCs/>
    </w:rPr>
  </w:style>
  <w:style w:type="character" w:styleId="1075" w:customStyle="1">
    <w:name w:val="HTML 定义1"/>
    <w:uiPriority w:val="99"/>
    <w:unhideWhenUsed/>
    <w:qFormat/>
  </w:style>
  <w:style w:type="character" w:styleId="1076" w:customStyle="1">
    <w:name w:val="HTML 打字机1"/>
    <w:uiPriority w:val="99"/>
    <w:unhideWhenUsed/>
    <w:qFormat/>
    <w:rPr>
      <w:rFonts w:ascii="monospace" w:hAnsi="monospace" w:eastAsia="monospace" w:cs="monospace"/>
      <w:sz w:val="20"/>
    </w:rPr>
  </w:style>
  <w:style w:type="character" w:styleId="1077" w:customStyle="1">
    <w:name w:val="HTML 缩写1"/>
    <w:uiPriority w:val="99"/>
    <w:unhideWhenUsed/>
    <w:qFormat/>
  </w:style>
  <w:style w:type="character" w:styleId="1078" w:customStyle="1">
    <w:name w:val="HTML 变量1"/>
    <w:uiPriority w:val="99"/>
    <w:unhideWhenUsed/>
    <w:qFormat/>
  </w:style>
  <w:style w:type="character" w:styleId="1079" w:customStyle="1">
    <w:name w:val="超链接1"/>
    <w:uiPriority w:val="0"/>
    <w:qFormat/>
    <w:rPr>
      <w:color w:val="0000ff"/>
      <w:u w:val="none"/>
    </w:rPr>
  </w:style>
  <w:style w:type="character" w:styleId="1080" w:customStyle="1">
    <w:name w:val="HTML 代码1"/>
    <w:uiPriority w:val="99"/>
    <w:unhideWhenUsed/>
    <w:qFormat/>
    <w:rPr>
      <w:rFonts w:ascii="monospace" w:hAnsi="monospace" w:eastAsia="monospace" w:cs="monospace"/>
      <w:sz w:val="20"/>
    </w:rPr>
  </w:style>
  <w:style w:type="character" w:styleId="1081" w:customStyle="1">
    <w:name w:val="HTML 引文1"/>
    <w:uiPriority w:val="99"/>
    <w:unhideWhenUsed/>
    <w:qFormat/>
  </w:style>
  <w:style w:type="character" w:styleId="1082" w:customStyle="1">
    <w:name w:val="HTML 键盘1"/>
    <w:uiPriority w:val="99"/>
    <w:unhideWhenUsed/>
    <w:qFormat/>
    <w:rPr>
      <w:rFonts w:ascii="monospace" w:hAnsi="monospace" w:eastAsia="monospace" w:cs="monospace"/>
      <w:sz w:val="20"/>
    </w:rPr>
  </w:style>
  <w:style w:type="character" w:styleId="1083" w:customStyle="1">
    <w:name w:val="HTML 样本1"/>
    <w:uiPriority w:val="99"/>
    <w:unhideWhenUsed/>
    <w:qFormat/>
    <w:rPr>
      <w:rFonts w:ascii="monospace" w:hAnsi="monospace" w:eastAsia="monospace" w:cs="monospace"/>
    </w:rPr>
  </w:style>
  <w:style w:type="character" w:styleId="1084" w:customStyle="1">
    <w:name w:val="列出段落 字符"/>
    <w:link w:val="1085"/>
    <w:uiPriority w:val="99"/>
    <w:qFormat/>
  </w:style>
  <w:style w:type="paragraph" w:styleId="1085" w:customStyle="1">
    <w:name w:val="列出段落1"/>
    <w:basedOn w:val="817"/>
    <w:link w:val="1084"/>
    <w:uiPriority w:val="99"/>
    <w:qFormat/>
    <w:pPr>
      <w:ind w:firstLine="420"/>
    </w:pPr>
    <w:rPr>
      <w:sz w:val="20"/>
      <w:szCs w:val="20"/>
    </w:rPr>
  </w:style>
  <w:style w:type="character" w:styleId="1086" w:customStyle="1">
    <w:name w:val="文档结构图 Char1"/>
    <w:uiPriority w:val="99"/>
    <w:semiHidden/>
    <w:qFormat/>
    <w:rPr>
      <w:rFonts w:ascii="宋体" w:hAnsi="Times New Roman" w:eastAsia="宋体" w:cs="Times New Roman"/>
      <w:sz w:val="18"/>
      <w:szCs w:val="18"/>
    </w:rPr>
  </w:style>
  <w:style w:type="character" w:styleId="1087" w:customStyle="1">
    <w:name w:val="普通正文 Char"/>
    <w:link w:val="1088"/>
    <w:uiPriority w:val="0"/>
    <w:qFormat/>
    <w:rPr>
      <w:rFonts w:ascii="Arial" w:hAnsi="Arial"/>
      <w:sz w:val="24"/>
      <w:szCs w:val="24"/>
    </w:rPr>
  </w:style>
  <w:style w:type="paragraph" w:styleId="1088" w:customStyle="1">
    <w:name w:val="普通正文"/>
    <w:basedOn w:val="817"/>
    <w:link w:val="1087"/>
    <w:uiPriority w:val="0"/>
    <w:qFormat/>
    <w:pPr>
      <w:ind w:left="-2" w:right="120" w:firstLine="480"/>
      <w:jc w:val="center"/>
      <w:spacing w:before="120" w:after="120" w:line="360" w:lineRule="auto"/>
    </w:pPr>
    <w:rPr>
      <w:rFonts w:ascii="Arial" w:hAnsi="Arial"/>
      <w:sz w:val="24"/>
    </w:rPr>
  </w:style>
  <w:style w:type="character" w:styleId="1089" w:customStyle="1">
    <w:name w:val="FA正文 Char"/>
    <w:link w:val="1090"/>
    <w:uiPriority w:val="0"/>
    <w:qFormat/>
    <w:rPr>
      <w:rFonts w:ascii="宋体" w:hAnsi="宋体" w:eastAsia="宋体" w:cs="Times New Roman"/>
      <w:sz w:val="28"/>
      <w:szCs w:val="28"/>
    </w:rPr>
  </w:style>
  <w:style w:type="paragraph" w:styleId="1090" w:customStyle="1">
    <w:name w:val="FA正文"/>
    <w:basedOn w:val="817"/>
    <w:link w:val="1089"/>
    <w:uiPriority w:val="0"/>
    <w:qFormat/>
    <w:pPr>
      <w:ind w:firstLine="538"/>
      <w:spacing w:line="440" w:lineRule="atLeast"/>
      <w:tabs>
        <w:tab w:val="left" w:pos="3375" w:leader="none"/>
      </w:tabs>
    </w:pPr>
    <w:rPr>
      <w:rFonts w:ascii="宋体" w:hAnsi="宋体"/>
      <w:sz w:val="28"/>
      <w:szCs w:val="28"/>
    </w:rPr>
  </w:style>
  <w:style w:type="character" w:styleId="1091" w:customStyle="1">
    <w:name w:val="正文缩进2格 Char"/>
    <w:link w:val="1092"/>
    <w:uiPriority w:val="0"/>
    <w:qFormat/>
    <w:rPr>
      <w:rFonts w:ascii="仿宋_GB2312" w:hAnsi="宋体" w:eastAsia="仿宋_GB2312" w:cs="Times New Roman"/>
      <w:sz w:val="31"/>
      <w:szCs w:val="28"/>
    </w:rPr>
  </w:style>
  <w:style w:type="paragraph" w:styleId="1092" w:customStyle="1">
    <w:name w:val="正文缩进2格"/>
    <w:basedOn w:val="817"/>
    <w:link w:val="1091"/>
    <w:uiPriority w:val="0"/>
    <w:qFormat/>
    <w:pPr>
      <w:ind w:firstLine="639"/>
      <w:spacing w:line="600" w:lineRule="exact"/>
    </w:pPr>
    <w:rPr>
      <w:rFonts w:ascii="仿宋_GB2312" w:hAnsi="宋体" w:eastAsia="仿宋_GB2312"/>
      <w:sz w:val="31"/>
      <w:szCs w:val="28"/>
    </w:rPr>
  </w:style>
  <w:style w:type="character" w:styleId="1093" w:customStyle="1">
    <w:name w:val="cn_text1"/>
    <w:uiPriority w:val="0"/>
    <w:qFormat/>
    <w:rPr>
      <w:rFonts w:ascii="ˎ̥" w:hAnsi="ˎ̥"/>
      <w:color w:val="003399"/>
      <w:spacing w:val="15"/>
      <w:sz w:val="18"/>
      <w:szCs w:val="18"/>
    </w:rPr>
  </w:style>
  <w:style w:type="character" w:styleId="1094" w:customStyle="1">
    <w:name w:val="ssss Char"/>
    <w:uiPriority w:val="0"/>
    <w:qFormat/>
    <w:rPr>
      <w:rFonts w:eastAsia="宋体"/>
      <w:sz w:val="24"/>
      <w:szCs w:val="24"/>
      <w:lang w:val="en-US" w:eastAsia="zh-CN" w:bidi="ar-SA"/>
    </w:rPr>
  </w:style>
  <w:style w:type="character" w:styleId="1095" w:customStyle="1">
    <w:name w:val="ssss Char1"/>
    <w:link w:val="1096"/>
    <w:uiPriority w:val="0"/>
    <w:qFormat/>
    <w:rPr>
      <w:rFonts w:ascii="Times New Roman" w:hAnsi="Times New Roman" w:eastAsia="宋体" w:cs="Times New Roman"/>
      <w:sz w:val="24"/>
      <w:szCs w:val="24"/>
    </w:rPr>
  </w:style>
  <w:style w:type="paragraph" w:styleId="1096" w:customStyle="1">
    <w:name w:val="ssss"/>
    <w:basedOn w:val="817"/>
    <w:link w:val="1095"/>
    <w:uiPriority w:val="0"/>
    <w:qFormat/>
    <w:pPr>
      <w:ind w:firstLine="480"/>
      <w:spacing w:line="360" w:lineRule="auto"/>
    </w:pPr>
    <w:rPr>
      <w:sz w:val="24"/>
    </w:rPr>
  </w:style>
  <w:style w:type="character" w:styleId="1097" w:customStyle="1">
    <w:name w:val="标题 4 Char1"/>
    <w:uiPriority w:val="0"/>
    <w:qFormat/>
    <w:rPr>
      <w:rFonts w:ascii="Arial" w:hAnsi="Arial" w:eastAsia="黑体"/>
      <w:b/>
      <w:bCs/>
      <w:sz w:val="28"/>
      <w:szCs w:val="28"/>
      <w:lang w:val="en-US" w:eastAsia="zh-CN" w:bidi="ar-SA"/>
    </w:rPr>
  </w:style>
  <w:style w:type="character" w:styleId="1098" w:customStyle="1">
    <w:name w:val="列表段落 字符"/>
    <w:uiPriority w:val="34"/>
    <w:qFormat/>
    <w:rPr>
      <w:rFonts w:ascii="Calibri" w:hAnsi="Calibri"/>
      <w:sz w:val="21"/>
      <w:szCs w:val="22"/>
    </w:rPr>
  </w:style>
  <w:style w:type="character" w:styleId="1099" w:customStyle="1">
    <w:name w:val="批注框文本 Char1"/>
    <w:uiPriority w:val="99"/>
    <w:semiHidden/>
    <w:qFormat/>
    <w:rPr>
      <w:rFonts w:ascii="Times New Roman" w:hAnsi="Times New Roman" w:eastAsia="宋体" w:cs="Times New Roman"/>
      <w:sz w:val="18"/>
      <w:szCs w:val="18"/>
    </w:rPr>
  </w:style>
  <w:style w:type="character" w:styleId="1100" w:customStyle="1">
    <w:name w:val="样式 ssss + 宋体 五号1 Char"/>
    <w:link w:val="1101"/>
    <w:uiPriority w:val="0"/>
    <w:qFormat/>
    <w:rPr>
      <w:rFonts w:ascii="宋体" w:hAnsi="宋体" w:eastAsia="宋体" w:cs="Times New Roman"/>
      <w:sz w:val="24"/>
      <w:szCs w:val="24"/>
    </w:rPr>
  </w:style>
  <w:style w:type="paragraph" w:styleId="1101" w:customStyle="1">
    <w:name w:val="样式 ssss + 宋体 五号1"/>
    <w:basedOn w:val="1096"/>
    <w:link w:val="1100"/>
    <w:uiPriority w:val="0"/>
    <w:qFormat/>
    <w:rPr>
      <w:rFonts w:ascii="宋体" w:hAnsi="宋体"/>
    </w:rPr>
  </w:style>
  <w:style w:type="character" w:styleId="1102" w:customStyle="1">
    <w:name w:val="point_normal1"/>
    <w:uiPriority w:val="0"/>
    <w:qFormat/>
    <w:rPr>
      <w:rFonts w:ascii="Arial" w:hAnsi="Arial" w:cs="Arial"/>
      <w:sz w:val="16"/>
      <w:szCs w:val="16"/>
    </w:rPr>
  </w:style>
  <w:style w:type="paragraph" w:styleId="1103" w:customStyle="1">
    <w:name w:val="样式 正文文本缩进 3 + 四号"/>
    <w:basedOn w:val="1065"/>
    <w:uiPriority w:val="0"/>
    <w:qFormat/>
    <w:pPr>
      <w:ind w:left="0" w:firstLine="437"/>
      <w:spacing w:after="0" w:line="360" w:lineRule="auto"/>
    </w:pPr>
    <w:rPr>
      <w:sz w:val="24"/>
      <w:szCs w:val="21"/>
    </w:rPr>
  </w:style>
  <w:style w:type="paragraph" w:styleId="1104" w:customStyle="1">
    <w:name w:val="2cxsplast"/>
    <w:basedOn w:val="817"/>
    <w:uiPriority w:val="0"/>
    <w:qFormat/>
    <w:pPr>
      <w:jc w:val="left"/>
      <w:spacing w:before="100" w:beforeAutospacing="1" w:after="100" w:afterAutospacing="1"/>
      <w:widowControl/>
    </w:pPr>
    <w:rPr>
      <w:rFonts w:ascii="宋体" w:hAnsi="宋体" w:cs="宋体"/>
      <w:sz w:val="24"/>
    </w:rPr>
  </w:style>
  <w:style w:type="paragraph" w:styleId="1105" w:customStyle="1">
    <w:name w:val="ec_msonormal"/>
    <w:basedOn w:val="817"/>
    <w:uiPriority w:val="0"/>
    <w:qFormat/>
    <w:pPr>
      <w:jc w:val="left"/>
      <w:spacing w:before="100" w:beforeAutospacing="1" w:after="100" w:afterAutospacing="1"/>
      <w:widowControl/>
    </w:pPr>
    <w:rPr>
      <w:rFonts w:ascii="宋体" w:hAnsi="宋体"/>
      <w:sz w:val="24"/>
    </w:rPr>
  </w:style>
  <w:style w:type="paragraph" w:styleId="1106" w:customStyle="1">
    <w:name w:val="Char Char Char Char"/>
    <w:basedOn w:val="817"/>
    <w:uiPriority w:val="0"/>
    <w:qFormat/>
    <w:rPr>
      <w:rFonts w:ascii="Tahoma" w:hAnsi="Tahoma"/>
      <w:sz w:val="24"/>
      <w:szCs w:val="20"/>
    </w:rPr>
  </w:style>
  <w:style w:type="paragraph" w:styleId="1107" w:customStyle="1">
    <w:name w:val="Char Char Char Char Char Char Char Char Char Char Char Char Char"/>
    <w:basedOn w:val="817"/>
    <w:uiPriority w:val="0"/>
    <w:qFormat/>
  </w:style>
  <w:style w:type="paragraph" w:styleId="1108" w:customStyle="1">
    <w:name w:val="表格正文"/>
    <w:basedOn w:val="817"/>
    <w:uiPriority w:val="0"/>
    <w:qFormat/>
    <w:pPr>
      <w:jc w:val="left"/>
      <w:spacing w:line="360" w:lineRule="auto"/>
    </w:pPr>
    <w:rPr>
      <w:rFonts w:ascii="Calibri" w:hAnsi="Calibri"/>
      <w:color w:val="000000"/>
      <w:szCs w:val="28"/>
    </w:rPr>
  </w:style>
  <w:style w:type="paragraph" w:styleId="1109"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110" w:customStyle="1">
    <w:name w:val="Char Char Char Char1"/>
    <w:basedOn w:val="817"/>
    <w:uiPriority w:val="0"/>
    <w:qFormat/>
    <w:rPr>
      <w:rFonts w:ascii="Tahoma" w:hAnsi="Tahoma"/>
      <w:sz w:val="24"/>
      <w:szCs w:val="20"/>
    </w:rPr>
  </w:style>
  <w:style w:type="paragraph" w:styleId="1111" w:customStyle="1">
    <w:name w:val="Char Char Char"/>
    <w:basedOn w:val="817"/>
    <w:uiPriority w:val="0"/>
    <w:qFormat/>
    <w:rPr>
      <w:rFonts w:ascii="Tahoma" w:hAnsi="Tahoma"/>
      <w:sz w:val="24"/>
      <w:szCs w:val="20"/>
    </w:rPr>
  </w:style>
  <w:style w:type="paragraph" w:styleId="1112" w:customStyle="1">
    <w:name w:val="标题-----3"/>
    <w:basedOn w:val="1020"/>
    <w:uiPriority w:val="0"/>
    <w:qFormat/>
    <w:pPr>
      <w:spacing w:before="0" w:after="0" w:line="240" w:lineRule="auto"/>
      <w:outlineLvl w:val="0"/>
    </w:pPr>
    <w:rPr>
      <w:rFonts w:ascii="宋体" w:hAnsi="宋体"/>
      <w:b w:val="0"/>
      <w:bCs w:val="0"/>
      <w:sz w:val="28"/>
      <w:szCs w:val="28"/>
    </w:rPr>
  </w:style>
  <w:style w:type="paragraph" w:styleId="1113" w:customStyle="1">
    <w:name w:val="样式 ssss + 居中"/>
    <w:basedOn w:val="1096"/>
    <w:uiPriority w:val="0"/>
    <w:qFormat/>
    <w:pPr>
      <w:jc w:val="center"/>
    </w:pPr>
    <w:rPr>
      <w:rFonts w:cs="宋体"/>
      <w:szCs w:val="20"/>
    </w:rPr>
  </w:style>
  <w:style w:type="paragraph" w:styleId="1114" w:customStyle="1">
    <w:name w:val="样式 宋体 四号 黑色 左侧:  0.74 厘米 首行缩进:  0.74 厘米 行距: 1.5 倍行距"/>
    <w:basedOn w:val="817"/>
    <w:uiPriority w:val="0"/>
    <w:qFormat/>
    <w:pPr>
      <w:ind w:firstLine="420"/>
      <w:spacing w:line="360" w:lineRule="auto"/>
    </w:pPr>
    <w:rPr>
      <w:rFonts w:ascii="宋体"/>
      <w:color w:val="000000"/>
      <w:sz w:val="24"/>
      <w:szCs w:val="21"/>
    </w:rPr>
  </w:style>
  <w:style w:type="paragraph" w:styleId="1115" w:customStyle="1">
    <w:name w:val="样式 样式 ssss + 宋体 五号 + 首行缩进:  2 字符"/>
    <w:basedOn w:val="1116"/>
    <w:uiPriority w:val="0"/>
    <w:qFormat/>
    <w:pPr>
      <w:ind w:firstLine="480"/>
    </w:pPr>
  </w:style>
  <w:style w:type="paragraph" w:styleId="1116" w:customStyle="1">
    <w:name w:val="样式 ssss + 宋体 五号"/>
    <w:basedOn w:val="1096"/>
    <w:uiPriority w:val="0"/>
    <w:qFormat/>
    <w:pPr>
      <w:ind w:firstLine="420"/>
    </w:pPr>
    <w:rPr>
      <w:rFonts w:ascii="宋体" w:hAnsi="宋体" w:cs="宋体"/>
      <w:szCs w:val="20"/>
    </w:rPr>
  </w:style>
  <w:style w:type="paragraph" w:styleId="1117" w:customStyle="1">
    <w:name w:val="msonormalcxsplast"/>
    <w:basedOn w:val="817"/>
    <w:uiPriority w:val="0"/>
    <w:qFormat/>
    <w:pPr>
      <w:jc w:val="left"/>
      <w:spacing w:before="100" w:beforeAutospacing="1" w:after="100" w:afterAutospacing="1"/>
      <w:widowControl/>
    </w:pPr>
    <w:rPr>
      <w:rFonts w:ascii="宋体" w:hAnsi="宋体" w:cs="宋体"/>
      <w:sz w:val="24"/>
    </w:rPr>
  </w:style>
  <w:style w:type="paragraph" w:styleId="1118" w:customStyle="1">
    <w:name w:val="Char"/>
    <w:basedOn w:val="817"/>
    <w:uiPriority w:val="0"/>
    <w:qFormat/>
    <w:rPr>
      <w:rFonts w:ascii="Tahoma" w:hAnsi="Tahoma"/>
      <w:sz w:val="24"/>
      <w:szCs w:val="20"/>
    </w:rPr>
  </w:style>
  <w:style w:type="paragraph" w:styleId="1119" w:customStyle="1">
    <w:name w:val="xl25"/>
    <w:basedOn w:val="817"/>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20" w:customStyle="1">
    <w:name w:val="标题------4"/>
    <w:basedOn w:val="1021"/>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121" w:customStyle="1">
    <w:name w:val="msonormalcxspmiddle"/>
    <w:basedOn w:val="817"/>
    <w:uiPriority w:val="0"/>
    <w:qFormat/>
    <w:pPr>
      <w:jc w:val="left"/>
      <w:spacing w:before="100" w:beforeAutospacing="1" w:after="100" w:afterAutospacing="1"/>
      <w:widowControl/>
    </w:pPr>
    <w:rPr>
      <w:rFonts w:ascii="宋体" w:hAnsi="宋体" w:cs="宋体"/>
      <w:sz w:val="24"/>
    </w:rPr>
  </w:style>
  <w:style w:type="paragraph" w:styleId="1122" w:customStyle="1">
    <w:name w:val="Char Char Char Char Char Char Char Char Char Char Char Char Char1"/>
    <w:basedOn w:val="817"/>
    <w:uiPriority w:val="0"/>
    <w:qFormat/>
    <w:rPr>
      <w:sz w:val="24"/>
    </w:rPr>
  </w:style>
  <w:style w:type="paragraph" w:styleId="1123" w:customStyle="1">
    <w:name w:val="表格"/>
    <w:basedOn w:val="817"/>
    <w:uiPriority w:val="0"/>
    <w:qFormat/>
    <w:rPr>
      <w:rFonts w:ascii="Arial" w:hAnsi="Arial"/>
      <w:sz w:val="24"/>
    </w:rPr>
  </w:style>
  <w:style w:type="paragraph" w:styleId="1124" w:customStyle="1">
    <w:name w:val="正文样式1"/>
    <w:basedOn w:val="817"/>
    <w:uiPriority w:val="0"/>
    <w:qFormat/>
    <w:pPr>
      <w:ind w:firstLine="480"/>
      <w:spacing w:before="120" w:after="120" w:line="360" w:lineRule="auto"/>
    </w:pPr>
    <w:rPr>
      <w:sz w:val="24"/>
      <w:szCs w:val="20"/>
    </w:rPr>
  </w:style>
  <w:style w:type="paragraph" w:styleId="1125" w:customStyle="1">
    <w:name w:val="Char Char1 Char Char Char Char Char Char"/>
    <w:basedOn w:val="817"/>
    <w:uiPriority w:val="0"/>
    <w:qFormat/>
    <w:pPr>
      <w:jc w:val="left"/>
      <w:spacing w:after="160" w:line="240" w:lineRule="exact"/>
      <w:widowControl/>
    </w:pPr>
    <w:rPr>
      <w:rFonts w:ascii="Verdana" w:hAnsi="Verdana" w:eastAsia="仿宋_GB2312"/>
      <w:sz w:val="24"/>
      <w:szCs w:val="20"/>
      <w:lang w:eastAsia="en-US"/>
    </w:rPr>
  </w:style>
  <w:style w:type="paragraph" w:styleId="1126" w:customStyle="1">
    <w:name w:val="Char Char Char Char Char Char Char Char Char Char"/>
    <w:basedOn w:val="817"/>
    <w:uiPriority w:val="0"/>
    <w:qFormat/>
    <w:rPr>
      <w:rFonts w:ascii="Tahoma" w:hAnsi="Tahoma"/>
      <w:sz w:val="24"/>
      <w:szCs w:val="20"/>
    </w:rPr>
  </w:style>
  <w:style w:type="paragraph" w:styleId="1127" w:customStyle="1">
    <w:name w:val="Char1"/>
    <w:basedOn w:val="817"/>
    <w:uiPriority w:val="0"/>
    <w:qFormat/>
    <w:pPr>
      <w:tabs>
        <w:tab w:val="left" w:pos="360" w:leader="none"/>
      </w:tabs>
    </w:pPr>
    <w:rPr>
      <w:sz w:val="24"/>
    </w:rPr>
  </w:style>
  <w:style w:type="paragraph" w:styleId="1128" w:customStyle="1">
    <w:name w:val="标题1"/>
    <w:basedOn w:val="817"/>
    <w:next w:val="81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9" w:customStyle="1">
    <w:name w:val="Header2"/>
    <w:basedOn w:val="817"/>
    <w:uiPriority w:val="0"/>
    <w:qFormat/>
    <w:pPr>
      <w:numPr>
        <w:ilvl w:val="0"/>
        <w:numId w:val="1"/>
      </w:numPr>
    </w:pPr>
  </w:style>
  <w:style w:type="paragraph" w:styleId="1130" w:customStyle="1">
    <w:name w:val="Char Char 字元 字元 字元 Char Char Char Char"/>
    <w:basedOn w:val="817"/>
    <w:uiPriority w:val="0"/>
    <w:qFormat/>
    <w:pPr>
      <w:spacing w:line="360" w:lineRule="auto"/>
    </w:pPr>
    <w:rPr>
      <w:sz w:val="24"/>
      <w:szCs w:val="20"/>
    </w:rPr>
  </w:style>
  <w:style w:type="paragraph" w:styleId="1131" w:customStyle="1">
    <w:name w:val="2cxspmiddle"/>
    <w:basedOn w:val="817"/>
    <w:uiPriority w:val="0"/>
    <w:qFormat/>
    <w:pPr>
      <w:jc w:val="left"/>
      <w:spacing w:before="100" w:beforeAutospacing="1" w:after="100" w:afterAutospacing="1"/>
      <w:widowControl/>
    </w:pPr>
    <w:rPr>
      <w:rFonts w:ascii="宋体" w:hAnsi="宋体" w:cs="宋体"/>
      <w:sz w:val="24"/>
    </w:rPr>
  </w:style>
  <w:style w:type="paragraph" w:styleId="113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3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134" w:customStyle="1">
    <w:name w:val="网格型1"/>
    <w:basedOn w:val="1029"/>
    <w:uiPriority w:val="39"/>
    <w:qFormat/>
    <w:rPr>
      <w:rFonts w:ascii="等线" w:hAnsi="等线" w:eastAsia="等线"/>
      <w:sz w:val="21"/>
      <w:szCs w:val="22"/>
    </w:rPr>
    <w:tblPr/>
  </w:style>
  <w:style w:type="paragraph" w:styleId="1135"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136" w:customStyle="1">
    <w:name w:val="mini-tree-nodetext3"/>
    <w:uiPriority w:val="0"/>
    <w:qFormat/>
  </w:style>
  <w:style w:type="paragraph" w:styleId="1137" w:customStyle="1">
    <w:name w:val="正文首行缩进 211"/>
    <w:basedOn w:val="1047"/>
    <w:next w:val="817"/>
    <w:uiPriority w:val="0"/>
    <w:qFormat/>
    <w:pPr>
      <w:ind w:left="0" w:firstLine="420"/>
      <w:spacing w:line="360" w:lineRule="auto"/>
    </w:pPr>
    <w:rPr>
      <w:rFonts w:ascii="宋体" w:hAnsi="宋体"/>
      <w:sz w:val="20"/>
    </w:rPr>
  </w:style>
  <w:style w:type="paragraph" w:styleId="1138" w:customStyle="1">
    <w:name w:val="列出段落11"/>
    <w:basedOn w:val="817"/>
    <w:uiPriority w:val="99"/>
    <w:qFormat/>
    <w:pPr>
      <w:jc w:val="left"/>
      <w:spacing w:before="100" w:beforeAutospacing="1" w:after="100" w:afterAutospacing="1"/>
      <w:widowControl/>
    </w:pPr>
    <w:rPr>
      <w:rFonts w:ascii="Arial" w:hAnsi="Arial" w:cs="Arial"/>
      <w:color w:val="000000"/>
      <w:sz w:val="18"/>
      <w:szCs w:val="18"/>
    </w:rPr>
  </w:style>
  <w:style w:type="paragraph" w:styleId="1139" w:customStyle="1">
    <w:name w:val="正文缩进11"/>
    <w:basedOn w:val="817"/>
    <w:uiPriority w:val="0"/>
    <w:qFormat/>
    <w:pPr>
      <w:ind w:firstLine="420"/>
    </w:pPr>
    <w:rPr>
      <w:szCs w:val="20"/>
    </w:rPr>
  </w:style>
  <w:style w:type="paragraph" w:styleId="1140" w:customStyle="1">
    <w:name w:val="段"/>
    <w:next w:val="817"/>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141" w:customStyle="1">
    <w:name w:val="font71"/>
    <w:basedOn w:val="827"/>
    <w:uiPriority w:val="0"/>
    <w:qFormat/>
    <w:rPr>
      <w:rFonts w:hint="eastAsia" w:ascii="仿宋" w:hAnsi="仿宋" w:eastAsia="仿宋" w:cs="仿宋"/>
      <w:color w:val="000000"/>
      <w:sz w:val="24"/>
      <w:szCs w:val="24"/>
      <w:u w:val="none"/>
    </w:rPr>
  </w:style>
  <w:style w:type="character" w:styleId="1142" w:customStyle="1">
    <w:name w:val="font31"/>
    <w:basedOn w:val="827"/>
    <w:uiPriority w:val="0"/>
    <w:qFormat/>
    <w:rPr>
      <w:rFonts w:hint="eastAsia" w:ascii="仿宋" w:hAnsi="仿宋" w:eastAsia="仿宋" w:cs="仿宋"/>
      <w:color w:val="000000"/>
      <w:sz w:val="24"/>
      <w:szCs w:val="24"/>
      <w:u w:val="none"/>
    </w:rPr>
  </w:style>
  <w:style w:type="character" w:styleId="1143" w:customStyle="1">
    <w:name w:val="font01"/>
    <w:basedOn w:val="827"/>
    <w:uiPriority w:val="0"/>
    <w:qFormat/>
    <w:rPr>
      <w:rFonts w:hint="eastAsia" w:ascii="宋体" w:hAnsi="宋体" w:eastAsia="宋体" w:cs="宋体"/>
      <w:color w:val="000000"/>
      <w:sz w:val="24"/>
      <w:szCs w:val="24"/>
      <w:u w:val="none"/>
    </w:rPr>
  </w:style>
  <w:style w:type="character" w:styleId="1144" w:customStyle="1">
    <w:name w:val="font11"/>
    <w:basedOn w:val="827"/>
    <w:uiPriority w:val="0"/>
    <w:qFormat/>
    <w:rPr>
      <w:rFonts w:hint="eastAsia" w:ascii="仿宋" w:hAnsi="仿宋" w:eastAsia="仿宋" w:cs="仿宋"/>
      <w:color w:val="000000"/>
      <w:sz w:val="24"/>
      <w:szCs w:val="24"/>
      <w:u w:val="none"/>
    </w:rPr>
  </w:style>
  <w:style w:type="character" w:styleId="1145" w:customStyle="1">
    <w:name w:val="font61"/>
    <w:basedOn w:val="827"/>
    <w:uiPriority w:val="0"/>
    <w:qFormat/>
    <w:rPr>
      <w:rFonts w:hint="eastAsia" w:ascii="MS Gothic" w:hAnsi="MS Gothic" w:eastAsia="MS Gothic" w:cs="MS Gothic"/>
      <w:color w:val="000000"/>
      <w:sz w:val="24"/>
      <w:szCs w:val="24"/>
      <w:u w:val="none"/>
    </w:rPr>
  </w:style>
  <w:style w:type="character" w:styleId="1146" w:customStyle="1">
    <w:name w:val="批注框文本 字符1"/>
    <w:basedOn w:val="827"/>
    <w:link w:val="844"/>
    <w:uiPriority w:val="99"/>
    <w:semiHidden/>
    <w:qFormat/>
    <w:rPr>
      <w:sz w:val="18"/>
      <w:szCs w:val="18"/>
    </w:rPr>
  </w:style>
  <w:style w:type="character" w:styleId="1147" w:customStyle="1">
    <w:name w:val="批注文字 字符"/>
    <w:basedOn w:val="827"/>
    <w:link w:val="832"/>
    <w:uiPriority w:val="0"/>
    <w:qFormat/>
    <w:rPr>
      <w:sz w:val="21"/>
      <w:szCs w:val="24"/>
    </w:rPr>
  </w:style>
  <w:style w:type="character" w:styleId="1148" w:customStyle="1">
    <w:name w:val="批注主题 字符"/>
    <w:basedOn w:val="1147"/>
    <w:link w:val="857"/>
    <w:uiPriority w:val="99"/>
    <w:semiHidden/>
    <w:qFormat/>
    <w:rPr>
      <w:b/>
      <w:bCs/>
      <w:sz w:val="21"/>
      <w:szCs w:val="24"/>
    </w:rPr>
  </w:style>
  <w:style w:type="paragraph" w:styleId="1149" w:customStyle="1">
    <w:name w:val="批注文字1"/>
    <w:basedOn w:val="817"/>
    <w:uiPriority w:val="0"/>
    <w:unhideWhenUsed/>
    <w:qFormat/>
    <w:pPr>
      <w:jc w:val="left"/>
    </w:pPr>
  </w:style>
  <w:style w:type="paragraph" w:styleId="1150" w:customStyle="1">
    <w:name w:val="纯文本2"/>
    <w:basedOn w:val="817"/>
    <w:uiPriority w:val="0"/>
    <w:qFormat/>
    <w:rPr>
      <w:rFonts w:ascii="宋体" w:hAnsi="Courier New"/>
      <w:sz w:val="28"/>
    </w:rPr>
  </w:style>
  <w:style w:type="paragraph" w:styleId="115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52" w:customStyle="1">
    <w:name w:val="Table Text"/>
    <w:basedOn w:val="817"/>
    <w:uiPriority w:val="0"/>
    <w:semiHidden/>
    <w:qFormat/>
  </w:style>
  <w:style w:type="table" w:styleId="1153" w:customStyle="1">
    <w:name w:val="Table Normal"/>
    <w:uiPriority w:val="0"/>
    <w:semiHidden/>
    <w:unhideWhenUsed/>
    <w:qFormat/>
    <w:tblPr>
      <w:tblCellMar>
        <w:left w:w="0" w:type="dxa"/>
        <w:top w:w="0" w:type="dxa"/>
        <w:right w:w="0" w:type="dxa"/>
        <w:bottom w:w="0" w:type="dxa"/>
      </w:tblCellMar>
    </w:tblPr>
  </w:style>
  <w:style w:type="paragraph" w:styleId="1154" w:customStyle="1">
    <w:name w:val="正文首行缩进11"/>
    <w:basedOn w:val="867"/>
    <w:uiPriority w:val="0"/>
    <w:qFormat/>
    <w:pPr>
      <w:ind w:firstLine="200"/>
      <w:spacing w:line="360" w:lineRule="auto"/>
    </w:pPr>
    <w:rPr>
      <w:sz w:val="30"/>
      <w:szCs w:val="30"/>
    </w:rPr>
  </w:style>
  <w:style w:type="numbering" w:styleId="13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赵斌</cp:lastModifiedBy>
  <cp:revision>3</cp:revision>
  <dcterms:created xsi:type="dcterms:W3CDTF">2026-04-30T06:47:00Z</dcterms:created>
  <dcterms:modified xsi:type="dcterms:W3CDTF">2026-05-28T08:27:45Z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239CC72C28DD4DE9B4A2600D873EAA74_13</vt:lpwstr>
  </property>
  <property fmtid="{D5CDD505-2E9C-101B-9397-08002B2CF9AE}" pid="4" name="KSOTemplateDocerSaveRecord">
    <vt:lpwstr>eyJoZGlkIjoiMzZkYzgyNDdlYmFhNWUwNjZkOWRkMmE5YmU1MTU1MDIiLCJ1c2VySWQiOiI1MTQxNjY5NDEifQ==</vt:lpwstr>
  </property>
</Properties>
</file>