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4"/>
        <w:spacing w:line="360" w:lineRule="auto"/>
        <w:rPr>
          <w:b/>
          <w:bCs/>
          <w:sz w:val="72"/>
          <w:szCs w:val="72"/>
        </w:rPr>
      </w:pPr>
      <w:r>
        <w:rPr>
          <w:b/>
          <w:bCs/>
          <w:sz w:val="72"/>
          <w:szCs w:val="72"/>
        </w:rPr>
      </w:r>
      <w:r/>
    </w:p>
    <w:p>
      <w:pPr>
        <w:pStyle w:val="143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r>
      <w:r/>
    </w:p>
    <w:p>
      <w:pPr>
        <w:pStyle w:val="1434"/>
        <w:jc w:val="center"/>
        <w:spacing w:line="360" w:lineRule="auto"/>
        <w:rPr>
          <w:rFonts w:hint="eastAsia" w:eastAsia="华文中宋"/>
          <w:bCs/>
          <w:sz w:val="56"/>
          <w:szCs w:val="16"/>
        </w:rPr>
      </w:pPr>
      <w:r>
        <w:rPr>
          <w:rFonts w:hint="eastAsia" w:eastAsia="华文中宋"/>
          <w:b/>
          <w:sz w:val="44"/>
          <w:szCs w:val="44"/>
        </w:rPr>
        <w:t xml:space="preserve">电动汽车充电桩综合检测系统等设备</w:t>
      </w:r>
      <w:r>
        <w:rPr>
          <w:rFonts w:hint="eastAsia" w:eastAsia="华文中宋"/>
          <w:bCs/>
          <w:sz w:val="56"/>
          <w:szCs w:val="16"/>
        </w:rPr>
      </w:r>
      <w:r/>
    </w:p>
    <w:p>
      <w:pPr>
        <w:pStyle w:val="1434"/>
        <w:jc w:val="center"/>
        <w:spacing w:line="360" w:lineRule="auto"/>
        <w:rPr>
          <w:b/>
          <w:sz w:val="72"/>
          <w:szCs w:val="72"/>
        </w:rPr>
      </w:pPr>
      <w:r>
        <w:rPr>
          <w:b/>
          <w:sz w:val="72"/>
          <w:szCs w:val="72"/>
        </w:rPr>
      </w:r>
      <w:r/>
    </w:p>
    <w:p>
      <w:pPr>
        <w:pStyle w:val="1434"/>
        <w:jc w:val="center"/>
        <w:spacing w:line="360" w:lineRule="auto"/>
        <w:rPr>
          <w:b/>
          <w:sz w:val="72"/>
          <w:szCs w:val="72"/>
        </w:rPr>
      </w:pPr>
      <w:r>
        <w:rPr>
          <w:b/>
          <w:sz w:val="72"/>
          <w:szCs w:val="72"/>
        </w:rPr>
        <w:t xml:space="preserve">招标文件</w:t>
      </w:r>
      <w:r>
        <w:rPr>
          <w:b/>
          <w:sz w:val="72"/>
          <w:szCs w:val="72"/>
        </w:rPr>
      </w:r>
      <w:r/>
    </w:p>
    <w:p>
      <w:pPr>
        <w:pStyle w:val="1434"/>
        <w:jc w:val="center"/>
        <w:spacing w:line="360" w:lineRule="auto"/>
        <w:rPr>
          <w:bCs/>
          <w:sz w:val="36"/>
        </w:rPr>
      </w:pPr>
      <w:r>
        <w:rPr>
          <w:bCs/>
          <w:sz w:val="36"/>
        </w:rPr>
      </w:r>
      <w:r/>
    </w:p>
    <w:p>
      <w:pPr>
        <w:pStyle w:val="1434"/>
        <w:jc w:val="left"/>
        <w:spacing w:line="440" w:lineRule="exact"/>
        <w:rPr>
          <w:bCs/>
          <w:sz w:val="52"/>
        </w:rPr>
      </w:pPr>
      <w:r>
        <w:rPr>
          <w:bCs/>
          <w:sz w:val="52"/>
        </w:rPr>
      </w:r>
      <w:r/>
    </w:p>
    <w:p>
      <w:pPr>
        <w:pStyle w:val="1503"/>
        <w:ind w:firstLine="0"/>
      </w:pPr>
      <w:r/>
      <w:r/>
    </w:p>
    <w:p>
      <w:pPr>
        <w:pStyle w:val="1434"/>
        <w:jc w:val="center"/>
        <w:rPr>
          <w:b/>
          <w:sz w:val="32"/>
          <w:szCs w:val="32"/>
        </w:rPr>
      </w:pPr>
      <w:r>
        <w:rPr>
          <w:b/>
          <w:sz w:val="32"/>
          <w:szCs w:val="32"/>
        </w:rPr>
        <w:t xml:space="preserve">项目编号：</w:t>
      </w:r>
      <w:r>
        <w:rPr>
          <w:rFonts w:hint="eastAsia"/>
          <w:b/>
          <w:sz w:val="32"/>
          <w:szCs w:val="32"/>
          <w:lang w:eastAsia="zh-CN"/>
        </w:rPr>
        <w:t xml:space="preserve">JSZC-320000-SMDY-G2026-0026</w:t>
      </w:r>
      <w:r>
        <w:rPr>
          <w:b/>
          <w:sz w:val="32"/>
          <w:szCs w:val="32"/>
        </w:rPr>
        <w:t xml:space="preserve">（</w:t>
      </w:r>
      <w:r>
        <w:rPr>
          <w:rFonts w:hint="eastAsia"/>
          <w:b/>
          <w:sz w:val="32"/>
          <w:szCs w:val="32"/>
        </w:rPr>
        <w:t xml:space="preserve">2640SUMEC/ZWGG2040</w:t>
      </w:r>
      <w:r>
        <w:rPr>
          <w:b/>
          <w:sz w:val="32"/>
          <w:szCs w:val="32"/>
        </w:rPr>
        <w:t xml:space="preserve">）</w:t>
      </w:r>
      <w:r>
        <w:rPr>
          <w:b/>
          <w:sz w:val="32"/>
          <w:szCs w:val="32"/>
        </w:rPr>
      </w:r>
      <w:r/>
    </w:p>
    <w:p>
      <w:pPr>
        <w:pStyle w:val="143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43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3"/>
        <w:ind w:firstLine="0"/>
      </w:pPr>
      <w:r/>
      <w:r/>
    </w:p>
    <w:p>
      <w:pPr>
        <w:pStyle w:val="143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43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34"/>
        <w:jc w:val="center"/>
        <w:spacing w:line="440" w:lineRule="exact"/>
        <w:rPr>
          <w:b/>
          <w:sz w:val="32"/>
        </w:rPr>
      </w:pPr>
      <w:r>
        <w:rPr>
          <w:b/>
          <w:sz w:val="32"/>
        </w:rPr>
        <w:t xml:space="preserve">目   录</w:t>
      </w:r>
      <w:r>
        <w:rPr>
          <w:b/>
          <w:sz w:val="32"/>
        </w:rPr>
      </w:r>
      <w:r/>
    </w:p>
    <w:p>
      <w:pPr>
        <w:pStyle w:val="148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_Toc13654 </w:instrText>
      </w:r>
      <w:r>
        <w:rPr>
          <w:bCs/>
        </w:rPr>
        <w:fldChar w:fldCharType="separate"/>
      </w:r>
      <w:r>
        <w:rPr>
          <w:szCs w:val="28"/>
        </w:rPr>
        <w:t xml:space="preserve">第一章 投标邀请（招标公告）</w:t>
      </w:r>
      <w:r>
        <w:tab/>
      </w:r>
      <w:r>
        <w:fldChar w:fldCharType="begin"/>
      </w:r>
      <w:r>
        <w:instrText xml:space="preserve"> PAGEREF _Toc13654 \h </w:instrText>
      </w:r>
      <w:r>
        <w:fldChar w:fldCharType="separate"/>
      </w:r>
      <w:r>
        <w:t xml:space="preserve">1</w:t>
      </w:r>
      <w:r>
        <w:fldChar w:fldCharType="end"/>
      </w:r>
      <w:r>
        <w:rPr>
          <w:bCs/>
        </w:rPr>
        <w:fldChar w:fldCharType="end"/>
      </w:r>
      <w:r/>
    </w:p>
    <w:p>
      <w:pPr>
        <w:pStyle w:val="1487"/>
        <w:tabs>
          <w:tab w:val="right" w:pos="9638" w:leader="dot"/>
        </w:tabs>
      </w:pPr>
      <w:r>
        <w:rPr>
          <w:bCs/>
        </w:rPr>
        <w:fldChar w:fldCharType="begin"/>
      </w:r>
      <w:r>
        <w:rPr>
          <w:bCs/>
        </w:rPr>
        <w:instrText xml:space="preserve"> HYPERLINK \l _Toc3873 </w:instrText>
      </w:r>
      <w:r>
        <w:rPr>
          <w:bCs/>
        </w:rPr>
        <w:fldChar w:fldCharType="separate"/>
      </w:r>
      <w:r>
        <w:rPr>
          <w:szCs w:val="28"/>
        </w:rPr>
        <w:t xml:space="preserve">第二章 投标人须知</w:t>
      </w:r>
      <w:r>
        <w:tab/>
      </w:r>
      <w:r>
        <w:fldChar w:fldCharType="begin"/>
      </w:r>
      <w:r>
        <w:instrText xml:space="preserve"> PAGEREF _Toc3873 \h </w:instrText>
      </w:r>
      <w:r>
        <w:fldChar w:fldCharType="separate"/>
      </w:r>
      <w:r>
        <w:t xml:space="preserve">4</w:t>
      </w:r>
      <w:r>
        <w:fldChar w:fldCharType="end"/>
      </w:r>
      <w:r>
        <w:rPr>
          <w:bCs/>
        </w:rPr>
        <w:fldChar w:fldCharType="end"/>
      </w:r>
      <w:r/>
    </w:p>
    <w:p>
      <w:pPr>
        <w:pStyle w:val="1494"/>
        <w:tabs>
          <w:tab w:val="right" w:pos="9638" w:leader="dot"/>
        </w:tabs>
      </w:pPr>
      <w:r>
        <w:rPr>
          <w:bCs/>
        </w:rPr>
        <w:fldChar w:fldCharType="begin"/>
      </w:r>
      <w:r>
        <w:rPr>
          <w:bCs/>
        </w:rPr>
        <w:instrText xml:space="preserve"> HYPERLINK \l _Toc17596 </w:instrText>
      </w:r>
      <w:r>
        <w:rPr>
          <w:bCs/>
        </w:rPr>
        <w:fldChar w:fldCharType="separate"/>
      </w:r>
      <w:r>
        <w:rPr>
          <w:rFonts w:hint="eastAsia" w:ascii="宋体" w:hAnsi="宋体" w:cs="宋体"/>
          <w:bCs/>
          <w:szCs w:val="21"/>
        </w:rPr>
        <w:t xml:space="preserve"> 一、总 则</w:t>
      </w:r>
      <w:r>
        <w:tab/>
      </w:r>
      <w:r>
        <w:fldChar w:fldCharType="begin"/>
      </w:r>
      <w:r>
        <w:instrText xml:space="preserve"> PAGEREF _Toc17596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_Toc17190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_Toc17190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_Toc29094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_Toc29094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_Toc4762 </w:instrText>
      </w:r>
      <w:r>
        <w:rPr>
          <w:bCs/>
        </w:rPr>
        <w:fldChar w:fldCharType="separate"/>
      </w:r>
      <w:r>
        <w:rPr>
          <w:rFonts w:hint="eastAsia" w:ascii="宋体" w:hAnsi="宋体" w:cs="宋体"/>
          <w:szCs w:val="21"/>
        </w:rPr>
        <w:t xml:space="preserve">3.政策功能</w:t>
      </w:r>
      <w:r>
        <w:tab/>
      </w:r>
      <w:r>
        <w:fldChar w:fldCharType="begin"/>
      </w:r>
      <w:r>
        <w:instrText xml:space="preserve"> PAGEREF _Toc4762 \h </w:instrText>
      </w:r>
      <w:r>
        <w:fldChar w:fldCharType="separate"/>
      </w:r>
      <w:r>
        <w:t xml:space="preserve">7</w:t>
      </w:r>
      <w:r>
        <w:fldChar w:fldCharType="end"/>
      </w:r>
      <w:r>
        <w:rPr>
          <w:bCs/>
        </w:rPr>
        <w:fldChar w:fldCharType="end"/>
      </w:r>
      <w:r/>
    </w:p>
    <w:p>
      <w:pPr>
        <w:pStyle w:val="1472"/>
        <w:tabs>
          <w:tab w:val="right" w:pos="9638" w:leader="dot"/>
        </w:tabs>
      </w:pPr>
      <w:r>
        <w:rPr>
          <w:bCs/>
        </w:rPr>
        <w:fldChar w:fldCharType="begin"/>
      </w:r>
      <w:r>
        <w:rPr>
          <w:bCs/>
        </w:rPr>
        <w:instrText xml:space="preserve"> HYPERLINK \l _Toc27988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_Toc27988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_Toc7066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_Toc7066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_Toc12252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_Toc12252 \h </w:instrText>
      </w:r>
      <w:r>
        <w:fldChar w:fldCharType="separate"/>
      </w:r>
      <w:r>
        <w:t xml:space="preserve">9</w:t>
      </w:r>
      <w:r>
        <w:fldChar w:fldCharType="end"/>
      </w:r>
      <w:r>
        <w:rPr>
          <w:bCs/>
        </w:rPr>
        <w:fldChar w:fldCharType="end"/>
      </w:r>
      <w:r/>
    </w:p>
    <w:p>
      <w:pPr>
        <w:pStyle w:val="1494"/>
        <w:tabs>
          <w:tab w:val="right" w:pos="9638" w:leader="dot"/>
        </w:tabs>
      </w:pPr>
      <w:r>
        <w:rPr>
          <w:bCs/>
        </w:rPr>
        <w:fldChar w:fldCharType="begin"/>
      </w:r>
      <w:r>
        <w:rPr>
          <w:bCs/>
        </w:rPr>
        <w:instrText xml:space="preserve"> HYPERLINK \l _Toc18056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_Toc18056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_Toc13853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_Toc13853 \h </w:instrText>
      </w:r>
      <w:r>
        <w:fldChar w:fldCharType="separate"/>
      </w:r>
      <w:r>
        <w:t xml:space="preserve">9</w:t>
      </w:r>
      <w:r>
        <w:fldChar w:fldCharType="end"/>
      </w:r>
      <w:r>
        <w:rPr>
          <w:bCs/>
        </w:rPr>
        <w:fldChar w:fldCharType="end"/>
      </w:r>
      <w:r/>
    </w:p>
    <w:p>
      <w:pPr>
        <w:pStyle w:val="1472"/>
        <w:tabs>
          <w:tab w:val="right" w:pos="9638" w:leader="dot"/>
        </w:tabs>
      </w:pPr>
      <w:r>
        <w:rPr>
          <w:bCs/>
        </w:rPr>
        <w:fldChar w:fldCharType="begin"/>
      </w:r>
      <w:r>
        <w:rPr>
          <w:bCs/>
        </w:rPr>
        <w:instrText xml:space="preserve"> HYPERLINK \l _Toc710 </w:instrText>
      </w:r>
      <w:r>
        <w:rPr>
          <w:bCs/>
        </w:rPr>
        <w:fldChar w:fldCharType="separate"/>
      </w:r>
      <w:r>
        <w:rPr>
          <w:rFonts w:hint="eastAsia" w:ascii="宋体" w:hAnsi="宋体" w:cs="宋体"/>
          <w:bCs/>
          <w:szCs w:val="21"/>
        </w:rPr>
        <w:t xml:space="preserve">7.招标文件的澄清、补充或修改</w:t>
      </w:r>
      <w:r>
        <w:tab/>
      </w:r>
      <w:r>
        <w:fldChar w:fldCharType="begin"/>
      </w:r>
      <w:r>
        <w:instrText xml:space="preserve"> PAGEREF _Toc710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_Toc26625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_Toc26625 \h </w:instrText>
      </w:r>
      <w:r>
        <w:fldChar w:fldCharType="separate"/>
      </w:r>
      <w:r>
        <w:t xml:space="preserve">10</w:t>
      </w:r>
      <w:r>
        <w:fldChar w:fldCharType="end"/>
      </w:r>
      <w:r>
        <w:rPr>
          <w:bCs/>
        </w:rPr>
        <w:fldChar w:fldCharType="end"/>
      </w:r>
      <w:r/>
    </w:p>
    <w:p>
      <w:pPr>
        <w:pStyle w:val="1472"/>
        <w:tabs>
          <w:tab w:val="right" w:pos="9638" w:leader="dot"/>
        </w:tabs>
      </w:pPr>
      <w:r>
        <w:rPr>
          <w:bCs/>
        </w:rPr>
        <w:fldChar w:fldCharType="begin"/>
      </w:r>
      <w:r>
        <w:rPr>
          <w:bCs/>
        </w:rPr>
        <w:instrText xml:space="preserve"> HYPERLINK \l _Toc15966 </w:instrText>
      </w:r>
      <w:r>
        <w:rPr>
          <w:bCs/>
        </w:rPr>
        <w:fldChar w:fldCharType="separate"/>
      </w:r>
      <w:r>
        <w:rPr>
          <w:rFonts w:hint="eastAsia" w:ascii="宋体" w:hAnsi="宋体" w:cs="宋体"/>
          <w:bCs/>
          <w:szCs w:val="21"/>
        </w:rPr>
        <w:t xml:space="preserve">8.投标文件的语言、计量单位、货币</w:t>
      </w:r>
      <w:r>
        <w:tab/>
      </w:r>
      <w:r>
        <w:fldChar w:fldCharType="begin"/>
      </w:r>
      <w:r>
        <w:instrText xml:space="preserve"> PAGEREF _Toc15966 \h </w:instrText>
      </w:r>
      <w:r>
        <w:fldChar w:fldCharType="separate"/>
      </w:r>
      <w:r>
        <w:t xml:space="preserve">10</w:t>
      </w:r>
      <w:r>
        <w:fldChar w:fldCharType="end"/>
      </w:r>
      <w:r>
        <w:rPr>
          <w:bCs/>
        </w:rPr>
        <w:fldChar w:fldCharType="end"/>
      </w:r>
      <w:r/>
    </w:p>
    <w:p>
      <w:pPr>
        <w:pStyle w:val="1472"/>
        <w:tabs>
          <w:tab w:val="right" w:pos="9638" w:leader="dot"/>
        </w:tabs>
      </w:pPr>
      <w:r>
        <w:rPr>
          <w:bCs/>
        </w:rPr>
        <w:fldChar w:fldCharType="begin"/>
      </w:r>
      <w:r>
        <w:rPr>
          <w:bCs/>
        </w:rPr>
        <w:instrText xml:space="preserve"> HYPERLINK \l _Toc12814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_Toc12814 \h </w:instrText>
      </w:r>
      <w:r>
        <w:fldChar w:fldCharType="separate"/>
      </w:r>
      <w:r>
        <w:t xml:space="preserve">11</w:t>
      </w:r>
      <w:r>
        <w:fldChar w:fldCharType="end"/>
      </w:r>
      <w:r>
        <w:rPr>
          <w:bCs/>
        </w:rPr>
        <w:fldChar w:fldCharType="end"/>
      </w:r>
      <w:r/>
    </w:p>
    <w:p>
      <w:pPr>
        <w:pStyle w:val="1472"/>
        <w:tabs>
          <w:tab w:val="right" w:pos="9638" w:leader="dot"/>
        </w:tabs>
      </w:pPr>
      <w:r>
        <w:rPr>
          <w:bCs/>
        </w:rPr>
        <w:fldChar w:fldCharType="begin"/>
      </w:r>
      <w:r>
        <w:rPr>
          <w:bCs/>
        </w:rPr>
        <w:instrText xml:space="preserve"> HYPERLINK \l _Toc6103 </w:instrText>
      </w:r>
      <w:r>
        <w:rPr>
          <w:bCs/>
        </w:rPr>
        <w:fldChar w:fldCharType="separate"/>
      </w:r>
      <w:r>
        <w:rPr>
          <w:rFonts w:hint="eastAsia" w:ascii="宋体" w:hAnsi="宋体" w:cs="宋体"/>
          <w:bCs/>
          <w:szCs w:val="21"/>
        </w:rPr>
        <w:t xml:space="preserve">10.投标文件的组成</w:t>
      </w:r>
      <w:r>
        <w:tab/>
      </w:r>
      <w:r>
        <w:fldChar w:fldCharType="begin"/>
      </w:r>
      <w:r>
        <w:instrText xml:space="preserve"> PAGEREF _Toc6103 \h </w:instrText>
      </w:r>
      <w:r>
        <w:fldChar w:fldCharType="separate"/>
      </w:r>
      <w:r>
        <w:t xml:space="preserve">11</w:t>
      </w:r>
      <w:r>
        <w:fldChar w:fldCharType="end"/>
      </w:r>
      <w:r>
        <w:rPr>
          <w:bCs/>
        </w:rPr>
        <w:fldChar w:fldCharType="end"/>
      </w:r>
      <w:r/>
    </w:p>
    <w:p>
      <w:pPr>
        <w:pStyle w:val="1472"/>
        <w:tabs>
          <w:tab w:val="right" w:pos="9638" w:leader="dot"/>
        </w:tabs>
      </w:pPr>
      <w:r>
        <w:rPr>
          <w:bCs/>
        </w:rPr>
        <w:fldChar w:fldCharType="begin"/>
      </w:r>
      <w:r>
        <w:rPr>
          <w:bCs/>
        </w:rPr>
        <w:instrText xml:space="preserve"> HYPERLINK \l _Toc29793 </w:instrText>
      </w:r>
      <w:r>
        <w:rPr>
          <w:bCs/>
        </w:rPr>
        <w:fldChar w:fldCharType="separate"/>
      </w:r>
      <w:r>
        <w:rPr>
          <w:rFonts w:hint="eastAsia" w:ascii="宋体" w:hAnsi="宋体" w:cs="宋体"/>
          <w:bCs/>
          <w:szCs w:val="21"/>
        </w:rPr>
        <w:t xml:space="preserve">11.投标保证金（如有）</w:t>
      </w:r>
      <w:r>
        <w:tab/>
      </w:r>
      <w:r>
        <w:fldChar w:fldCharType="begin"/>
      </w:r>
      <w:r>
        <w:instrText xml:space="preserve"> PAGEREF _Toc29793 \h </w:instrText>
      </w:r>
      <w:r>
        <w:fldChar w:fldCharType="separate"/>
      </w:r>
      <w:r>
        <w:t xml:space="preserve">12</w:t>
      </w:r>
      <w:r>
        <w:fldChar w:fldCharType="end"/>
      </w:r>
      <w:r>
        <w:rPr>
          <w:bCs/>
        </w:rPr>
        <w:fldChar w:fldCharType="end"/>
      </w:r>
      <w:r/>
    </w:p>
    <w:p>
      <w:pPr>
        <w:pStyle w:val="1472"/>
        <w:tabs>
          <w:tab w:val="right" w:pos="9638" w:leader="dot"/>
        </w:tabs>
      </w:pPr>
      <w:r>
        <w:rPr>
          <w:bCs/>
        </w:rPr>
        <w:fldChar w:fldCharType="begin"/>
      </w:r>
      <w:r>
        <w:rPr>
          <w:bCs/>
        </w:rPr>
        <w:instrText xml:space="preserve"> HYPERLINK \l _Toc966 </w:instrText>
      </w:r>
      <w:r>
        <w:rPr>
          <w:bCs/>
        </w:rPr>
        <w:fldChar w:fldCharType="separate"/>
      </w:r>
      <w:r>
        <w:rPr>
          <w:rFonts w:hint="eastAsia" w:ascii="宋体" w:hAnsi="宋体" w:cs="宋体"/>
          <w:bCs/>
          <w:szCs w:val="21"/>
        </w:rPr>
        <w:t xml:space="preserve">12.投标文件的有效期</w:t>
      </w:r>
      <w:r>
        <w:tab/>
      </w:r>
      <w:r>
        <w:fldChar w:fldCharType="begin"/>
      </w:r>
      <w:r>
        <w:instrText xml:space="preserve"> PAGEREF _Toc966 \h </w:instrText>
      </w:r>
      <w:r>
        <w:fldChar w:fldCharType="separate"/>
      </w:r>
      <w:r>
        <w:t xml:space="preserve">13</w:t>
      </w:r>
      <w:r>
        <w:fldChar w:fldCharType="end"/>
      </w:r>
      <w:r>
        <w:rPr>
          <w:bCs/>
        </w:rPr>
        <w:fldChar w:fldCharType="end"/>
      </w:r>
      <w:r/>
    </w:p>
    <w:p>
      <w:pPr>
        <w:pStyle w:val="1472"/>
        <w:tabs>
          <w:tab w:val="right" w:pos="9638" w:leader="dot"/>
        </w:tabs>
      </w:pPr>
      <w:r>
        <w:rPr>
          <w:bCs/>
        </w:rPr>
        <w:fldChar w:fldCharType="begin"/>
      </w:r>
      <w:r>
        <w:rPr>
          <w:bCs/>
        </w:rPr>
        <w:instrText xml:space="preserve"> HYPERLINK \l _Toc14972 </w:instrText>
      </w:r>
      <w:r>
        <w:rPr>
          <w:bCs/>
        </w:rPr>
        <w:fldChar w:fldCharType="separate"/>
      </w:r>
      <w:r>
        <w:rPr>
          <w:rFonts w:hint="eastAsia" w:ascii="宋体" w:hAnsi="宋体" w:cs="宋体"/>
          <w:bCs/>
          <w:szCs w:val="21"/>
        </w:rPr>
        <w:t xml:space="preserve">13.投标文件的签署及其形式</w:t>
      </w:r>
      <w:r>
        <w:tab/>
      </w:r>
      <w:r>
        <w:fldChar w:fldCharType="begin"/>
      </w:r>
      <w:r>
        <w:instrText xml:space="preserve"> PAGEREF _Toc14972 \h </w:instrText>
      </w:r>
      <w:r>
        <w:fldChar w:fldCharType="separate"/>
      </w:r>
      <w:r>
        <w:t xml:space="preserve">13</w:t>
      </w:r>
      <w:r>
        <w:fldChar w:fldCharType="end"/>
      </w:r>
      <w:r>
        <w:rPr>
          <w:bCs/>
        </w:rPr>
        <w:fldChar w:fldCharType="end"/>
      </w:r>
      <w:r/>
    </w:p>
    <w:p>
      <w:pPr>
        <w:pStyle w:val="1494"/>
        <w:tabs>
          <w:tab w:val="right" w:pos="9638" w:leader="dot"/>
        </w:tabs>
      </w:pPr>
      <w:r>
        <w:rPr>
          <w:bCs/>
        </w:rPr>
        <w:fldChar w:fldCharType="begin"/>
      </w:r>
      <w:r>
        <w:rPr>
          <w:bCs/>
        </w:rPr>
        <w:instrText xml:space="preserve"> HYPERLINK \l _Toc11232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_Toc11232 \h </w:instrText>
      </w:r>
      <w:r>
        <w:fldChar w:fldCharType="separate"/>
      </w:r>
      <w:r>
        <w:t xml:space="preserve">13</w:t>
      </w:r>
      <w:r>
        <w:fldChar w:fldCharType="end"/>
      </w:r>
      <w:r>
        <w:rPr>
          <w:bCs/>
        </w:rPr>
        <w:fldChar w:fldCharType="end"/>
      </w:r>
      <w:r/>
    </w:p>
    <w:p>
      <w:pPr>
        <w:pStyle w:val="1472"/>
        <w:tabs>
          <w:tab w:val="right" w:pos="9638" w:leader="dot"/>
        </w:tabs>
      </w:pPr>
      <w:r>
        <w:rPr>
          <w:bCs/>
        </w:rPr>
        <w:fldChar w:fldCharType="begin"/>
      </w:r>
      <w:r>
        <w:rPr>
          <w:bCs/>
        </w:rPr>
        <w:instrText xml:space="preserve"> HYPERLINK \l _Toc2706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_Toc2706 \h </w:instrText>
      </w:r>
      <w:r>
        <w:fldChar w:fldCharType="separate"/>
      </w:r>
      <w:r>
        <w:t xml:space="preserve">13</w:t>
      </w:r>
      <w:r>
        <w:fldChar w:fldCharType="end"/>
      </w:r>
      <w:r>
        <w:rPr>
          <w:bCs/>
        </w:rPr>
        <w:fldChar w:fldCharType="end"/>
      </w:r>
      <w:r/>
    </w:p>
    <w:p>
      <w:pPr>
        <w:pStyle w:val="1472"/>
        <w:tabs>
          <w:tab w:val="right" w:pos="9638" w:leader="dot"/>
        </w:tabs>
      </w:pPr>
      <w:r>
        <w:rPr>
          <w:bCs/>
        </w:rPr>
        <w:fldChar w:fldCharType="begin"/>
      </w:r>
      <w:r>
        <w:rPr>
          <w:bCs/>
        </w:rPr>
        <w:instrText xml:space="preserve"> HYPERLINK \l _Toc15250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_Toc15250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_Toc20539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_Toc20539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_Toc11889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_Toc11889 \h </w:instrText>
      </w:r>
      <w:r>
        <w:fldChar w:fldCharType="separate"/>
      </w:r>
      <w:r>
        <w:t xml:space="preserve">14</w:t>
      </w:r>
      <w:r>
        <w:fldChar w:fldCharType="end"/>
      </w:r>
      <w:r>
        <w:rPr>
          <w:bCs/>
        </w:rPr>
        <w:fldChar w:fldCharType="end"/>
      </w:r>
      <w:r/>
    </w:p>
    <w:p>
      <w:pPr>
        <w:pStyle w:val="1494"/>
        <w:tabs>
          <w:tab w:val="right" w:pos="9638" w:leader="dot"/>
        </w:tabs>
      </w:pPr>
      <w:r>
        <w:rPr>
          <w:bCs/>
        </w:rPr>
        <w:fldChar w:fldCharType="begin"/>
      </w:r>
      <w:r>
        <w:rPr>
          <w:bCs/>
        </w:rPr>
        <w:instrText xml:space="preserve"> HYPERLINK \l _Toc17841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_Toc17841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_Toc5878 </w:instrText>
      </w:r>
      <w:r>
        <w:rPr>
          <w:bCs/>
        </w:rPr>
        <w:fldChar w:fldCharType="separate"/>
      </w:r>
      <w:r>
        <w:rPr>
          <w:rFonts w:hint="eastAsia" w:ascii="宋体" w:hAnsi="宋体" w:cs="宋体"/>
          <w:bCs/>
          <w:szCs w:val="21"/>
        </w:rPr>
        <w:t xml:space="preserve">18.开标</w:t>
      </w:r>
      <w:r>
        <w:tab/>
      </w:r>
      <w:r>
        <w:fldChar w:fldCharType="begin"/>
      </w:r>
      <w:r>
        <w:instrText xml:space="preserve"> PAGEREF _Toc5878 \h </w:instrText>
      </w:r>
      <w:r>
        <w:fldChar w:fldCharType="separate"/>
      </w:r>
      <w:r>
        <w:t xml:space="preserve">14</w:t>
      </w:r>
      <w:r>
        <w:fldChar w:fldCharType="end"/>
      </w:r>
      <w:r>
        <w:rPr>
          <w:bCs/>
        </w:rPr>
        <w:fldChar w:fldCharType="end"/>
      </w:r>
      <w:r/>
    </w:p>
    <w:p>
      <w:pPr>
        <w:pStyle w:val="1472"/>
        <w:tabs>
          <w:tab w:val="right" w:pos="9638" w:leader="dot"/>
        </w:tabs>
      </w:pPr>
      <w:r>
        <w:rPr>
          <w:bCs/>
        </w:rPr>
        <w:fldChar w:fldCharType="begin"/>
      </w:r>
      <w:r>
        <w:rPr>
          <w:bCs/>
        </w:rPr>
        <w:instrText xml:space="preserve"> HYPERLINK \l _Toc6150 </w:instrText>
      </w:r>
      <w:r>
        <w:rPr>
          <w:bCs/>
        </w:rPr>
        <w:fldChar w:fldCharType="separate"/>
      </w:r>
      <w:r>
        <w:rPr>
          <w:rFonts w:hint="eastAsia" w:ascii="宋体" w:hAnsi="宋体" w:cs="宋体"/>
          <w:bCs/>
          <w:szCs w:val="21"/>
        </w:rPr>
        <w:t xml:space="preserve">19.评标组织</w:t>
      </w:r>
      <w:r>
        <w:tab/>
      </w:r>
      <w:r>
        <w:fldChar w:fldCharType="begin"/>
      </w:r>
      <w:r>
        <w:instrText xml:space="preserve"> PAGEREF _Toc6150 \h </w:instrText>
      </w:r>
      <w:r>
        <w:fldChar w:fldCharType="separate"/>
      </w:r>
      <w:r>
        <w:t xml:space="preserve">15</w:t>
      </w:r>
      <w:r>
        <w:fldChar w:fldCharType="end"/>
      </w:r>
      <w:r>
        <w:rPr>
          <w:bCs/>
        </w:rPr>
        <w:fldChar w:fldCharType="end"/>
      </w:r>
      <w:r/>
    </w:p>
    <w:p>
      <w:pPr>
        <w:pStyle w:val="1472"/>
        <w:tabs>
          <w:tab w:val="right" w:pos="9638" w:leader="dot"/>
        </w:tabs>
      </w:pPr>
      <w:r>
        <w:rPr>
          <w:bCs/>
        </w:rPr>
        <w:fldChar w:fldCharType="begin"/>
      </w:r>
      <w:r>
        <w:rPr>
          <w:bCs/>
        </w:rPr>
        <w:instrText xml:space="preserve"> HYPERLINK \l _Toc18540 </w:instrText>
      </w:r>
      <w:r>
        <w:rPr>
          <w:bCs/>
        </w:rPr>
        <w:fldChar w:fldCharType="separate"/>
      </w:r>
      <w:r>
        <w:rPr>
          <w:rFonts w:hint="eastAsia" w:ascii="宋体" w:hAnsi="宋体" w:cs="宋体"/>
          <w:bCs/>
          <w:szCs w:val="21"/>
        </w:rPr>
        <w:t xml:space="preserve">20.对投标文件的资格性审查和符合性审查</w:t>
      </w:r>
      <w:r>
        <w:tab/>
      </w:r>
      <w:r>
        <w:fldChar w:fldCharType="begin"/>
      </w:r>
      <w:r>
        <w:instrText xml:space="preserve"> PAGEREF _Toc18540 \h </w:instrText>
      </w:r>
      <w:r>
        <w:fldChar w:fldCharType="separate"/>
      </w:r>
      <w:r>
        <w:t xml:space="preserve">15</w:t>
      </w:r>
      <w:r>
        <w:fldChar w:fldCharType="end"/>
      </w:r>
      <w:r>
        <w:rPr>
          <w:bCs/>
        </w:rPr>
        <w:fldChar w:fldCharType="end"/>
      </w:r>
      <w:r/>
    </w:p>
    <w:p>
      <w:pPr>
        <w:pStyle w:val="1472"/>
        <w:tabs>
          <w:tab w:val="right" w:pos="9638" w:leader="dot"/>
        </w:tabs>
      </w:pPr>
      <w:r>
        <w:rPr>
          <w:bCs/>
        </w:rPr>
        <w:fldChar w:fldCharType="begin"/>
      </w:r>
      <w:r>
        <w:rPr>
          <w:bCs/>
        </w:rPr>
        <w:instrText xml:space="preserve"> HYPERLINK \l _Toc9711 </w:instrText>
      </w:r>
      <w:r>
        <w:rPr>
          <w:bCs/>
        </w:rPr>
        <w:fldChar w:fldCharType="separate"/>
      </w:r>
      <w:r>
        <w:rPr>
          <w:rFonts w:hint="eastAsia" w:ascii="宋体" w:hAnsi="宋体" w:cs="宋体"/>
          <w:bCs/>
          <w:szCs w:val="21"/>
        </w:rPr>
        <w:t xml:space="preserve">21.投标文件的澄清</w:t>
      </w:r>
      <w:r>
        <w:tab/>
      </w:r>
      <w:r>
        <w:fldChar w:fldCharType="begin"/>
      </w:r>
      <w:r>
        <w:instrText xml:space="preserve"> PAGEREF _Toc9711 \h </w:instrText>
      </w:r>
      <w:r>
        <w:fldChar w:fldCharType="separate"/>
      </w:r>
      <w:r>
        <w:t xml:space="preserve">17</w:t>
      </w:r>
      <w:r>
        <w:fldChar w:fldCharType="end"/>
      </w:r>
      <w:r>
        <w:rPr>
          <w:bCs/>
        </w:rPr>
        <w:fldChar w:fldCharType="end"/>
      </w:r>
      <w:r/>
    </w:p>
    <w:p>
      <w:pPr>
        <w:pStyle w:val="1472"/>
        <w:tabs>
          <w:tab w:val="right" w:pos="9638" w:leader="dot"/>
        </w:tabs>
      </w:pPr>
      <w:r>
        <w:rPr>
          <w:bCs/>
        </w:rPr>
        <w:fldChar w:fldCharType="begin"/>
      </w:r>
      <w:r>
        <w:rPr>
          <w:bCs/>
        </w:rPr>
        <w:instrText xml:space="preserve"> HYPERLINK \l _Toc25845 </w:instrText>
      </w:r>
      <w:r>
        <w:rPr>
          <w:bCs/>
        </w:rPr>
        <w:fldChar w:fldCharType="separate"/>
      </w:r>
      <w:r>
        <w:rPr>
          <w:rFonts w:hint="eastAsia" w:ascii="宋体" w:hAnsi="宋体" w:cs="宋体"/>
          <w:bCs/>
          <w:szCs w:val="21"/>
        </w:rPr>
        <w:t xml:space="preserve">22.对投标文件的详细评审</w:t>
      </w:r>
      <w:r>
        <w:tab/>
      </w:r>
      <w:r>
        <w:fldChar w:fldCharType="begin"/>
      </w:r>
      <w:r>
        <w:instrText xml:space="preserve"> PAGEREF _Toc25845 \h </w:instrText>
      </w:r>
      <w:r>
        <w:fldChar w:fldCharType="separate"/>
      </w:r>
      <w:r>
        <w:t xml:space="preserve">17</w:t>
      </w:r>
      <w:r>
        <w:fldChar w:fldCharType="end"/>
      </w:r>
      <w:r>
        <w:rPr>
          <w:bCs/>
        </w:rPr>
        <w:fldChar w:fldCharType="end"/>
      </w:r>
      <w:r/>
    </w:p>
    <w:p>
      <w:pPr>
        <w:pStyle w:val="1472"/>
        <w:tabs>
          <w:tab w:val="right" w:pos="9638" w:leader="dot"/>
        </w:tabs>
      </w:pPr>
      <w:r>
        <w:rPr>
          <w:bCs/>
        </w:rPr>
        <w:fldChar w:fldCharType="begin"/>
      </w:r>
      <w:r>
        <w:rPr>
          <w:bCs/>
        </w:rPr>
        <w:instrText xml:space="preserve"> HYPERLINK \l _Toc30240 </w:instrText>
      </w:r>
      <w:r>
        <w:rPr>
          <w:bCs/>
        </w:rPr>
        <w:fldChar w:fldCharType="separate"/>
      </w:r>
      <w:r>
        <w:rPr>
          <w:rFonts w:hint="eastAsia" w:ascii="宋体" w:hAnsi="宋体" w:cs="宋体"/>
          <w:bCs/>
          <w:szCs w:val="21"/>
        </w:rPr>
        <w:t xml:space="preserve">23.评标过程的保密与公正</w:t>
      </w:r>
      <w:r>
        <w:tab/>
      </w:r>
      <w:r>
        <w:fldChar w:fldCharType="begin"/>
      </w:r>
      <w:r>
        <w:instrText xml:space="preserve"> PAGEREF _Toc30240 \h </w:instrText>
      </w:r>
      <w:r>
        <w:fldChar w:fldCharType="separate"/>
      </w:r>
      <w:r>
        <w:t xml:space="preserve">18</w:t>
      </w:r>
      <w:r>
        <w:fldChar w:fldCharType="end"/>
      </w:r>
      <w:r>
        <w:rPr>
          <w:bCs/>
        </w:rPr>
        <w:fldChar w:fldCharType="end"/>
      </w:r>
      <w:r/>
    </w:p>
    <w:p>
      <w:pPr>
        <w:pStyle w:val="1472"/>
        <w:tabs>
          <w:tab w:val="right" w:pos="9638" w:leader="dot"/>
        </w:tabs>
      </w:pPr>
      <w:r>
        <w:rPr>
          <w:bCs/>
        </w:rPr>
        <w:fldChar w:fldCharType="begin"/>
      </w:r>
      <w:r>
        <w:rPr>
          <w:bCs/>
        </w:rPr>
        <w:instrText xml:space="preserve"> HYPERLINK \l _Toc6420 </w:instrText>
      </w:r>
      <w:r>
        <w:rPr>
          <w:bCs/>
        </w:rPr>
        <w:fldChar w:fldCharType="separate"/>
      </w:r>
      <w:r>
        <w:rPr>
          <w:rFonts w:hint="eastAsia" w:ascii="宋体" w:hAnsi="宋体" w:cs="宋体"/>
          <w:bCs/>
          <w:szCs w:val="21"/>
        </w:rPr>
        <w:t xml:space="preserve">24.无效投标条款和废标条款</w:t>
      </w:r>
      <w:r>
        <w:tab/>
      </w:r>
      <w:r>
        <w:fldChar w:fldCharType="begin"/>
      </w:r>
      <w:r>
        <w:instrText xml:space="preserve"> PAGEREF _Toc6420 \h </w:instrText>
      </w:r>
      <w:r>
        <w:fldChar w:fldCharType="separate"/>
      </w:r>
      <w:r>
        <w:t xml:space="preserve">18</w:t>
      </w:r>
      <w:r>
        <w:fldChar w:fldCharType="end"/>
      </w:r>
      <w:r>
        <w:rPr>
          <w:bCs/>
        </w:rPr>
        <w:fldChar w:fldCharType="end"/>
      </w:r>
      <w:r/>
    </w:p>
    <w:p>
      <w:pPr>
        <w:pStyle w:val="1472"/>
        <w:tabs>
          <w:tab w:val="right" w:pos="9638" w:leader="dot"/>
        </w:tabs>
      </w:pPr>
      <w:r>
        <w:rPr>
          <w:bCs/>
        </w:rPr>
        <w:fldChar w:fldCharType="begin"/>
      </w:r>
      <w:r>
        <w:rPr>
          <w:bCs/>
        </w:rPr>
        <w:instrText xml:space="preserve"> HYPERLINK \l _Toc10572 </w:instrText>
      </w:r>
      <w:r>
        <w:rPr>
          <w:bCs/>
        </w:rPr>
        <w:fldChar w:fldCharType="separate"/>
      </w:r>
      <w:r>
        <w:rPr>
          <w:rFonts w:hint="eastAsia" w:ascii="宋体" w:hAnsi="宋体" w:cs="宋体"/>
          <w:bCs/>
          <w:szCs w:val="21"/>
        </w:rPr>
        <w:t xml:space="preserve">25.投标截止时间结束参加投标的供应商不足三家的处理</w:t>
      </w:r>
      <w:r>
        <w:tab/>
      </w:r>
      <w:r>
        <w:fldChar w:fldCharType="begin"/>
      </w:r>
      <w:r>
        <w:instrText xml:space="preserve"> PAGEREF _Toc10572 \h </w:instrText>
      </w:r>
      <w:r>
        <w:fldChar w:fldCharType="separate"/>
      </w:r>
      <w:r>
        <w:t xml:space="preserve">19</w:t>
      </w:r>
      <w:r>
        <w:fldChar w:fldCharType="end"/>
      </w:r>
      <w:r>
        <w:rPr>
          <w:bCs/>
        </w:rPr>
        <w:fldChar w:fldCharType="end"/>
      </w:r>
      <w:r/>
    </w:p>
    <w:p>
      <w:pPr>
        <w:pStyle w:val="1494"/>
        <w:tabs>
          <w:tab w:val="right" w:pos="9638" w:leader="dot"/>
        </w:tabs>
      </w:pPr>
      <w:r>
        <w:rPr>
          <w:bCs/>
        </w:rPr>
        <w:fldChar w:fldCharType="begin"/>
      </w:r>
      <w:r>
        <w:rPr>
          <w:bCs/>
        </w:rPr>
        <w:instrText xml:space="preserve"> HYPERLINK \l _Toc22554 </w:instrText>
      </w:r>
      <w:r>
        <w:rPr>
          <w:bCs/>
        </w:rPr>
        <w:fldChar w:fldCharType="separate"/>
      </w:r>
      <w:r>
        <w:rPr>
          <w:rFonts w:hint="eastAsia" w:ascii="宋体" w:hAnsi="宋体" w:cs="宋体"/>
          <w:bCs/>
          <w:szCs w:val="21"/>
        </w:rPr>
        <w:t xml:space="preserve">六、授标</w:t>
      </w:r>
      <w:r>
        <w:tab/>
      </w:r>
      <w:r>
        <w:fldChar w:fldCharType="begin"/>
      </w:r>
      <w:r>
        <w:instrText xml:space="preserve"> PAGEREF _Toc22554 \h </w:instrText>
      </w:r>
      <w:r>
        <w:fldChar w:fldCharType="separate"/>
      </w:r>
      <w:r>
        <w:t xml:space="preserve">19</w:t>
      </w:r>
      <w:r>
        <w:fldChar w:fldCharType="end"/>
      </w:r>
      <w:r>
        <w:rPr>
          <w:bCs/>
        </w:rPr>
        <w:fldChar w:fldCharType="end"/>
      </w:r>
      <w:r/>
    </w:p>
    <w:p>
      <w:pPr>
        <w:pStyle w:val="1472"/>
        <w:tabs>
          <w:tab w:val="right" w:pos="9638" w:leader="dot"/>
        </w:tabs>
      </w:pPr>
      <w:r>
        <w:rPr>
          <w:bCs/>
        </w:rPr>
        <w:fldChar w:fldCharType="begin"/>
      </w:r>
      <w:r>
        <w:rPr>
          <w:bCs/>
        </w:rPr>
        <w:instrText xml:space="preserve"> HYPERLINK \l _Toc3388 </w:instrText>
      </w:r>
      <w:r>
        <w:rPr>
          <w:bCs/>
        </w:rPr>
        <w:fldChar w:fldCharType="separate"/>
      </w:r>
      <w:r>
        <w:rPr>
          <w:rFonts w:hint="eastAsia" w:ascii="宋体" w:hAnsi="宋体" w:cs="宋体"/>
          <w:bCs/>
          <w:szCs w:val="21"/>
        </w:rPr>
        <w:t xml:space="preserve">26.确定中标供应商</w:t>
      </w:r>
      <w:r>
        <w:tab/>
      </w:r>
      <w:r>
        <w:fldChar w:fldCharType="begin"/>
      </w:r>
      <w:r>
        <w:instrText xml:space="preserve"> PAGEREF _Toc3388 \h </w:instrText>
      </w:r>
      <w:r>
        <w:fldChar w:fldCharType="separate"/>
      </w:r>
      <w:r>
        <w:t xml:space="preserve">19</w:t>
      </w:r>
      <w:r>
        <w:fldChar w:fldCharType="end"/>
      </w:r>
      <w:r>
        <w:rPr>
          <w:bCs/>
        </w:rPr>
        <w:fldChar w:fldCharType="end"/>
      </w:r>
      <w:r/>
    </w:p>
    <w:p>
      <w:pPr>
        <w:pStyle w:val="1472"/>
        <w:tabs>
          <w:tab w:val="right" w:pos="9638" w:leader="dot"/>
        </w:tabs>
      </w:pPr>
      <w:r>
        <w:rPr>
          <w:bCs/>
        </w:rPr>
        <w:fldChar w:fldCharType="begin"/>
      </w:r>
      <w:r>
        <w:rPr>
          <w:bCs/>
        </w:rPr>
        <w:instrText xml:space="preserve"> HYPERLINK \l _Toc18791 </w:instrText>
      </w:r>
      <w:r>
        <w:rPr>
          <w:bCs/>
        </w:rPr>
        <w:fldChar w:fldCharType="separate"/>
      </w:r>
      <w:r>
        <w:rPr>
          <w:rFonts w:hint="eastAsia" w:ascii="宋体" w:hAnsi="宋体" w:cs="宋体"/>
          <w:bCs/>
          <w:szCs w:val="21"/>
        </w:rPr>
        <w:t xml:space="preserve">27.中标的通知</w:t>
      </w:r>
      <w:r>
        <w:tab/>
      </w:r>
      <w:r>
        <w:fldChar w:fldCharType="begin"/>
      </w:r>
      <w:r>
        <w:instrText xml:space="preserve"> PAGEREF _Toc18791 \h </w:instrText>
      </w:r>
      <w:r>
        <w:fldChar w:fldCharType="separate"/>
      </w:r>
      <w:r>
        <w:t xml:space="preserve">20</w:t>
      </w:r>
      <w:r>
        <w:fldChar w:fldCharType="end"/>
      </w:r>
      <w:r>
        <w:rPr>
          <w:bCs/>
        </w:rPr>
        <w:fldChar w:fldCharType="end"/>
      </w:r>
      <w:r/>
    </w:p>
    <w:p>
      <w:pPr>
        <w:pStyle w:val="1472"/>
        <w:tabs>
          <w:tab w:val="right" w:pos="9638" w:leader="dot"/>
        </w:tabs>
      </w:pPr>
      <w:r>
        <w:rPr>
          <w:bCs/>
        </w:rPr>
        <w:fldChar w:fldCharType="begin"/>
      </w:r>
      <w:r>
        <w:rPr>
          <w:bCs/>
        </w:rPr>
        <w:instrText xml:space="preserve"> HYPERLINK \l _Toc24995 </w:instrText>
      </w:r>
      <w:r>
        <w:rPr>
          <w:bCs/>
        </w:rPr>
        <w:fldChar w:fldCharType="separate"/>
      </w:r>
      <w:r>
        <w:rPr>
          <w:rFonts w:hint="eastAsia" w:ascii="宋体" w:hAnsi="宋体" w:cs="宋体"/>
          <w:bCs/>
          <w:szCs w:val="21"/>
        </w:rPr>
        <w:t xml:space="preserve">28.签订合同</w:t>
      </w:r>
      <w:r>
        <w:tab/>
      </w:r>
      <w:r>
        <w:fldChar w:fldCharType="begin"/>
      </w:r>
      <w:r>
        <w:instrText xml:space="preserve"> PAGEREF _Toc24995 \h </w:instrText>
      </w:r>
      <w:r>
        <w:fldChar w:fldCharType="separate"/>
      </w:r>
      <w:r>
        <w:t xml:space="preserve">20</w:t>
      </w:r>
      <w:r>
        <w:fldChar w:fldCharType="end"/>
      </w:r>
      <w:r>
        <w:rPr>
          <w:bCs/>
        </w:rPr>
        <w:fldChar w:fldCharType="end"/>
      </w:r>
      <w:r/>
    </w:p>
    <w:p>
      <w:pPr>
        <w:pStyle w:val="1472"/>
        <w:tabs>
          <w:tab w:val="right" w:pos="9638" w:leader="dot"/>
        </w:tabs>
      </w:pPr>
      <w:r>
        <w:rPr>
          <w:bCs/>
        </w:rPr>
        <w:fldChar w:fldCharType="begin"/>
      </w:r>
      <w:r>
        <w:rPr>
          <w:bCs/>
        </w:rPr>
        <w:instrText xml:space="preserve"> HYPERLINK \l _Toc21608 </w:instrText>
      </w:r>
      <w:r>
        <w:rPr>
          <w:bCs/>
        </w:rPr>
        <w:fldChar w:fldCharType="separate"/>
      </w:r>
      <w:r>
        <w:rPr>
          <w:rFonts w:hint="eastAsia" w:ascii="宋体" w:hAnsi="宋体" w:cs="宋体"/>
          <w:bCs/>
          <w:szCs w:val="21"/>
        </w:rPr>
        <w:t xml:space="preserve">29.招标代理服务费</w:t>
      </w:r>
      <w:r>
        <w:tab/>
      </w:r>
      <w:r>
        <w:fldChar w:fldCharType="begin"/>
      </w:r>
      <w:r>
        <w:instrText xml:space="preserve"> PAGEREF _Toc21608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_Toc9371 </w:instrText>
      </w:r>
      <w:r>
        <w:rPr>
          <w:bCs/>
        </w:rPr>
        <w:fldChar w:fldCharType="separate"/>
      </w:r>
      <w:r>
        <w:rPr>
          <w:rFonts w:hint="eastAsia" w:ascii="宋体" w:hAnsi="宋体" w:cs="宋体"/>
          <w:bCs/>
          <w:szCs w:val="21"/>
        </w:rPr>
        <w:t xml:space="preserve">七、质疑</w:t>
      </w:r>
      <w:r>
        <w:tab/>
      </w:r>
      <w:r>
        <w:fldChar w:fldCharType="begin"/>
      </w:r>
      <w:r>
        <w:instrText xml:space="preserve"> PAGEREF _Toc9371 \h </w:instrText>
      </w:r>
      <w:r>
        <w:fldChar w:fldCharType="separate"/>
      </w:r>
      <w:r>
        <w:t xml:space="preserve">20</w:t>
      </w:r>
      <w:r>
        <w:fldChar w:fldCharType="end"/>
      </w:r>
      <w:r>
        <w:rPr>
          <w:bCs/>
        </w:rPr>
        <w:fldChar w:fldCharType="end"/>
      </w:r>
      <w:r/>
    </w:p>
    <w:p>
      <w:pPr>
        <w:pStyle w:val="1472"/>
        <w:tabs>
          <w:tab w:val="right" w:pos="9638" w:leader="dot"/>
        </w:tabs>
      </w:pPr>
      <w:r>
        <w:rPr>
          <w:bCs/>
        </w:rPr>
        <w:fldChar w:fldCharType="begin"/>
      </w:r>
      <w:r>
        <w:rPr>
          <w:bCs/>
        </w:rPr>
        <w:instrText xml:space="preserve"> HYPERLINK \l _Toc27054 </w:instrText>
      </w:r>
      <w:r>
        <w:rPr>
          <w:bCs/>
        </w:rPr>
        <w:fldChar w:fldCharType="separate"/>
      </w:r>
      <w:r>
        <w:rPr>
          <w:rFonts w:hint="eastAsia" w:ascii="宋体" w:hAnsi="宋体" w:cs="宋体"/>
          <w:bCs/>
          <w:szCs w:val="21"/>
        </w:rPr>
        <w:t xml:space="preserve">30、质疑</w:t>
      </w:r>
      <w:r>
        <w:tab/>
      </w:r>
      <w:r>
        <w:fldChar w:fldCharType="begin"/>
      </w:r>
      <w:r>
        <w:instrText xml:space="preserve"> PAGEREF _Toc27054 \h </w:instrText>
      </w:r>
      <w:r>
        <w:fldChar w:fldCharType="separate"/>
      </w:r>
      <w:r>
        <w:t xml:space="preserve">20</w:t>
      </w:r>
      <w:r>
        <w:fldChar w:fldCharType="end"/>
      </w:r>
      <w:r>
        <w:rPr>
          <w:bCs/>
        </w:rPr>
        <w:fldChar w:fldCharType="end"/>
      </w:r>
      <w:r/>
    </w:p>
    <w:p>
      <w:pPr>
        <w:pStyle w:val="1487"/>
        <w:tabs>
          <w:tab w:val="right" w:pos="9638" w:leader="dot"/>
        </w:tabs>
      </w:pPr>
      <w:r>
        <w:rPr>
          <w:bCs/>
        </w:rPr>
        <w:fldChar w:fldCharType="begin"/>
      </w:r>
      <w:r>
        <w:rPr>
          <w:bCs/>
        </w:rPr>
        <w:instrText xml:space="preserve"> HYPERLINK \l _Toc11239 </w:instrText>
      </w:r>
      <w:r>
        <w:rPr>
          <w:bCs/>
        </w:rPr>
        <w:fldChar w:fldCharType="separate"/>
      </w:r>
      <w:r>
        <w:rPr>
          <w:szCs w:val="28"/>
        </w:rPr>
        <w:t xml:space="preserve">第三章 评标标准</w:t>
      </w:r>
      <w:r>
        <w:tab/>
      </w:r>
      <w:r>
        <w:fldChar w:fldCharType="begin"/>
      </w:r>
      <w:r>
        <w:instrText xml:space="preserve"> PAGEREF _Toc11239 \h </w:instrText>
      </w:r>
      <w:r>
        <w:fldChar w:fldCharType="separate"/>
      </w:r>
      <w:r>
        <w:t xml:space="preserve">22</w:t>
      </w:r>
      <w:r>
        <w:fldChar w:fldCharType="end"/>
      </w:r>
      <w:r>
        <w:rPr>
          <w:bCs/>
        </w:rPr>
        <w:fldChar w:fldCharType="end"/>
      </w:r>
      <w:r/>
    </w:p>
    <w:p>
      <w:pPr>
        <w:pStyle w:val="1487"/>
        <w:tabs>
          <w:tab w:val="right" w:pos="9638" w:leader="dot"/>
        </w:tabs>
      </w:pPr>
      <w:r>
        <w:rPr>
          <w:bCs/>
        </w:rPr>
        <w:fldChar w:fldCharType="begin"/>
      </w:r>
      <w:r>
        <w:rPr>
          <w:bCs/>
        </w:rPr>
        <w:instrText xml:space="preserve"> HYPERLINK \l _Toc22931 </w:instrText>
      </w:r>
      <w:r>
        <w:rPr>
          <w:bCs/>
        </w:rPr>
        <w:fldChar w:fldCharType="separate"/>
      </w:r>
      <w:r>
        <w:rPr>
          <w:szCs w:val="28"/>
        </w:rPr>
        <w:t xml:space="preserve">第四章 招标技术规格及要求</w:t>
      </w:r>
      <w:r>
        <w:tab/>
      </w:r>
      <w:r>
        <w:fldChar w:fldCharType="begin"/>
      </w:r>
      <w:r>
        <w:instrText xml:space="preserve"> PAGEREF _Toc22931 \h </w:instrText>
      </w:r>
      <w:r>
        <w:fldChar w:fldCharType="separate"/>
      </w:r>
      <w:r>
        <w:t xml:space="preserve">26</w:t>
      </w:r>
      <w:r>
        <w:fldChar w:fldCharType="end"/>
      </w:r>
      <w:r>
        <w:rPr>
          <w:bCs/>
        </w:rPr>
        <w:fldChar w:fldCharType="end"/>
      </w:r>
      <w:r/>
    </w:p>
    <w:p>
      <w:pPr>
        <w:pStyle w:val="1494"/>
        <w:tabs>
          <w:tab w:val="right" w:pos="9638" w:leader="dot"/>
        </w:tabs>
      </w:pPr>
      <w:r>
        <w:rPr>
          <w:bCs/>
        </w:rPr>
        <w:fldChar w:fldCharType="begin"/>
      </w:r>
      <w:r>
        <w:rPr>
          <w:bCs/>
        </w:rPr>
        <w:instrText xml:space="preserve"> HYPERLINK \l _Toc14708 </w:instrText>
      </w:r>
      <w:r>
        <w:rPr>
          <w:bCs/>
        </w:rPr>
        <w:fldChar w:fldCharType="separate"/>
      </w:r>
      <w:r>
        <w:rPr>
          <w:rFonts w:hint="eastAsia" w:ascii="宋体" w:hAnsi="宋体" w:cs="宋体"/>
          <w:bCs/>
          <w:szCs w:val="21"/>
        </w:rPr>
        <w:t xml:space="preserve">设备1：电动汽车充电桩综合检测系统</w:t>
      </w:r>
      <w:r>
        <w:tab/>
      </w:r>
      <w:r>
        <w:fldChar w:fldCharType="begin"/>
      </w:r>
      <w:r>
        <w:instrText xml:space="preserve"> PAGEREF _Toc14708 \h </w:instrText>
      </w:r>
      <w:r>
        <w:fldChar w:fldCharType="separate"/>
      </w:r>
      <w:r>
        <w:t xml:space="preserve">26</w:t>
      </w:r>
      <w:r>
        <w:fldChar w:fldCharType="end"/>
      </w:r>
      <w:r>
        <w:rPr>
          <w:bCs/>
        </w:rPr>
        <w:fldChar w:fldCharType="end"/>
      </w:r>
      <w:r/>
    </w:p>
    <w:p>
      <w:pPr>
        <w:pStyle w:val="1494"/>
        <w:tabs>
          <w:tab w:val="right" w:pos="9638" w:leader="dot"/>
        </w:tabs>
      </w:pPr>
      <w:r>
        <w:rPr>
          <w:bCs/>
        </w:rPr>
        <w:fldChar w:fldCharType="begin"/>
      </w:r>
      <w:r>
        <w:rPr>
          <w:bCs/>
        </w:rPr>
        <w:instrText xml:space="preserve"> HYPERLINK \l _Toc19794 </w:instrText>
      </w:r>
      <w:r>
        <w:rPr>
          <w:bCs/>
        </w:rPr>
        <w:fldChar w:fldCharType="separate"/>
      </w:r>
      <w:r>
        <w:rPr>
          <w:rFonts w:hint="eastAsia" w:ascii="宋体" w:hAnsi="宋体" w:cs="宋体"/>
          <w:bCs/>
          <w:szCs w:val="21"/>
        </w:rPr>
        <w:t xml:space="preserve">设备2：冷热冲击箱试验箱</w:t>
      </w:r>
      <w:r>
        <w:tab/>
      </w:r>
      <w:r>
        <w:fldChar w:fldCharType="begin"/>
      </w:r>
      <w:r>
        <w:instrText xml:space="preserve"> PAGEREF _Toc19794 \h </w:instrText>
      </w:r>
      <w:r>
        <w:fldChar w:fldCharType="separate"/>
      </w:r>
      <w:r>
        <w:t xml:space="preserve">35</w:t>
      </w:r>
      <w:r>
        <w:fldChar w:fldCharType="end"/>
      </w:r>
      <w:r>
        <w:rPr>
          <w:bCs/>
        </w:rPr>
        <w:fldChar w:fldCharType="end"/>
      </w:r>
      <w:r>
        <w:rPr>
          <w:bCs/>
        </w:rPr>
      </w:r>
      <w:r/>
    </w:p>
    <w:p>
      <w:pPr>
        <w:pStyle w:val="1487"/>
        <w:tabs>
          <w:tab w:val="right" w:pos="9638" w:leader="dot"/>
        </w:tabs>
      </w:pPr>
      <w:r>
        <w:rPr>
          <w:bCs/>
        </w:rPr>
        <w:fldChar w:fldCharType="begin"/>
      </w:r>
      <w:r>
        <w:rPr>
          <w:bCs/>
        </w:rPr>
        <w:instrText xml:space="preserve"> HYPERLINK \l _Toc23921 </w:instrText>
      </w:r>
      <w:r>
        <w:rPr>
          <w:bCs/>
        </w:rPr>
        <w:fldChar w:fldCharType="separate"/>
      </w:r>
      <w:r>
        <w:rPr>
          <w:szCs w:val="28"/>
        </w:rPr>
        <w:t xml:space="preserve">第五章 拟签订的合同文本</w:t>
      </w:r>
      <w:r>
        <w:tab/>
      </w:r>
      <w:r>
        <w:fldChar w:fldCharType="begin"/>
      </w:r>
      <w:r>
        <w:instrText xml:space="preserve"> PAGEREF _Toc23921 \h </w:instrText>
      </w:r>
      <w:r>
        <w:fldChar w:fldCharType="separate"/>
      </w:r>
      <w:r>
        <w:t xml:space="preserve">38</w:t>
      </w:r>
      <w:r>
        <w:fldChar w:fldCharType="end"/>
      </w:r>
      <w:r>
        <w:rPr>
          <w:bCs/>
        </w:rPr>
        <w:fldChar w:fldCharType="end"/>
      </w:r>
      <w:r/>
    </w:p>
    <w:p>
      <w:pPr>
        <w:pStyle w:val="1487"/>
        <w:tabs>
          <w:tab w:val="right" w:pos="9638" w:leader="dot"/>
        </w:tabs>
      </w:pPr>
      <w:r>
        <w:rPr>
          <w:bCs/>
        </w:rPr>
        <w:fldChar w:fldCharType="begin"/>
      </w:r>
      <w:r>
        <w:rPr>
          <w:bCs/>
        </w:rPr>
        <w:instrText xml:space="preserve"> HYPERLINK \l _Toc16280 </w:instrText>
      </w:r>
      <w:r>
        <w:rPr>
          <w:bCs/>
        </w:rPr>
        <w:fldChar w:fldCharType="separate"/>
      </w:r>
      <w:r>
        <w:rPr>
          <w:szCs w:val="28"/>
        </w:rPr>
        <w:t xml:space="preserve">第六章 投标文件格式及附件</w:t>
      </w:r>
      <w:r>
        <w:tab/>
      </w:r>
      <w:r>
        <w:fldChar w:fldCharType="begin"/>
      </w:r>
      <w:r>
        <w:instrText xml:space="preserve"> PAGEREF _Toc16280 \h </w:instrText>
      </w:r>
      <w:r>
        <w:fldChar w:fldCharType="separate"/>
      </w:r>
      <w:r>
        <w:t xml:space="preserve">44</w:t>
      </w:r>
      <w:r>
        <w:fldChar w:fldCharType="end"/>
      </w:r>
      <w:r>
        <w:rPr>
          <w:bCs/>
        </w:rPr>
        <w:fldChar w:fldCharType="end"/>
      </w:r>
      <w:r/>
    </w:p>
    <w:p>
      <w:pPr>
        <w:pStyle w:val="1494"/>
        <w:tabs>
          <w:tab w:val="right" w:pos="9638" w:leader="dot"/>
        </w:tabs>
      </w:pPr>
      <w:r>
        <w:rPr>
          <w:bCs/>
        </w:rPr>
        <w:fldChar w:fldCharType="begin"/>
      </w:r>
      <w:r>
        <w:rPr>
          <w:bCs/>
        </w:rPr>
        <w:instrText xml:space="preserve"> HYPERLINK \l _Toc22769 </w:instrText>
      </w:r>
      <w:r>
        <w:rPr>
          <w:bCs/>
        </w:rPr>
        <w:fldChar w:fldCharType="separate"/>
      </w:r>
      <w:r>
        <w:rPr>
          <w:szCs w:val="28"/>
        </w:rPr>
        <w:t xml:space="preserve">资格审查索引表</w:t>
      </w:r>
      <w:r>
        <w:tab/>
      </w:r>
      <w:r>
        <w:fldChar w:fldCharType="begin"/>
      </w:r>
      <w:r>
        <w:instrText xml:space="preserve"> PAGEREF _Toc22769 \h </w:instrText>
      </w:r>
      <w:r>
        <w:fldChar w:fldCharType="separate"/>
      </w:r>
      <w:r>
        <w:t xml:space="preserve">46</w:t>
      </w:r>
      <w:r>
        <w:fldChar w:fldCharType="end"/>
      </w:r>
      <w:r>
        <w:rPr>
          <w:bCs/>
        </w:rPr>
        <w:fldChar w:fldCharType="end"/>
      </w:r>
      <w:r/>
    </w:p>
    <w:p>
      <w:pPr>
        <w:pStyle w:val="1494"/>
        <w:tabs>
          <w:tab w:val="right" w:pos="9638" w:leader="dot"/>
        </w:tabs>
      </w:pPr>
      <w:r>
        <w:rPr>
          <w:bCs/>
        </w:rPr>
        <w:fldChar w:fldCharType="begin"/>
      </w:r>
      <w:r>
        <w:rPr>
          <w:bCs/>
        </w:rPr>
        <w:instrText xml:space="preserve"> HYPERLINK \l _Toc30185 </w:instrText>
      </w:r>
      <w:r>
        <w:rPr>
          <w:bCs/>
        </w:rPr>
        <w:fldChar w:fldCharType="separate"/>
      </w:r>
      <w:r>
        <w:rPr>
          <w:szCs w:val="28"/>
        </w:rPr>
        <w:t xml:space="preserve">评审索引表</w:t>
      </w:r>
      <w:r>
        <w:tab/>
      </w:r>
      <w:r>
        <w:fldChar w:fldCharType="begin"/>
      </w:r>
      <w:r>
        <w:instrText xml:space="preserve"> PAGEREF _Toc30185 \h </w:instrText>
      </w:r>
      <w:r>
        <w:fldChar w:fldCharType="separate"/>
      </w:r>
      <w:r>
        <w:t xml:space="preserve">47</w:t>
      </w:r>
      <w:r>
        <w:fldChar w:fldCharType="end"/>
      </w:r>
      <w:r>
        <w:rPr>
          <w:bCs/>
        </w:rPr>
        <w:fldChar w:fldCharType="end"/>
      </w:r>
      <w:r/>
    </w:p>
    <w:p>
      <w:pPr>
        <w:pStyle w:val="1494"/>
        <w:tabs>
          <w:tab w:val="right" w:pos="9638" w:leader="dot"/>
        </w:tabs>
      </w:pPr>
      <w:r>
        <w:rPr>
          <w:bCs/>
        </w:rPr>
        <w:fldChar w:fldCharType="begin"/>
      </w:r>
      <w:r>
        <w:rPr>
          <w:bCs/>
        </w:rPr>
        <w:instrText xml:space="preserve"> HYPERLINK \l _Toc10923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_Toc10923 \h </w:instrText>
      </w:r>
      <w:r>
        <w:fldChar w:fldCharType="separate"/>
      </w:r>
      <w:r>
        <w:t xml:space="preserve">48</w:t>
      </w:r>
      <w:r>
        <w:fldChar w:fldCharType="end"/>
      </w:r>
      <w:r>
        <w:rPr>
          <w:bCs/>
        </w:rPr>
        <w:fldChar w:fldCharType="end"/>
      </w:r>
      <w:r/>
    </w:p>
    <w:p>
      <w:pPr>
        <w:pStyle w:val="1494"/>
        <w:tabs>
          <w:tab w:val="right" w:pos="9638" w:leader="dot"/>
        </w:tabs>
      </w:pPr>
      <w:r>
        <w:rPr>
          <w:bCs/>
        </w:rPr>
        <w:fldChar w:fldCharType="begin"/>
      </w:r>
      <w:r>
        <w:rPr>
          <w:bCs/>
        </w:rPr>
        <w:instrText xml:space="preserve"> HYPERLINK \l _Toc21846 </w:instrText>
      </w:r>
      <w:r>
        <w:rPr>
          <w:bCs/>
        </w:rPr>
        <w:fldChar w:fldCharType="separate"/>
      </w:r>
      <w:r>
        <w:rPr>
          <w:bCs/>
          <w:szCs w:val="22"/>
        </w:rPr>
        <w:t xml:space="preserve">附件二 开标一览表</w:t>
      </w:r>
      <w:r>
        <w:tab/>
      </w:r>
      <w:r>
        <w:fldChar w:fldCharType="begin"/>
      </w:r>
      <w:r>
        <w:instrText xml:space="preserve"> PAGEREF _Toc21846 \h </w:instrText>
      </w:r>
      <w:r>
        <w:fldChar w:fldCharType="separate"/>
      </w:r>
      <w:r>
        <w:t xml:space="preserve">49</w:t>
      </w:r>
      <w:r>
        <w:fldChar w:fldCharType="end"/>
      </w:r>
      <w:r>
        <w:rPr>
          <w:bCs/>
        </w:rPr>
        <w:fldChar w:fldCharType="end"/>
      </w:r>
      <w:r/>
    </w:p>
    <w:p>
      <w:pPr>
        <w:pStyle w:val="1494"/>
        <w:tabs>
          <w:tab w:val="right" w:pos="9638" w:leader="dot"/>
        </w:tabs>
      </w:pPr>
      <w:r>
        <w:rPr>
          <w:bCs/>
        </w:rPr>
        <w:fldChar w:fldCharType="begin"/>
      </w:r>
      <w:r>
        <w:rPr>
          <w:bCs/>
        </w:rPr>
        <w:instrText xml:space="preserve"> HYPERLINK \l _Toc30385 </w:instrText>
      </w:r>
      <w:r>
        <w:rPr>
          <w:bCs/>
        </w:rPr>
        <w:fldChar w:fldCharType="separate"/>
      </w:r>
      <w:r>
        <w:rPr>
          <w:bCs/>
          <w:szCs w:val="22"/>
        </w:rPr>
        <w:t xml:space="preserve">附件三 分项报价表</w:t>
      </w:r>
      <w:r>
        <w:tab/>
      </w:r>
      <w:r>
        <w:fldChar w:fldCharType="begin"/>
      </w:r>
      <w:r>
        <w:instrText xml:space="preserve"> PAGEREF _Toc30385 \h </w:instrText>
      </w:r>
      <w:r>
        <w:fldChar w:fldCharType="separate"/>
      </w:r>
      <w:r>
        <w:t xml:space="preserve">50</w:t>
      </w:r>
      <w:r>
        <w:fldChar w:fldCharType="end"/>
      </w:r>
      <w:r>
        <w:rPr>
          <w:bCs/>
        </w:rPr>
        <w:fldChar w:fldCharType="end"/>
      </w:r>
      <w:r/>
    </w:p>
    <w:p>
      <w:pPr>
        <w:pStyle w:val="1487"/>
        <w:tabs>
          <w:tab w:val="right" w:pos="9638" w:leader="dot"/>
        </w:tabs>
      </w:pPr>
      <w:r>
        <w:rPr>
          <w:bCs/>
        </w:rPr>
        <w:fldChar w:fldCharType="begin"/>
      </w:r>
      <w:r>
        <w:rPr>
          <w:bCs/>
        </w:rPr>
        <w:instrText xml:space="preserve"> HYPERLINK \l _Toc31228 </w:instrText>
      </w:r>
      <w:r>
        <w:rPr>
          <w:bCs/>
        </w:rPr>
        <w:fldChar w:fldCharType="separate"/>
      </w:r>
      <w:r>
        <w:rPr>
          <w:szCs w:val="22"/>
        </w:rPr>
        <w:t xml:space="preserve">分项报价表</w:t>
      </w:r>
      <w:r>
        <w:tab/>
      </w:r>
      <w:r>
        <w:fldChar w:fldCharType="begin"/>
      </w:r>
      <w:r>
        <w:instrText xml:space="preserve"> PAGEREF _Toc31228 \h </w:instrText>
      </w:r>
      <w:r>
        <w:fldChar w:fldCharType="separate"/>
      </w:r>
      <w:r>
        <w:t xml:space="preserve">50</w:t>
      </w:r>
      <w:r>
        <w:fldChar w:fldCharType="end"/>
      </w:r>
      <w:r>
        <w:rPr>
          <w:bCs/>
        </w:rPr>
        <w:fldChar w:fldCharType="end"/>
      </w:r>
      <w:r/>
    </w:p>
    <w:p>
      <w:pPr>
        <w:pStyle w:val="1494"/>
        <w:tabs>
          <w:tab w:val="right" w:pos="9638" w:leader="dot"/>
        </w:tabs>
      </w:pPr>
      <w:r>
        <w:rPr>
          <w:bCs/>
        </w:rPr>
        <w:fldChar w:fldCharType="begin"/>
      </w:r>
      <w:r>
        <w:rPr>
          <w:bCs/>
        </w:rPr>
        <w:instrText xml:space="preserve"> HYPERLINK \l _Toc6072 </w:instrText>
      </w:r>
      <w:r>
        <w:rPr>
          <w:bCs/>
        </w:rPr>
        <w:fldChar w:fldCharType="separate"/>
      </w:r>
      <w:r>
        <w:rPr>
          <w:bCs/>
          <w:szCs w:val="22"/>
        </w:rPr>
        <w:t xml:space="preserve">附件四 商务条款偏离表</w:t>
      </w:r>
      <w:r>
        <w:tab/>
      </w:r>
      <w:r>
        <w:fldChar w:fldCharType="begin"/>
      </w:r>
      <w:r>
        <w:instrText xml:space="preserve"> PAGEREF _Toc6072 \h </w:instrText>
      </w:r>
      <w:r>
        <w:fldChar w:fldCharType="separate"/>
      </w:r>
      <w:r>
        <w:t xml:space="preserve">51</w:t>
      </w:r>
      <w:r>
        <w:fldChar w:fldCharType="end"/>
      </w:r>
      <w:r>
        <w:rPr>
          <w:bCs/>
        </w:rPr>
        <w:fldChar w:fldCharType="end"/>
      </w:r>
      <w:r/>
    </w:p>
    <w:p>
      <w:pPr>
        <w:pStyle w:val="1494"/>
        <w:tabs>
          <w:tab w:val="right" w:pos="9638" w:leader="dot"/>
        </w:tabs>
      </w:pPr>
      <w:r>
        <w:rPr>
          <w:bCs/>
        </w:rPr>
        <w:fldChar w:fldCharType="begin"/>
      </w:r>
      <w:r>
        <w:rPr>
          <w:bCs/>
        </w:rPr>
        <w:instrText xml:space="preserve"> HYPERLINK \l _Toc28316 </w:instrText>
      </w:r>
      <w:r>
        <w:rPr>
          <w:bCs/>
        </w:rPr>
        <w:fldChar w:fldCharType="separate"/>
      </w:r>
      <w:r>
        <w:rPr>
          <w:bCs/>
          <w:szCs w:val="22"/>
        </w:rPr>
        <w:t xml:space="preserve">附件五 技术条款偏离表</w:t>
      </w:r>
      <w:r>
        <w:tab/>
      </w:r>
      <w:r>
        <w:fldChar w:fldCharType="begin"/>
      </w:r>
      <w:r>
        <w:instrText xml:space="preserve"> PAGEREF _Toc28316 \h </w:instrText>
      </w:r>
      <w:r>
        <w:fldChar w:fldCharType="separate"/>
      </w:r>
      <w:r>
        <w:t xml:space="preserve">52</w:t>
      </w:r>
      <w:r>
        <w:fldChar w:fldCharType="end"/>
      </w:r>
      <w:r>
        <w:rPr>
          <w:bCs/>
        </w:rPr>
        <w:fldChar w:fldCharType="end"/>
      </w:r>
      <w:r/>
    </w:p>
    <w:p>
      <w:pPr>
        <w:pStyle w:val="1494"/>
        <w:tabs>
          <w:tab w:val="right" w:pos="9638" w:leader="dot"/>
        </w:tabs>
      </w:pPr>
      <w:r>
        <w:rPr>
          <w:bCs/>
        </w:rPr>
        <w:fldChar w:fldCharType="begin"/>
      </w:r>
      <w:r>
        <w:rPr>
          <w:bCs/>
        </w:rPr>
        <w:instrText xml:space="preserve"> HYPERLINK \l _Toc9428 </w:instrText>
      </w:r>
      <w:r>
        <w:rPr>
          <w:bCs/>
        </w:rPr>
        <w:fldChar w:fldCharType="separate"/>
      </w:r>
      <w:r>
        <w:rPr>
          <w:bCs/>
          <w:szCs w:val="22"/>
        </w:rPr>
        <w:t xml:space="preserve">附件六 政府采购政策</w:t>
      </w:r>
      <w:r>
        <w:tab/>
      </w:r>
      <w:r>
        <w:fldChar w:fldCharType="begin"/>
      </w:r>
      <w:r>
        <w:instrText xml:space="preserve"> PAGEREF _Toc9428 \h </w:instrText>
      </w:r>
      <w:r>
        <w:fldChar w:fldCharType="separate"/>
      </w:r>
      <w:r>
        <w:t xml:space="preserve">53</w:t>
      </w:r>
      <w:r>
        <w:fldChar w:fldCharType="end"/>
      </w:r>
      <w:r>
        <w:rPr>
          <w:bCs/>
        </w:rPr>
        <w:fldChar w:fldCharType="end"/>
      </w:r>
      <w:r/>
    </w:p>
    <w:p>
      <w:pPr>
        <w:pStyle w:val="1472"/>
        <w:tabs>
          <w:tab w:val="right" w:pos="9638" w:leader="dot"/>
        </w:tabs>
      </w:pPr>
      <w:r>
        <w:rPr>
          <w:bCs/>
        </w:rPr>
        <w:fldChar w:fldCharType="begin"/>
      </w:r>
      <w:r>
        <w:rPr>
          <w:bCs/>
        </w:rPr>
        <w:instrText xml:space="preserve"> HYPERLINK \l _Toc12270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_Toc12270 \h </w:instrText>
      </w:r>
      <w:r>
        <w:fldChar w:fldCharType="separate"/>
      </w:r>
      <w:r>
        <w:t xml:space="preserve">53</w:t>
      </w:r>
      <w:r>
        <w:fldChar w:fldCharType="end"/>
      </w:r>
      <w:r>
        <w:rPr>
          <w:bCs/>
        </w:rPr>
        <w:fldChar w:fldCharType="end"/>
      </w:r>
      <w:r/>
    </w:p>
    <w:p>
      <w:pPr>
        <w:pStyle w:val="1472"/>
        <w:tabs>
          <w:tab w:val="right" w:pos="9638" w:leader="dot"/>
        </w:tabs>
      </w:pPr>
      <w:r>
        <w:rPr>
          <w:bCs/>
        </w:rPr>
        <w:fldChar w:fldCharType="begin"/>
      </w:r>
      <w:r>
        <w:rPr>
          <w:bCs/>
        </w:rPr>
        <w:instrText xml:space="preserve"> HYPERLINK \l _Toc10764 </w:instrText>
      </w:r>
      <w:r>
        <w:rPr>
          <w:bCs/>
        </w:rPr>
        <w:fldChar w:fldCharType="separate"/>
      </w:r>
      <w:r>
        <w:rPr>
          <w:bCs/>
          <w:szCs w:val="21"/>
        </w:rPr>
        <w:t xml:space="preserve">（二）残疾人福利性单位声明函</w:t>
      </w:r>
      <w:r>
        <w:tab/>
      </w:r>
      <w:r>
        <w:fldChar w:fldCharType="begin"/>
      </w:r>
      <w:r>
        <w:instrText xml:space="preserve"> PAGEREF _Toc10764 \h </w:instrText>
      </w:r>
      <w:r>
        <w:fldChar w:fldCharType="separate"/>
      </w:r>
      <w:r>
        <w:t xml:space="preserve">55</w:t>
      </w:r>
      <w:r>
        <w:fldChar w:fldCharType="end"/>
      </w:r>
      <w:r>
        <w:rPr>
          <w:bCs/>
        </w:rPr>
        <w:fldChar w:fldCharType="end"/>
      </w:r>
      <w:r/>
    </w:p>
    <w:p>
      <w:pPr>
        <w:pStyle w:val="1472"/>
        <w:tabs>
          <w:tab w:val="right" w:pos="9638" w:leader="dot"/>
        </w:tabs>
      </w:pPr>
      <w:r>
        <w:rPr>
          <w:bCs/>
        </w:rPr>
        <w:fldChar w:fldCharType="begin"/>
      </w:r>
      <w:r>
        <w:rPr>
          <w:bCs/>
        </w:rPr>
        <w:instrText xml:space="preserve"> HYPERLINK \l _Toc15200 </w:instrText>
      </w:r>
      <w:r>
        <w:rPr>
          <w:bCs/>
        </w:rPr>
        <w:fldChar w:fldCharType="separate"/>
      </w:r>
      <w:r>
        <w:rPr>
          <w:rFonts w:hint="eastAsia"/>
          <w:bCs/>
          <w:szCs w:val="21"/>
        </w:rPr>
        <w:t xml:space="preserve">（三）采购本国产品的支持政策</w:t>
      </w:r>
      <w:r>
        <w:tab/>
      </w:r>
      <w:r>
        <w:fldChar w:fldCharType="begin"/>
      </w:r>
      <w:r>
        <w:instrText xml:space="preserve"> PAGEREF _Toc15200 \h </w:instrText>
      </w:r>
      <w:r>
        <w:fldChar w:fldCharType="separate"/>
      </w:r>
      <w:r>
        <w:t xml:space="preserve">56</w:t>
      </w:r>
      <w:r>
        <w:fldChar w:fldCharType="end"/>
      </w:r>
      <w:r>
        <w:rPr>
          <w:bCs/>
        </w:rPr>
        <w:fldChar w:fldCharType="end"/>
      </w:r>
      <w:r/>
    </w:p>
    <w:p>
      <w:pPr>
        <w:pStyle w:val="1472"/>
        <w:tabs>
          <w:tab w:val="right" w:pos="9638" w:leader="dot"/>
        </w:tabs>
      </w:pPr>
      <w:r>
        <w:rPr>
          <w:bCs/>
        </w:rPr>
        <w:fldChar w:fldCharType="begin"/>
      </w:r>
      <w:r>
        <w:rPr>
          <w:bCs/>
        </w:rPr>
        <w:instrText xml:space="preserve"> HYPERLINK \l _Toc21133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_Toc21133 \h </w:instrText>
      </w:r>
      <w:r>
        <w:fldChar w:fldCharType="separate"/>
      </w:r>
      <w:r>
        <w:t xml:space="preserve">56</w:t>
      </w:r>
      <w:r>
        <w:fldChar w:fldCharType="end"/>
      </w:r>
      <w:r>
        <w:rPr>
          <w:bCs/>
        </w:rPr>
        <w:fldChar w:fldCharType="end"/>
      </w:r>
      <w:r/>
    </w:p>
    <w:p>
      <w:pPr>
        <w:pStyle w:val="1494"/>
        <w:tabs>
          <w:tab w:val="right" w:pos="9638" w:leader="dot"/>
        </w:tabs>
      </w:pPr>
      <w:r>
        <w:rPr>
          <w:bCs/>
        </w:rPr>
        <w:fldChar w:fldCharType="begin"/>
      </w:r>
      <w:r>
        <w:rPr>
          <w:bCs/>
        </w:rPr>
        <w:instrText xml:space="preserve"> HYPERLINK \l _Toc3321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_Toc3321 \h </w:instrText>
      </w:r>
      <w:r>
        <w:fldChar w:fldCharType="separate"/>
      </w:r>
      <w:r>
        <w:t xml:space="preserve">57</w:t>
      </w:r>
      <w:r>
        <w:fldChar w:fldCharType="end"/>
      </w:r>
      <w:r>
        <w:rPr>
          <w:bCs/>
        </w:rPr>
        <w:fldChar w:fldCharType="end"/>
      </w:r>
      <w:r/>
    </w:p>
    <w:p>
      <w:pPr>
        <w:pStyle w:val="1494"/>
        <w:tabs>
          <w:tab w:val="right" w:pos="9638" w:leader="dot"/>
        </w:tabs>
      </w:pPr>
      <w:r>
        <w:rPr>
          <w:bCs/>
        </w:rPr>
        <w:fldChar w:fldCharType="begin"/>
      </w:r>
      <w:r>
        <w:rPr>
          <w:bCs/>
        </w:rPr>
        <w:instrText xml:space="preserve"> HYPERLINK \l _Toc31116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_Toc31116 \h </w:instrText>
      </w:r>
      <w:r>
        <w:fldChar w:fldCharType="separate"/>
      </w:r>
      <w:r>
        <w:t xml:space="preserve">60</w:t>
      </w:r>
      <w:r>
        <w:fldChar w:fldCharType="end"/>
      </w:r>
      <w:r>
        <w:rPr>
          <w:bCs/>
        </w:rPr>
        <w:fldChar w:fldCharType="end"/>
      </w:r>
      <w:r/>
    </w:p>
    <w:p>
      <w:pPr>
        <w:pStyle w:val="1472"/>
        <w:tabs>
          <w:tab w:val="right" w:pos="9638" w:leader="dot"/>
        </w:tabs>
      </w:pPr>
      <w:r>
        <w:rPr>
          <w:bCs/>
        </w:rPr>
        <w:fldChar w:fldCharType="begin"/>
      </w:r>
      <w:r>
        <w:rPr>
          <w:bCs/>
        </w:rPr>
        <w:instrText xml:space="preserve"> HYPERLINK \l _Toc19774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_Toc19774 \h </w:instrText>
      </w:r>
      <w:r>
        <w:fldChar w:fldCharType="separate"/>
      </w:r>
      <w:r>
        <w:t xml:space="preserve">60</w:t>
      </w:r>
      <w:r>
        <w:fldChar w:fldCharType="end"/>
      </w:r>
      <w:r>
        <w:rPr>
          <w:bCs/>
        </w:rPr>
        <w:fldChar w:fldCharType="end"/>
      </w:r>
      <w:r/>
    </w:p>
    <w:p>
      <w:pPr>
        <w:pStyle w:val="1472"/>
        <w:tabs>
          <w:tab w:val="right" w:pos="9638" w:leader="dot"/>
        </w:tabs>
      </w:pPr>
      <w:r>
        <w:rPr>
          <w:bCs/>
        </w:rPr>
        <w:fldChar w:fldCharType="begin"/>
      </w:r>
      <w:r>
        <w:rPr>
          <w:bCs/>
        </w:rPr>
        <w:instrText xml:space="preserve"> HYPERLINK \l _Toc32530 </w:instrText>
      </w:r>
      <w:r>
        <w:rPr>
          <w:bCs/>
        </w:rPr>
        <w:fldChar w:fldCharType="separate"/>
      </w:r>
      <w:r>
        <w:rPr>
          <w:bCs/>
          <w:szCs w:val="21"/>
          <w:lang w:val="zh-CN"/>
        </w:rPr>
        <w:t xml:space="preserve">2、法人代表授权书</w:t>
      </w:r>
      <w:r>
        <w:tab/>
      </w:r>
      <w:r>
        <w:fldChar w:fldCharType="begin"/>
      </w:r>
      <w:r>
        <w:instrText xml:space="preserve"> PAGEREF _Toc32530 \h </w:instrText>
      </w:r>
      <w:r>
        <w:fldChar w:fldCharType="separate"/>
      </w:r>
      <w:r>
        <w:t xml:space="preserve">61</w:t>
      </w:r>
      <w:r>
        <w:fldChar w:fldCharType="end"/>
      </w:r>
      <w:r>
        <w:rPr>
          <w:bCs/>
        </w:rPr>
        <w:fldChar w:fldCharType="end"/>
      </w:r>
      <w:r/>
    </w:p>
    <w:p>
      <w:pPr>
        <w:pStyle w:val="1472"/>
        <w:tabs>
          <w:tab w:val="right" w:pos="9638" w:leader="dot"/>
        </w:tabs>
      </w:pPr>
      <w:r>
        <w:rPr>
          <w:bCs/>
        </w:rPr>
        <w:fldChar w:fldCharType="begin"/>
      </w:r>
      <w:r>
        <w:rPr>
          <w:bCs/>
        </w:rPr>
        <w:instrText xml:space="preserve"> HYPERLINK \l _Toc14151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_Toc14151 \h </w:instrText>
      </w:r>
      <w:r>
        <w:fldChar w:fldCharType="separate"/>
      </w:r>
      <w:r>
        <w:t xml:space="preserve">62</w:t>
      </w:r>
      <w:r>
        <w:fldChar w:fldCharType="end"/>
      </w:r>
      <w:r>
        <w:rPr>
          <w:bCs/>
        </w:rPr>
        <w:fldChar w:fldCharType="end"/>
      </w:r>
      <w:r/>
    </w:p>
    <w:p>
      <w:pPr>
        <w:pStyle w:val="1472"/>
        <w:tabs>
          <w:tab w:val="right" w:pos="9638" w:leader="dot"/>
        </w:tabs>
      </w:pPr>
      <w:r>
        <w:rPr>
          <w:bCs/>
        </w:rPr>
        <w:fldChar w:fldCharType="begin"/>
      </w:r>
      <w:r>
        <w:rPr>
          <w:bCs/>
        </w:rPr>
        <w:instrText xml:space="preserve"> HYPERLINK \l _Toc26694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_Toc26694 \h </w:instrText>
      </w:r>
      <w:r>
        <w:fldChar w:fldCharType="separate"/>
      </w:r>
      <w:r>
        <w:t xml:space="preserve">63</w:t>
      </w:r>
      <w:r>
        <w:fldChar w:fldCharType="end"/>
      </w:r>
      <w:r>
        <w:rPr>
          <w:bCs/>
        </w:rPr>
        <w:fldChar w:fldCharType="end"/>
      </w:r>
      <w:r/>
    </w:p>
    <w:p>
      <w:pPr>
        <w:pStyle w:val="1472"/>
        <w:tabs>
          <w:tab w:val="right" w:pos="9638" w:leader="dot"/>
        </w:tabs>
      </w:pPr>
      <w:r>
        <w:rPr>
          <w:bCs/>
        </w:rPr>
        <w:fldChar w:fldCharType="begin"/>
      </w:r>
      <w:r>
        <w:rPr>
          <w:bCs/>
        </w:rPr>
        <w:instrText xml:space="preserve"> HYPERLINK \l _Toc16483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_Toc16483 \h </w:instrText>
      </w:r>
      <w:r>
        <w:fldChar w:fldCharType="separate"/>
      </w:r>
      <w:r>
        <w:t xml:space="preserve">64</w:t>
      </w:r>
      <w:r>
        <w:fldChar w:fldCharType="end"/>
      </w:r>
      <w:r>
        <w:rPr>
          <w:bCs/>
        </w:rPr>
        <w:fldChar w:fldCharType="end"/>
      </w:r>
      <w:r/>
    </w:p>
    <w:p>
      <w:pPr>
        <w:pStyle w:val="1472"/>
        <w:tabs>
          <w:tab w:val="right" w:pos="9638" w:leader="dot"/>
        </w:tabs>
      </w:pPr>
      <w:r>
        <w:rPr>
          <w:bCs/>
        </w:rPr>
        <w:fldChar w:fldCharType="begin"/>
      </w:r>
      <w:r>
        <w:rPr>
          <w:bCs/>
        </w:rPr>
        <w:instrText xml:space="preserve"> HYPERLINK \l _Toc20211 </w:instrText>
      </w:r>
      <w:r>
        <w:rPr>
          <w:bCs/>
        </w:rPr>
        <w:fldChar w:fldCharType="separate"/>
      </w:r>
      <w:r>
        <w:rPr>
          <w:bCs/>
          <w:szCs w:val="21"/>
        </w:rPr>
        <w:t xml:space="preserve">6、依法缴纳税收的记录</w:t>
      </w:r>
      <w:r>
        <w:tab/>
      </w:r>
      <w:r>
        <w:fldChar w:fldCharType="begin"/>
      </w:r>
      <w:r>
        <w:instrText xml:space="preserve"> PAGEREF _Toc20211 \h </w:instrText>
      </w:r>
      <w:r>
        <w:fldChar w:fldCharType="separate"/>
      </w:r>
      <w:r>
        <w:t xml:space="preserve">65</w:t>
      </w:r>
      <w:r>
        <w:fldChar w:fldCharType="end"/>
      </w:r>
      <w:r>
        <w:rPr>
          <w:bCs/>
        </w:rPr>
        <w:fldChar w:fldCharType="end"/>
      </w:r>
      <w:r/>
    </w:p>
    <w:p>
      <w:pPr>
        <w:pStyle w:val="1472"/>
        <w:tabs>
          <w:tab w:val="right" w:pos="9638" w:leader="dot"/>
        </w:tabs>
      </w:pPr>
      <w:r>
        <w:rPr>
          <w:bCs/>
        </w:rPr>
        <w:fldChar w:fldCharType="begin"/>
      </w:r>
      <w:r>
        <w:rPr>
          <w:bCs/>
        </w:rPr>
        <w:instrText xml:space="preserve"> HYPERLINK \l _Toc5629 </w:instrText>
      </w:r>
      <w:r>
        <w:rPr>
          <w:bCs/>
        </w:rPr>
        <w:fldChar w:fldCharType="separate"/>
      </w:r>
      <w:r>
        <w:rPr>
          <w:bCs/>
          <w:szCs w:val="21"/>
        </w:rPr>
        <w:t xml:space="preserve">7、依法缴纳社会保障资金的记录</w:t>
      </w:r>
      <w:r>
        <w:tab/>
      </w:r>
      <w:r>
        <w:fldChar w:fldCharType="begin"/>
      </w:r>
      <w:r>
        <w:instrText xml:space="preserve"> PAGEREF _Toc5629 \h </w:instrText>
      </w:r>
      <w:r>
        <w:fldChar w:fldCharType="separate"/>
      </w:r>
      <w:r>
        <w:t xml:space="preserve">66</w:t>
      </w:r>
      <w:r>
        <w:fldChar w:fldCharType="end"/>
      </w:r>
      <w:r>
        <w:rPr>
          <w:bCs/>
        </w:rPr>
        <w:fldChar w:fldCharType="end"/>
      </w:r>
      <w:r/>
    </w:p>
    <w:p>
      <w:pPr>
        <w:pStyle w:val="1472"/>
        <w:tabs>
          <w:tab w:val="right" w:pos="9638" w:leader="dot"/>
        </w:tabs>
      </w:pPr>
      <w:r>
        <w:rPr>
          <w:bCs/>
        </w:rPr>
        <w:fldChar w:fldCharType="begin"/>
      </w:r>
      <w:r>
        <w:rPr>
          <w:bCs/>
        </w:rPr>
        <w:instrText xml:space="preserve"> HYPERLINK \l _Toc607 </w:instrText>
      </w:r>
      <w:r>
        <w:rPr>
          <w:bCs/>
        </w:rPr>
        <w:fldChar w:fldCharType="separate"/>
      </w:r>
      <w:r>
        <w:rPr>
          <w:bCs/>
          <w:szCs w:val="21"/>
        </w:rPr>
        <w:t xml:space="preserve">8、针对本项目的特定资格要求</w:t>
      </w:r>
      <w:r>
        <w:tab/>
      </w:r>
      <w:r>
        <w:fldChar w:fldCharType="begin"/>
      </w:r>
      <w:r>
        <w:instrText xml:space="preserve"> PAGEREF _Toc607 \h </w:instrText>
      </w:r>
      <w:r>
        <w:fldChar w:fldCharType="separate"/>
      </w:r>
      <w:r>
        <w:t xml:space="preserve">67</w:t>
      </w:r>
      <w:r>
        <w:fldChar w:fldCharType="end"/>
      </w:r>
      <w:r>
        <w:rPr>
          <w:bCs/>
        </w:rPr>
        <w:fldChar w:fldCharType="end"/>
      </w:r>
      <w:r/>
    </w:p>
    <w:p>
      <w:pPr>
        <w:pStyle w:val="1472"/>
        <w:tabs>
          <w:tab w:val="right" w:pos="9638" w:leader="dot"/>
        </w:tabs>
      </w:pPr>
      <w:r>
        <w:rPr>
          <w:bCs/>
        </w:rPr>
        <w:fldChar w:fldCharType="begin"/>
      </w:r>
      <w:r>
        <w:rPr>
          <w:bCs/>
        </w:rPr>
        <w:instrText xml:space="preserve"> HYPERLINK \l _Toc27561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_Toc27561 \h </w:instrText>
      </w:r>
      <w:r>
        <w:fldChar w:fldCharType="separate"/>
      </w:r>
      <w:r>
        <w:t xml:space="preserve">68</w:t>
      </w:r>
      <w:r>
        <w:fldChar w:fldCharType="end"/>
      </w:r>
      <w:r>
        <w:rPr>
          <w:bCs/>
        </w:rPr>
        <w:fldChar w:fldCharType="end"/>
      </w:r>
      <w:r/>
    </w:p>
    <w:p>
      <w:pPr>
        <w:pStyle w:val="1472"/>
        <w:tabs>
          <w:tab w:val="right" w:pos="9638" w:leader="dot"/>
        </w:tabs>
      </w:pPr>
      <w:r>
        <w:rPr>
          <w:bCs/>
        </w:rPr>
        <w:fldChar w:fldCharType="begin"/>
      </w:r>
      <w:r>
        <w:rPr>
          <w:bCs/>
        </w:rPr>
        <w:instrText xml:space="preserve"> HYPERLINK \l _Toc2986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_Toc2986 \h </w:instrText>
      </w:r>
      <w:r>
        <w:fldChar w:fldCharType="separate"/>
      </w:r>
      <w:r>
        <w:t xml:space="preserve">69</w:t>
      </w:r>
      <w:r>
        <w:fldChar w:fldCharType="end"/>
      </w:r>
      <w:r>
        <w:rPr>
          <w:bCs/>
        </w:rPr>
        <w:fldChar w:fldCharType="end"/>
      </w:r>
      <w:r/>
    </w:p>
    <w:p>
      <w:pPr>
        <w:pStyle w:val="1472"/>
        <w:tabs>
          <w:tab w:val="right" w:pos="9638" w:leader="dot"/>
        </w:tabs>
      </w:pPr>
      <w:r>
        <w:rPr>
          <w:bCs/>
        </w:rPr>
        <w:fldChar w:fldCharType="begin"/>
      </w:r>
      <w:r>
        <w:rPr>
          <w:bCs/>
        </w:rPr>
        <w:instrText xml:space="preserve"> HYPERLINK \l _Toc8824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_Toc8824 \h </w:instrText>
      </w:r>
      <w:r>
        <w:fldChar w:fldCharType="separate"/>
      </w:r>
      <w:r>
        <w:t xml:space="preserve">70</w:t>
      </w:r>
      <w:r>
        <w:fldChar w:fldCharType="end"/>
      </w:r>
      <w:r>
        <w:rPr>
          <w:bCs/>
        </w:rPr>
        <w:fldChar w:fldCharType="end"/>
      </w:r>
      <w:r/>
    </w:p>
    <w:p>
      <w:pPr>
        <w:pStyle w:val="1472"/>
        <w:tabs>
          <w:tab w:val="right" w:pos="9638" w:leader="dot"/>
        </w:tabs>
      </w:pPr>
      <w:r>
        <w:rPr>
          <w:bCs/>
        </w:rPr>
        <w:fldChar w:fldCharType="begin"/>
      </w:r>
      <w:r>
        <w:rPr>
          <w:bCs/>
        </w:rPr>
        <w:instrText xml:space="preserve"> HYPERLINK \l _Toc6732 </w:instrText>
      </w:r>
      <w:r>
        <w:rPr>
          <w:bCs/>
        </w:rPr>
        <w:fldChar w:fldCharType="separate"/>
      </w:r>
      <w:r>
        <w:rPr>
          <w:rFonts w:hint="eastAsia" w:ascii="宋体" w:hAnsi="宋体" w:cs="宋体"/>
          <w:szCs w:val="21"/>
        </w:rPr>
        <w:t xml:space="preserve">参考格式：</w:t>
      </w:r>
      <w:r>
        <w:tab/>
      </w:r>
      <w:r>
        <w:fldChar w:fldCharType="begin"/>
      </w:r>
      <w:r>
        <w:instrText xml:space="preserve"> PAGEREF _Toc6732 \h </w:instrText>
      </w:r>
      <w:r>
        <w:fldChar w:fldCharType="separate"/>
      </w:r>
      <w:r>
        <w:t xml:space="preserve">70</w:t>
      </w:r>
      <w:r>
        <w:fldChar w:fldCharType="end"/>
      </w:r>
      <w:r>
        <w:rPr>
          <w:bCs/>
        </w:rPr>
        <w:fldChar w:fldCharType="end"/>
      </w:r>
      <w:r/>
    </w:p>
    <w:p>
      <w:pPr>
        <w:pStyle w:val="1494"/>
        <w:tabs>
          <w:tab w:val="right" w:pos="9638" w:leader="dot"/>
        </w:tabs>
      </w:pPr>
      <w:r>
        <w:rPr>
          <w:bCs/>
        </w:rPr>
        <w:fldChar w:fldCharType="begin"/>
      </w:r>
      <w:r>
        <w:rPr>
          <w:bCs/>
        </w:rPr>
        <w:instrText xml:space="preserve"> HYPERLINK \l _Toc23555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_Toc23555 \h </w:instrText>
      </w:r>
      <w:r>
        <w:fldChar w:fldCharType="separate"/>
      </w:r>
      <w:r>
        <w:t xml:space="preserve">71</w:t>
      </w:r>
      <w:r>
        <w:fldChar w:fldCharType="end"/>
      </w:r>
      <w:r>
        <w:rPr>
          <w:bCs/>
        </w:rPr>
        <w:fldChar w:fldCharType="end"/>
      </w:r>
      <w:r/>
    </w:p>
    <w:p>
      <w:pPr>
        <w:pStyle w:val="1434"/>
        <w:spacing w:line="440" w:lineRule="exact"/>
        <w:rPr>
          <w:bCs/>
          <w:sz w:val="24"/>
        </w:rPr>
      </w:pPr>
      <w:r>
        <w:rPr>
          <w:bCs/>
        </w:rPr>
        <w:fldChar w:fldCharType="end"/>
      </w:r>
      <w:r>
        <w:rPr>
          <w:bCs/>
          <w:sz w:val="24"/>
        </w:rPr>
      </w:r>
      <w:r/>
    </w:p>
    <w:p>
      <w:pPr>
        <w:pStyle w:val="143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434"/>
        <w:jc w:val="center"/>
        <w:spacing w:line="360" w:lineRule="auto"/>
        <w:rPr>
          <w:b/>
          <w:sz w:val="44"/>
        </w:rPr>
        <w:outlineLvl w:val="0"/>
      </w:pPr>
      <w:r/>
      <w:bookmarkStart w:id="2" w:name="_Toc13654"/>
      <w:r>
        <w:rPr>
          <w:b/>
          <w:sz w:val="28"/>
          <w:szCs w:val="28"/>
        </w:rPr>
        <w:t xml:space="preserve">第一章 投标邀请（招标公告）</w:t>
      </w:r>
      <w:bookmarkEnd w:id="0"/>
      <w:r/>
      <w:bookmarkEnd w:id="1"/>
      <w:r/>
      <w:bookmarkEnd w:id="2"/>
      <w:r>
        <w:rPr>
          <w:b/>
          <w:sz w:val="44"/>
        </w:rPr>
      </w:r>
      <w:r/>
    </w:p>
    <w:p>
      <w:pPr>
        <w:pStyle w:val="143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43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电动汽车充电桩综合检测系统等设备</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年5月</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434"/>
        <w:spacing w:line="360" w:lineRule="auto"/>
        <w:rPr>
          <w:rFonts w:hint="eastAsia" w:ascii="宋体" w:hAnsi="宋体" w:cs="宋体"/>
          <w:b/>
          <w:szCs w:val="21"/>
        </w:rPr>
      </w:pPr>
      <w:r/>
      <w:bookmarkStart w:id="3" w:name="_Toc35393790"/>
      <w:r/>
      <w:bookmarkStart w:id="4" w:name="_Toc35393621"/>
      <w:r/>
      <w:bookmarkStart w:id="5" w:name="_Toc28359002"/>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JSZC-320000-SMDY-G2026-0026</w:t>
      </w:r>
      <w:r>
        <w:rPr>
          <w:rFonts w:hint="eastAsia" w:ascii="宋体" w:hAnsi="宋体" w:cs="宋体"/>
          <w:szCs w:val="21"/>
        </w:rPr>
        <w:t xml:space="preserve">（2640SUMEC/ZWGG2040）</w:t>
      </w:r>
      <w:r>
        <w:rPr>
          <w:rFonts w:hint="eastAsia" w:ascii="宋体" w:hAnsi="宋体" w:cs="宋体"/>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2.项目名称：电动汽车充电桩综合检测系统等设备</w:t>
      </w:r>
      <w:r>
        <w:rPr>
          <w:rFonts w:hint="eastAsia" w:ascii="宋体" w:hAnsi="宋体" w:cs="宋体"/>
          <w:szCs w:val="21"/>
        </w:rPr>
      </w:r>
      <w:r/>
    </w:p>
    <w:p>
      <w:pPr>
        <w:pStyle w:val="1434"/>
        <w:ind w:firstLine="210"/>
        <w:spacing w:line="360" w:lineRule="auto"/>
        <w:rPr>
          <w:rFonts w:hint="eastAsia" w:ascii="宋体" w:hAnsi="宋体" w:cs="宋体"/>
          <w:szCs w:val="21"/>
          <w:highlight w:val="none"/>
        </w:rPr>
      </w:pPr>
      <w:r/>
      <w:bookmarkEnd w:id="7"/>
      <w:r>
        <w:rPr>
          <w:rFonts w:hint="eastAsia" w:ascii="宋体" w:hAnsi="宋体" w:cs="宋体"/>
          <w:szCs w:val="21"/>
        </w:rPr>
        <w:t xml:space="preserve">3.预算金额：63</w:t>
      </w:r>
      <w:r>
        <w:rPr>
          <w:rFonts w:hint="eastAsia" w:ascii="宋体" w:hAnsi="宋体" w:cs="宋体"/>
          <w:szCs w:val="21"/>
          <w:highlight w:val="none"/>
        </w:rPr>
        <w:t xml:space="preserve">7.3万元</w:t>
      </w:r>
      <w:r>
        <w:rPr>
          <w:rFonts w:hint="eastAsia" w:ascii="宋体" w:hAnsi="宋体" w:cs="宋体"/>
          <w:szCs w:val="21"/>
          <w:highlight w:val="none"/>
        </w:rPr>
      </w:r>
      <w:r/>
    </w:p>
    <w:p>
      <w:pPr>
        <w:pStyle w:val="143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4.最高限价：</w:t>
      </w:r>
      <w:r>
        <w:rPr>
          <w:rFonts w:hint="eastAsia" w:ascii="宋体" w:hAnsi="宋体" w:cs="宋体"/>
          <w:szCs w:val="21"/>
          <w:highlight w:val="none"/>
          <w:lang w:eastAsia="zh-CN"/>
        </w:rPr>
        <w:t xml:space="preserve">607万元</w:t>
      </w:r>
      <w:r>
        <w:rPr>
          <w:rFonts w:hint="eastAsia" w:ascii="宋体" w:hAnsi="宋体" w:cs="宋体"/>
          <w:szCs w:val="21"/>
          <w:highlight w:val="none"/>
        </w:rPr>
        <w:t xml:space="preserve">，具体产品最高限价详见采购需求</w:t>
      </w:r>
      <w:r>
        <w:rPr>
          <w:rFonts w:hint="eastAsia" w:ascii="宋体" w:hAnsi="宋体" w:cs="宋体"/>
          <w:szCs w:val="21"/>
          <w:highlight w:val="none"/>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8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2"/>
        <w:gridCol w:w="2471"/>
        <w:gridCol w:w="1219"/>
        <w:gridCol w:w="1748"/>
        <w:gridCol w:w="2347"/>
        <w:gridCol w:w="1203"/>
      </w:tblGrid>
      <w:tr>
        <w:trPr>
          <w:trHeight w:val="728"/>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434"/>
              <w:jc w:val="center"/>
              <w:rPr>
                <w:rFonts w:hint="eastAsia" w:ascii="宋体" w:hAnsi="宋体" w:cs="宋体"/>
              </w:rPr>
            </w:pPr>
            <w:r>
              <w:rPr>
                <w:rFonts w:hint="eastAsia" w:ascii="宋体" w:hAnsi="宋体" w:cs="宋体"/>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产品名称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434"/>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最高限价</w:t>
            </w:r>
            <w:r>
              <w:rPr>
                <w:rFonts w:hint="eastAsia" w:ascii="宋体" w:hAnsi="宋体" w:cs="宋体"/>
              </w:rPr>
            </w:r>
            <w:r/>
          </w:p>
          <w:p>
            <w:pPr>
              <w:pStyle w:val="1434"/>
              <w:jc w:val="center"/>
              <w:rPr>
                <w:rFonts w:hint="eastAsia" w:ascii="宋体" w:hAnsi="宋体" w:cs="宋体"/>
              </w:rPr>
            </w:pPr>
            <w:r>
              <w:rPr>
                <w:rFonts w:hint="eastAsia" w:ascii="宋体" w:hAnsi="宋体" w:cs="宋体"/>
              </w:rPr>
              <w:t xml:space="preserve">（人民币/万元）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电动汽车充电桩综合检测系统</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1434"/>
              <w:jc w:val="center"/>
              <w:widowControl/>
              <w:rPr>
                <w:rFonts w:hint="eastAsia" w:ascii="宋体" w:hAnsi="宋体" w:cs="宋体"/>
                <w:color w:val="000000"/>
                <w:sz w:val="20"/>
                <w:highlight w:val="none"/>
              </w:rPr>
            </w:pPr>
            <w:r>
              <w:rPr>
                <w:rFonts w:hint="eastAsia" w:ascii="宋体" w:hAnsi="宋体" w:cs="宋体"/>
                <w:color w:val="000000"/>
                <w:sz w:val="20"/>
                <w:highlight w:val="none"/>
                <w:lang w:eastAsia="zh-CN" w:bidi="ar"/>
              </w:rPr>
              <w:t xml:space="preserve">550.0</w:t>
            </w:r>
            <w:r>
              <w:rPr>
                <w:rFonts w:hint="eastAsia"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434"/>
              <w:jc w:val="center"/>
              <w:rPr>
                <w:rFonts w:hint="eastAsia" w:ascii="宋体" w:hAnsi="宋体" w:cs="宋体"/>
              </w:rPr>
            </w:pPr>
            <w:r>
              <w:rPr>
                <w:rFonts w:hint="eastAsia" w:ascii="宋体" w:hAnsi="宋体" w:cs="宋体"/>
              </w:rPr>
              <w:t xml:space="preserve">合同签订生效后5个月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43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冷热冲击箱试验箱</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1434"/>
              <w:jc w:val="center"/>
              <w:rPr>
                <w:rFonts w:ascii="宋体" w:hAnsi="宋体" w:cs="宋体"/>
                <w:highlight w:val="none"/>
              </w:rPr>
            </w:pPr>
            <w:r>
              <w:rPr>
                <w:rFonts w:hint="eastAsia" w:ascii="宋体" w:hAnsi="宋体" w:cs="宋体"/>
                <w:highlight w:val="none"/>
              </w:rPr>
              <w:t xml:space="preserve">57.0</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434"/>
              <w:jc w:val="center"/>
              <w:rPr>
                <w:rFonts w:hint="eastAsia" w:ascii="宋体" w:hAnsi="宋体" w:cs="宋体"/>
              </w:rPr>
            </w:pPr>
            <w:r>
              <w:rPr>
                <w:rFonts w:hint="eastAsia" w:ascii="宋体" w:hAnsi="宋体" w:cs="宋体"/>
                <w:lang w:eastAsia="zh-CN"/>
              </w:rPr>
              <w:t xml:space="preserve">合同签订生效后</w:t>
            </w:r>
            <w:r>
              <w:rPr>
                <w:rFonts w:hint="eastAsia" w:ascii="宋体" w:hAnsi="宋体" w:cs="宋体"/>
              </w:rPr>
              <w:t xml:space="preserve">90天</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434"/>
        <w:ind w:firstLine="21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34"/>
        <w:spacing w:line="360" w:lineRule="auto"/>
        <w:rPr>
          <w:rFonts w:hint="eastAsia" w:ascii="宋体" w:hAnsi="宋体" w:cs="宋体"/>
          <w:b/>
          <w:bCs/>
          <w:szCs w:val="21"/>
        </w:rPr>
      </w:pPr>
      <w:r/>
      <w:bookmarkStart w:id="8" w:name="_Toc28359080"/>
      <w:r/>
      <w:bookmarkStart w:id="9" w:name="_Toc35393791"/>
      <w:r/>
      <w:bookmarkStart w:id="10" w:name="_Toc35393622"/>
      <w:r/>
      <w:bookmarkStart w:id="11" w:name="_Toc28359003"/>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434"/>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434"/>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434"/>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434"/>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434"/>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434"/>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434"/>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434"/>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434"/>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434"/>
        <w:ind w:firstLine="218"/>
        <w:spacing w:line="360" w:lineRule="auto"/>
        <w:widowControl/>
        <w:rPr>
          <w:rFonts w:hint="eastAsia" w:ascii="宋体" w:hAnsi="宋体" w:cs="宋体"/>
          <w:szCs w:val="21"/>
        </w:rPr>
      </w:pPr>
      <w:r>
        <w:rPr>
          <w:rFonts w:hint="eastAsia" w:ascii="宋体" w:hAnsi="宋体" w:cs="宋体"/>
          <w:szCs w:val="21"/>
        </w:rPr>
        <w:t xml:space="preserve">1.本次</w:t>
      </w:r>
      <w:r>
        <w:rPr>
          <w:rFonts w:hint="eastAsia" w:ascii="宋体" w:hAnsi="宋体" w:cs="宋体"/>
          <w:szCs w:val="21"/>
          <w:highlight w:val="none"/>
        </w:rPr>
        <w:t xml:space="preserve">采购不接受进口产品投标。【注：本文</w:t>
      </w:r>
      <w:r>
        <w:rPr>
          <w:rFonts w:hint="eastAsia" w:ascii="宋体" w:hAnsi="宋体" w:cs="宋体"/>
          <w:szCs w:val="21"/>
        </w:rPr>
        <w:t xml:space="preserve">件所称进口产品是指通过中国海关报关验放进入中国境内且产自关境外的产品】</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434"/>
        <w:spacing w:line="360" w:lineRule="auto"/>
        <w:widowControl/>
        <w:rPr>
          <w:rFonts w:hint="eastAsia" w:ascii="宋体" w:hAnsi="宋体" w:cs="宋体"/>
          <w:szCs w:val="21"/>
        </w:rPr>
      </w:pPr>
      <w:r/>
      <w:bookmarkStart w:id="14" w:name="_Toc35393623"/>
      <w:r/>
      <w:bookmarkStart w:id="15" w:name="_Toc35393792"/>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793"/>
      <w:r/>
      <w:bookmarkStart w:id="19" w:name="_Toc35393624"/>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434"/>
        <w:ind w:firstLine="220"/>
        <w:spacing w:line="360" w:lineRule="auto"/>
        <w:rPr>
          <w:rFonts w:hint="eastAsia" w:ascii="宋体" w:hAnsi="宋体" w:cs="宋体"/>
          <w:szCs w:val="21"/>
        </w:rPr>
      </w:pPr>
      <w:r/>
      <w:bookmarkStart w:id="20" w:name="_Toc35393625"/>
      <w:r/>
      <w:bookmarkStart w:id="21" w:name="_Toc28359084"/>
      <w:r/>
      <w:bookmarkStart w:id="22" w:name="_Toc28359007"/>
      <w:r/>
      <w:bookmarkStart w:id="23" w:name="_Toc35393794"/>
      <w:r>
        <w:rPr>
          <w:rFonts w:hint="eastAsia" w:ascii="宋体" w:hAnsi="宋体" w:cs="宋体"/>
          <w:szCs w:val="21"/>
        </w:rPr>
        <w:t xml:space="preserve">提交投标文件截止时间、开标时间：2026年5月</w:t>
      </w:r>
      <w:r>
        <w:rPr>
          <w:rFonts w:hint="eastAsia" w:ascii="宋体" w:hAnsi="宋体" w:cs="宋体"/>
          <w:szCs w:val="21"/>
          <w:lang w:val="en-US" w:eastAsia="zh-CN"/>
        </w:rPr>
        <w:t xml:space="preserve">8</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w:t>
      </w:r>
      <w:r>
        <w:rPr>
          <w:rFonts w:hint="eastAsia" w:ascii="宋体" w:hAnsi="宋体" w:cs="宋体"/>
          <w:szCs w:val="21"/>
          <w:lang w:val="en-US" w:eastAsia="zh-CN"/>
        </w:rPr>
        <w:t xml:space="preserve">0</w:t>
      </w:r>
      <w:r>
        <w:rPr>
          <w:rFonts w:hint="eastAsia" w:ascii="宋体" w:hAnsi="宋体" w:cs="宋体"/>
          <w:szCs w:val="21"/>
        </w:rPr>
        <w:t xml:space="preserve">0分（北京时间）</w:t>
      </w:r>
      <w:r>
        <w:rPr>
          <w:rFonts w:hint="eastAsia" w:ascii="宋体" w:hAnsi="宋体" w:cs="宋体"/>
          <w:szCs w:val="21"/>
        </w:rPr>
      </w:r>
      <w:r/>
    </w:p>
    <w:p>
      <w:pPr>
        <w:pStyle w:val="1434"/>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434"/>
        <w:spacing w:line="360" w:lineRule="auto"/>
        <w:rPr>
          <w:rFonts w:hint="eastAsia" w:ascii="宋体" w:hAnsi="宋体" w:cs="宋体"/>
          <w:b/>
          <w:bCs/>
          <w:szCs w:val="21"/>
        </w:rPr>
      </w:pPr>
      <w:r/>
      <w:bookmarkStart w:id="24" w:name="_Toc35393626"/>
      <w:r/>
      <w:bookmarkStart w:id="25" w:name="_Toc35393795"/>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434"/>
        <w:ind w:firstLine="218"/>
        <w:spacing w:line="360" w:lineRule="auto"/>
        <w:rPr>
          <w:rFonts w:hint="eastAsia" w:ascii="宋体" w:hAnsi="宋体" w:cs="宋体"/>
          <w:szCs w:val="21"/>
        </w:rPr>
      </w:pPr>
      <w:r/>
      <w:bookmarkStart w:id="26" w:name="_Toc28359008"/>
      <w:r/>
      <w:bookmarkStart w:id="27" w:name="_Toc28359085"/>
      <w:r/>
      <w:bookmarkStart w:id="28" w:name="_Toc35393796"/>
      <w:r/>
      <w:bookmarkStart w:id="29" w:name="_Toc35393627"/>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获取招标文件时间：2026年4月</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6</w:t>
      </w:r>
      <w:r>
        <w:rPr>
          <w:rFonts w:hint="eastAsia" w:ascii="宋体" w:hAnsi="宋体" w:cs="宋体"/>
          <w:bCs/>
          <w:szCs w:val="21"/>
        </w:rPr>
        <w:t xml:space="preserve">日起至2026年4月</w:t>
      </w:r>
      <w:r>
        <w:rPr>
          <w:rFonts w:hint="eastAsia" w:ascii="宋体" w:hAnsi="宋体" w:cs="宋体"/>
          <w:bCs/>
          <w:szCs w:val="21"/>
          <w:lang w:val="en-US" w:eastAsia="zh-CN"/>
        </w:rPr>
        <w:t xml:space="preserve">2</w:t>
      </w:r>
      <w:r>
        <w:rPr>
          <w:rFonts w:hint="eastAsia" w:ascii="宋体" w:hAnsi="宋体" w:cs="宋体"/>
          <w:bCs/>
          <w:szCs w:val="21"/>
          <w:lang w:val="en-US" w:eastAsia="zh-CN"/>
        </w:rPr>
        <w:t xml:space="preserve">3</w:t>
      </w:r>
      <w:r>
        <w:rPr>
          <w:rFonts w:hint="eastAsia" w:ascii="宋体" w:hAnsi="宋体" w:cs="宋体"/>
          <w:bCs/>
          <w:szCs w:val="21"/>
        </w:rPr>
        <w:t xml:space="preserve">日，每天上午09:00至11:30，下午14:00至17:30（北京时间，法定节假日除外）</w:t>
      </w:r>
      <w:r>
        <w:rPr>
          <w:rFonts w:hint="eastAsia" w:ascii="宋体" w:hAnsi="宋体" w:cs="宋体"/>
          <w:szCs w:val="21"/>
        </w:rPr>
      </w:r>
      <w:r/>
    </w:p>
    <w:p>
      <w:pPr>
        <w:pStyle w:val="1434"/>
        <w:ind w:firstLine="218"/>
        <w:spacing w:line="360" w:lineRule="auto"/>
        <w:rPr>
          <w:rFonts w:hint="eastAsia" w:ascii="宋体" w:hAnsi="宋体" w:cs="宋体"/>
          <w:szCs w:val="21"/>
        </w:rPr>
      </w:pPr>
      <w:r>
        <w:rPr>
          <w:rFonts w:hint="eastAsia" w:ascii="宋体" w:hAnsi="宋体" w:cs="宋体"/>
          <w:szCs w:val="21"/>
        </w:rPr>
        <w:t xml:space="preserve">3.项目编号：</w:t>
      </w:r>
      <w:r>
        <w:rPr>
          <w:rFonts w:hint="eastAsia" w:ascii="宋体" w:hAnsi="宋体" w:cs="宋体"/>
          <w:szCs w:val="21"/>
          <w:lang w:eastAsia="zh-CN"/>
        </w:rPr>
        <w:t xml:space="preserve">JSZC-320000-SMDY-G2026-0026</w:t>
      </w:r>
      <w:r>
        <w:rPr>
          <w:rFonts w:hint="eastAsia" w:ascii="宋体" w:hAnsi="宋体" w:cs="宋体"/>
          <w:szCs w:val="21"/>
        </w:rPr>
        <w:t xml:space="preserve">（2640SUMEC/ZWGG2040）</w:t>
      </w:r>
      <w:r>
        <w:rPr>
          <w:rFonts w:hint="eastAsia" w:ascii="宋体" w:hAnsi="宋体" w:cs="宋体"/>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434"/>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地址：南京市栖霞区文澜路95号</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434"/>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434"/>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434"/>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434"/>
        <w:ind w:firstLine="638"/>
        <w:spacing w:line="360" w:lineRule="auto"/>
        <w:rPr>
          <w:rFonts w:hint="eastAsia"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025-84532585、董骐 025-84532590</w:t>
      </w:r>
      <w:r>
        <w:rPr>
          <w:rFonts w:hint="eastAsia" w:ascii="宋体" w:hAnsi="宋体" w:cs="宋体"/>
          <w:szCs w:val="21"/>
        </w:rPr>
      </w:r>
      <w:r/>
    </w:p>
    <w:p>
      <w:pPr>
        <w:pStyle w:val="1434"/>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473"/>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473"/>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43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4"/>
        <w:jc w:val="center"/>
        <w:spacing w:line="440" w:lineRule="exact"/>
        <w:rPr>
          <w:b/>
          <w:sz w:val="28"/>
          <w:szCs w:val="28"/>
        </w:rPr>
        <w:outlineLvl w:val="0"/>
      </w:pPr>
      <w:r/>
      <w:bookmarkStart w:id="34" w:name="_Toc519"/>
      <w:r/>
      <w:bookmarkStart w:id="35" w:name="_Toc28996"/>
      <w:r/>
      <w:bookmarkStart w:id="36" w:name="_Toc3873"/>
      <w:r>
        <w:rPr>
          <w:b/>
          <w:sz w:val="28"/>
          <w:szCs w:val="28"/>
        </w:rPr>
        <w:t xml:space="preserve">第二章 投标人须知</w:t>
      </w:r>
      <w:bookmarkEnd w:id="34"/>
      <w:r/>
      <w:bookmarkEnd w:id="35"/>
      <w:r/>
      <w:bookmarkEnd w:id="36"/>
      <w:r>
        <w:rPr>
          <w:b/>
          <w:sz w:val="28"/>
          <w:szCs w:val="28"/>
        </w:rPr>
      </w:r>
      <w:r/>
    </w:p>
    <w:p>
      <w:pPr>
        <w:pStyle w:val="143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43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技术咨询联系人：王嘉卉 025-84532585、董骐 025-84532590</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电动汽车充电桩综合检测系统等设备</w:t>
            </w:r>
            <w:r>
              <w:rPr>
                <w:rFonts w:hint="eastAsia" w:ascii="宋体" w:hAnsi="宋体" w:cs="宋体"/>
                <w:szCs w:val="21"/>
              </w:rPr>
            </w:r>
            <w:r/>
          </w:p>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JSZC-320000-SMDY-G2026-0026</w:t>
            </w:r>
            <w:r>
              <w:rPr>
                <w:rFonts w:hint="eastAsia" w:ascii="宋体" w:hAnsi="宋体" w:cs="宋体"/>
                <w:szCs w:val="21"/>
              </w:rPr>
              <w:t xml:space="preserve">（2640SUMEC/ZWGG2040）</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503"/>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503"/>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498"/>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43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43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43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34"/>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434"/>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szCs w:val="21"/>
                <w:highlight w:val="none"/>
              </w:rPr>
              <w:t xml:space="preserve">：电动汽车充电桩综合检测系统</w:t>
            </w:r>
            <w:r>
              <w:rPr>
                <w:rFonts w:hint="eastAsia" w:ascii="宋体" w:hAnsi="宋体" w:cs="宋体"/>
                <w:b/>
                <w:bCs/>
                <w:szCs w:val="21"/>
              </w:rPr>
            </w:r>
            <w:r/>
          </w:p>
          <w:p>
            <w:pPr>
              <w:pStyle w:val="1434"/>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767"/>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434"/>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bCs/>
                <w:szCs w:val="21"/>
              </w:rPr>
            </w:r>
            <w:r/>
          </w:p>
          <w:p>
            <w:pPr>
              <w:pStyle w:val="1503"/>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503"/>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503"/>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434"/>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434"/>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34"/>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434"/>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434"/>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434"/>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434"/>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434"/>
        <w:ind w:firstLine="420"/>
        <w:spacing w:line="360" w:lineRule="auto"/>
        <w:shd w:val="clear" w:color="auto" w:fill="ffffff"/>
        <w:widowControl/>
        <w:rPr>
          <w:rFonts w:hint="eastAsia" w:ascii="宋体" w:hAnsi="宋体" w:cs="宋体"/>
          <w:color w:val="000000"/>
          <w:szCs w:val="21"/>
        </w:rPr>
        <w:outlineLvl w:val="1"/>
      </w:pPr>
      <w:r/>
      <w:bookmarkStart w:id="37" w:name="_Toc17596"/>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434"/>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17190"/>
      <w:r/>
      <w:bookmarkStart w:id="43" w:name="_Toc16938520"/>
      <w:r/>
      <w:bookmarkStart w:id="44" w:name="_Toc24947"/>
      <w:r/>
      <w:bookmarkStart w:id="45" w:name="_Toc458694821"/>
      <w:r/>
      <w:bookmarkStart w:id="46" w:name="_Toc513029204"/>
      <w:r/>
      <w:bookmarkStart w:id="47" w:name="_Toc20823276"/>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434"/>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434"/>
        <w:ind w:firstLine="420"/>
        <w:spacing w:line="360" w:lineRule="auto"/>
        <w:rPr>
          <w:rFonts w:hint="eastAsia" w:ascii="宋体" w:hAnsi="宋体" w:cs="宋体"/>
          <w:b/>
          <w:szCs w:val="21"/>
          <w:lang w:val="zh-CN"/>
        </w:rPr>
        <w:outlineLvl w:val="2"/>
      </w:pPr>
      <w:r/>
      <w:bookmarkStart w:id="48" w:name="_Toc6911"/>
      <w:r/>
      <w:bookmarkStart w:id="49" w:name="_Toc10994"/>
      <w:r/>
      <w:bookmarkStart w:id="50" w:name="_Toc290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434"/>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434"/>
        <w:ind w:firstLine="422"/>
        <w:spacing w:line="360" w:lineRule="auto"/>
        <w:rPr>
          <w:rFonts w:hint="eastAsia" w:ascii="宋体" w:hAnsi="宋体" w:cs="宋体"/>
          <w:bCs/>
          <w:szCs w:val="21"/>
        </w:rPr>
        <w:outlineLvl w:val="2"/>
      </w:pPr>
      <w:r/>
      <w:bookmarkStart w:id="51" w:name="_Toc4762"/>
      <w:r>
        <w:rPr>
          <w:rFonts w:hint="eastAsia" w:ascii="宋体" w:hAnsi="宋体" w:cs="宋体"/>
          <w:b/>
          <w:szCs w:val="21"/>
        </w:rPr>
        <w:t xml:space="preserve">3.政策功能</w:t>
      </w:r>
      <w:bookmarkEnd w:id="51"/>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434"/>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434"/>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434"/>
        <w:ind w:firstLine="420"/>
        <w:spacing w:line="360" w:lineRule="auto"/>
        <w:rPr>
          <w:rFonts w:hint="eastAsia" w:ascii="宋体" w:hAnsi="宋体" w:cs="宋体"/>
          <w:bCs/>
          <w:szCs w:val="21"/>
        </w:rPr>
        <w:outlineLvl w:val="2"/>
      </w:pPr>
      <w:r/>
      <w:bookmarkStart w:id="60" w:name="_Toc28481"/>
      <w:r/>
      <w:bookmarkStart w:id="61" w:name="_Toc2242"/>
      <w:r/>
      <w:bookmarkStart w:id="62" w:name="_Toc14793"/>
      <w:r/>
      <w:bookmarkStart w:id="63" w:name="_Toc27988"/>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434"/>
        <w:ind w:firstLine="420"/>
        <w:spacing w:line="360" w:lineRule="auto"/>
        <w:rPr>
          <w:rFonts w:hint="eastAsia" w:ascii="宋体" w:hAnsi="宋体" w:cs="宋体"/>
          <w:b/>
          <w:szCs w:val="21"/>
          <w:lang w:val="zh-CN"/>
        </w:rPr>
        <w:outlineLvl w:val="2"/>
      </w:pPr>
      <w:r/>
      <w:bookmarkStart w:id="64" w:name="_Toc13991"/>
      <w:r/>
      <w:bookmarkStart w:id="65" w:name="_Toc16938523"/>
      <w:r/>
      <w:bookmarkStart w:id="66" w:name="_Toc4759"/>
      <w:r/>
      <w:bookmarkStart w:id="67" w:name="_Toc462564067"/>
      <w:r/>
      <w:bookmarkStart w:id="68" w:name="_Toc20823279"/>
      <w:r/>
      <w:bookmarkStart w:id="69" w:name="_Toc17711"/>
      <w:r/>
      <w:bookmarkStart w:id="70" w:name="_Toc513029207"/>
      <w:r/>
      <w:bookmarkStart w:id="71" w:name="_Toc7066"/>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434"/>
        <w:ind w:firstLine="420"/>
        <w:spacing w:line="360" w:lineRule="auto"/>
        <w:rPr>
          <w:rFonts w:hint="eastAsia" w:ascii="宋体" w:hAnsi="宋体" w:cs="宋体"/>
          <w:b/>
          <w:szCs w:val="21"/>
          <w:lang w:val="zh-CN"/>
        </w:rPr>
        <w:outlineLvl w:val="2"/>
      </w:pPr>
      <w:r/>
      <w:bookmarkStart w:id="72" w:name="_Toc20613"/>
      <w:r/>
      <w:bookmarkStart w:id="73" w:name="_Toc344"/>
      <w:r/>
      <w:bookmarkStart w:id="74" w:name="_Toc12252"/>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75" w:name="_Toc15606"/>
      <w:r/>
      <w:bookmarkStart w:id="76" w:name="_Toc120614215"/>
      <w:r/>
      <w:bookmarkStart w:id="77" w:name="_Toc16938525"/>
      <w:r/>
      <w:bookmarkStart w:id="78" w:name="_Toc20823281"/>
      <w:r/>
      <w:bookmarkStart w:id="79" w:name="_Toc513029209"/>
      <w:r/>
      <w:bookmarkStart w:id="80" w:name="_Toc15035"/>
      <w:r/>
      <w:bookmarkStart w:id="81" w:name="_Toc18056"/>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434"/>
        <w:ind w:firstLine="420"/>
        <w:spacing w:line="360" w:lineRule="auto"/>
        <w:rPr>
          <w:rFonts w:hint="eastAsia" w:ascii="宋体" w:hAnsi="宋体" w:cs="宋体"/>
          <w:b/>
          <w:szCs w:val="21"/>
          <w:lang w:val="zh-CN"/>
        </w:rPr>
        <w:outlineLvl w:val="2"/>
      </w:pPr>
      <w:r/>
      <w:bookmarkStart w:id="82" w:name="_Toc16370"/>
      <w:r/>
      <w:bookmarkStart w:id="83" w:name="_Toc13853"/>
      <w:r/>
      <w:bookmarkStart w:id="84" w:name="_Toc513029210"/>
      <w:r/>
      <w:bookmarkStart w:id="85" w:name="_Toc16938526"/>
      <w:r/>
      <w:bookmarkStart w:id="86" w:name="_Toc20823282"/>
      <w:r/>
      <w:bookmarkStart w:id="87" w:name="_Toc31631"/>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43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4415"/>
      <w:r/>
      <w:bookmarkStart w:id="89" w:name="_Toc710"/>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34"/>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434"/>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434"/>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434"/>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434"/>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26625"/>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15966"/>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434"/>
        <w:ind w:firstLine="420"/>
        <w:spacing w:line="360" w:lineRule="auto"/>
        <w:rPr>
          <w:rFonts w:hint="eastAsia" w:ascii="宋体" w:hAnsi="宋体" w:cs="宋体"/>
          <w:b/>
          <w:szCs w:val="21"/>
          <w:lang w:val="zh-CN"/>
        </w:rPr>
        <w:outlineLvl w:val="2"/>
      </w:pPr>
      <w:r/>
      <w:bookmarkStart w:id="98" w:name="_Toc30894"/>
      <w:r/>
      <w:bookmarkStart w:id="99" w:name="_Toc31000"/>
      <w:r/>
      <w:bookmarkStart w:id="100" w:name="_Toc1281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434"/>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434"/>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437"/>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610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9793"/>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434"/>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434"/>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966"/>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34"/>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14972"/>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115" w:name="_Toc11232"/>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434"/>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20823297"/>
      <w:r/>
      <w:bookmarkStart w:id="118" w:name="_Toc16938541"/>
      <w:r/>
      <w:bookmarkStart w:id="119" w:name="_Toc513029225"/>
      <w:r/>
      <w:bookmarkStart w:id="120" w:name="_Toc2706"/>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513029226"/>
      <w:r/>
      <w:bookmarkStart w:id="127" w:name="_Toc20823298"/>
      <w:r/>
      <w:bookmarkStart w:id="128" w:name="_Toc16938542"/>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4"/>
        <w:ind w:firstLine="422"/>
        <w:spacing w:line="360" w:lineRule="auto"/>
        <w:tabs>
          <w:tab w:val="left" w:pos="480" w:leader="none"/>
        </w:tabs>
        <w:rPr>
          <w:rFonts w:hint="eastAsia" w:ascii="宋体" w:hAnsi="宋体" w:cs="宋体"/>
          <w:b/>
          <w:bCs/>
          <w:szCs w:val="21"/>
        </w:rPr>
        <w:outlineLvl w:val="2"/>
      </w:pPr>
      <w:r/>
      <w:bookmarkStart w:id="129" w:name="_Toc15250"/>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4"/>
        <w:ind w:firstLine="422"/>
        <w:spacing w:line="360" w:lineRule="auto"/>
        <w:tabs>
          <w:tab w:val="left" w:pos="480" w:leader="none"/>
        </w:tabs>
        <w:rPr>
          <w:rFonts w:hint="eastAsia" w:ascii="宋体" w:hAnsi="宋体" w:cs="宋体"/>
          <w:b/>
          <w:bCs/>
          <w:color w:val="000000"/>
          <w:szCs w:val="21"/>
        </w:rPr>
        <w:outlineLvl w:val="2"/>
      </w:pPr>
      <w:r/>
      <w:bookmarkStart w:id="130" w:name="_Toc513029227"/>
      <w:r/>
      <w:bookmarkStart w:id="131" w:name="_Toc20823299"/>
      <w:r/>
      <w:bookmarkStart w:id="132" w:name="_Toc16938543"/>
      <w:r/>
      <w:bookmarkStart w:id="133" w:name="_Toc20539"/>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Pr>
          <w:rFonts w:hint="eastAsia" w:ascii="宋体" w:hAnsi="宋体" w:cs="宋体"/>
          <w:b/>
          <w:bCs/>
          <w:color w:val="000000"/>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434"/>
        <w:ind w:firstLine="422"/>
        <w:spacing w:line="360" w:lineRule="auto"/>
        <w:tabs>
          <w:tab w:val="left" w:pos="480" w:leader="none"/>
        </w:tabs>
        <w:rPr>
          <w:rFonts w:hint="eastAsia" w:ascii="宋体" w:hAnsi="宋体" w:cs="宋体"/>
          <w:szCs w:val="21"/>
        </w:rPr>
        <w:outlineLvl w:val="2"/>
      </w:pPr>
      <w:r/>
      <w:bookmarkStart w:id="134" w:name="_Toc20823300"/>
      <w:r/>
      <w:bookmarkStart w:id="135" w:name="_Toc16938544"/>
      <w:r/>
      <w:bookmarkStart w:id="136" w:name="_Toc513029228"/>
      <w:r/>
      <w:bookmarkStart w:id="137" w:name="_Toc11889"/>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513029229"/>
      <w:r/>
      <w:bookmarkStart w:id="139" w:name="_Toc120614218"/>
      <w:r/>
      <w:bookmarkStart w:id="140" w:name="_Toc24233"/>
      <w:r/>
      <w:bookmarkStart w:id="141" w:name="_Toc7027"/>
      <w:r/>
      <w:bookmarkStart w:id="142" w:name="_Toc20823301"/>
      <w:r/>
      <w:bookmarkStart w:id="143" w:name="_Toc17841"/>
      <w:r/>
      <w:bookmarkStart w:id="144" w:name="_Toc16938545"/>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5878"/>
      <w:r/>
      <w:bookmarkStart w:id="146" w:name="_Toc15345"/>
      <w:r/>
      <w:bookmarkStart w:id="147" w:name="_Toc13829"/>
      <w:r/>
      <w:bookmarkStart w:id="148" w:name="_Toc3679"/>
      <w:r/>
      <w:bookmarkStart w:id="149" w:name="_Toc201"/>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6150"/>
      <w:r/>
      <w:bookmarkStart w:id="154" w:name="_Toc18343"/>
      <w:r/>
      <w:bookmarkStart w:id="155" w:name="_Toc29284"/>
      <w:r/>
      <w:bookmarkStart w:id="156" w:name="_Toc16938547"/>
      <w:r/>
      <w:bookmarkStart w:id="157" w:name="_Toc513029231"/>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18540"/>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434"/>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434"/>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434"/>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434"/>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434"/>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434"/>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43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66" w:name="_Toc9711"/>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67" w:name="_Toc25845"/>
      <w:r/>
      <w:bookmarkStart w:id="168" w:name="_Toc438"/>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34"/>
        <w:ind w:firstLine="420"/>
        <w:spacing w:line="360" w:lineRule="auto"/>
        <w:rPr>
          <w:rFonts w:hint="eastAsia" w:ascii="宋体" w:hAnsi="宋体" w:cs="宋体"/>
          <w:szCs w:val="21"/>
        </w:rPr>
      </w:pPr>
      <w:r/>
      <w:bookmarkEnd w:id="165"/>
      <w:r/>
      <w:bookmarkStart w:id="169" w:name="_Toc21985"/>
      <w:r/>
      <w:bookmarkStart w:id="170" w:name="_Toc12358"/>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73" w:name="_Toc30240"/>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bookmarkEnd w:id="172"/>
      <w:r/>
      <w:bookmarkStart w:id="174" w:name="_Toc26041"/>
      <w:r/>
      <w:bookmarkStart w:id="175" w:name="_Toc30824"/>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6420"/>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10572"/>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181" w:name="_Toc22554"/>
      <w:r/>
      <w:bookmarkStart w:id="182" w:name="_Toc5044"/>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3388"/>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3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8791"/>
      <w:r/>
      <w:bookmarkStart w:id="188" w:name="_Toc21169"/>
      <w:r/>
      <w:bookmarkStart w:id="189" w:name="_Toc17252"/>
      <w:r/>
      <w:bookmarkStart w:id="190" w:name="_Toc19713"/>
      <w:r/>
      <w:bookmarkStart w:id="191" w:name="_Toc3218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4995"/>
      <w:r/>
      <w:bookmarkStart w:id="194" w:name="_Toc28003"/>
      <w:r/>
      <w:bookmarkStart w:id="195" w:name="_Toc2049"/>
      <w:r/>
      <w:bookmarkStart w:id="196" w:name="_Toc15484"/>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21608"/>
      <w:r/>
      <w:bookmarkStart w:id="200" w:name="_Toc11230"/>
      <w:r/>
      <w:bookmarkStart w:id="201" w:name="_Toc1550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34"/>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434"/>
        <w:ind w:firstLine="420"/>
        <w:spacing w:line="360" w:lineRule="auto"/>
        <w:shd w:val="clear" w:color="auto" w:fill="ffffff"/>
        <w:widowControl/>
        <w:rPr>
          <w:rFonts w:hint="eastAsia" w:ascii="宋体" w:hAnsi="宋体" w:cs="宋体"/>
          <w:b/>
          <w:bCs/>
          <w:color w:val="000000"/>
          <w:szCs w:val="21"/>
        </w:rPr>
        <w:outlineLvl w:val="1"/>
      </w:pPr>
      <w:r/>
      <w:bookmarkStart w:id="204" w:name="_Toc9371"/>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437"/>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29529"/>
      <w:r/>
      <w:bookmarkStart w:id="206" w:name="_Toc27054"/>
      <w:r/>
      <w:bookmarkStart w:id="207" w:name="_Toc16085"/>
      <w:r/>
      <w:bookmarkStart w:id="208" w:name="_Toc19917"/>
      <w:r/>
      <w:bookmarkStart w:id="209" w:name="_Toc4679"/>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434"/>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3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43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4"/>
        <w:ind w:firstLine="420"/>
        <w:spacing w:line="440" w:lineRule="exact"/>
        <w:rPr>
          <w:bCs/>
          <w:szCs w:val="21"/>
        </w:rPr>
      </w:pPr>
      <w:r>
        <w:rPr>
          <w:bCs/>
          <w:szCs w:val="21"/>
        </w:rPr>
      </w:r>
      <w:r/>
    </w:p>
    <w:p>
      <w:pPr>
        <w:pStyle w:val="1434"/>
        <w:jc w:val="center"/>
        <w:spacing w:line="440" w:lineRule="exact"/>
        <w:rPr>
          <w:b/>
          <w:sz w:val="28"/>
          <w:szCs w:val="28"/>
        </w:rPr>
        <w:outlineLvl w:val="0"/>
      </w:pPr>
      <w:r/>
      <w:bookmarkStart w:id="210" w:name="_Toc142623417"/>
      <w:r/>
      <w:bookmarkEnd w:id="210"/>
      <w:r/>
      <w:bookmarkStart w:id="211" w:name="_Toc521839351"/>
      <w:r/>
      <w:bookmarkEnd w:id="211"/>
      <w:r/>
      <w:bookmarkStart w:id="212" w:name="_Toc522347554"/>
      <w:r/>
      <w:bookmarkEnd w:id="212"/>
      <w:r/>
      <w:bookmarkStart w:id="213" w:name="_Toc189726853"/>
      <w:r/>
      <w:bookmarkEnd w:id="213"/>
      <w:r/>
      <w:bookmarkStart w:id="214" w:name="_Toc163629751"/>
      <w:r/>
      <w:bookmarkEnd w:id="214"/>
      <w:r/>
      <w:bookmarkStart w:id="215" w:name="_Toc25032666"/>
      <w:r/>
      <w:bookmarkEnd w:id="215"/>
      <w:r/>
      <w:bookmarkStart w:id="216" w:name="_Hlk297273538"/>
      <w:r/>
      <w:bookmarkEnd w:id="216"/>
      <w:r/>
      <w:bookmarkStart w:id="217" w:name="_Toc12622"/>
      <w:r/>
      <w:bookmarkStart w:id="218" w:name="_Toc16918"/>
      <w:r>
        <w:rPr>
          <w:b/>
          <w:sz w:val="28"/>
          <w:szCs w:val="28"/>
        </w:rPr>
        <w:br w:type="page" w:clear="all"/>
      </w:r>
      <w:bookmarkStart w:id="219" w:name="_Toc11239"/>
      <w:r>
        <w:rPr>
          <w:b/>
          <w:sz w:val="28"/>
          <w:szCs w:val="28"/>
        </w:rPr>
        <w:t xml:space="preserve">第三章 评标标准</w:t>
      </w:r>
      <w:bookmarkEnd w:id="217"/>
      <w:r/>
      <w:bookmarkEnd w:id="218"/>
      <w:r/>
      <w:bookmarkEnd w:id="219"/>
      <w:r>
        <w:rPr>
          <w:b/>
          <w:sz w:val="28"/>
          <w:szCs w:val="28"/>
        </w:rPr>
      </w:r>
      <w:r/>
    </w:p>
    <w:p>
      <w:pPr>
        <w:pStyle w:val="1434"/>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434"/>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434"/>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34"/>
        <w:ind w:firstLine="420"/>
        <w:spacing w:line="360" w:lineRule="auto"/>
        <w:rPr>
          <w:rFonts w:hint="eastAsia"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512"/>
        <w:gridCol w:w="6892"/>
        <w:gridCol w:w="749"/>
      </w:tblGrid>
      <w:tr>
        <w:trPr/>
        <w:tc>
          <w:tcPr>
            <w:tcW w:w="701" w:type="dxa"/>
            <w:vAlign w:val="center"/>
            <w:textDirection w:val="lrTb"/>
            <w:noWrap/>
          </w:tcPr>
          <w:p>
            <w:pPr>
              <w:pStyle w:val="1434"/>
              <w:jc w:val="center"/>
              <w:keepLines w:val="0"/>
              <w:keepNext w:val="0"/>
              <w:pageBreakBefore w:val="0"/>
              <w:spacing w:line="44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512" w:type="dxa"/>
            <w:vAlign w:val="center"/>
            <w:textDirection w:val="lrTb"/>
            <w:noWrap/>
          </w:tcPr>
          <w:p>
            <w:pPr>
              <w:pStyle w:val="1434"/>
              <w:jc w:val="center"/>
              <w:keepLines w:val="0"/>
              <w:keepNext w:val="0"/>
              <w:pageBreakBefore w:val="0"/>
              <w:spacing w:line="44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6892" w:type="dxa"/>
            <w:vAlign w:val="center"/>
            <w:textDirection w:val="lrTb"/>
            <w:noWrap/>
          </w:tcPr>
          <w:p>
            <w:pPr>
              <w:pStyle w:val="1434"/>
              <w:jc w:val="center"/>
              <w:keepLines w:val="0"/>
              <w:keepNext w:val="0"/>
              <w:pageBreakBefore w:val="0"/>
              <w:spacing w:line="44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749" w:type="dxa"/>
            <w:vAlign w:val="center"/>
            <w:textDirection w:val="lrTb"/>
            <w:noWrap/>
          </w:tcPr>
          <w:p>
            <w:pPr>
              <w:pStyle w:val="1434"/>
              <w:jc w:val="center"/>
              <w:keepLines w:val="0"/>
              <w:keepNext w:val="0"/>
              <w:pageBreakBefore w:val="0"/>
              <w:spacing w:line="44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701" w:type="dxa"/>
            <w:vAlign w:val="center"/>
            <w:textDirection w:val="lrTb"/>
            <w:noWrap/>
          </w:tcPr>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12"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Pr>
        <w:tc>
          <w:tcPr>
            <w:tcW w:w="701" w:type="dxa"/>
            <w:vAlign w:val="center"/>
            <w:textDirection w:val="lrTb"/>
            <w:noWrap/>
          </w:tcPr>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512" w:type="dxa"/>
            <w:vAlign w:val="center"/>
            <w:vMerge w:val="restart"/>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技术及商务响应</w:t>
            </w:r>
            <w:r>
              <w:rPr>
                <w:rFonts w:hint="eastAsia" w:ascii="宋体" w:hAnsi="宋体" w:cs="宋体"/>
                <w:szCs w:val="21"/>
              </w:rPr>
            </w:r>
            <w:r/>
          </w:p>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（40分）</w:t>
            </w: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设备技术参数及商务要求全部满足招标要求的得满分37分；</w:t>
            </w:r>
            <w:r>
              <w:rPr>
                <w:rFonts w:ascii="宋体" w:hAnsi="宋体" w:cs="宋体"/>
                <w:szCs w:val="21"/>
              </w:rPr>
            </w:r>
            <w:r/>
          </w:p>
          <w:p>
            <w:pPr>
              <w:pStyle w:val="1434"/>
              <w:keepLines w:val="0"/>
              <w:keepNext w:val="0"/>
              <w:pageBreakBefore w:val="0"/>
              <w:spacing w:line="44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w:t>
            </w:r>
            <w:r>
              <w:rPr>
                <w:rFonts w:hint="eastAsia" w:ascii="宋体" w:hAnsi="宋体" w:cs="宋体"/>
                <w:szCs w:val="21"/>
                <w:highlight w:val="none"/>
              </w:rPr>
              <w:t xml:space="preserve">偏离扣</w:t>
            </w:r>
            <w:r>
              <w:rPr>
                <w:rFonts w:hint="eastAsia" w:ascii="宋体" w:hAnsi="宋体" w:cs="宋体"/>
                <w:szCs w:val="21"/>
                <w:highlight w:val="none"/>
                <w:lang w:val="en-US" w:eastAsia="zh-CN"/>
              </w:rPr>
              <w:t xml:space="preserve">0.26</w:t>
            </w:r>
            <w:r>
              <w:rPr>
                <w:rFonts w:hint="eastAsia" w:ascii="宋体" w:hAnsi="宋体" w:cs="宋体"/>
                <w:szCs w:val="21"/>
                <w:highlight w:val="none"/>
              </w:rPr>
              <w:t xml:space="preserve">分，扣完为止。所有技术参数中，简单复制招标文件并标注响应或无偏离而又</w:t>
            </w:r>
            <w:r>
              <w:rPr>
                <w:rFonts w:hint="eastAsia" w:ascii="宋体" w:hAnsi="宋体" w:cs="宋体"/>
                <w:szCs w:val="21"/>
              </w:rPr>
              <w:t xml:space="preserve">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434"/>
              <w:keepLines w:val="0"/>
              <w:keepNext w:val="0"/>
              <w:pageBreakBefore w:val="0"/>
              <w:spacing w:line="44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szCs w:val="21"/>
              </w:rPr>
              <w:t xml:space="preserve">中标注"★"的无需提供。</w:t>
            </w:r>
            <w:r>
              <w:rPr>
                <w:rFonts w:ascii="Calibri" w:hAnsi="Calibri"/>
                <w:szCs w:val="21"/>
              </w:rPr>
            </w:r>
            <w:r/>
          </w:p>
        </w:tc>
        <w:tc>
          <w:tcPr>
            <w:tcW w:w="749"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37</w:t>
            </w:r>
            <w:r>
              <w:rPr>
                <w:rFonts w:hint="eastAsia" w:ascii="宋体" w:hAnsi="宋体" w:cs="宋体"/>
                <w:szCs w:val="21"/>
              </w:rPr>
            </w:r>
            <w:r/>
          </w:p>
        </w:tc>
      </w:tr>
      <w:tr>
        <w:trPr>
          <w:cantSplit/>
        </w:trPr>
        <w:tc>
          <w:tcPr>
            <w:tcW w:w="701"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r>
            <w:r/>
          </w:p>
        </w:tc>
        <w:tc>
          <w:tcPr>
            <w:tcW w:w="1512" w:type="dxa"/>
            <w:vAlign w:val="center"/>
            <w:vMerge w:val="continue"/>
            <w:textDirection w:val="lrTb"/>
            <w:noWrap/>
          </w:tcPr>
          <w:p>
            <w:pPr>
              <w:pStyle w:val="1434"/>
              <w:jc w:val="center"/>
              <w:keepLines w:val="0"/>
              <w:keepNext w:val="0"/>
              <w:pageBreakBefore w:val="0"/>
              <w:spacing w:line="44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产品选型与规格完全匹配项目需求；设计方案内容详实，执行标准明确；材质选用列明具体品牌、牌号或技术等级；制造工艺描述清晰，包含关键制造工艺工序的，得3分；</w:t>
            </w:r>
            <w:r>
              <w:rPr>
                <w:rFonts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产品选型与规格符合项目需求；设计方案完整；材质选用说明材质类型；制造工艺有基本描述，得2分；</w:t>
            </w:r>
            <w:r>
              <w:rPr>
                <w:rFonts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产品选型、规格、设计方案、性能、材质选用或制造工艺中有任一内容与采购文件要求存在负偏离得1分；</w:t>
            </w:r>
            <w:r>
              <w:rPr>
                <w:rFonts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未提供得0分。</w:t>
            </w:r>
            <w:r>
              <w:rPr>
                <w:rFonts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Pr>
        <w:tc>
          <w:tcPr>
            <w:tcW w:w="701" w:type="dxa"/>
            <w:vAlign w:val="center"/>
            <w:vMerge w:val="restart"/>
            <w:textDirection w:val="lrTb"/>
            <w:noWrap/>
          </w:tcPr>
          <w:p>
            <w:pPr>
              <w:pStyle w:val="1434"/>
              <w:jc w:val="center"/>
              <w:keepLines w:val="0"/>
              <w:keepNext w:val="0"/>
              <w:pageBreakBefore w:val="0"/>
              <w:spacing w:line="440" w:lineRule="exact"/>
              <w:rPr>
                <w:rFonts w:hint="eastAsia" w:ascii="宋体" w:hAnsi="宋体" w:cs="宋体"/>
                <w:szCs w:val="21"/>
                <w:highlight w:val="cyan"/>
              </w:rPr>
            </w:pPr>
            <w:r>
              <w:rPr>
                <w:rFonts w:hint="eastAsia" w:ascii="宋体" w:hAnsi="宋体" w:cs="宋体"/>
                <w:szCs w:val="21"/>
              </w:rPr>
              <w:t xml:space="preserve">3</w:t>
            </w:r>
            <w:r>
              <w:rPr>
                <w:rFonts w:hint="eastAsia" w:ascii="宋体" w:hAnsi="宋体" w:cs="宋体"/>
                <w:szCs w:val="21"/>
                <w:highlight w:val="cyan"/>
              </w:rPr>
            </w:r>
            <w:r/>
          </w:p>
        </w:tc>
        <w:tc>
          <w:tcPr>
            <w:tcW w:w="1512" w:type="dxa"/>
            <w:vAlign w:val="center"/>
            <w:vMerge w:val="restart"/>
            <w:textDirection w:val="lrTb"/>
            <w:noWrap/>
          </w:tcPr>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hint="eastAsia"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包括但不限于项目技术方案、改造方案、供货计划、质量保障措施、风险控制管理措施等）</w:t>
            </w:r>
            <w:r>
              <w:rPr>
                <w:rFonts w:hint="eastAsia" w:ascii="宋体" w:hAnsi="宋体" w:cs="宋体"/>
                <w:szCs w:val="21"/>
                <w:lang w:bidi="ar"/>
              </w:rPr>
              <w:t xml:space="preserve">进行打分：</w:t>
            </w:r>
            <w:r>
              <w:rPr>
                <w:rFonts w:hint="eastAsia" w:ascii="宋体" w:hAnsi="宋体" w:cs="宋体"/>
                <w:szCs w:val="21"/>
              </w:rPr>
            </w:r>
            <w:r/>
          </w:p>
          <w:p>
            <w:pPr>
              <w:pStyle w:val="1434"/>
              <w:keepLines w:val="0"/>
              <w:keepNext w:val="0"/>
              <w:pageBreakBefore w:val="0"/>
              <w:spacing w:line="440" w:lineRule="exact"/>
              <w:widowControl/>
              <w:rPr>
                <w:rFonts w:hint="eastAsia" w:ascii="宋体" w:hAnsi="宋体" w:cs="宋体"/>
                <w:szCs w:val="21"/>
              </w:rPr>
            </w:pPr>
            <w:r>
              <w:rPr>
                <w:rFonts w:hint="eastAsia" w:ascii="宋体" w:hAnsi="宋体" w:cs="宋体"/>
                <w:szCs w:val="21"/>
                <w:lang w:bidi="ar"/>
              </w:rPr>
              <w:t xml:space="preserve">实施方案全面具体、内容详实，优于采购人要求的得</w:t>
            </w:r>
            <w:r>
              <w:rPr>
                <w:rFonts w:ascii="宋体" w:hAnsi="宋体" w:cs="宋体"/>
                <w:szCs w:val="21"/>
                <w:lang w:bidi="ar"/>
              </w:rPr>
              <w:t xml:space="preserve">6</w:t>
            </w:r>
            <w:r>
              <w:rPr>
                <w:rFonts w:hint="eastAsia" w:ascii="宋体" w:hAnsi="宋体" w:cs="宋体"/>
                <w:szCs w:val="21"/>
                <w:lang w:bidi="ar"/>
              </w:rPr>
              <w:t xml:space="preserve">分； </w:t>
            </w:r>
            <w:r>
              <w:rPr>
                <w:rFonts w:hint="eastAsia" w:ascii="宋体" w:hAnsi="宋体" w:cs="宋体"/>
                <w:szCs w:val="21"/>
              </w:rPr>
            </w:r>
            <w:r/>
          </w:p>
          <w:p>
            <w:pPr>
              <w:pStyle w:val="1434"/>
              <w:keepLines w:val="0"/>
              <w:keepNext w:val="0"/>
              <w:pageBreakBefore w:val="0"/>
              <w:spacing w:line="440" w:lineRule="exact"/>
              <w:widowControl/>
              <w:rPr>
                <w:rFonts w:hint="eastAsia" w:ascii="宋体" w:hAnsi="宋体" w:cs="宋体"/>
                <w:szCs w:val="21"/>
              </w:rPr>
            </w:pPr>
            <w:r>
              <w:rPr>
                <w:rFonts w:hint="eastAsia" w:ascii="宋体" w:hAnsi="宋体" w:cs="宋体"/>
                <w:szCs w:val="21"/>
                <w:lang w:bidi="ar"/>
              </w:rPr>
              <w:t xml:space="preserve">实施方案较全面、内容完整，能够满足采购人要求的得</w:t>
            </w:r>
            <w:r>
              <w:rPr>
                <w:rFonts w:ascii="宋体" w:hAnsi="宋体" w:cs="宋体"/>
                <w:szCs w:val="21"/>
                <w:lang w:bidi="ar"/>
              </w:rPr>
              <w:t xml:space="preserve">3</w:t>
            </w:r>
            <w:r>
              <w:rPr>
                <w:rFonts w:hint="eastAsia" w:ascii="宋体" w:hAnsi="宋体" w:cs="宋体"/>
                <w:szCs w:val="21"/>
                <w:lang w:bidi="ar"/>
              </w:rPr>
              <w:t xml:space="preserve">分；</w:t>
            </w:r>
            <w:r>
              <w:rPr>
                <w:rFonts w:hint="eastAsia" w:ascii="宋体" w:hAnsi="宋体" w:cs="宋体"/>
                <w:szCs w:val="21"/>
              </w:rPr>
            </w:r>
            <w:r/>
          </w:p>
          <w:p>
            <w:pPr>
              <w:pStyle w:val="1434"/>
              <w:keepLines w:val="0"/>
              <w:keepNext w:val="0"/>
              <w:pageBreakBefore w:val="0"/>
              <w:spacing w:line="440" w:lineRule="exact"/>
              <w:widowControl/>
              <w:rPr>
                <w:rFonts w:hint="eastAsia" w:ascii="宋体" w:hAnsi="宋体" w:cs="宋体"/>
                <w:szCs w:val="21"/>
              </w:rPr>
            </w:pPr>
            <w:r>
              <w:rPr>
                <w:rFonts w:hint="eastAsia" w:ascii="宋体" w:hAnsi="宋体" w:cs="宋体"/>
                <w:szCs w:val="21"/>
                <w:lang w:bidi="ar"/>
              </w:rPr>
              <w:t xml:space="preserve">实施方案不全面、内容空泛，不能完全满足采购人的要求的得</w:t>
            </w:r>
            <w:r>
              <w:rPr>
                <w:rFonts w:ascii="宋体" w:hAnsi="宋体" w:cs="宋体"/>
                <w:szCs w:val="21"/>
                <w:lang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701" w:type="dxa"/>
            <w:vAlign w:val="center"/>
            <w:vMerge w:val="continue"/>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r>
            <w:r/>
          </w:p>
        </w:tc>
        <w:tc>
          <w:tcPr>
            <w:tcW w:w="1512" w:type="dxa"/>
            <w:vAlign w:val="center"/>
            <w:vMerge w:val="continue"/>
            <w:textDirection w:val="lrTb"/>
            <w:noWrap/>
          </w:tcPr>
          <w:p>
            <w:pPr>
              <w:pStyle w:val="1434"/>
              <w:jc w:val="center"/>
              <w:keepLines w:val="0"/>
              <w:keepNext w:val="0"/>
              <w:pageBreakBefore w:val="0"/>
              <w:spacing w:line="44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434"/>
              <w:jc w:val="left"/>
              <w:keepLines w:val="0"/>
              <w:keepNext w:val="0"/>
              <w:pageBreakBefore w:val="0"/>
              <w:spacing w:line="440" w:lineRule="exact"/>
              <w:widowControl/>
              <w:rPr>
                <w:rFonts w:hint="eastAsia" w:ascii="宋体" w:hAnsi="宋体" w:cs="宋体"/>
                <w:szCs w:val="21"/>
              </w:rPr>
            </w:pPr>
            <w:r>
              <w:rPr>
                <w:rFonts w:hint="eastAsia" w:ascii="宋体" w:hAnsi="宋体" w:cs="宋体"/>
                <w:szCs w:val="21"/>
              </w:rPr>
              <w:t xml:space="preserve">实施方案技术支撑配置优于采购人的要求，具有针对性，项目进度分析清晰具体的得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r>
            <w:r/>
          </w:p>
          <w:p>
            <w:pPr>
              <w:pStyle w:val="1434"/>
              <w:jc w:val="left"/>
              <w:keepLines w:val="0"/>
              <w:keepNext w:val="0"/>
              <w:pageBreakBefore w:val="0"/>
              <w:spacing w:line="440" w:lineRule="exact"/>
              <w:widowControl/>
              <w:rPr>
                <w:rFonts w:hint="eastAsia" w:ascii="宋体" w:hAnsi="宋体" w:cs="宋体"/>
                <w:szCs w:val="21"/>
              </w:rPr>
            </w:pPr>
            <w:r>
              <w:rPr>
                <w:rFonts w:hint="eastAsia" w:ascii="宋体" w:hAnsi="宋体" w:cs="宋体"/>
                <w:szCs w:val="21"/>
              </w:rPr>
              <w:t xml:space="preserve">实施方案技术支撑配置满足采购人的要求，项目进度分析清晰的得</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1434"/>
              <w:jc w:val="left"/>
              <w:keepLines w:val="0"/>
              <w:keepNext w:val="0"/>
              <w:pageBreakBefore w:val="0"/>
              <w:spacing w:line="440" w:lineRule="exact"/>
              <w:widowControl/>
              <w:rPr>
                <w:rFonts w:hint="eastAsia" w:ascii="宋体" w:hAnsi="宋体" w:cs="宋体"/>
                <w:szCs w:val="21"/>
              </w:rPr>
            </w:pPr>
            <w:r>
              <w:rPr>
                <w:rFonts w:hint="eastAsia" w:ascii="宋体" w:hAnsi="宋体" w:cs="宋体"/>
                <w:szCs w:val="21"/>
              </w:rPr>
              <w:t xml:space="preserve">实施方案技术支撑配置不能完全满足采购人的要求，项目进度不清晰的得1分；</w:t>
            </w:r>
            <w:r>
              <w:rPr>
                <w:rFonts w:hint="eastAsia" w:ascii="宋体" w:hAnsi="宋体" w:cs="宋体"/>
                <w:szCs w:val="21"/>
              </w:rPr>
            </w:r>
            <w:r/>
          </w:p>
          <w:p>
            <w:pPr>
              <w:pStyle w:val="1434"/>
              <w:jc w:val="left"/>
              <w:keepLines w:val="0"/>
              <w:keepNext w:val="0"/>
              <w:pageBreakBefore w:val="0"/>
              <w:spacing w:line="440" w:lineRule="exact"/>
              <w:widowControl/>
              <w:rPr>
                <w:rFonts w:hint="eastAsia" w:ascii="宋体" w:hAnsi="宋体" w:cs="宋体"/>
                <w:szCs w:val="21"/>
              </w:rPr>
            </w:pPr>
            <w:r>
              <w:rPr>
                <w:rFonts w:hint="eastAsia" w:ascii="宋体" w:hAnsi="宋体" w:cs="宋体"/>
                <w:szCs w:val="21"/>
              </w:rPr>
              <w:t xml:space="preserve">不提供得0分。</w:t>
            </w:r>
            <w:r>
              <w:rPr>
                <w:rFonts w:hint="eastAsia"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701" w:type="dxa"/>
            <w:vAlign w:val="center"/>
            <w:vMerge w:val="restart"/>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12" w:type="dxa"/>
            <w:vAlign w:val="center"/>
            <w:vMerge w:val="restart"/>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优于采购人要求的</w:t>
            </w:r>
            <w:r>
              <w:rPr>
                <w:rFonts w:hint="eastAsia" w:ascii="宋体" w:hAnsi="宋体" w:cs="宋体"/>
                <w:bCs/>
                <w:szCs w:val="21"/>
              </w:rPr>
              <w:t xml:space="preserve">得</w:t>
            </w:r>
            <w:r>
              <w:rPr>
                <w:rFonts w:ascii="宋体" w:hAnsi="宋体" w:cs="宋体"/>
                <w:bCs/>
                <w:szCs w:val="21"/>
              </w:rPr>
              <w:t xml:space="preserve">6</w:t>
            </w:r>
            <w:r>
              <w:rPr>
                <w:rFonts w:hint="eastAsia" w:ascii="宋体" w:hAnsi="宋体" w:cs="宋体"/>
                <w:szCs w:val="21"/>
              </w:rPr>
              <w:t xml:space="preserve">分；</w:t>
            </w:r>
            <w:r>
              <w:rPr>
                <w:rFonts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cs="宋体"/>
                <w:szCs w:val="21"/>
                <w:lang w:bidi="ar"/>
              </w:rPr>
              <w:t xml:space="preserve">采购人要求的</w:t>
            </w:r>
            <w:r>
              <w:rPr>
                <w:rFonts w:hint="eastAsia" w:ascii="宋体" w:hAnsi="宋体" w:cs="宋体"/>
                <w:bCs/>
                <w:szCs w:val="21"/>
              </w:rPr>
              <w:t xml:space="preserve">得</w:t>
            </w:r>
            <w:r>
              <w:rPr>
                <w:rFonts w:ascii="宋体" w:hAnsi="宋体" w:cs="宋体"/>
                <w:bCs/>
                <w:szCs w:val="21"/>
              </w:rPr>
              <w:t xml:space="preserve">3</w:t>
            </w:r>
            <w:r>
              <w:rPr>
                <w:rFonts w:hint="eastAsia" w:ascii="宋体" w:hAnsi="宋体" w:cs="宋体"/>
                <w:szCs w:val="21"/>
              </w:rPr>
              <w:t xml:space="preserve">分；</w:t>
            </w:r>
            <w:r>
              <w:rPr>
                <w:rFonts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w:t>
            </w:r>
            <w:r>
              <w:rPr>
                <w:rFonts w:hint="eastAsia" w:ascii="宋体" w:hAnsi="宋体" w:cs="宋体"/>
                <w:szCs w:val="21"/>
              </w:rPr>
              <w:t xml:space="preserve">介绍不明晰，</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701" w:type="dxa"/>
            <w:vAlign w:val="center"/>
            <w:vMerge w:val="continue"/>
            <w:textDirection w:val="lrTb"/>
            <w:noWrap/>
          </w:tcPr>
          <w:p>
            <w:pPr>
              <w:pStyle w:val="1434"/>
              <w:keepLines w:val="0"/>
              <w:keepNext w:val="0"/>
              <w:pageBreakBefore w:val="0"/>
              <w:spacing w:line="440" w:lineRule="exact"/>
              <w:rPr>
                <w:rFonts w:ascii="宋体" w:hAnsi="宋体" w:cs="宋体"/>
                <w:szCs w:val="21"/>
              </w:rPr>
            </w:pPr>
            <w:r>
              <w:rPr>
                <w:rFonts w:ascii="宋体" w:hAnsi="宋体" w:cs="宋体"/>
                <w:szCs w:val="21"/>
              </w:rPr>
            </w:r>
            <w:r/>
          </w:p>
        </w:tc>
        <w:tc>
          <w:tcPr>
            <w:tcW w:w="1512" w:type="dxa"/>
            <w:vAlign w:val="center"/>
            <w:vMerge w:val="continue"/>
            <w:textDirection w:val="lrTb"/>
            <w:noWrap/>
          </w:tcPr>
          <w:p>
            <w:pPr>
              <w:pStyle w:val="1434"/>
              <w:keepLines w:val="0"/>
              <w:keepNext w:val="0"/>
              <w:pageBreakBefore w:val="0"/>
              <w:spacing w:line="44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434"/>
              <w:keepLines w:val="0"/>
              <w:keepNext w:val="0"/>
              <w:pageBreakBefore w:val="0"/>
              <w:spacing w:line="440" w:lineRule="exact"/>
              <w:rPr>
                <w:rFonts w:hint="eastAsia" w:ascii="宋体" w:hAnsi="宋体" w:cs="宋体"/>
                <w:szCs w:val="21"/>
              </w:rPr>
            </w:pPr>
            <w:r>
              <w:rPr>
                <w:rFonts w:hint="eastAsia" w:ascii="宋体" w:hAnsi="宋体" w:cs="宋体"/>
                <w:szCs w:val="21"/>
              </w:rPr>
              <w:t xml:space="preserve">培训方案内容全面，计划详细，安排合理，优于采购人要求的得</w:t>
            </w:r>
            <w:r>
              <w:rPr>
                <w:rFonts w:ascii="宋体" w:hAnsi="宋体" w:cs="宋体"/>
                <w:szCs w:val="21"/>
              </w:rPr>
              <w:t xml:space="preserve">6</w:t>
            </w:r>
            <w:r>
              <w:rPr>
                <w:rFonts w:hint="eastAsia" w:ascii="宋体" w:hAnsi="宋体" w:cs="宋体"/>
                <w:szCs w:val="21"/>
              </w:rPr>
              <w:t xml:space="preserve">分；培训方案内容完整，计划明确，满足采购人要求的得</w:t>
            </w:r>
            <w:r>
              <w:rPr>
                <w:rFonts w:ascii="宋体" w:hAnsi="宋体" w:cs="宋体"/>
                <w:szCs w:val="21"/>
              </w:rPr>
              <w:t xml:space="preserve">3</w:t>
            </w:r>
            <w:r>
              <w:rPr>
                <w:rFonts w:hint="eastAsia" w:ascii="宋体" w:hAnsi="宋体" w:cs="宋体"/>
                <w:szCs w:val="21"/>
              </w:rPr>
              <w:t xml:space="preserve">分；培训计划简单，形式单一，得1分；不提供得0分</w:t>
            </w:r>
            <w:r>
              <w:rPr>
                <w:rFonts w:hint="eastAsia" w:ascii="宋体" w:hAnsi="宋体" w:cs="宋体"/>
                <w:szCs w:val="21"/>
              </w:rPr>
              <w:t xml:space="preserve">。</w:t>
            </w:r>
            <w:r>
              <w:rPr>
                <w:rFonts w:hint="eastAsia"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c>
          <w:tcPr>
            <w:tcW w:w="701" w:type="dxa"/>
            <w:vAlign w:val="center"/>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12" w:type="dxa"/>
            <w:vAlign w:val="center"/>
            <w:textDirection w:val="lrTb"/>
            <w:noWrap/>
          </w:tcPr>
          <w:p>
            <w:pPr>
              <w:pStyle w:val="1434"/>
              <w:ind w:right="-263"/>
              <w:jc w:val="center"/>
              <w:keepLines w:val="0"/>
              <w:keepNext w:val="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p>
            <w:pPr>
              <w:pStyle w:val="1434"/>
              <w:ind w:right="-263"/>
              <w:jc w:val="center"/>
              <w:keepLines w:val="0"/>
              <w:keepNext w:val="0"/>
              <w:pageBreakBefore w:val="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w:t>
            </w:r>
            <w:r>
              <w:rPr>
                <w:rFonts w:ascii="宋体" w:hAnsi="宋体" w:cs="宋体"/>
                <w:color w:val="000000"/>
                <w:szCs w:val="21"/>
                <w:highlight w:val="none"/>
              </w:rPr>
            </w:r>
            <w:r/>
          </w:p>
        </w:tc>
        <w:tc>
          <w:tcPr>
            <w:tcW w:w="6892" w:type="dxa"/>
            <w:vAlign w:val="center"/>
            <w:textDirection w:val="lrTb"/>
            <w:noWrap/>
          </w:tcPr>
          <w:p>
            <w:pPr>
              <w:pStyle w:val="1434"/>
              <w:keepLines w:val="0"/>
              <w:keepNext w:val="0"/>
              <w:pageBreakBefore w:val="0"/>
              <w:spacing w:line="440" w:lineRule="exact"/>
              <w:rPr>
                <w:color w:val="000000"/>
                <w:szCs w:val="21"/>
                <w:highlight w:val="none"/>
              </w:rPr>
            </w:pPr>
            <w:r>
              <w:rPr>
                <w:rFonts w:hint="eastAsia" w:ascii="宋体" w:hAnsi="宋体" w:cs="宋体"/>
                <w:color w:val="000000"/>
                <w:szCs w:val="21"/>
                <w:highlight w:val="none"/>
              </w:rPr>
              <w:t xml:space="preserve">提供20</w:t>
            </w:r>
            <w:r>
              <w:rPr>
                <w:rFonts w:ascii="宋体" w:hAnsi="宋体" w:cs="宋体"/>
                <w:color w:val="000000"/>
                <w:szCs w:val="21"/>
                <w:highlight w:val="none"/>
              </w:rPr>
              <w:t xml:space="preserve">21</w:t>
            </w:r>
            <w:r>
              <w:rPr>
                <w:rFonts w:hint="eastAsia" w:ascii="宋体" w:hAnsi="宋体" w:cs="宋体"/>
                <w:color w:val="000000"/>
                <w:szCs w:val="21"/>
                <w:highlight w:val="none"/>
              </w:rPr>
              <w:t xml:space="preserve">年</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月1日以来，</w:t>
            </w:r>
            <w:r>
              <w:rPr>
                <w:rFonts w:hint="eastAsia" w:ascii="宋体" w:hAnsi="宋体" w:cs="宋体"/>
                <w:b/>
                <w:bCs/>
                <w:color w:val="000000"/>
                <w:szCs w:val="21"/>
                <w:highlight w:val="none"/>
              </w:rPr>
              <w:t xml:space="preserve">投标人或制造商具有与所投</w:t>
            </w:r>
            <w:r>
              <w:rPr>
                <w:rFonts w:hint="eastAsia" w:ascii="宋体" w:hAnsi="宋体" w:cs="宋体"/>
                <w:b/>
                <w:bCs/>
                <w:color w:val="000000"/>
                <w:szCs w:val="21"/>
                <w:highlight w:val="none"/>
                <w:lang w:eastAsia="zh-CN"/>
              </w:rPr>
              <w:t xml:space="preserve">核心</w:t>
            </w:r>
            <w:r>
              <w:rPr>
                <w:rFonts w:hint="eastAsia" w:ascii="宋体" w:hAnsi="宋体" w:cs="宋体"/>
                <w:b/>
                <w:bCs/>
                <w:color w:val="000000"/>
                <w:szCs w:val="21"/>
                <w:highlight w:val="none"/>
              </w:rPr>
              <w:t xml:space="preserve">产品同品牌</w:t>
            </w:r>
            <w:r>
              <w:rPr>
                <w:rFonts w:hint="eastAsia" w:ascii="宋体" w:hAnsi="宋体" w:cs="宋体"/>
                <w:b/>
                <w:bCs/>
                <w:color w:val="000000"/>
                <w:szCs w:val="21"/>
                <w:highlight w:val="none"/>
              </w:rPr>
              <w:t xml:space="preserve">同型号产品</w:t>
            </w:r>
            <w:r>
              <w:rPr>
                <w:rFonts w:hint="eastAsia" w:ascii="宋体" w:hAnsi="宋体" w:cs="宋体"/>
                <w:b/>
                <w:bCs/>
                <w:szCs w:val="21"/>
                <w:highlight w:val="none"/>
              </w:rPr>
              <w:t xml:space="preserve">或</w:t>
            </w:r>
            <w:r>
              <w:rPr>
                <w:rFonts w:hint="eastAsia" w:ascii="宋体" w:hAnsi="宋体" w:cs="宋体"/>
                <w:b/>
                <w:bCs/>
                <w:color w:val="000000"/>
                <w:szCs w:val="21"/>
                <w:highlight w:val="none"/>
                <w:lang w:eastAsia="zh-CN"/>
              </w:rPr>
              <w:t xml:space="preserve">与所投</w:t>
            </w:r>
            <w:r>
              <w:rPr>
                <w:rFonts w:hint="eastAsia" w:ascii="宋体" w:hAnsi="宋体" w:cs="宋体"/>
                <w:b/>
                <w:bCs/>
                <w:color w:val="000000"/>
                <w:szCs w:val="21"/>
                <w:highlight w:val="none"/>
              </w:rPr>
              <w:t xml:space="preserve">核心产品</w:t>
            </w:r>
            <w:r>
              <w:rPr>
                <w:rFonts w:hint="eastAsia" w:ascii="宋体" w:hAnsi="宋体" w:cs="宋体"/>
                <w:b/>
                <w:bCs/>
                <w:szCs w:val="21"/>
                <w:highlight w:val="none"/>
              </w:rPr>
              <w:t xml:space="preserve">同品牌且技术指标不低于此次招标技术要求的产品</w:t>
            </w:r>
            <w:r>
              <w:rPr>
                <w:rFonts w:hint="eastAsia" w:ascii="宋体" w:hAnsi="宋体" w:cs="宋体"/>
                <w:color w:val="000000"/>
                <w:szCs w:val="21"/>
                <w:highlight w:val="none"/>
              </w:rPr>
              <w:t xml:space="preserve">在国内的销售业绩合同。每提供一份销售合同得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分，本项最高</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w:t>
            </w:r>
            <w:r>
              <w:rPr>
                <w:rFonts w:hint="eastAsia" w:ascii="宋体" w:hAnsi="宋体" w:cs="宋体"/>
                <w:b/>
                <w:bCs/>
                <w:color w:val="000000"/>
                <w:szCs w:val="21"/>
                <w:highlight w:val="none"/>
              </w:rPr>
              <w:t xml:space="preserve">（需同时提供合同及</w:t>
            </w:r>
            <w:r>
              <w:rPr>
                <w:rFonts w:hint="eastAsia" w:ascii="宋体" w:hAnsi="宋体" w:cs="宋体"/>
                <w:b/>
                <w:bCs/>
                <w:color w:val="000000"/>
                <w:szCs w:val="21"/>
                <w:highlight w:val="none"/>
                <w:lang w:eastAsia="zh-CN"/>
              </w:rPr>
              <w:t xml:space="preserve">合同</w:t>
            </w:r>
            <w:r>
              <w:rPr>
                <w:rFonts w:hint="eastAsia" w:ascii="宋体" w:hAnsi="宋体" w:cs="宋体"/>
                <w:b/>
                <w:bCs/>
                <w:color w:val="000000"/>
                <w:szCs w:val="21"/>
                <w:highlight w:val="none"/>
              </w:rPr>
              <w:t xml:space="preserve">对应发票复印件</w:t>
            </w:r>
            <w:r>
              <w:rPr>
                <w:rFonts w:hint="eastAsia" w:ascii="宋体" w:hAnsi="宋体" w:cs="宋体"/>
                <w:b/>
                <w:bCs/>
                <w:color w:val="000000"/>
                <w:szCs w:val="21"/>
                <w:highlight w:val="none"/>
                <w:lang w:eastAsia="zh-CN"/>
              </w:rPr>
              <w:t xml:space="preserve">，发票金额可以是部分或全部金额</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未提供发票或合同或合同无法反应上述信息的均不得分，</w:t>
            </w:r>
            <w:r>
              <w:rPr>
                <w:rFonts w:hint="eastAsia" w:ascii="宋体" w:hAnsi="宋体" w:cs="宋体"/>
                <w:b/>
                <w:bCs/>
                <w:color w:val="000000"/>
                <w:szCs w:val="21"/>
                <w:highlight w:val="none"/>
              </w:rPr>
              <w:t xml:space="preserve">原件备查）</w:t>
            </w:r>
            <w:r>
              <w:rPr>
                <w:color w:val="000000"/>
                <w:szCs w:val="21"/>
                <w:highlight w:val="none"/>
              </w:rPr>
            </w:r>
            <w:r/>
          </w:p>
        </w:tc>
        <w:tc>
          <w:tcPr>
            <w:tcW w:w="749" w:type="dxa"/>
            <w:vAlign w:val="center"/>
            <w:textDirection w:val="lrTb"/>
            <w:noWrap/>
          </w:tcPr>
          <w:p>
            <w:pPr>
              <w:pStyle w:val="1434"/>
              <w:jc w:val="center"/>
              <w:keepLines w:val="0"/>
              <w:keepNext w:val="0"/>
              <w:pageBreakBefore w:val="0"/>
              <w:spacing w:line="440" w:lineRule="exact"/>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r>
      <w:tr>
        <w:trPr>
          <w:cantSplit/>
        </w:trPr>
        <w:tc>
          <w:tcPr>
            <w:tcW w:w="701" w:type="dxa"/>
            <w:vAlign w:val="center"/>
            <w:vMerge w:val="restart"/>
            <w:textDirection w:val="lrTb"/>
            <w:noWrap/>
          </w:tcPr>
          <w:p>
            <w:pPr>
              <w:pStyle w:val="1434"/>
              <w:jc w:val="center"/>
              <w:keepLines w:val="0"/>
              <w:keepNext w:val="0"/>
              <w:pageBreakBefore w:val="0"/>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12" w:type="dxa"/>
            <w:vAlign w:val="center"/>
            <w:vMerge w:val="restart"/>
            <w:textDirection w:val="lrTb"/>
            <w:noWrap/>
          </w:tcPr>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r>
            <w:r/>
          </w:p>
          <w:p>
            <w:pPr>
              <w:pStyle w:val="1434"/>
              <w:jc w:val="center"/>
              <w:keepLines w:val="0"/>
              <w:keepNext w:val="0"/>
              <w:pageBreakBefore w:val="0"/>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cantSplit/>
        </w:trPr>
        <w:tc>
          <w:tcPr>
            <w:tcW w:w="701" w:type="dxa"/>
            <w:vAlign w:val="center"/>
            <w:vMerge w:val="continue"/>
            <w:textDirection w:val="lrTb"/>
            <w:noWrap/>
          </w:tcPr>
          <w:p>
            <w:pPr>
              <w:pStyle w:val="1434"/>
              <w:keepLines w:val="0"/>
              <w:keepNext w:val="0"/>
              <w:pageBreakBefore w:val="0"/>
              <w:spacing w:line="440" w:lineRule="exact"/>
              <w:rPr>
                <w:rFonts w:ascii="宋体" w:hAnsi="宋体" w:cs="宋体"/>
                <w:szCs w:val="21"/>
              </w:rPr>
            </w:pPr>
            <w:r>
              <w:rPr>
                <w:rFonts w:ascii="宋体" w:hAnsi="宋体" w:cs="宋体"/>
                <w:szCs w:val="21"/>
              </w:rPr>
            </w:r>
            <w:r/>
          </w:p>
        </w:tc>
        <w:tc>
          <w:tcPr>
            <w:tcW w:w="1512" w:type="dxa"/>
            <w:vAlign w:val="center"/>
            <w:vMerge w:val="continue"/>
            <w:textDirection w:val="lrTb"/>
            <w:noWrap/>
          </w:tcPr>
          <w:p>
            <w:pPr>
              <w:pStyle w:val="1434"/>
              <w:keepLines w:val="0"/>
              <w:keepNext w:val="0"/>
              <w:pageBreakBefore w:val="0"/>
              <w:spacing w:line="44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34"/>
              <w:keepLines w:val="0"/>
              <w:keepNext w:val="0"/>
              <w:pageBreakBefore w:val="0"/>
              <w:spacing w:line="44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434"/>
              <w:jc w:val="center"/>
              <w:keepLines w:val="0"/>
              <w:keepNext w:val="0"/>
              <w:pageBreakBefore w:val="0"/>
              <w:spacing w:line="44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434"/>
        <w:keepLines w:val="0"/>
        <w:keepNext w:val="0"/>
        <w:pageBreakBefore w:val="0"/>
        <w:spacing w:line="440" w:lineRule="exact"/>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434"/>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22931"/>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34"/>
        <w:spacing w:line="360" w:lineRule="auto"/>
        <w:rPr>
          <w:rFonts w:hint="eastAsia"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JSZC-320000-SMDY-G2026-0026</w:t>
      </w:r>
      <w:r>
        <w:rPr>
          <w:rFonts w:hint="eastAsia" w:ascii="宋体" w:hAnsi="宋体" w:cs="宋体"/>
          <w:szCs w:val="21"/>
        </w:rPr>
        <w:t xml:space="preserve">（2640SUMEC/ZWGG2040）</w:t>
      </w:r>
      <w:r>
        <w:rPr>
          <w:rFonts w:hint="eastAsia" w:ascii="宋体" w:hAnsi="宋体" w:cs="宋体"/>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2.项目名称：电动汽车充电桩综合检测系统等设备</w:t>
      </w:r>
      <w:r>
        <w:rPr>
          <w:rFonts w:hint="eastAsia" w:ascii="宋体" w:hAnsi="宋体" w:cs="宋体"/>
          <w:szCs w:val="21"/>
        </w:rPr>
      </w:r>
      <w:r/>
    </w:p>
    <w:p>
      <w:pPr>
        <w:pStyle w:val="143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3.预算金额：637.3万元</w:t>
      </w:r>
      <w:r>
        <w:rPr>
          <w:rFonts w:hint="eastAsia" w:ascii="宋体" w:hAnsi="宋体" w:cs="宋体"/>
          <w:szCs w:val="21"/>
          <w:highlight w:val="none"/>
        </w:rPr>
      </w:r>
      <w:r/>
    </w:p>
    <w:p>
      <w:pPr>
        <w:pStyle w:val="143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4.最高限价：</w:t>
      </w:r>
      <w:r>
        <w:rPr>
          <w:rFonts w:hint="eastAsia" w:ascii="宋体" w:hAnsi="宋体" w:cs="宋体"/>
          <w:szCs w:val="21"/>
          <w:highlight w:val="none"/>
          <w:lang w:eastAsia="zh-CN"/>
        </w:rPr>
        <w:t xml:space="preserve">607万元</w:t>
      </w:r>
      <w:r>
        <w:rPr>
          <w:rFonts w:hint="eastAsia" w:ascii="宋体" w:hAnsi="宋体" w:cs="宋体"/>
          <w:szCs w:val="21"/>
          <w:highlight w:val="none"/>
        </w:rPr>
        <w:t xml:space="preserve">，具体产品最高限价详见采购需求</w:t>
      </w:r>
      <w:r>
        <w:rPr>
          <w:rFonts w:hint="eastAsia" w:ascii="宋体" w:hAnsi="宋体" w:cs="宋体"/>
          <w:szCs w:val="21"/>
          <w:highlight w:val="none"/>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8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2"/>
        <w:gridCol w:w="2471"/>
        <w:gridCol w:w="1219"/>
        <w:gridCol w:w="1748"/>
        <w:gridCol w:w="2347"/>
        <w:gridCol w:w="1203"/>
      </w:tblGrid>
      <w:tr>
        <w:trPr>
          <w:trHeight w:val="728"/>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434"/>
              <w:jc w:val="center"/>
              <w:rPr>
                <w:rFonts w:hint="eastAsia" w:ascii="宋体" w:hAnsi="宋体" w:cs="宋体"/>
              </w:rPr>
            </w:pPr>
            <w:r>
              <w:rPr>
                <w:rFonts w:hint="eastAsia" w:ascii="宋体" w:hAnsi="宋体" w:cs="宋体"/>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产品名称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434"/>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最高限价</w:t>
            </w:r>
            <w:r>
              <w:rPr>
                <w:rFonts w:hint="eastAsia" w:ascii="宋体" w:hAnsi="宋体" w:cs="宋体"/>
              </w:rPr>
            </w:r>
            <w:r/>
          </w:p>
          <w:p>
            <w:pPr>
              <w:pStyle w:val="1434"/>
              <w:jc w:val="center"/>
              <w:rPr>
                <w:rFonts w:hint="eastAsia" w:ascii="宋体" w:hAnsi="宋体" w:cs="宋体"/>
              </w:rPr>
            </w:pPr>
            <w:r>
              <w:rPr>
                <w:rFonts w:hint="eastAsia" w:ascii="宋体" w:hAnsi="宋体" w:cs="宋体"/>
              </w:rPr>
              <w:t xml:space="preserve">（人民币/万元）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43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电动汽车充电桩综合检测系统</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434"/>
              <w:jc w:val="center"/>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1434"/>
              <w:jc w:val="center"/>
              <w:widowControl/>
              <w:rPr>
                <w:rFonts w:hint="eastAsia" w:ascii="宋体" w:hAnsi="宋体" w:cs="宋体"/>
                <w:color w:val="000000"/>
                <w:sz w:val="20"/>
                <w:highlight w:val="none"/>
              </w:rPr>
            </w:pPr>
            <w:r>
              <w:rPr>
                <w:rFonts w:hint="eastAsia" w:ascii="宋体" w:hAnsi="宋体" w:cs="宋体"/>
                <w:color w:val="000000"/>
                <w:sz w:val="20"/>
                <w:highlight w:val="none"/>
                <w:lang w:eastAsia="zh-CN" w:bidi="ar"/>
              </w:rPr>
              <w:t xml:space="preserve">550.0</w:t>
            </w:r>
            <w:r>
              <w:rPr>
                <w:rFonts w:hint="eastAsia"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434"/>
              <w:jc w:val="center"/>
              <w:rPr>
                <w:rFonts w:hint="eastAsia" w:ascii="宋体" w:hAnsi="宋体" w:cs="宋体"/>
                <w:highlight w:val="none"/>
              </w:rPr>
            </w:pPr>
            <w:r>
              <w:rPr>
                <w:rFonts w:hint="eastAsia" w:ascii="宋体" w:hAnsi="宋体" w:cs="宋体"/>
                <w:highlight w:val="none"/>
              </w:rPr>
              <w:t xml:space="preserve">合同签订生效后5个月</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43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434"/>
              <w:jc w:val="center"/>
              <w:rPr>
                <w:rFonts w:hint="eastAsia" w:ascii="宋体" w:hAnsi="宋体" w:cs="宋体"/>
              </w:rPr>
            </w:pPr>
            <w:r>
              <w:rPr>
                <w:rFonts w:hint="eastAsia" w:ascii="宋体" w:hAnsi="宋体" w:cs="宋体"/>
              </w:rPr>
              <w:t xml:space="preserve">冷热冲击箱试验箱</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434"/>
              <w:jc w:val="center"/>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1434"/>
              <w:jc w:val="center"/>
              <w:rPr>
                <w:rFonts w:ascii="宋体" w:hAnsi="宋体" w:cs="宋体"/>
                <w:highlight w:val="none"/>
              </w:rPr>
            </w:pPr>
            <w:r>
              <w:rPr>
                <w:rFonts w:hint="eastAsia" w:ascii="宋体" w:hAnsi="宋体" w:cs="宋体"/>
                <w:highlight w:val="none"/>
              </w:rPr>
              <w:t xml:space="preserve">57.0</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434"/>
              <w:jc w:val="center"/>
              <w:rPr>
                <w:rFonts w:hint="eastAsia" w:ascii="宋体" w:hAnsi="宋体" w:cs="宋体"/>
                <w:highlight w:val="none"/>
              </w:rPr>
            </w:pPr>
            <w:r>
              <w:rPr>
                <w:rFonts w:hint="eastAsia" w:ascii="宋体" w:hAnsi="宋体" w:cs="宋体"/>
                <w:highlight w:val="none"/>
                <w:lang w:eastAsia="zh-CN"/>
              </w:rPr>
              <w:t xml:space="preserve">合同签订生效后</w:t>
            </w:r>
            <w:r>
              <w:rPr>
                <w:rFonts w:hint="eastAsia" w:ascii="宋体" w:hAnsi="宋体" w:cs="宋体"/>
                <w:highlight w:val="none"/>
              </w:rPr>
              <w:t xml:space="preserve">90天</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434"/>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434"/>
        <w:ind w:firstLine="21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434"/>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b/>
          <w:bCs/>
          <w:color w:val="ff0000"/>
          <w:szCs w:val="21"/>
        </w:rPr>
        <w:t xml:space="preserve">（技术及商务响应评分项）</w:t>
      </w:r>
      <w:r>
        <w:rPr>
          <w:rFonts w:hint="eastAsia" w:ascii="宋体" w:hAnsi="宋体" w:cs="宋体"/>
          <w:szCs w:val="21"/>
        </w:rPr>
      </w:r>
      <w:r/>
    </w:p>
    <w:p>
      <w:pPr>
        <w:pStyle w:val="1434"/>
        <w:jc w:val="center"/>
        <w:spacing w:line="360" w:lineRule="auto"/>
        <w:tabs>
          <w:tab w:val="left" w:pos="4500" w:leader="none"/>
          <w:tab w:val="left" w:pos="4680" w:leader="none"/>
        </w:tabs>
        <w:rPr>
          <w:rFonts w:hint="eastAsia" w:ascii="宋体" w:hAnsi="宋体" w:cs="宋体"/>
          <w:b/>
          <w:bCs/>
          <w:szCs w:val="21"/>
        </w:rPr>
        <w:outlineLvl w:val="1"/>
      </w:pPr>
      <w:r/>
      <w:bookmarkEnd w:id="223"/>
      <w:r/>
      <w:bookmarkStart w:id="225" w:name="_Toc16186"/>
      <w:r/>
      <w:bookmarkStart w:id="226" w:name="_Toc14708"/>
      <w:r>
        <w:rPr>
          <w:rFonts w:hint="eastAsia" w:ascii="宋体" w:hAnsi="宋体" w:cs="宋体"/>
          <w:b/>
          <w:bCs/>
          <w:szCs w:val="21"/>
        </w:rPr>
        <w:t xml:space="preserve">设备1：</w:t>
      </w:r>
      <w:bookmarkEnd w:id="225"/>
      <w:r>
        <w:rPr>
          <w:rFonts w:hint="eastAsia" w:ascii="宋体" w:hAnsi="宋体" w:cs="宋体"/>
          <w:b/>
          <w:bCs/>
          <w:szCs w:val="21"/>
        </w:rPr>
        <w:t xml:space="preserve">电动汽车充电桩综合检测系统</w:t>
      </w:r>
      <w:bookmarkEnd w:id="226"/>
      <w:r>
        <w:rPr>
          <w:rFonts w:hint="eastAsia" w:ascii="宋体" w:hAnsi="宋体" w:cs="宋体"/>
          <w:b/>
          <w:bCs/>
          <w:szCs w:val="21"/>
        </w:rPr>
      </w:r>
      <w:r/>
    </w:p>
    <w:p>
      <w:pPr>
        <w:pStyle w:val="1434"/>
        <w:spacing w:line="440" w:lineRule="exact"/>
        <w:tabs>
          <w:tab w:val="left" w:pos="4500" w:leader="none"/>
          <w:tab w:val="left" w:pos="4680" w:leader="none"/>
        </w:tabs>
        <w:rPr>
          <w:rFonts w:hint="eastAsia" w:ascii="宋体" w:hAnsi="宋体" w:cs="宋体"/>
          <w:szCs w:val="21"/>
        </w:rPr>
      </w:pPr>
      <w:r/>
      <w:bookmarkStart w:id="227" w:name="_Toc18631"/>
      <w:r>
        <w:rPr>
          <w:rFonts w:hint="eastAsia" w:ascii="宋体" w:hAnsi="宋体" w:cs="宋体"/>
          <w:szCs w:val="21"/>
        </w:rPr>
        <w:t xml:space="preserve">★（一）设备及明细配置清单</w:t>
      </w:r>
      <w:bookmarkEnd w:id="227"/>
      <w:r>
        <w:rPr>
          <w:rFonts w:hint="eastAsia" w:ascii="宋体" w:hAnsi="宋体" w:cs="宋体"/>
          <w:szCs w:val="21"/>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3850"/>
        <w:gridCol w:w="1110"/>
        <w:gridCol w:w="1520"/>
        <w:gridCol w:w="1453"/>
        <w:gridCol w:w="1029"/>
      </w:tblGrid>
      <w:tr>
        <w:trPr>
          <w:trHeight w:val="389"/>
        </w:trPr>
        <w:tc>
          <w:tcPr>
            <w:tcW w:w="445" w:type="dxa"/>
            <w:vAlign w:val="center"/>
            <w:textDirection w:val="lrTb"/>
            <w:noWrap w:val="false"/>
          </w:tcPr>
          <w:p>
            <w:pPr>
              <w:pStyle w:val="1434"/>
              <w:ind w:right="141"/>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564"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772"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73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523"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电动汽车充电桩综合检测装置，不得低于以下配置：</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772" w:type="dxa"/>
            <w:vAlign w:val="center"/>
            <w:vMerge w:val="restart"/>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合同签订生效后5个月</w:t>
            </w:r>
            <w:r>
              <w:rPr>
                <w:rFonts w:hint="eastAsia" w:ascii="宋体" w:hAnsi="宋体" w:cs="宋体"/>
                <w:szCs w:val="21"/>
              </w:rPr>
            </w:r>
            <w:r/>
          </w:p>
        </w:tc>
        <w:tc>
          <w:tcPr>
            <w:tcW w:w="738" w:type="dxa"/>
            <w:vAlign w:val="center"/>
            <w:vMerge w:val="restart"/>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验收合格后2年</w:t>
            </w:r>
            <w:r>
              <w:rPr>
                <w:rFonts w:hint="eastAsia" w:ascii="宋体" w:hAnsi="宋体" w:cs="宋体"/>
                <w:szCs w:val="21"/>
              </w:rPr>
            </w:r>
            <w:r/>
          </w:p>
        </w:tc>
        <w:tc>
          <w:tcPr>
            <w:tcW w:w="523" w:type="dxa"/>
            <w:vAlign w:val="center"/>
            <w:vMerge w:val="restart"/>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非车载充电机综合测试系统，不得低于以下配置：</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57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三相可编程双向交流电源（容量400kVA）</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2台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1.1.2</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三相大电流分析单元</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1.1.3</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系统操作显示单元</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90"/>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1.1.4</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超级充电接口综合测试与分析单元</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90"/>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1.1.5</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大功率直流</w:t>
            </w:r>
            <w:bookmarkStart w:id="228" w:name="OLE_LINK17"/>
            <w:r/>
            <w:bookmarkStart w:id="229" w:name="OLE_LINK18"/>
            <w:r>
              <w:rPr>
                <w:rFonts w:hint="eastAsia" w:ascii="宋体" w:hAnsi="宋体" w:cs="宋体"/>
                <w:szCs w:val="21"/>
              </w:rPr>
              <w:t xml:space="preserve">可调阻性负</w:t>
            </w:r>
            <w:bookmarkEnd w:id="228"/>
            <w:r/>
            <w:bookmarkEnd w:id="229"/>
            <w:r>
              <w:rPr>
                <w:rFonts w:hint="eastAsia" w:ascii="宋体" w:hAnsi="宋体" w:cs="宋体"/>
                <w:szCs w:val="21"/>
              </w:rPr>
              <w:t xml:space="preserve">载</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3台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1.1.6</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示波器</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1.1.7</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可编程双向直流电源</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670"/>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1.1.8</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非车载充电机综合测试软件和控制机</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交流充电桩综合测试系统，不得低于以下配置：</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1.2.1</w:t>
            </w:r>
            <w:r>
              <w:rPr>
                <w:rFonts w:hint="eastAsia" w:ascii="宋体" w:hAnsi="宋体" w:cs="宋体"/>
                <w:szCs w:val="21"/>
              </w:rPr>
            </w:r>
            <w:r/>
          </w:p>
        </w:tc>
        <w:tc>
          <w:tcPr>
            <w:tcW w:w="195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三相可编程双向交流电源（容量60kVA）</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1.2.2</w:t>
            </w:r>
            <w:r>
              <w:rPr>
                <w:rFonts w:hint="eastAsia" w:ascii="宋体" w:hAnsi="宋体" w:cs="宋体"/>
                <w:szCs w:val="21"/>
              </w:rPr>
            </w:r>
            <w:r/>
          </w:p>
        </w:tc>
        <w:tc>
          <w:tcPr>
            <w:tcW w:w="1956"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三相电源分析单元</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1.2.3</w:t>
            </w:r>
            <w:r>
              <w:rPr>
                <w:rFonts w:hint="eastAsia" w:ascii="宋体" w:hAnsi="宋体" w:cs="宋体"/>
                <w:szCs w:val="21"/>
              </w:rPr>
            </w:r>
            <w:r/>
          </w:p>
        </w:tc>
        <w:tc>
          <w:tcPr>
            <w:tcW w:w="1956"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系统操作显示单元</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1.2.4</w:t>
            </w:r>
            <w:r>
              <w:rPr>
                <w:rFonts w:hint="eastAsia" w:ascii="宋体" w:hAnsi="宋体" w:cs="宋体"/>
                <w:szCs w:val="21"/>
              </w:rPr>
            </w:r>
            <w:r/>
          </w:p>
        </w:tc>
        <w:tc>
          <w:tcPr>
            <w:tcW w:w="1956"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交流充电接口综合测试与分析单元</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1.2.5</w:t>
            </w:r>
            <w:r>
              <w:rPr>
                <w:rFonts w:hint="eastAsia" w:ascii="宋体" w:hAnsi="宋体" w:cs="宋体"/>
                <w:szCs w:val="21"/>
              </w:rPr>
            </w:r>
            <w:r/>
          </w:p>
        </w:tc>
        <w:tc>
          <w:tcPr>
            <w:tcW w:w="1956"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大功率交流可调阻性负载</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1.2.6</w:t>
            </w:r>
            <w:r>
              <w:rPr>
                <w:rFonts w:hint="eastAsia" w:ascii="宋体" w:hAnsi="宋体" w:cs="宋体"/>
                <w:szCs w:val="21"/>
              </w:rPr>
            </w:r>
            <w:r/>
          </w:p>
        </w:tc>
        <w:tc>
          <w:tcPr>
            <w:tcW w:w="1956"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示波器</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r>
        <w:trPr>
          <w:cantSplit/>
          <w:trHeight w:val="454"/>
        </w:trPr>
        <w:tc>
          <w:tcPr>
            <w:tcW w:w="445"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1.2.7</w:t>
            </w:r>
            <w:r>
              <w:rPr>
                <w:rFonts w:hint="eastAsia" w:ascii="宋体" w:hAnsi="宋体" w:cs="宋体"/>
                <w:szCs w:val="21"/>
              </w:rPr>
            </w:r>
            <w:r/>
          </w:p>
        </w:tc>
        <w:tc>
          <w:tcPr>
            <w:tcW w:w="1956"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交流充电桩综合测试软件和控制机</w:t>
            </w:r>
            <w:r>
              <w:rPr>
                <w:rFonts w:hint="eastAsia" w:ascii="宋体" w:hAnsi="宋体" w:cs="宋体"/>
                <w:szCs w:val="21"/>
              </w:rPr>
            </w:r>
            <w:r/>
          </w:p>
        </w:tc>
        <w:tc>
          <w:tcPr>
            <w:tcW w:w="564"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772"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738"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c>
          <w:tcPr>
            <w:tcW w:w="523" w:type="dxa"/>
            <w:vAlign w:val="center"/>
            <w:vMerge w:val="continue"/>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bl>
    <w:p>
      <w:pPr>
        <w:pStyle w:val="1434"/>
        <w:spacing w:line="440" w:lineRule="exact"/>
        <w:rPr>
          <w:rFonts w:hint="eastAsia" w:ascii="宋体" w:hAnsi="宋体" w:cs="宋体"/>
          <w:b/>
          <w:bCs/>
          <w:szCs w:val="21"/>
        </w:rPr>
      </w:pPr>
      <w:r>
        <w:rPr>
          <w:rFonts w:hint="eastAsia" w:ascii="宋体" w:hAnsi="宋体" w:cs="宋体"/>
          <w:b/>
          <w:bCs/>
          <w:szCs w:val="21"/>
        </w:rPr>
        <w:t xml:space="preserve">（二）技术指标及功能要求</w:t>
      </w:r>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1、电动汽车充电桩综合检测装置整体要求：</w:t>
      </w:r>
      <w:r>
        <w:rPr>
          <w:rFonts w:hint="eastAsia" w:ascii="宋体" w:hAnsi="宋体" w:cs="宋体"/>
          <w:szCs w:val="21"/>
        </w:rPr>
      </w:r>
      <w:r/>
    </w:p>
    <w:p>
      <w:pPr>
        <w:pStyle w:val="1434"/>
        <w:ind w:firstLine="420"/>
        <w:spacing w:line="440" w:lineRule="exact"/>
        <w:rPr>
          <w:rFonts w:hint="eastAsia" w:ascii="宋体" w:hAnsi="宋体" w:cs="宋体"/>
          <w:szCs w:val="21"/>
        </w:rPr>
      </w:pPr>
      <w:r/>
      <w:bookmarkStart w:id="230" w:name="OLE_LINK80"/>
      <w:r/>
      <w:bookmarkStart w:id="231" w:name="OLE_LINK79"/>
      <w:r>
        <w:rPr>
          <w:rFonts w:hint="eastAsia" w:ascii="宋体" w:hAnsi="宋体" w:cs="宋体"/>
          <w:szCs w:val="21"/>
        </w:rPr>
        <w:t xml:space="preserve">1.1电动汽车充电桩综合检测装置的模拟控制导引部分应符合以下标准要求：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18487.1-2023 《电动汽车传导充电系统第1部分通用要求》；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18487.5-2024 《电动汽车传导充电系统第5部分用于GBT 20234.3的直流充电系统》；</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IEC 61851-1:2017 《Electric vehicle conductive charging system - Part 1: General requirements》；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IEC 61851-23:2023 《Electric vehicle conductive charging system - Part 23: DC electric vehicle supply equipment》；</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IEC 61851-24:2023《Electric vehicle conductive charging system - Part 24: Digital communication between a DC EV supply equipment and an electric vehicle for control of DC charging》；</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1.2电动汽车充电桩综合检测装置的通信协议部分应符合以下标准要求：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27930-2023 《电动汽车非车载传导式充电机与电池管理系统之间的通信协议》；</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27930.2-2024 《非车载传导式充电机与电动汽车之间的数字通信协议 第2部分 用于GBT 20234.3的通信协议》；</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34658-2025《电动汽车非车载传导式充电机与电池管理系统之间的通信协议一致性测试》；</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ISO 15118-2:2014《Road vehicles - Vehicle-to-Grid Communication Interface - Part 2: Network and application protocol requirements》；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ISO 15118-20:2022《Road vehicles - Vehicle to grid communication interface - Part 20: Network and application protocol requirements》；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1.3电动汽车充电桩综合检测装置的标准充电测试接口部分应符合以下标准要求：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20234.1-2023 《电动汽车传导充电用连接装置 第1部分 通用要求》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20234.2-2015 《电动汽车传导充电用连接装置 第2部分 交流充电接口》</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20234.3-2023 《电动汽车传导充电用连接装置 第2部分 直流充电接口》</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20234.4-2023 《电动汽车传导充电用连接装置 第2部分 大功率直流充电接口》</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IEC 62196-1:2022《Plugs, socket-outlets, vehicle connectors and vehicle inlets - Conductive charging of electric vehicles – Part 1: General requirements》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IEC 62196-3:2022《Plugs, socket-outlets, vehicle connectors and vehicle inlets - Conductive charging of electric vehicles - Part 3: Dimensional compatibility requirements for DC and AC/DC pin and contact-tube vehicle couplers》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1.4电动汽车充电桩综合检测装置的互操作性检测应符合以下标准：</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34657.1-2025《电动汽车传导充电互操作性测试规范 第1部分：供电设备》</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1.5电动汽车充电桩综合检测装置的全性能检测应符合以下标准要求：</w:t>
      </w:r>
      <w:r>
        <w:rPr>
          <w:rFonts w:hint="eastAsia" w:ascii="宋体" w:hAnsi="宋体" w:cs="宋体"/>
          <w:szCs w:val="21"/>
        </w:rPr>
      </w:r>
      <w:r/>
    </w:p>
    <w:p>
      <w:pPr>
        <w:pStyle w:val="1434"/>
        <w:ind w:firstLine="420"/>
        <w:spacing w:line="440" w:lineRule="exact"/>
        <w:rPr>
          <w:rFonts w:hint="eastAsia" w:ascii="宋体" w:hAnsi="宋体" w:cs="宋体"/>
          <w:color w:val="ff0000"/>
          <w:szCs w:val="21"/>
        </w:rPr>
      </w:pPr>
      <w:r>
        <w:rPr>
          <w:rFonts w:hint="eastAsia" w:ascii="宋体" w:hAnsi="宋体" w:cs="宋体"/>
          <w:szCs w:val="21"/>
        </w:rPr>
        <w:t xml:space="preserve">NB/T33001-2025 《电动汽车非车载传导式充电机技术条件》与NB/T33008.1《电动汽车充电设备检验试验规范第1部分：非车载充电机》第二版征集意见稿中的功能试验、安全要求试验、充电输出试验、待机功耗试验、协议一致性试验、控制导引试验等相关测试项目；</w:t>
      </w:r>
      <w:r>
        <w:rPr>
          <w:rFonts w:hint="eastAsia" w:ascii="宋体" w:hAnsi="宋体" w:cs="宋体"/>
          <w:color w:val="ff0000"/>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NB/T33002-2018《电动汽车交流充电桩技术条件》与NB/T33008.2《电动汽车充电设备检验试验规范第1部分：交流充电桩》第二版征集意见稿中的功能试验、安全要求试验、待机功耗试验、控制导引试验等相关测试项目；</w:t>
      </w:r>
      <w:bookmarkEnd w:id="230"/>
      <w:r/>
      <w:bookmarkEnd w:id="231"/>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1.6电动汽车充电桩综合检测装置的电能计量部分应符合以下标准：</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29318-2024《电动汽车非车载充电机电能计量》中参比电压下基本误差试验，参比电流下基本误差试验，脉冲常数试验，误差变差试验，时钟时刻误差试验；</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GB/T 28569-2024《电动汽车交流充电桩电能计量》中基本误差试验、电压改变试验、频率改变试验、电压不平衡试验、脉冲常数试验、误差变差试验、时钟时刻误差试验；</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JJG 1148-2022 《电动汽车交流充电桩检定规程》；</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JJG 1149-2022 《电动汽车非车载充电机检定规程》；</w:t>
      </w:r>
      <w:r>
        <w:rPr>
          <w:rFonts w:hint="eastAsia" w:ascii="宋体" w:hAnsi="宋体" w:cs="宋体"/>
          <w:szCs w:val="21"/>
        </w:rPr>
      </w:r>
      <w:r/>
    </w:p>
    <w:p>
      <w:pPr>
        <w:pStyle w:val="1434"/>
        <w:ind w:firstLine="420"/>
        <w:spacing w:line="440" w:lineRule="exact"/>
        <w:rPr>
          <w:rFonts w:hint="eastAsia" w:ascii="宋体" w:hAnsi="宋体" w:cs="宋体"/>
          <w:szCs w:val="21"/>
        </w:rPr>
      </w:pPr>
      <w:r/>
      <w:bookmarkStart w:id="232" w:name="OLE_LINK28"/>
      <w:r/>
      <w:bookmarkStart w:id="233" w:name="OLE_LINK78"/>
      <w:r>
        <w:rPr>
          <w:rFonts w:hint="eastAsia" w:ascii="宋体" w:hAnsi="宋体" w:cs="宋体"/>
          <w:szCs w:val="21"/>
        </w:rPr>
        <w:t xml:space="preserve">OIML R[new] on EVSE – parts 1 and 2:1CD Sep 2025中与计量相关的试验。</w:t>
      </w:r>
      <w:r>
        <w:rPr>
          <w:rFonts w:hint="eastAsia" w:ascii="宋体" w:hAnsi="宋体" w:cs="宋体"/>
          <w:szCs w:val="21"/>
        </w:rPr>
      </w:r>
      <w:r/>
    </w:p>
    <w:p>
      <w:pPr>
        <w:pStyle w:val="1434"/>
        <w:ind w:firstLine="420"/>
        <w:spacing w:line="440" w:lineRule="exact"/>
        <w:rPr>
          <w:rFonts w:hint="eastAsia" w:ascii="宋体" w:hAnsi="宋体" w:cs="宋体"/>
          <w:szCs w:val="21"/>
        </w:rPr>
      </w:pPr>
      <w:r/>
      <w:bookmarkEnd w:id="232"/>
      <w:r/>
      <w:bookmarkEnd w:id="233"/>
      <w:r>
        <w:rPr>
          <w:rFonts w:hint="eastAsia" w:ascii="宋体" w:hAnsi="宋体" w:cs="宋体"/>
          <w:szCs w:val="21"/>
        </w:rPr>
        <w:t xml:space="preserve">1.7电动汽车充电桩综合检测装置的测试对象覆盖600</w:t>
      </w:r>
      <w:bookmarkStart w:id="234" w:name="OLE_LINK81"/>
      <w:r/>
      <w:bookmarkStart w:id="235" w:name="OLE_LINK82"/>
      <w:r>
        <w:rPr>
          <w:rFonts w:hint="eastAsia" w:ascii="宋体" w:hAnsi="宋体" w:cs="宋体"/>
          <w:szCs w:val="21"/>
        </w:rPr>
        <w:t xml:space="preserve">kW</w:t>
      </w:r>
      <w:bookmarkEnd w:id="234"/>
      <w:r/>
      <w:bookmarkEnd w:id="235"/>
      <w:r>
        <w:rPr>
          <w:rFonts w:hint="eastAsia" w:ascii="宋体" w:hAnsi="宋体" w:cs="宋体"/>
          <w:szCs w:val="21"/>
        </w:rPr>
        <w:t xml:space="preserve">及以下直流桩和45kW及以下交流桩。</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2、非车载充电机综合测试系统：</w:t>
      </w:r>
      <w:r>
        <w:rPr>
          <w:rFonts w:hint="eastAsia" w:ascii="宋体" w:hAnsi="宋体" w:cs="宋体"/>
          <w:szCs w:val="21"/>
        </w:rPr>
      </w:r>
      <w:r/>
    </w:p>
    <w:p>
      <w:pPr>
        <w:pStyle w:val="1434"/>
        <w:ind w:firstLine="420"/>
        <w:spacing w:line="440" w:lineRule="exact"/>
        <w:rPr>
          <w:rFonts w:hint="eastAsia" w:ascii="宋体" w:hAnsi="宋体" w:cs="宋体"/>
          <w:szCs w:val="21"/>
        </w:rPr>
      </w:pPr>
      <w:r/>
      <w:bookmarkStart w:id="236" w:name="OLE_LINK9"/>
      <w:r/>
      <w:bookmarkStart w:id="237" w:name="OLE_LINK10"/>
      <w:r/>
      <w:bookmarkStart w:id="238" w:name="OLE_LINK35"/>
      <w:r/>
      <w:bookmarkStart w:id="239" w:name="OLE_LINK66"/>
      <w:r/>
      <w:bookmarkStart w:id="240" w:name="OLE_LINK34"/>
      <w:r/>
      <w:bookmarkStart w:id="241" w:name="OLE_LINK65"/>
      <w:r>
        <w:rPr>
          <w:rFonts w:hint="eastAsia" w:ascii="宋体" w:hAnsi="宋体" w:cs="宋体"/>
          <w:szCs w:val="21"/>
        </w:rPr>
        <w:t xml:space="preserve">2.1三相可编程双向交流电源（容量400kVA）</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2.1.1 </w:t>
      </w:r>
      <w:bookmarkStart w:id="242" w:name="OLE_LINK11"/>
      <w:r>
        <w:rPr>
          <w:rFonts w:hint="eastAsia" w:ascii="宋体" w:hAnsi="宋体" w:cs="宋体"/>
          <w:szCs w:val="21"/>
        </w:rPr>
        <w:t xml:space="preserve">可编程双向交流电源</w:t>
      </w:r>
      <w:bookmarkEnd w:id="242"/>
      <w:r>
        <w:rPr>
          <w:rFonts w:hint="eastAsia" w:ascii="宋体" w:hAnsi="宋体" w:cs="宋体"/>
          <w:szCs w:val="21"/>
        </w:rPr>
        <w:t xml:space="preserve">，支持</w:t>
      </w:r>
      <w:r>
        <w:rPr>
          <w:rFonts w:hint="eastAsia" w:ascii="宋体" w:hAnsi="宋体" w:cs="宋体"/>
          <w:bCs/>
          <w:szCs w:val="21"/>
        </w:rPr>
        <w:t xml:space="preserve">双向电能传输，</w:t>
      </w:r>
      <w:bookmarkStart w:id="243" w:name="OLE_LINK96"/>
      <w:r/>
      <w:bookmarkStart w:id="244" w:name="OLE_LINK95"/>
      <w:r/>
      <w:bookmarkStart w:id="245" w:name="OLE_LINK97"/>
      <w:r>
        <w:rPr>
          <w:rFonts w:hint="eastAsia" w:ascii="宋体" w:hAnsi="宋体" w:cs="宋体"/>
          <w:szCs w:val="21"/>
        </w:rPr>
        <w:t xml:space="preserve">应支持多台级联扩容</w:t>
      </w:r>
      <w:r>
        <w:rPr>
          <w:rFonts w:hint="eastAsia" w:ascii="宋体" w:hAnsi="宋体" w:cs="宋体"/>
          <w:bCs/>
          <w:szCs w:val="21"/>
        </w:rPr>
        <w:t xml:space="preserve">。</w:t>
      </w:r>
      <w:bookmarkEnd w:id="243"/>
      <w:r/>
      <w:bookmarkEnd w:id="244"/>
      <w:r/>
      <w:bookmarkEnd w:id="245"/>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★2.1.2 单台功率：≥400kVA，支持后期</w:t>
      </w:r>
      <w:r>
        <w:rPr>
          <w:rFonts w:hint="eastAsia" w:ascii="宋体" w:hAnsi="宋体" w:cs="宋体"/>
          <w:szCs w:val="21"/>
          <w:highlight w:val="none"/>
        </w:rPr>
        <w:t xml:space="preserve">级联扩容</w:t>
      </w:r>
      <w:bookmarkStart w:id="246" w:name="OLE_LINK8"/>
      <w:r>
        <w:rPr>
          <w:rFonts w:hint="eastAsia" w:ascii="宋体" w:hAnsi="宋体" w:cs="宋体"/>
          <w:szCs w:val="21"/>
          <w:highlight w:val="none"/>
        </w:rPr>
        <w:t xml:space="preserve">；单台尺寸：≤1000*1000*2000mm（宽*深*高）</w:t>
      </w:r>
      <w:bookmarkEnd w:id="246"/>
      <w:r>
        <w:rPr>
          <w:rFonts w:hint="eastAsia" w:ascii="宋体" w:hAnsi="宋体" w:cs="宋体"/>
          <w:szCs w:val="21"/>
          <w:highlight w:val="none"/>
        </w:rPr>
        <w:t xml:space="preserve">；</w:t>
      </w:r>
      <w:r>
        <w:rPr>
          <w:rFonts w:hint="eastAsia" w:ascii="宋体" w:hAnsi="宋体" w:cs="宋体"/>
          <w:szCs w:val="21"/>
        </w:rPr>
      </w:r>
      <w:r/>
    </w:p>
    <w:p>
      <w:pPr>
        <w:pStyle w:val="1434"/>
        <w:ind w:firstLine="420"/>
        <w:spacing w:line="440" w:lineRule="exact"/>
        <w:rPr>
          <w:rFonts w:hint="eastAsia" w:ascii="宋体" w:hAnsi="宋体" w:cs="宋体"/>
          <w:szCs w:val="21"/>
        </w:rPr>
      </w:pPr>
      <w:r/>
      <w:bookmarkEnd w:id="236"/>
      <w:r/>
      <w:bookmarkEnd w:id="237"/>
      <w:r>
        <w:rPr>
          <w:rFonts w:hint="eastAsia" w:ascii="宋体" w:hAnsi="宋体" w:cs="宋体"/>
          <w:szCs w:val="21"/>
        </w:rPr>
        <w:t xml:space="preserve">2.1.3 输出电压范围：</w:t>
      </w:r>
      <w:bookmarkStart w:id="247" w:name="OLE_LINK36"/>
      <w:r/>
      <w:bookmarkStart w:id="248" w:name="OLE_LINK38"/>
      <w:r/>
      <w:bookmarkStart w:id="249" w:name="OLE_LINK37"/>
      <w:r/>
      <w:bookmarkStart w:id="250" w:name="OLE_LINK57"/>
      <w:r/>
      <w:bookmarkStart w:id="251" w:name="OLE_LINK58"/>
      <w:r>
        <w:rPr>
          <w:rFonts w:hint="eastAsia" w:ascii="宋体" w:hAnsi="宋体" w:cs="宋体"/>
          <w:szCs w:val="21"/>
        </w:rPr>
        <w:t xml:space="preserve">（10～</w:t>
      </w:r>
      <w:bookmarkEnd w:id="247"/>
      <w:r/>
      <w:bookmarkEnd w:id="248"/>
      <w:r/>
      <w:bookmarkEnd w:id="249"/>
      <w:r>
        <w:rPr>
          <w:rFonts w:hint="eastAsia" w:ascii="宋体" w:hAnsi="宋体" w:cs="宋体"/>
          <w:szCs w:val="21"/>
        </w:rPr>
        <w:t xml:space="preserve">450）V（LN）</w:t>
      </w:r>
      <w:bookmarkEnd w:id="250"/>
      <w:r/>
      <w:bookmarkEnd w:id="251"/>
      <w:r>
        <w:rPr>
          <w:rFonts w:hint="eastAsia" w:ascii="宋体" w:hAnsi="宋体" w:cs="宋体"/>
          <w:szCs w:val="21"/>
        </w:rPr>
        <w:t xml:space="preserve">，</w:t>
      </w:r>
      <w:bookmarkStart w:id="252" w:name="OLE_LINK62"/>
      <w:r/>
      <w:bookmarkStart w:id="253" w:name="OLE_LINK61"/>
      <w:r>
        <w:rPr>
          <w:rFonts w:hint="eastAsia" w:ascii="宋体" w:hAnsi="宋体" w:cs="宋体"/>
          <w:szCs w:val="21"/>
        </w:rPr>
        <w:t xml:space="preserve">电压精度</w:t>
      </w:r>
      <w:bookmarkStart w:id="254" w:name="OLE_LINK55"/>
      <w:r/>
      <w:bookmarkStart w:id="255" w:name="OLE_LINK56"/>
      <w:r>
        <w:rPr>
          <w:rFonts w:hint="eastAsia" w:ascii="宋体" w:hAnsi="宋体" w:cs="宋体"/>
          <w:szCs w:val="21"/>
        </w:rPr>
        <w:t xml:space="preserve">±</w:t>
      </w:r>
      <w:bookmarkEnd w:id="254"/>
      <w:r/>
      <w:bookmarkEnd w:id="255"/>
      <w:r>
        <w:rPr>
          <w:rFonts w:hint="eastAsia" w:ascii="宋体" w:hAnsi="宋体" w:cs="宋体"/>
          <w:szCs w:val="21"/>
        </w:rPr>
        <w:t xml:space="preserve">0.1%F.S</w:t>
      </w:r>
      <w:bookmarkEnd w:id="252"/>
      <w:r/>
      <w:bookmarkEnd w:id="253"/>
      <w:r>
        <w:rPr>
          <w:rFonts w:hint="eastAsia" w:ascii="宋体" w:hAnsi="宋体" w:cs="宋体"/>
          <w:szCs w:val="21"/>
        </w:rPr>
        <w:t xml:space="preserve">。</w:t>
      </w:r>
      <w:bookmarkStart w:id="256" w:name="OLE_LINK59"/>
      <w:r/>
      <w:bookmarkStart w:id="257" w:name="OLE_LINK60"/>
      <w:r>
        <w:rPr>
          <w:rFonts w:hint="eastAsia" w:ascii="宋体" w:hAnsi="宋体" w:cs="宋体"/>
          <w:szCs w:val="21"/>
        </w:rPr>
        <w:t xml:space="preserve">输出电流范围：（10～600）A</w:t>
      </w:r>
      <w:bookmarkEnd w:id="256"/>
      <w:r/>
      <w:bookmarkEnd w:id="257"/>
      <w:r>
        <w:rPr>
          <w:rFonts w:hint="eastAsia" w:ascii="宋体" w:hAnsi="宋体" w:cs="宋体"/>
          <w:szCs w:val="21"/>
        </w:rPr>
        <w:t xml:space="preserve">，</w:t>
      </w:r>
      <w:bookmarkStart w:id="258" w:name="OLE_LINK63"/>
      <w:r/>
      <w:bookmarkStart w:id="259" w:name="OLE_LINK64"/>
      <w:r>
        <w:rPr>
          <w:rFonts w:hint="eastAsia" w:ascii="宋体" w:hAnsi="宋体" w:cs="宋体"/>
          <w:szCs w:val="21"/>
        </w:rPr>
        <w:t xml:space="preserve">电流精度</w:t>
      </w:r>
      <w:bookmarkStart w:id="260" w:name="OLE_LINK103"/>
      <w:r/>
      <w:bookmarkStart w:id="261" w:name="OLE_LINK102"/>
      <w:r/>
      <w:bookmarkStart w:id="262" w:name="OLE_LINK77"/>
      <w:r/>
      <w:bookmarkStart w:id="263" w:name="OLE_LINK104"/>
      <w:r>
        <w:rPr>
          <w:rFonts w:hint="eastAsia" w:ascii="宋体" w:hAnsi="宋体" w:cs="宋体"/>
          <w:szCs w:val="21"/>
        </w:rPr>
        <w:t xml:space="preserve">±</w:t>
      </w:r>
      <w:bookmarkEnd w:id="261"/>
      <w:r/>
      <w:bookmarkEnd w:id="262"/>
      <w:r>
        <w:rPr>
          <w:rFonts w:hint="eastAsia" w:ascii="宋体" w:hAnsi="宋体" w:cs="宋体"/>
          <w:szCs w:val="21"/>
        </w:rPr>
        <w:t xml:space="preserve">（</w:t>
      </w:r>
      <w:bookmarkEnd w:id="260"/>
      <w:r/>
      <w:bookmarkEnd w:id="263"/>
      <w:r>
        <w:rPr>
          <w:rFonts w:hint="eastAsia" w:ascii="宋体" w:hAnsi="宋体" w:cs="宋体"/>
          <w:szCs w:val="21"/>
        </w:rPr>
        <w:t xml:space="preserve">0.1%rd+0.2%F.S）</w:t>
      </w:r>
      <w:bookmarkEnd w:id="258"/>
      <w:r/>
      <w:bookmarkEnd w:id="259"/>
      <w:r>
        <w:rPr>
          <w:rFonts w:hint="eastAsia" w:ascii="宋体" w:hAnsi="宋体" w:cs="宋体"/>
          <w:szCs w:val="21"/>
        </w:rPr>
        <w:t xml:space="preserve">。</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2.1.4</w:t>
      </w:r>
      <w:bookmarkEnd w:id="239"/>
      <w:r/>
      <w:bookmarkEnd w:id="241"/>
      <w:r>
        <w:rPr>
          <w:rFonts w:hint="eastAsia" w:ascii="宋体" w:hAnsi="宋体" w:cs="宋体"/>
          <w:szCs w:val="21"/>
        </w:rPr>
        <w:t xml:space="preserve">输出频率范围：40Hz～70Hz；频率精度±0.01%或0.005Hz取高者；</w:t>
      </w:r>
      <w:r>
        <w:rPr>
          <w:rFonts w:hint="eastAsia" w:ascii="宋体" w:hAnsi="宋体" w:cs="宋体"/>
          <w:szCs w:val="21"/>
        </w:rPr>
      </w:r>
      <w:r/>
    </w:p>
    <w:p>
      <w:pPr>
        <w:pStyle w:val="1434"/>
        <w:ind w:firstLine="420"/>
        <w:spacing w:line="440" w:lineRule="exact"/>
        <w:rPr>
          <w:rFonts w:hint="eastAsia" w:ascii="宋体" w:hAnsi="宋体" w:cs="宋体"/>
          <w:szCs w:val="21"/>
        </w:rPr>
      </w:pPr>
      <w:r/>
      <w:bookmarkEnd w:id="238"/>
      <w:r/>
      <w:bookmarkEnd w:id="240"/>
      <w:r>
        <w:rPr>
          <w:rFonts w:hint="eastAsia" w:ascii="宋体" w:hAnsi="宋体" w:cs="宋体"/>
          <w:szCs w:val="21"/>
        </w:rPr>
        <w:t xml:space="preserve">2.1.5输出相位范围：1°～359.99°；功率精度：±0.3%F.S；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2.1.6电源响应时间：≤800μs；最大效率：≥93%；</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2.1.7电动开关设计，支持一键上电，无需手动合闸断路器。</w:t>
      </w:r>
      <w:r>
        <w:rPr>
          <w:rFonts w:hint="eastAsia" w:ascii="宋体" w:hAnsi="宋体" w:cs="宋体"/>
          <w:szCs w:val="21"/>
        </w:rPr>
      </w:r>
      <w:r/>
    </w:p>
    <w:p>
      <w:pPr>
        <w:pStyle w:val="1434"/>
        <w:ind w:firstLine="420"/>
        <w:spacing w:line="440" w:lineRule="exact"/>
        <w:rPr>
          <w:rFonts w:hint="eastAsia" w:ascii="宋体" w:hAnsi="宋体" w:cs="宋体"/>
          <w:color w:val="ff0000"/>
          <w:szCs w:val="21"/>
        </w:rPr>
      </w:pPr>
      <w:r>
        <w:rPr>
          <w:rFonts w:hint="eastAsia" w:ascii="宋体" w:hAnsi="宋体" w:cs="宋体"/>
          <w:szCs w:val="21"/>
        </w:rPr>
        <w:t xml:space="preserve">2.1.8应支持交流电子负载功能：CC/CR/CP/RLC/PQ模式，内置不低于14种RLC负载模型；应支持三相三线制接线，源模式及电子负载模式均支持不接零线使用；</w:t>
      </w:r>
      <w:r>
        <w:rPr>
          <w:rFonts w:hint="eastAsia" w:ascii="宋体" w:hAnsi="宋体" w:cs="宋体"/>
          <w:color w:val="ff0000"/>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2.1.9应支持RS485/LAN远程通讯接口，支持光纤接口并机。</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2.2三相大电流分析单元</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★2.2.1交流电压/电流准确度：±0.02%</w:t>
      </w:r>
      <w:r>
        <w:rPr>
          <w:rFonts w:hint="eastAsia" w:ascii="宋体" w:hAnsi="宋体" w:cs="宋体"/>
          <w:szCs w:val="21"/>
          <w:lang w:val="en-US" w:eastAsia="zh-CN"/>
        </w:rPr>
        <w:t xml:space="preserve">,</w:t>
      </w:r>
      <w:r>
        <w:rPr>
          <w:rFonts w:hint="eastAsia" w:ascii="宋体" w:hAnsi="宋体" w:cs="宋体"/>
          <w:szCs w:val="21"/>
        </w:rPr>
        <w:t xml:space="preserve">电能准确度：±0.05%；</w:t>
      </w:r>
      <w:bookmarkStart w:id="264" w:name="OLE_LINK19"/>
      <w:r/>
      <w:bookmarkStart w:id="265" w:name="OLE_LINK20"/>
      <w:r>
        <w:rPr>
          <w:rFonts w:hint="eastAsia" w:ascii="宋体" w:hAnsi="宋体" w:cs="宋体"/>
          <w:szCs w:val="21"/>
        </w:rPr>
      </w:r>
      <w:r/>
    </w:p>
    <w:p>
      <w:pPr>
        <w:pStyle w:val="1434"/>
        <w:ind w:firstLine="420"/>
        <w:spacing w:line="440" w:lineRule="exact"/>
        <w:rPr>
          <w:rFonts w:ascii="宋体" w:hAnsi="宋体" w:cs="宋体"/>
          <w:szCs w:val="21"/>
        </w:rPr>
      </w:pPr>
      <w:r>
        <w:rPr>
          <w:rFonts w:hint="eastAsia" w:ascii="宋体" w:hAnsi="宋体" w:cs="宋体"/>
          <w:szCs w:val="21"/>
        </w:rPr>
        <w:t xml:space="preserve">★</w:t>
      </w:r>
      <w:bookmarkEnd w:id="264"/>
      <w:r/>
      <w:bookmarkEnd w:id="265"/>
      <w:r>
        <w:rPr>
          <w:rFonts w:hint="eastAsia" w:ascii="宋体" w:hAnsi="宋体" w:cs="宋体"/>
          <w:szCs w:val="21"/>
        </w:rPr>
        <w:t xml:space="preserve">2.2.</w:t>
      </w:r>
      <w:r>
        <w:rPr>
          <w:rFonts w:hint="eastAsia" w:ascii="宋体" w:hAnsi="宋体" w:cs="宋体"/>
          <w:szCs w:val="21"/>
          <w:lang w:val="en-US" w:eastAsia="zh-CN"/>
        </w:rPr>
        <w:t xml:space="preserve">2 </w:t>
      </w:r>
      <w:r>
        <w:rPr>
          <w:rFonts w:hint="eastAsia" w:ascii="宋体" w:hAnsi="宋体" w:cs="宋体"/>
          <w:szCs w:val="21"/>
        </w:rPr>
        <w:t xml:space="preserve">ACV测量范围：30V～300V，ACI测量范围：0.1A～2000A；</w:t>
      </w:r>
      <w:r>
        <w:rPr>
          <w:rFonts w:ascii="宋体" w:hAnsi="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 可直接接入2000A大电流，无需额外使用传感器。</w:t>
      </w:r>
      <w:r>
        <w:rPr>
          <w:rFonts w:hint="eastAsia" w:ascii="宋体" w:hAnsi="宋体" w:eastAsia="宋体" w:cs="宋体"/>
          <w:szCs w:val="21"/>
        </w:rPr>
      </w:r>
      <w:r/>
    </w:p>
    <w:p>
      <w:pPr>
        <w:pStyle w:val="1434"/>
        <w:ind w:firstLine="422"/>
        <w:spacing w:line="440" w:lineRule="exact"/>
        <w:rPr>
          <w:rFonts w:hint="eastAsia" w:ascii="宋体" w:hAnsi="宋体" w:cs="宋体"/>
          <w:szCs w:val="21"/>
        </w:rPr>
      </w:pPr>
      <w:r>
        <w:rPr>
          <w:rFonts w:hint="eastAsia" w:ascii="宋体" w:hAnsi="宋体" w:cs="宋体"/>
          <w:b/>
          <w:bCs/>
          <w:szCs w:val="21"/>
        </w:rPr>
        <w:t xml:space="preserve">2.3系统操作显示单元</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2.3.1应能显示多路电压、频率、相位、功率/电能、功率因数、纹波、谐波等；</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2.3.2应能实时显示电参量曲线 U(t)、I(t)、P(t)、E(t) 等；</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2.3.3应内置卫星授时模块，实时时钟显示，时间校对；</w:t>
      </w:r>
      <w:r>
        <w:rPr>
          <w:rFonts w:hint="eastAsia" w:ascii="宋体" w:hAnsi="宋体" w:cs="宋体"/>
          <w:szCs w:val="21"/>
        </w:rPr>
      </w:r>
      <w:r/>
    </w:p>
    <w:p>
      <w:pPr>
        <w:pStyle w:val="1434"/>
        <w:ind w:firstLine="420"/>
        <w:spacing w:line="440" w:lineRule="exact"/>
        <w:rPr>
          <w:rFonts w:ascii="宋体" w:hAnsi="宋体" w:cs="宋体"/>
          <w:szCs w:val="21"/>
        </w:rPr>
      </w:pPr>
      <w:r>
        <w:rPr>
          <w:rFonts w:hint="eastAsia" w:ascii="宋体" w:hAnsi="宋体" w:cs="宋体"/>
          <w:szCs w:val="21"/>
        </w:rPr>
        <w:t xml:space="preserve">2.3.4通讯接口应包含但不限于：USB、LAN。</w:t>
      </w:r>
      <w:r>
        <w:rPr>
          <w:rFonts w:ascii="宋体" w:hAnsi="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2.3.5应具备标准电能表和统计分析的功能：可对输入侧和输出侧的电压、电流、相位、功率的稳定度进行测试分析，可分析电参量随时间变化曲线，计算被测电量的最大值、最小值、峰峰值、平均值、标准方差、散度；可实时显示出输出侧的纹波波形，可测算纹波的有效值和峰峰值，还可实时对输入侧的谐波进行幅值和相位分析，可用柱状图直观显示各次谐波的频谱，可对总谐波失真进行测评，可显示各相U-I,U-U间的相位，并通过相量图显示。</w:t>
      </w:r>
      <w:r>
        <w:rPr>
          <w:rFonts w:hint="eastAsia" w:ascii="宋体" w:hAnsi="宋体" w:eastAsia="宋体" w:cs="宋体"/>
          <w:szCs w:val="21"/>
        </w:rPr>
      </w:r>
      <w:r/>
    </w:p>
    <w:p>
      <w:pPr>
        <w:pStyle w:val="1434"/>
        <w:ind w:firstLine="422"/>
        <w:spacing w:line="440" w:lineRule="exact"/>
        <w:rPr>
          <w:rFonts w:hint="eastAsia" w:ascii="宋体" w:hAnsi="宋体" w:cs="宋体"/>
          <w:szCs w:val="21"/>
        </w:rPr>
      </w:pPr>
      <w:r>
        <w:rPr>
          <w:rFonts w:hint="eastAsia" w:ascii="宋体" w:hAnsi="宋体" w:cs="宋体"/>
          <w:b/>
          <w:bCs/>
          <w:szCs w:val="21"/>
        </w:rPr>
        <w:t xml:space="preserve">2.4超级充电接口综合测试与分析单元</w:t>
      </w:r>
      <w:r>
        <w:rPr>
          <w:rFonts w:hint="eastAsia" w:ascii="宋体" w:hAnsi="宋体" w:cs="宋体"/>
          <w:szCs w:val="21"/>
        </w:rPr>
      </w:r>
      <w:r/>
    </w:p>
    <w:p>
      <w:pPr>
        <w:pStyle w:val="1434"/>
        <w:ind w:firstLine="420"/>
        <w:spacing w:line="440" w:lineRule="exact"/>
        <w:rPr>
          <w:rFonts w:hint="eastAsia" w:ascii="宋体" w:hAnsi="宋体" w:cs="宋体"/>
          <w:color w:val="000000"/>
          <w:szCs w:val="21"/>
        </w:rPr>
      </w:pPr>
      <w:r>
        <w:rPr>
          <w:rFonts w:hint="eastAsia" w:ascii="宋体" w:hAnsi="宋体" w:cs="宋体"/>
          <w:szCs w:val="21"/>
        </w:rPr>
        <w:t xml:space="preserve">★2.4.1 DCV测量</w:t>
      </w:r>
      <w:r>
        <w:rPr>
          <w:rFonts w:hint="eastAsia" w:ascii="宋体" w:hAnsi="宋体" w:cs="宋体"/>
          <w:color w:val="000000"/>
          <w:szCs w:val="21"/>
        </w:rPr>
        <w:t xml:space="preserve">范围：200V～1500V；DCI测量范围: 20A～800A；直流电压/电流：0.02级；电能：0.05级；</w:t>
      </w:r>
      <w:r>
        <w:rPr>
          <w:rFonts w:hint="eastAsia" w:ascii="仿宋_GB2312" w:hAnsi="宋体"/>
          <w:color w:val="000000"/>
          <w:szCs w:val="21"/>
        </w:rPr>
        <w:t xml:space="preserve">兼容脉冲法和累计电能法两种方式进行电能计量。</w:t>
      </w:r>
      <w:r>
        <w:rPr>
          <w:rFonts w:hint="eastAsia" w:ascii="宋体" w:hAnsi="宋体" w:cs="宋体"/>
          <w:color w:val="000000"/>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2.4.2应配置超级充电接口、常规直流充电接口，兼容二种类型的直流充电机的检测。</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2.4.3纹波最大测量范围：5kHz；</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2.4.4具备控制导引电路、绝缘状态模拟器、电池电压模拟器、BMS模拟器、CAN报文采集模块等检测功能模块；</w:t>
      </w:r>
      <w:r>
        <w:rPr>
          <w:rFonts w:hint="eastAsia" w:ascii="宋体" w:hAnsi="宋体" w:cs="宋体"/>
          <w:szCs w:val="21"/>
        </w:rPr>
      </w:r>
      <w:r/>
    </w:p>
    <w:p>
      <w:pPr>
        <w:pStyle w:val="1434"/>
        <w:ind w:firstLine="420"/>
        <w:spacing w:line="440" w:lineRule="exact"/>
        <w:rPr>
          <w:rFonts w:ascii="宋体" w:hAnsi="宋体" w:cs="宋体"/>
          <w:szCs w:val="21"/>
        </w:rPr>
      </w:pPr>
      <w:r>
        <w:rPr>
          <w:rFonts w:hint="eastAsia" w:ascii="宋体" w:hAnsi="宋体" w:cs="宋体"/>
          <w:szCs w:val="21"/>
        </w:rPr>
        <w:t xml:space="preserve">2.4.5内置多通道高速数据采集模块，可以采集充电桩输出电压、充电电流、车辆电池电压、CC1、辅助电源等参数和波形，并和CAN报文统一时基，内置CAN通讯报文采集模块，可以实现CAN总线报文采集记录，报文采集和电压电流等参数采集实现底层同步，实现报文和数据波形的同步采集，保证数据的可靠性和同步性；</w:t>
      </w:r>
      <w:r>
        <w:rPr>
          <w:rFonts w:ascii="宋体" w:hAnsi="宋体" w:cs="宋体"/>
          <w:szCs w:val="21"/>
        </w:rPr>
      </w:r>
      <w:r/>
    </w:p>
    <w:p>
      <w:pPr>
        <w:pStyle w:val="1466"/>
        <w:spacing w:after="156"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2.4.6</w:t>
      </w:r>
      <w:bookmarkStart w:id="266" w:name="OLE_LINK2"/>
      <w:r>
        <w:rPr>
          <w:rFonts w:hint="eastAsia" w:ascii="宋体" w:hAnsi="宋体" w:eastAsia="宋体" w:cs="宋体"/>
          <w:sz w:val="21"/>
          <w:szCs w:val="21"/>
          <w:lang w:val="en-US" w:eastAsia="zh-CN" w:bidi="ar-SA"/>
        </w:rPr>
        <w:t xml:space="preserve"> 内置录波模块，可实现测量值与信号值的同步采集和时序分析，无需额外使用独立的录波器，软件可自动判断并截取时序波形图；</w:t>
      </w:r>
      <w:bookmarkEnd w:id="266"/>
      <w:r/>
      <w:bookmarkStart w:id="267" w:name="OLE_LINK1"/>
      <w:r>
        <w:rPr>
          <w:rFonts w:hint="eastAsia" w:ascii="宋体" w:hAnsi="宋体" w:eastAsia="宋体" w:cs="宋体"/>
          <w:sz w:val="21"/>
          <w:szCs w:val="21"/>
          <w:lang w:val="en-US" w:eastAsia="zh-CN" w:bidi="ar-SA"/>
        </w:rPr>
      </w:r>
      <w:r/>
    </w:p>
    <w:p>
      <w:pPr>
        <w:pStyle w:val="1466"/>
        <w:spacing w:after="156"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2.4.7 集成车辆接口模拟功能和非车载充电机输出端直流精密测量功能，无需外接传感器，实现宽量程范围的精确计量。</w:t>
      </w:r>
      <w:r>
        <w:rPr>
          <w:rFonts w:hint="eastAsia" w:ascii="宋体" w:hAnsi="宋体" w:eastAsia="宋体" w:cs="宋体"/>
          <w:sz w:val="21"/>
          <w:szCs w:val="21"/>
          <w:lang w:val="en-US" w:eastAsia="zh-CN" w:bidi="ar-SA"/>
        </w:rPr>
      </w:r>
      <w:r/>
    </w:p>
    <w:p>
      <w:pPr>
        <w:pStyle w:val="1434"/>
        <w:ind w:firstLine="422"/>
        <w:spacing w:line="440" w:lineRule="exact"/>
        <w:rPr>
          <w:rFonts w:hint="eastAsia" w:ascii="宋体" w:hAnsi="宋体" w:cs="宋体"/>
          <w:szCs w:val="21"/>
        </w:rPr>
      </w:pPr>
      <w:r/>
      <w:bookmarkEnd w:id="267"/>
      <w:r/>
      <w:bookmarkStart w:id="268" w:name="OLE_LINK22"/>
      <w:r/>
      <w:bookmarkStart w:id="269" w:name="OLE_LINK72"/>
      <w:r/>
      <w:bookmarkStart w:id="270" w:name="OLE_LINK71"/>
      <w:r/>
      <w:bookmarkStart w:id="271" w:name="OLE_LINK76"/>
      <w:r/>
      <w:bookmarkStart w:id="272" w:name="OLE_LINK75"/>
      <w:r/>
      <w:bookmarkStart w:id="273" w:name="OLE_LINK21"/>
      <w:r>
        <w:rPr>
          <w:rFonts w:hint="eastAsia" w:ascii="宋体" w:hAnsi="宋体" w:cs="宋体"/>
          <w:b/>
          <w:bCs/>
          <w:szCs w:val="21"/>
        </w:rPr>
        <w:t xml:space="preserve">2.5大功率直流可调阻性负载</w:t>
      </w:r>
      <w:r>
        <w:rPr>
          <w:rFonts w:hint="eastAsia" w:ascii="宋体" w:hAnsi="宋体" w:cs="宋体"/>
          <w:szCs w:val="21"/>
        </w:rPr>
      </w:r>
      <w:r/>
    </w:p>
    <w:p>
      <w:pPr>
        <w:pStyle w:val="1434"/>
        <w:ind w:firstLine="420"/>
        <w:spacing w:line="440" w:lineRule="exact"/>
        <w:rPr>
          <w:rFonts w:hint="eastAsia" w:ascii="宋体" w:hAnsi="宋体" w:cs="宋体"/>
          <w:szCs w:val="21"/>
        </w:rPr>
      </w:pPr>
      <w:r/>
      <w:bookmarkEnd w:id="268"/>
      <w:r/>
      <w:bookmarkEnd w:id="269"/>
      <w:r/>
      <w:bookmarkEnd w:id="270"/>
      <w:r/>
      <w:bookmarkEnd w:id="273"/>
      <w:r/>
      <w:bookmarkStart w:id="274" w:name="OLE_LINK92"/>
      <w:r/>
      <w:bookmarkStart w:id="275" w:name="OLE_LINK91"/>
      <w:r>
        <w:rPr>
          <w:rFonts w:hint="eastAsia" w:ascii="宋体" w:hAnsi="宋体" w:cs="宋体"/>
          <w:szCs w:val="21"/>
        </w:rPr>
        <w:t xml:space="preserve">2.5.1单台负载工作范围：电压200V～1500V，电流5～80A，最小电流步进0.1A；电压采样精度±0.2%，电流采样精度±0.5%</w:t>
      </w:r>
      <w:bookmarkStart w:id="276" w:name="OLE_LINK100"/>
      <w:r/>
      <w:bookmarkStart w:id="277" w:name="OLE_LINK99"/>
      <w:r>
        <w:rPr>
          <w:rFonts w:hint="eastAsia" w:ascii="宋体" w:hAnsi="宋体" w:cs="宋体"/>
          <w:szCs w:val="21"/>
        </w:rPr>
        <w:t xml:space="preserve">；单台最大负载功率：直流120kW；</w:t>
      </w:r>
      <w:bookmarkEnd w:id="271"/>
      <w:r/>
      <w:bookmarkEnd w:id="272"/>
      <w:r/>
      <w:bookmarkEnd w:id="276"/>
      <w:r/>
      <w:bookmarkEnd w:id="277"/>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2.5.2配备彩色显示屏，显示采样电压、电流和负载功率；</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2.5.3电压采样分辨力最小0.000 01 V，电流采样分辨力最小0.000 01 A；</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2.5.4支持过流、过压、过温、风扇异常保护；</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2.5.5强制风冷，配备风扇管理系统；</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2.5.6过压过流触发紧急停机；</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2.5.7通讯接口应包含但不限于：USB、LAN；应支持多台级联扩容。</w:t>
      </w:r>
      <w:r>
        <w:rPr>
          <w:rFonts w:hint="eastAsia" w:ascii="宋体" w:hAnsi="宋体" w:cs="宋体"/>
          <w:szCs w:val="21"/>
        </w:rPr>
      </w:r>
      <w:r/>
    </w:p>
    <w:p>
      <w:pPr>
        <w:pStyle w:val="1434"/>
        <w:ind w:firstLine="422"/>
        <w:spacing w:line="440" w:lineRule="exact"/>
        <w:rPr>
          <w:rFonts w:hint="eastAsia" w:ascii="宋体" w:hAnsi="宋体" w:cs="宋体"/>
          <w:b/>
          <w:bCs/>
          <w:szCs w:val="21"/>
        </w:rPr>
      </w:pPr>
      <w:r/>
      <w:bookmarkEnd w:id="274"/>
      <w:r/>
      <w:bookmarkEnd w:id="275"/>
      <w:r/>
      <w:bookmarkStart w:id="278" w:name="OLE_LINK29"/>
      <w:r>
        <w:rPr>
          <w:rFonts w:hint="eastAsia" w:ascii="宋体" w:hAnsi="宋体" w:cs="宋体"/>
          <w:b/>
          <w:bCs/>
          <w:szCs w:val="21"/>
        </w:rPr>
        <w:t xml:space="preserve">2.6数字示波器</w:t>
      </w:r>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2.6.1示波器应满足测量直流充电机直流输出的纹波特性、交流试验信号等要求；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2.6.2通道：4；模拟带宽：200MHz；采样率：1GSa/s；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2.6.3配备1个高压探头：电压7kV；带宽50MHz；</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2.6.4配备1个电流探头：额定电流≥800A@AC，频带宽度≥300kHz。</w:t>
      </w:r>
      <w:bookmarkEnd w:id="278"/>
      <w:r>
        <w:rPr>
          <w:rFonts w:hint="eastAsia" w:ascii="宋体" w:hAnsi="宋体" w:cs="宋体"/>
          <w:szCs w:val="21"/>
        </w:rPr>
      </w:r>
      <w:r/>
    </w:p>
    <w:p>
      <w:pPr>
        <w:pStyle w:val="1434"/>
        <w:ind w:firstLine="422"/>
        <w:spacing w:line="440" w:lineRule="exact"/>
        <w:rPr>
          <w:rFonts w:hint="eastAsia" w:ascii="宋体" w:hAnsi="宋体" w:cs="宋体"/>
          <w:b/>
          <w:bCs/>
          <w:szCs w:val="21"/>
        </w:rPr>
      </w:pPr>
      <w:r/>
      <w:bookmarkStart w:id="279" w:name="OLE_LINK68"/>
      <w:r/>
      <w:bookmarkStart w:id="280" w:name="OLE_LINK67"/>
      <w:r/>
      <w:bookmarkStart w:id="281" w:name="OLE_LINK5"/>
      <w:r/>
      <w:bookmarkStart w:id="282" w:name="OLE_LINK6"/>
      <w:r>
        <w:rPr>
          <w:rFonts w:hint="eastAsia" w:ascii="宋体" w:hAnsi="宋体" w:cs="宋体"/>
          <w:b/>
          <w:bCs/>
          <w:szCs w:val="21"/>
        </w:rPr>
        <w:t xml:space="preserve">2.7</w:t>
      </w:r>
      <w:bookmarkStart w:id="283" w:name="OLE_LINK88"/>
      <w:r/>
      <w:bookmarkStart w:id="284" w:name="OLE_LINK87"/>
      <w:r>
        <w:rPr>
          <w:rFonts w:hint="eastAsia" w:ascii="宋体" w:hAnsi="宋体" w:cs="宋体"/>
          <w:b/>
          <w:bCs/>
          <w:szCs w:val="21"/>
        </w:rPr>
        <w:t xml:space="preserve">可编程双向直流电源</w:t>
      </w:r>
      <w:r>
        <w:rPr>
          <w:rFonts w:hint="eastAsia" w:ascii="宋体" w:hAnsi="宋体" w:cs="宋体"/>
          <w:b/>
          <w:bCs/>
          <w:szCs w:val="21"/>
        </w:rPr>
      </w:r>
      <w:r/>
    </w:p>
    <w:p>
      <w:pPr>
        <w:pStyle w:val="1434"/>
        <w:ind w:firstLine="420"/>
        <w:spacing w:line="440" w:lineRule="exact"/>
        <w:rPr>
          <w:rFonts w:hint="eastAsia" w:ascii="宋体" w:hAnsi="宋体" w:cs="宋体"/>
          <w:szCs w:val="21"/>
        </w:rPr>
      </w:pPr>
      <w:r/>
      <w:bookmarkStart w:id="285" w:name="OLE_LINK16"/>
      <w:r/>
      <w:bookmarkStart w:id="286" w:name="OLE_LINK15"/>
      <w:r>
        <w:rPr>
          <w:rFonts w:hint="eastAsia" w:ascii="宋体" w:hAnsi="宋体" w:cs="宋体"/>
          <w:szCs w:val="21"/>
        </w:rPr>
        <w:t xml:space="preserve">★</w:t>
      </w:r>
      <w:bookmarkEnd w:id="285"/>
      <w:r/>
      <w:bookmarkEnd w:id="286"/>
      <w:r>
        <w:rPr>
          <w:rFonts w:hint="eastAsia" w:ascii="宋体" w:hAnsi="宋体" w:cs="宋体"/>
          <w:szCs w:val="21"/>
        </w:rPr>
        <w:t xml:space="preserve">2.7.1单台功率：（10～600）k</w:t>
      </w:r>
      <w:r>
        <w:rPr>
          <w:rFonts w:hint="eastAsia" w:ascii="宋体" w:hAnsi="宋体" w:cs="宋体"/>
          <w:szCs w:val="21"/>
          <w:highlight w:val="none"/>
        </w:rPr>
        <w:t xml:space="preserve">W；单台尺寸：≤1800*1000*2000mm（宽*深*高）；</w:t>
      </w:r>
      <w:bookmarkStart w:id="287" w:name="OLE_LINK54"/>
      <w:r/>
      <w:bookmarkStart w:id="288" w:name="OLE_LINK53"/>
      <w:r>
        <w:rPr>
          <w:rFonts w:hint="eastAsia" w:ascii="宋体" w:hAnsi="宋体" w:cs="宋体"/>
          <w:szCs w:val="21"/>
          <w:highlight w:val="none"/>
        </w:rPr>
        <w:t xml:space="preserve">电流（1</w:t>
      </w:r>
      <w:r>
        <w:rPr>
          <w:rFonts w:hint="eastAsia" w:ascii="宋体" w:hAnsi="宋体" w:cs="宋体"/>
          <w:szCs w:val="21"/>
        </w:rPr>
        <w:t xml:space="preserve">0～900）A，</w:t>
      </w:r>
      <w:bookmarkEnd w:id="283"/>
      <w:r/>
      <w:bookmarkEnd w:id="284"/>
      <w:r/>
      <w:bookmarkEnd w:id="287"/>
      <w:r/>
      <w:bookmarkEnd w:id="288"/>
      <w:r>
        <w:rPr>
          <w:rFonts w:hint="eastAsia" w:ascii="宋体" w:hAnsi="宋体" w:cs="宋体"/>
          <w:szCs w:val="21"/>
        </w:rPr>
        <w:t xml:space="preserve">电流精度±0.05%F.S，</w:t>
      </w:r>
      <w:bookmarkStart w:id="289" w:name="OLE_LINK52"/>
      <w:r/>
      <w:bookmarkStart w:id="290" w:name="OLE_LINK51"/>
      <w:r>
        <w:rPr>
          <w:rFonts w:hint="eastAsia" w:ascii="宋体" w:hAnsi="宋体" w:cs="宋体"/>
          <w:szCs w:val="21"/>
        </w:rPr>
        <w:t xml:space="preserve">电压：(20～2000)V</w:t>
      </w:r>
      <w:bookmarkEnd w:id="289"/>
      <w:r/>
      <w:bookmarkEnd w:id="290"/>
      <w:r>
        <w:rPr>
          <w:rFonts w:hint="eastAsia" w:ascii="宋体" w:hAnsi="宋体" w:cs="宋体"/>
          <w:szCs w:val="21"/>
        </w:rPr>
        <w:t xml:space="preserve">，电压精度：±0.05%F.S，</w:t>
      </w:r>
      <w:bookmarkEnd w:id="279"/>
      <w:r/>
      <w:bookmarkEnd w:id="280"/>
      <w:r>
        <w:rPr>
          <w:rFonts w:hint="eastAsia" w:ascii="宋体" w:hAnsi="宋体" w:cs="宋体"/>
          <w:szCs w:val="21"/>
        </w:rPr>
        <w:t xml:space="preserve">应支持多台级联扩容；</w:t>
      </w:r>
      <w:r>
        <w:rPr>
          <w:rFonts w:hint="eastAsia" w:ascii="宋体" w:hAnsi="宋体" w:cs="宋体"/>
          <w:szCs w:val="21"/>
        </w:rPr>
      </w:r>
      <w:r/>
    </w:p>
    <w:p>
      <w:pPr>
        <w:pStyle w:val="1434"/>
        <w:ind w:firstLine="420"/>
        <w:spacing w:line="440" w:lineRule="exact"/>
        <w:rPr>
          <w:rFonts w:hint="eastAsia" w:ascii="宋体" w:hAnsi="宋体" w:cs="宋体"/>
          <w:szCs w:val="21"/>
        </w:rPr>
      </w:pPr>
      <w:r/>
      <w:bookmarkEnd w:id="281"/>
      <w:r/>
      <w:bookmarkEnd w:id="282"/>
      <w:r>
        <w:rPr>
          <w:rFonts w:hint="eastAsia" w:ascii="宋体" w:hAnsi="宋体" w:cs="宋体"/>
          <w:szCs w:val="21"/>
        </w:rPr>
        <w:t xml:space="preserve">2.7.2支持一键上电；最大效率：≥95%；</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2.7.3应支持RS485/LAN远程通讯接口，支持光纤接口并机；</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2.7.4应支持回馈式直流电子负载模式，包含静态负载（CV/CC/CR/CP）与动态负载（斜坡电流/斜坡功率/循环）功能；</w:t>
      </w:r>
      <w:r>
        <w:rPr>
          <w:rFonts w:hint="eastAsia" w:ascii="宋体" w:hAnsi="宋体" w:cs="宋体"/>
          <w:szCs w:val="21"/>
        </w:rPr>
      </w:r>
      <w:r/>
    </w:p>
    <w:p>
      <w:pPr>
        <w:pStyle w:val="1434"/>
        <w:ind w:firstLine="420"/>
        <w:spacing w:line="440" w:lineRule="exact"/>
        <w:rPr>
          <w:rFonts w:hint="eastAsia" w:ascii="宋体" w:hAnsi="宋体" w:cs="宋体"/>
          <w:color w:val="ff0000"/>
          <w:szCs w:val="21"/>
        </w:rPr>
      </w:pPr>
      <w:r>
        <w:rPr>
          <w:rFonts w:hint="eastAsia" w:ascii="宋体" w:hAnsi="宋体" w:cs="宋体"/>
          <w:szCs w:val="21"/>
        </w:rPr>
        <w:t xml:space="preserve">2.7.5应支持电池模拟功能：固定类型、自定义类型、1/2/3阶电池RC模型，固定类型内置不低于7种电池模型。</w:t>
      </w:r>
      <w:r>
        <w:rPr>
          <w:rFonts w:hint="eastAsia" w:ascii="宋体" w:hAnsi="宋体" w:cs="宋体"/>
          <w:color w:val="ff0000"/>
          <w:szCs w:val="21"/>
        </w:rPr>
      </w:r>
      <w:r/>
    </w:p>
    <w:p>
      <w:pPr>
        <w:pStyle w:val="1434"/>
        <w:ind w:firstLine="422"/>
        <w:spacing w:line="440" w:lineRule="exact"/>
        <w:rPr>
          <w:rFonts w:hint="eastAsia" w:ascii="宋体" w:hAnsi="宋体" w:cs="宋体"/>
          <w:szCs w:val="21"/>
        </w:rPr>
      </w:pPr>
      <w:r>
        <w:rPr>
          <w:rFonts w:hint="eastAsia" w:ascii="宋体" w:hAnsi="宋体" w:cs="宋体"/>
          <w:b/>
          <w:bCs/>
          <w:szCs w:val="21"/>
        </w:rPr>
        <w:t xml:space="preserve">2.8非车载充电机综合测试软件和控制机</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2.8.1应能实现非车载充电机的自动检测、方案编辑、报告导出和各单元的集成控制等；</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2.8.2应能完成计量性能检测、互操作性测试、通信协议一致性测试、全性能测试；</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2.8.3应能完成模拟超级充电车辆控制导引电路，模拟充电控制导引电阻变化、信号接地/断路等故障、开关分合逻辑，配合负载可完成充电系统的电气性能、充电导引测试；</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2.8.4测试记录要求保存在数据管理内，需要输出报告时，可一键自动生成报告；</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2.8.5要求具备测试曲线的绘制、故障信息和故障原因的提示、检测报告的生成与导出等功能，通过辅助功能可观看实时报文和实时波形参数；</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2.8.6软件应可实时显示电压、电流、辅助电源电压、辅助电源电流、CC1、CC2、K1K2的曲线并记录；</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2.8.7要求测试结束后可进行结果核验，可一键对不合格的测试项目进行重新测试；</w:t>
      </w:r>
      <w:r>
        <w:rPr>
          <w:rFonts w:hint="eastAsia" w:ascii="宋体" w:hAnsi="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2.8.8控制机1台：内存16G或以上；处理器：八线程及以上高性能处理器，主频 3.0GHz 及以上，支持超线程技术；可安装配套检测软件，实现系统控制及实时监测；</w:t>
      </w:r>
      <w:r>
        <w:rPr>
          <w:rFonts w:hint="eastAsia" w:ascii="宋体" w:hAnsi="宋体" w:eastAsia="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2.8.9配置60寸以上液晶显示屏，可实时投屏软件测试界面；</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2.8.10 综合测试软件应提供通讯协议及数据接口，便于二次开发或与其他数据管理系统对接。</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3、交流充电桩综合测试系统</w:t>
      </w:r>
      <w:r>
        <w:rPr>
          <w:rFonts w:hint="eastAsia" w:ascii="宋体" w:hAnsi="宋体" w:cs="宋体"/>
          <w:szCs w:val="21"/>
        </w:rPr>
      </w:r>
      <w:r/>
    </w:p>
    <w:p>
      <w:pPr>
        <w:pStyle w:val="1434"/>
        <w:ind w:firstLine="420"/>
        <w:spacing w:line="440" w:lineRule="exact"/>
        <w:rPr>
          <w:rFonts w:hint="eastAsia" w:ascii="宋体" w:hAnsi="宋体" w:cs="宋体"/>
          <w:szCs w:val="21"/>
        </w:rPr>
      </w:pPr>
      <w:r/>
      <w:bookmarkStart w:id="291" w:name="OLE_LINK90"/>
      <w:r/>
      <w:bookmarkStart w:id="292" w:name="OLE_LINK89"/>
      <w:r/>
      <w:bookmarkStart w:id="293" w:name="OLE_LINK69"/>
      <w:r/>
      <w:bookmarkStart w:id="294" w:name="OLE_LINK70"/>
      <w:r>
        <w:rPr>
          <w:rFonts w:hint="eastAsia" w:ascii="宋体" w:hAnsi="宋体" w:cs="宋体"/>
          <w:bCs/>
          <w:szCs w:val="21"/>
        </w:rPr>
        <w:t xml:space="preserve">3.1三相可编程双向交流电源</w:t>
      </w:r>
      <w:r>
        <w:rPr>
          <w:rFonts w:hint="eastAsia" w:ascii="宋体" w:hAnsi="宋体" w:cs="宋体"/>
          <w:szCs w:val="21"/>
        </w:rPr>
      </w:r>
      <w:r/>
    </w:p>
    <w:p>
      <w:pPr>
        <w:pStyle w:val="1434"/>
        <w:ind w:firstLine="420"/>
        <w:spacing w:line="440" w:lineRule="exact"/>
        <w:rPr>
          <w:rFonts w:hint="eastAsia" w:ascii="宋体" w:hAnsi="宋体" w:cs="宋体"/>
          <w:color w:val="ff0000"/>
          <w:szCs w:val="21"/>
        </w:rPr>
      </w:pPr>
      <w:r>
        <w:rPr>
          <w:rFonts w:hint="eastAsia" w:ascii="宋体" w:hAnsi="宋体" w:cs="宋体"/>
          <w:szCs w:val="21"/>
        </w:rPr>
        <w:t xml:space="preserve">3.1.1应支持RS485/LAN远程通讯接口；</w:t>
      </w:r>
      <w:r>
        <w:rPr>
          <w:rFonts w:hint="eastAsia" w:ascii="宋体" w:hAnsi="宋体" w:cs="宋体"/>
          <w:color w:val="ff0000"/>
          <w:szCs w:val="21"/>
        </w:rPr>
      </w:r>
      <w:r/>
    </w:p>
    <w:p>
      <w:pPr>
        <w:pStyle w:val="1434"/>
        <w:ind w:firstLine="420"/>
        <w:spacing w:line="440" w:lineRule="exact"/>
        <w:rPr>
          <w:rFonts w:hint="eastAsia" w:ascii="宋体" w:hAnsi="宋体" w:cs="宋体"/>
          <w:szCs w:val="21"/>
          <w:highlight w:val="none"/>
        </w:rPr>
      </w:pPr>
      <w:r>
        <w:rPr>
          <w:rFonts w:hint="eastAsia" w:ascii="宋体" w:hAnsi="宋体" w:cs="宋体"/>
          <w:szCs w:val="21"/>
        </w:rPr>
        <w:t xml:space="preserve">★3.1.2 单台功率：（10～60）k</w:t>
      </w:r>
      <w:r>
        <w:rPr>
          <w:rFonts w:hint="eastAsia" w:ascii="宋体" w:hAnsi="宋体" w:cs="宋体"/>
          <w:szCs w:val="21"/>
          <w:highlight w:val="none"/>
        </w:rPr>
        <w:t xml:space="preserve">VA；</w:t>
      </w:r>
      <w:bookmarkEnd w:id="291"/>
      <w:r/>
      <w:bookmarkEnd w:id="292"/>
      <w:r>
        <w:rPr>
          <w:rFonts w:hint="eastAsia" w:ascii="宋体" w:hAnsi="宋体" w:cs="宋体"/>
          <w:szCs w:val="21"/>
          <w:highlight w:val="none"/>
        </w:rPr>
        <w:t xml:space="preserve">单台尺寸：≤800*900*1000mm（宽*深*高）；</w:t>
      </w:r>
      <w:r>
        <w:rPr>
          <w:rFonts w:hint="eastAsia" w:ascii="宋体" w:hAnsi="宋体" w:cs="宋体"/>
          <w:szCs w:val="21"/>
          <w:highlight w:val="none"/>
        </w:rPr>
      </w:r>
      <w:r/>
    </w:p>
    <w:p>
      <w:pPr>
        <w:pStyle w:val="1434"/>
        <w:ind w:firstLine="420"/>
        <w:spacing w:line="440" w:lineRule="exact"/>
        <w:rPr>
          <w:rFonts w:hint="eastAsia" w:ascii="宋体" w:hAnsi="宋体" w:cs="宋体"/>
          <w:szCs w:val="21"/>
          <w:highlight w:val="none"/>
        </w:rPr>
      </w:pPr>
      <w:r/>
      <w:bookmarkStart w:id="295" w:name="OLE_LINK93"/>
      <w:r/>
      <w:bookmarkStart w:id="296" w:name="OLE_LINK94"/>
      <w:r>
        <w:rPr>
          <w:rFonts w:hint="eastAsia" w:ascii="宋体" w:hAnsi="宋体" w:cs="宋体"/>
          <w:szCs w:val="21"/>
          <w:highlight w:val="none"/>
        </w:rPr>
        <w:t xml:space="preserve">3.1.3 </w:t>
      </w:r>
      <w:bookmarkStart w:id="297" w:name="OLE_LINK42"/>
      <w:r/>
      <w:bookmarkStart w:id="298" w:name="OLE_LINK41"/>
      <w:r>
        <w:rPr>
          <w:rFonts w:hint="eastAsia" w:ascii="宋体" w:hAnsi="宋体" w:cs="宋体"/>
          <w:szCs w:val="21"/>
          <w:highlight w:val="none"/>
        </w:rPr>
        <w:t xml:space="preserve">输出电压范围：</w:t>
      </w:r>
      <w:bookmarkStart w:id="299" w:name="OLE_LINK86"/>
      <w:r/>
      <w:bookmarkStart w:id="300" w:name="OLE_LINK85"/>
      <w:r>
        <w:rPr>
          <w:rFonts w:hint="eastAsia" w:ascii="宋体" w:hAnsi="宋体" w:cs="宋体"/>
          <w:szCs w:val="21"/>
          <w:highlight w:val="none"/>
        </w:rPr>
        <w:t xml:space="preserve">（10～</w:t>
      </w:r>
      <w:bookmarkEnd w:id="299"/>
      <w:r/>
      <w:bookmarkEnd w:id="300"/>
      <w:r>
        <w:rPr>
          <w:rFonts w:hint="eastAsia" w:ascii="宋体" w:hAnsi="宋体" w:cs="宋体"/>
          <w:szCs w:val="21"/>
          <w:highlight w:val="none"/>
        </w:rPr>
        <w:t xml:space="preserve">450）V（LN）</w:t>
      </w:r>
      <w:bookmarkEnd w:id="297"/>
      <w:r/>
      <w:bookmarkEnd w:id="298"/>
      <w:r>
        <w:rPr>
          <w:rFonts w:hint="eastAsia" w:ascii="宋体" w:hAnsi="宋体" w:cs="宋体"/>
          <w:szCs w:val="21"/>
          <w:highlight w:val="none"/>
        </w:rPr>
        <w:t xml:space="preserve">，</w:t>
      </w:r>
      <w:bookmarkStart w:id="301" w:name="OLE_LINK46"/>
      <w:r/>
      <w:bookmarkStart w:id="302" w:name="OLE_LINK45"/>
      <w:r/>
      <w:bookmarkStart w:id="303" w:name="OLE_LINK106"/>
      <w:r/>
      <w:bookmarkStart w:id="304" w:name="OLE_LINK105"/>
      <w:r>
        <w:rPr>
          <w:rFonts w:hint="eastAsia" w:ascii="宋体" w:hAnsi="宋体" w:cs="宋体"/>
          <w:szCs w:val="21"/>
          <w:highlight w:val="none"/>
        </w:rPr>
        <w:t xml:space="preserve">电压精度</w:t>
      </w:r>
      <w:bookmarkStart w:id="305" w:name="OLE_LINK107"/>
      <w:r/>
      <w:bookmarkStart w:id="306" w:name="OLE_LINK108"/>
      <w:r>
        <w:rPr>
          <w:rFonts w:hint="eastAsia" w:ascii="宋体" w:hAnsi="宋体" w:cs="宋体"/>
          <w:szCs w:val="21"/>
          <w:highlight w:val="none"/>
        </w:rPr>
        <w:t xml:space="preserve">±</w:t>
      </w:r>
      <w:bookmarkEnd w:id="305"/>
      <w:r/>
      <w:bookmarkEnd w:id="306"/>
      <w:r>
        <w:rPr>
          <w:rFonts w:hint="eastAsia" w:ascii="宋体" w:hAnsi="宋体" w:cs="宋体"/>
          <w:szCs w:val="21"/>
          <w:highlight w:val="none"/>
        </w:rPr>
        <w:t xml:space="preserve">0.1%F.S</w:t>
      </w:r>
      <w:bookmarkEnd w:id="301"/>
      <w:r/>
      <w:bookmarkEnd w:id="302"/>
      <w:r>
        <w:rPr>
          <w:rFonts w:hint="eastAsia" w:ascii="宋体" w:hAnsi="宋体" w:cs="宋体"/>
          <w:szCs w:val="21"/>
          <w:highlight w:val="none"/>
        </w:rPr>
        <w:t xml:space="preserve">；</w:t>
      </w:r>
      <w:bookmarkEnd w:id="303"/>
      <w:r/>
      <w:bookmarkEnd w:id="304"/>
      <w:r>
        <w:rPr>
          <w:rFonts w:hint="eastAsia" w:ascii="宋体" w:hAnsi="宋体" w:cs="宋体"/>
          <w:szCs w:val="21"/>
          <w:highlight w:val="none"/>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3.1.4</w:t>
      </w:r>
      <w:bookmarkStart w:id="307" w:name="OLE_LINK43"/>
      <w:r/>
      <w:bookmarkStart w:id="308" w:name="OLE_LINK44"/>
      <w:r>
        <w:rPr>
          <w:rFonts w:hint="eastAsia" w:ascii="宋体" w:hAnsi="宋体" w:cs="宋体"/>
          <w:szCs w:val="21"/>
        </w:rPr>
        <w:t xml:space="preserve">电流：（10～110）A</w:t>
      </w:r>
      <w:bookmarkEnd w:id="307"/>
      <w:r/>
      <w:bookmarkEnd w:id="308"/>
      <w:r>
        <w:rPr>
          <w:rFonts w:hint="eastAsia" w:ascii="宋体" w:hAnsi="宋体" w:cs="宋体"/>
          <w:szCs w:val="21"/>
        </w:rPr>
        <w:t xml:space="preserve">，</w:t>
      </w:r>
      <w:bookmarkStart w:id="309" w:name="OLE_LINK14"/>
      <w:r/>
      <w:bookmarkStart w:id="310" w:name="OLE_LINK13"/>
      <w:r/>
      <w:bookmarkStart w:id="311" w:name="OLE_LINK23"/>
      <w:r>
        <w:rPr>
          <w:rFonts w:hint="eastAsia" w:ascii="宋体" w:hAnsi="宋体" w:cs="宋体"/>
          <w:szCs w:val="21"/>
        </w:rPr>
        <w:t xml:space="preserve">输出电流精度</w:t>
      </w:r>
      <w:bookmarkStart w:id="312" w:name="OLE_LINK24"/>
      <w:r/>
      <w:bookmarkStart w:id="313" w:name="OLE_LINK25"/>
      <w:r/>
      <w:bookmarkStart w:id="314" w:name="OLE_LINK47"/>
      <w:r/>
      <w:bookmarkStart w:id="315" w:name="OLE_LINK48"/>
      <w:r/>
      <w:bookmarkStart w:id="316" w:name="OLE_LINK109"/>
      <w:r>
        <w:rPr>
          <w:rFonts w:hint="eastAsia" w:ascii="宋体" w:hAnsi="宋体" w:cs="宋体"/>
          <w:szCs w:val="21"/>
        </w:rPr>
        <w:t xml:space="preserve">±</w:t>
      </w:r>
      <w:bookmarkEnd w:id="312"/>
      <w:r/>
      <w:bookmarkEnd w:id="313"/>
      <w:r/>
      <w:bookmarkEnd w:id="316"/>
      <w:r>
        <w:rPr>
          <w:rFonts w:hint="eastAsia" w:ascii="宋体" w:hAnsi="宋体" w:cs="宋体"/>
          <w:szCs w:val="21"/>
        </w:rPr>
        <w:t xml:space="preserve">（0.1%RD+0.2%F.S）</w:t>
      </w:r>
      <w:bookmarkEnd w:id="309"/>
      <w:r/>
      <w:bookmarkEnd w:id="310"/>
      <w:r/>
      <w:bookmarkEnd w:id="311"/>
      <w:r/>
      <w:bookmarkEnd w:id="314"/>
      <w:r/>
      <w:bookmarkEnd w:id="315"/>
      <w:r>
        <w:rPr>
          <w:rFonts w:hint="eastAsia" w:ascii="宋体" w:hAnsi="宋体" w:cs="宋体"/>
          <w:szCs w:val="21"/>
        </w:rPr>
        <w:t xml:space="preserve">；</w:t>
      </w:r>
      <w:r>
        <w:rPr>
          <w:rFonts w:hint="eastAsia" w:ascii="宋体" w:hAnsi="宋体" w:cs="宋体"/>
          <w:szCs w:val="21"/>
        </w:rPr>
      </w:r>
      <w:r/>
    </w:p>
    <w:p>
      <w:pPr>
        <w:pStyle w:val="1434"/>
        <w:ind w:firstLine="420"/>
        <w:spacing w:line="440" w:lineRule="exact"/>
        <w:rPr>
          <w:rFonts w:hint="eastAsia" w:ascii="宋体" w:hAnsi="宋体" w:cs="宋体"/>
          <w:szCs w:val="21"/>
        </w:rPr>
      </w:pPr>
      <w:r/>
      <w:bookmarkEnd w:id="293"/>
      <w:r/>
      <w:bookmarkEnd w:id="294"/>
      <w:r/>
      <w:bookmarkEnd w:id="295"/>
      <w:r/>
      <w:bookmarkEnd w:id="296"/>
      <w:r>
        <w:rPr>
          <w:rFonts w:hint="eastAsia" w:ascii="宋体" w:hAnsi="宋体" w:cs="宋体"/>
          <w:szCs w:val="21"/>
        </w:rPr>
        <w:t xml:space="preserve">3.1.5 输出频率范围：40Hz～70Hz；频率精度±0.01%或0.005Hz取高者；</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3.1.6 输出相位范围：</w:t>
      </w:r>
      <w:bookmarkStart w:id="317" w:name="OLE_LINK40"/>
      <w:r/>
      <w:bookmarkStart w:id="318" w:name="OLE_LINK39"/>
      <w:r>
        <w:rPr>
          <w:rFonts w:hint="eastAsia" w:ascii="宋体" w:hAnsi="宋体" w:cs="宋体"/>
          <w:szCs w:val="21"/>
        </w:rPr>
        <w:t xml:space="preserve">1°～</w:t>
      </w:r>
      <w:bookmarkEnd w:id="317"/>
      <w:r/>
      <w:bookmarkEnd w:id="318"/>
      <w:r>
        <w:rPr>
          <w:rFonts w:hint="eastAsia" w:ascii="宋体" w:hAnsi="宋体" w:cs="宋体"/>
          <w:szCs w:val="21"/>
        </w:rPr>
        <w:t xml:space="preserve">359.99°；功率精度：</w:t>
      </w:r>
      <w:bookmarkStart w:id="319" w:name="OLE_LINK26"/>
      <w:r/>
      <w:bookmarkStart w:id="320" w:name="OLE_LINK27"/>
      <w:r>
        <w:rPr>
          <w:rFonts w:hint="eastAsia" w:ascii="宋体" w:hAnsi="宋体" w:cs="宋体"/>
          <w:szCs w:val="21"/>
        </w:rPr>
        <w:t xml:space="preserve">±</w:t>
      </w:r>
      <w:bookmarkEnd w:id="319"/>
      <w:r/>
      <w:bookmarkEnd w:id="320"/>
      <w:r>
        <w:rPr>
          <w:rFonts w:hint="eastAsia" w:ascii="宋体" w:hAnsi="宋体" w:cs="宋体"/>
          <w:szCs w:val="21"/>
        </w:rPr>
        <w:t xml:space="preserve">0.3%F.S.；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3.1.7电源响应时间：≤800μs；</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3.1.8最大效率：≥92%；</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3.1.9电动开关设计，支持一键上电，无需手动合闸断路器。</w:t>
      </w:r>
      <w:r>
        <w:rPr>
          <w:rFonts w:hint="eastAsia" w:ascii="宋体" w:hAnsi="宋体" w:cs="宋体"/>
          <w:szCs w:val="21"/>
        </w:rPr>
      </w:r>
      <w:r/>
    </w:p>
    <w:p>
      <w:pPr>
        <w:pStyle w:val="1434"/>
        <w:ind w:firstLine="422"/>
        <w:spacing w:line="440" w:lineRule="exact"/>
        <w:rPr>
          <w:rFonts w:ascii="宋体" w:hAnsi="宋体" w:cs="宋体"/>
          <w:b/>
          <w:bCs/>
          <w:szCs w:val="21"/>
        </w:rPr>
      </w:pPr>
      <w:r/>
      <w:bookmarkStart w:id="321" w:name="OLE_LINK30"/>
      <w:r/>
      <w:bookmarkStart w:id="322" w:name="OLE_LINK31"/>
      <w:r>
        <w:rPr>
          <w:rFonts w:hint="eastAsia" w:ascii="宋体" w:hAnsi="宋体" w:cs="宋体"/>
          <w:b/>
          <w:bCs/>
          <w:szCs w:val="21"/>
        </w:rPr>
        <w:t xml:space="preserve">3.2三相电源分析单元</w:t>
      </w:r>
      <w:r>
        <w:rPr>
          <w:rFonts w:ascii="宋体" w:hAnsi="宋体" w:cs="宋体"/>
          <w:b/>
          <w:bCs/>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★3.2.1 ACV测量范围：30V～300V，ACI测量范围：0.1A～100A；交流电压/电流准确度：±0.02%，电能准确度：</w:t>
      </w:r>
      <w:bookmarkStart w:id="323" w:name="OLE_LINK83"/>
      <w:r/>
      <w:bookmarkStart w:id="324" w:name="OLE_LINK84"/>
      <w:r>
        <w:rPr>
          <w:rFonts w:hint="eastAsia" w:ascii="宋体" w:hAnsi="宋体" w:eastAsia="宋体" w:cs="宋体"/>
          <w:szCs w:val="21"/>
        </w:rPr>
        <w:t xml:space="preserve">±</w:t>
      </w:r>
      <w:bookmarkEnd w:id="323"/>
      <w:r/>
      <w:bookmarkEnd w:id="324"/>
      <w:r>
        <w:rPr>
          <w:rFonts w:hint="eastAsia" w:ascii="宋体" w:hAnsi="宋体" w:eastAsia="宋体" w:cs="宋体"/>
          <w:szCs w:val="21"/>
        </w:rPr>
        <w:t xml:space="preserve">0.05%。</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3.2.2 可直接接入100A交流电流，无需额外使用传感器。</w:t>
      </w:r>
      <w:r>
        <w:rPr>
          <w:rFonts w:hint="eastAsia" w:ascii="宋体" w:hAnsi="宋体" w:eastAsia="宋体" w:cs="宋体"/>
          <w:szCs w:val="21"/>
        </w:rPr>
      </w:r>
      <w:r/>
    </w:p>
    <w:p>
      <w:pPr>
        <w:pStyle w:val="1434"/>
        <w:ind w:firstLine="422"/>
        <w:spacing w:line="440" w:lineRule="exact"/>
        <w:rPr>
          <w:rFonts w:hint="eastAsia" w:ascii="宋体" w:hAnsi="宋体" w:cs="宋体"/>
          <w:b/>
          <w:bCs/>
          <w:szCs w:val="21"/>
        </w:rPr>
      </w:pPr>
      <w:r/>
      <w:bookmarkEnd w:id="321"/>
      <w:r/>
      <w:bookmarkEnd w:id="322"/>
      <w:r>
        <w:rPr>
          <w:rFonts w:hint="eastAsia" w:ascii="宋体" w:hAnsi="宋体" w:cs="宋体"/>
          <w:b/>
          <w:bCs/>
          <w:szCs w:val="21"/>
        </w:rPr>
        <w:t xml:space="preserve">3.3系统操作显示单元</w:t>
      </w:r>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3.3.1</w:t>
      </w:r>
      <w:bookmarkStart w:id="325" w:name="OLE_LINK98"/>
      <w:r/>
      <w:bookmarkStart w:id="326" w:name="OLE_LINK101"/>
      <w:r>
        <w:rPr>
          <w:rFonts w:hint="eastAsia" w:ascii="宋体" w:hAnsi="宋体" w:cs="宋体"/>
          <w:szCs w:val="21"/>
        </w:rPr>
        <w:t xml:space="preserve">应能显示多路电压、频率、相位、功率/电能、功率因数、纹波、谐波等</w:t>
      </w:r>
      <w:bookmarkEnd w:id="325"/>
      <w:r/>
      <w:bookmarkEnd w:id="326"/>
      <w:r>
        <w:rPr>
          <w:rFonts w:hint="eastAsia" w:ascii="宋体" w:hAnsi="宋体" w:cs="宋体"/>
          <w:szCs w:val="21"/>
        </w:rPr>
        <w:t xml:space="preserve">；</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3.3.2应能实时显示电参量曲线 U(t)、I(t)、P(t)、E(t) 等；</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3.3.3应内置卫星授时模块，实时时钟显示，时间校对；</w:t>
      </w:r>
      <w:r>
        <w:rPr>
          <w:rFonts w:hint="eastAsia" w:ascii="宋体" w:hAnsi="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3.3.4通讯接口应包含但不限于：USB、LAN。</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3.3.5 应具备标准电能表和统计分析的功能：可对输入侧和输出侧的电压、电流、相位、功率的稳定度进行测试分析，可分析电参量随时间变化曲线，计算被测电量的最大值、最小值、峰峰值、平均值、标准方差、散度；可实时显示出输出侧的纹波波形，可测算纹波的有效值和峰峰值，还可实时对输入侧的谐波进行幅值和相位分析，可用柱状图直观显示各次谐波的频谱，可对总谐波失真进行测评，可显示各相U-I,U-U间的相位，并通过相量图显示。</w:t>
      </w:r>
      <w:r>
        <w:rPr>
          <w:rFonts w:hint="eastAsia" w:ascii="宋体" w:hAnsi="宋体" w:eastAsia="宋体" w:cs="宋体"/>
          <w:szCs w:val="21"/>
        </w:rPr>
      </w:r>
      <w:r/>
    </w:p>
    <w:p>
      <w:pPr>
        <w:pStyle w:val="1434"/>
        <w:ind w:firstLine="422"/>
        <w:spacing w:line="440" w:lineRule="exact"/>
        <w:rPr>
          <w:rFonts w:hint="eastAsia" w:ascii="宋体" w:hAnsi="宋体" w:cs="宋体"/>
          <w:b/>
          <w:bCs/>
          <w:szCs w:val="21"/>
        </w:rPr>
      </w:pPr>
      <w:r/>
      <w:bookmarkStart w:id="327" w:name="OLE_LINK33"/>
      <w:r/>
      <w:bookmarkStart w:id="328" w:name="OLE_LINK32"/>
      <w:r>
        <w:rPr>
          <w:rFonts w:hint="eastAsia" w:ascii="宋体" w:hAnsi="宋体" w:cs="宋体"/>
          <w:b/>
          <w:bCs/>
          <w:szCs w:val="21"/>
        </w:rPr>
        <w:t xml:space="preserve">3.4交流充电接口综合测试与分析单元</w:t>
      </w:r>
      <w:r>
        <w:rPr>
          <w:rFonts w:hint="eastAsia" w:ascii="宋体" w:hAnsi="宋体" w:cs="宋体"/>
          <w:b/>
          <w:bCs/>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3.4.1应具备交流充电桩电气性能实验、互操作性测试、计量测试等功能；</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★3.4.2 ACV测量范围30V～300V，ACI测量范围0.1A～80A；交流电压/电流：0.02级；功率/电能：0.05级；兼容脉冲法和累计电能法两种方式进行电能计量。</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3.4.3基波：45 Hz～65 Hz；</w:t>
      </w:r>
      <w:bookmarkEnd w:id="327"/>
      <w:r/>
      <w:bookmarkEnd w:id="328"/>
      <w:r>
        <w:rPr>
          <w:rFonts w:hint="eastAsia" w:ascii="宋体" w:hAnsi="宋体" w:eastAsia="宋体" w:cs="宋体"/>
          <w:szCs w:val="21"/>
        </w:rPr>
        <w:t xml:space="preserve">谐波测量：可检测第2～60次谐波。</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3.4.4 内置录波模块，可实现测量值与信号值的同步采集和时序分析，无需额外使用独立的录波器，软件可自动判断并截取时序波形图；</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3.4.5集成车辆接口模拟功能和交流充电桩输出端交流精密测量功能，无需外接传感器，实现宽量程范围的精确计量。</w:t>
      </w:r>
      <w:r>
        <w:rPr>
          <w:rFonts w:hint="eastAsia" w:ascii="宋体" w:hAnsi="宋体" w:eastAsia="宋体" w:cs="宋体"/>
          <w:szCs w:val="21"/>
        </w:rPr>
      </w:r>
      <w:r/>
    </w:p>
    <w:p>
      <w:pPr>
        <w:pStyle w:val="1434"/>
        <w:ind w:firstLine="422"/>
        <w:spacing w:line="440" w:lineRule="exact"/>
        <w:rPr>
          <w:rFonts w:hint="eastAsia" w:ascii="宋体" w:hAnsi="宋体" w:cs="宋体"/>
          <w:b/>
          <w:bCs/>
          <w:szCs w:val="21"/>
        </w:rPr>
      </w:pPr>
      <w:r/>
      <w:bookmarkStart w:id="329" w:name="OLE_LINK49"/>
      <w:r/>
      <w:bookmarkStart w:id="330" w:name="OLE_LINK50"/>
      <w:r/>
      <w:bookmarkStart w:id="331" w:name="OLE_LINK73"/>
      <w:r/>
      <w:bookmarkStart w:id="332" w:name="OLE_LINK74"/>
      <w:r>
        <w:rPr>
          <w:rFonts w:hint="eastAsia" w:ascii="宋体" w:hAnsi="宋体" w:cs="宋体"/>
          <w:b/>
          <w:bCs/>
          <w:szCs w:val="21"/>
        </w:rPr>
        <w:t xml:space="preserve">3.5大功率交流可调阻性负载</w:t>
      </w:r>
      <w:bookmarkEnd w:id="329"/>
      <w:r/>
      <w:bookmarkEnd w:id="330"/>
      <w:r/>
      <w:bookmarkEnd w:id="331"/>
      <w:r/>
      <w:bookmarkEnd w:id="332"/>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3.5.1电压工作范围：每相（10～265）V；电流测量范围：每相（1～80）A；额定功率：三相45 kW；电压采样精度±0.2%，电流采样精度±0.5%；</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3.5.2支持过流、过压、过温、风扇异常保护。强制风冷，配备风扇管理系统；</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3.5.3配备彩色显示屏，显示采样电压，电流等；</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3.5.4通讯接口应包含但不限于：USB、LAN。</w:t>
      </w:r>
      <w:r>
        <w:rPr>
          <w:rFonts w:hint="eastAsia" w:ascii="宋体" w:hAnsi="宋体" w:cs="宋体"/>
          <w:szCs w:val="21"/>
        </w:rPr>
      </w:r>
      <w:r/>
    </w:p>
    <w:p>
      <w:pPr>
        <w:pStyle w:val="1434"/>
        <w:ind w:firstLine="422"/>
        <w:spacing w:line="440" w:lineRule="exact"/>
        <w:rPr>
          <w:rFonts w:hint="eastAsia" w:ascii="宋体" w:hAnsi="宋体" w:cs="宋体"/>
          <w:b/>
          <w:bCs/>
          <w:szCs w:val="21"/>
        </w:rPr>
      </w:pPr>
      <w:r>
        <w:rPr>
          <w:rFonts w:hint="eastAsia" w:ascii="宋体" w:hAnsi="宋体" w:cs="宋体"/>
          <w:b/>
          <w:bCs/>
          <w:szCs w:val="21"/>
        </w:rPr>
        <w:t xml:space="preserve">3.6数字示波器</w:t>
      </w:r>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3.6.1示波器应满足测量交流充电桩控制导引试验信号、交流试验信号等要求；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3.6.2通道：4；模拟带宽：200MHz；采样率：1GSa/s。</w:t>
      </w:r>
      <w:r>
        <w:rPr>
          <w:rFonts w:hint="eastAsia" w:ascii="宋体" w:hAnsi="宋体" w:cs="宋体"/>
          <w:szCs w:val="21"/>
        </w:rPr>
      </w:r>
      <w:r/>
    </w:p>
    <w:p>
      <w:pPr>
        <w:pStyle w:val="1434"/>
        <w:ind w:firstLine="422"/>
        <w:spacing w:line="440" w:lineRule="exact"/>
        <w:rPr>
          <w:rFonts w:hint="eastAsia" w:ascii="宋体" w:hAnsi="宋体" w:cs="宋体"/>
          <w:szCs w:val="21"/>
        </w:rPr>
      </w:pPr>
      <w:r>
        <w:rPr>
          <w:rFonts w:hint="eastAsia" w:ascii="宋体" w:hAnsi="宋体" w:cs="宋体"/>
          <w:b/>
          <w:bCs/>
          <w:szCs w:val="21"/>
        </w:rPr>
        <w:t xml:space="preserve">3.7交流充电桩综合测试软件和控制机</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3.7.1应能实现交流充电桩的自动检测、方案编辑、报告导出和各单元的集成控制等；</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3.7.2应能完成计量性能检测、互操作性测试、全性能测试；</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3.7.3应能完成模拟交流充电车辆控制导引电路，模拟各回路通断开关机CP接地短路开关，进行R2电阻，R3电阻仿真模拟，充电控制导引电阻变化和触点通断状态模拟，配合负载可完成充电系统的电气性能、充电导引测试；</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3.7.4测试记录要求保存在数据管理内，需要输出报告时，可一键自动生成报告；</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3.7.5要求具备测试曲线的绘制、故障信息和故障原因的提示、检测报告的生成与导出等功能，通过辅助功能可观看实时波形参数；</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3.7.6应能实时显示电压、电流、CC、CP的曲线并记录，实时测量控制导引电路CP线上PWM信号的频率，占空比实时显示；</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3.7.7要求测试结束后可进行结果核验，可一键对不合格的测试项目进行重新测试；</w:t>
      </w:r>
      <w:r>
        <w:rPr>
          <w:rFonts w:hint="eastAsia" w:ascii="宋体" w:hAnsi="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3.7.8控制机：内存16G或以上；处理器：八线程及以上高性能处理器，主频 3.0GHz 及以上，支持超线程技术；可安装配套检测软件，实现系统控制及实时监测；</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3.7.9配置60寸以上液晶显示屏，可实时投屏软件测试界面，应能显示多路电压、频率、相位、功率/电能、功率因数、纹波、谐波等测量数据。</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3.7.10综合测试软件应提供通讯协议及数据接口，便于二次开发及与我院业务管理系统对接。</w:t>
      </w:r>
      <w:r>
        <w:rPr>
          <w:rFonts w:hint="eastAsia" w:ascii="宋体" w:hAnsi="宋体" w:eastAsia="宋体" w:cs="宋体"/>
          <w:szCs w:val="21"/>
        </w:rPr>
      </w:r>
      <w:r/>
    </w:p>
    <w:p>
      <w:pPr>
        <w:pStyle w:val="1434"/>
        <w:ind w:firstLine="422"/>
        <w:spacing w:line="440" w:lineRule="exact"/>
        <w:rPr>
          <w:rFonts w:ascii="宋体" w:hAnsi="宋体" w:cs="宋体"/>
          <w:b/>
          <w:bCs/>
          <w:szCs w:val="21"/>
        </w:rPr>
      </w:pPr>
      <w:r>
        <w:rPr>
          <w:rFonts w:hint="eastAsia" w:ascii="宋体" w:hAnsi="宋体" w:cs="宋体"/>
          <w:b/>
          <w:bCs/>
          <w:szCs w:val="21"/>
        </w:rPr>
        <w:t xml:space="preserve">4、设备交付后整体布局和走线要求：</w:t>
      </w:r>
      <w:r>
        <w:rPr>
          <w:rFonts w:ascii="宋体" w:hAnsi="宋体" w:cs="宋体"/>
          <w:b/>
          <w:bCs/>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4.1 卖方应对全套设备在对应场地布置进行合理二次装修规划和走线布局，确保整体布局效果美观、整洁，并与现有场地的建筑设计和暖通电气设计匹配；</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4.2 卖方应完成从现有配电柜到后端整体测试系统的测试线缆布置和连接；</w:t>
      </w:r>
      <w:r>
        <w:rPr>
          <w:rFonts w:hint="eastAsia" w:ascii="宋体" w:hAnsi="宋体" w:eastAsia="宋体" w:cs="宋体"/>
          <w:szCs w:val="21"/>
        </w:rPr>
      </w:r>
      <w:r/>
    </w:p>
    <w:p>
      <w:pPr>
        <w:pStyle w:val="1434"/>
        <w:ind w:firstLine="420"/>
        <w:spacing w:line="440" w:lineRule="exact"/>
        <w:rPr>
          <w:rFonts w:hint="eastAsia" w:ascii="宋体" w:hAnsi="宋体" w:eastAsia="宋体" w:cs="宋体"/>
          <w:szCs w:val="21"/>
        </w:rPr>
      </w:pPr>
      <w:r>
        <w:rPr>
          <w:rFonts w:hint="eastAsia" w:ascii="宋体" w:hAnsi="宋体" w:eastAsia="宋体" w:cs="宋体"/>
          <w:szCs w:val="21"/>
        </w:rPr>
        <w:t xml:space="preserve">4.3 对非车载充电机综合测试系统，须预留后期扩容增加600kW直流测试能力所需电源、负载等设备的场地空间和电气布局。</w:t>
      </w:r>
      <w:r>
        <w:rPr>
          <w:rFonts w:hint="eastAsia" w:ascii="宋体" w:hAnsi="宋体" w:eastAsia="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1、三相可编程双向交流电源，</w:t>
      </w:r>
      <w:bookmarkStart w:id="333" w:name="OLE_LINK111"/>
      <w:r/>
      <w:bookmarkStart w:id="334" w:name="OLE_LINK110"/>
      <w:r>
        <w:rPr>
          <w:rFonts w:hint="eastAsia" w:ascii="宋体" w:hAnsi="宋体" w:cs="宋体"/>
          <w:szCs w:val="21"/>
        </w:rPr>
        <w:t xml:space="preserve">电压电流指标</w:t>
      </w:r>
      <w:bookmarkEnd w:id="333"/>
      <w:r/>
      <w:bookmarkEnd w:id="334"/>
      <w:r>
        <w:rPr>
          <w:rFonts w:hint="eastAsia" w:ascii="宋体" w:hAnsi="宋体" w:cs="宋体"/>
          <w:szCs w:val="21"/>
        </w:rPr>
        <w:t xml:space="preserve">检测单位是中国赛宝实验室计量检测中心，依据JJF（军工）85-2022《交流稳压电源稳态特性校准规范》；其他指标由供应商提供检测报告；</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2、三相大电流分析单元，检测单位是湖南省计量检测研究院，依据JJG1085-2013《标准电能表》、JJF 1587-2016《数字多用表校准规范》；</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3、系统操作显示单元，由江苏省计量科学研究院进行功能检查；</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4、超级充电接口综合测试与分析单元，检测单位是湖南省计量检测研究院，依据JJG1192-2023《电动汽车非车载充电机现场测试仪检定规程》；</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5、大功率直流可调阻性负载，检测单位是湖南省计量检测研究院，依据</w:t>
      </w:r>
      <w:bookmarkStart w:id="335" w:name="OLE_LINK117"/>
      <w:r>
        <w:rPr>
          <w:rFonts w:hint="eastAsia" w:ascii="宋体" w:hAnsi="宋体" w:cs="宋体"/>
          <w:szCs w:val="21"/>
        </w:rPr>
        <w:t xml:space="preserve">JJF1587-2016《数字多用表校准规范</w:t>
      </w:r>
      <w:bookmarkEnd w:id="335"/>
      <w:r>
        <w:rPr>
          <w:rFonts w:hint="eastAsia" w:ascii="宋体" w:hAnsi="宋体" w:cs="宋体"/>
          <w:szCs w:val="21"/>
        </w:rPr>
        <w:t xml:space="preserve">》；</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6、数字示波器，检测单位是江苏省计量科学研究院，依据JJF 1057-1998《数字存储示波器校准规范》；</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7、可编程双向直流电源，</w:t>
      </w:r>
      <w:bookmarkStart w:id="336" w:name="OLE_LINK112"/>
      <w:r/>
      <w:bookmarkStart w:id="337" w:name="OLE_LINK113"/>
      <w:r/>
      <w:bookmarkStart w:id="338" w:name="OLE_LINK114"/>
      <w:r>
        <w:rPr>
          <w:rFonts w:hint="eastAsia" w:ascii="宋体" w:hAnsi="宋体" w:cs="宋体"/>
          <w:szCs w:val="21"/>
        </w:rPr>
        <w:t xml:space="preserve">电压电流指标</w:t>
      </w:r>
      <w:bookmarkEnd w:id="336"/>
      <w:r/>
      <w:bookmarkEnd w:id="337"/>
      <w:r/>
      <w:bookmarkEnd w:id="338"/>
      <w:r>
        <w:rPr>
          <w:rFonts w:hint="eastAsia" w:ascii="宋体" w:hAnsi="宋体" w:cs="宋体"/>
          <w:szCs w:val="21"/>
        </w:rPr>
        <w:t xml:space="preserve">检测单位是中国赛宝实验室计量检测中心，依据JJF 1597-2016 《直流稳定电源校准规范》、GJB 8879-2016 《直流高电压稳压源检定规程》；其他指标由供应商提供检测报告；</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8、非车载充电机综合测试软件，由江苏省计量科学研究院进行功能检查；</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9、三相可编程交流电源，电压电流检测单位是中国赛宝实验室计量检测中心，依据JJF（军工）85-2022《交流稳压电源稳态特性校准规范》；其他指标由供应商提供检测报告；</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10、三相电源分析单元，检测单位是江苏省计量科学研究院，依据JJG1085-2013《标准电能表》、JJF 1587-2016《数字多用表校准规范》；</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11、交流充电接口综合测试与分析单元，检测单位是江苏省计量科学研究院，依据JJG1193-2023《电动汽车交流充电桩现场测试仪检定规程》；</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12、大功率交流可调阻性负载，检测单位是江苏省计量科学研究院，依据JJF1587-2016《数字多用表校准规范》；</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13、数字示波器，检测单位是江苏省计量科学研究院，依据JJF 1057-1998《数字存储示波器校准规范》；</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14、交流充电桩综合测试软件，由江苏省计量科学研究院进行功能检查；</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15、系统操作显示单元，由江苏省计量科学研究院进行功能检查。</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16、以上检测单位为江苏省计量科学研究院的，出具检定或校准证书。若检测合格，检测费用由买方承担；若检测不合格，检测费用由卖方承担。检测单位为非江苏省计量科学研究院的，出具检定或校准证书，检测费用由卖方承担。</w:t>
      </w:r>
      <w:r>
        <w:rPr>
          <w:rFonts w:hint="eastAsia" w:ascii="宋体" w:hAnsi="宋体" w:cs="宋体"/>
          <w:szCs w:val="21"/>
        </w:rPr>
      </w:r>
      <w:r/>
    </w:p>
    <w:p>
      <w:pPr>
        <w:pStyle w:val="1434"/>
        <w:ind w:firstLine="420"/>
        <w:spacing w:line="440" w:lineRule="exact"/>
        <w:rPr>
          <w:rFonts w:hint="eastAsia" w:ascii="宋体" w:hAnsi="宋体" w:cs="宋体"/>
          <w:color w:val="ff0000"/>
          <w:szCs w:val="21"/>
        </w:rPr>
      </w:pPr>
      <w:r>
        <w:rPr>
          <w:rFonts w:hint="eastAsia" w:ascii="宋体" w:hAnsi="宋体" w:cs="宋体"/>
          <w:szCs w:val="21"/>
        </w:rPr>
        <w:t xml:space="preserve">17、江苏省计量科学研究院根据以上证书、本技术文件以及仪器说明书对整套设备的技术指标和功能进行最终验收。</w:t>
      </w:r>
      <w:r>
        <w:rPr>
          <w:rFonts w:hint="eastAsia" w:ascii="宋体" w:hAnsi="宋体" w:cs="宋体"/>
          <w:color w:val="ff0000"/>
          <w:szCs w:val="21"/>
        </w:rPr>
      </w:r>
      <w:r/>
    </w:p>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（四）安装调试</w:t>
      </w:r>
      <w:r>
        <w:rPr>
          <w:rFonts w:hint="eastAsia" w:ascii="宋体" w:hAnsi="宋体" w:cs="宋体"/>
          <w:b/>
          <w:bCs/>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卖方向买方提供设备供货清单，由买方确认。当货物到达买方指定的交货地点后，买卖双方依据设备供货清单共同对设备进行开箱验收，并对设备的数量、品质进行逐项检查。如买方发现所提供设备的品质不符合合同要求时，或有明显损坏，买方有权向卖方提出退、换和索赔。</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2、在设备到达买方场地后，卖方应尽快组织完成整套设备的安装调试。</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卖方应向买方提供测试内容、方法和计划。测试内容由卖方拟定并包括买方需要的验收指标。在测试过程中如有任何软、硬件故障发生，卖方必须更换不合格的部件，并重新进行安装测试，由此引起的全部费用由卖方承担。</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4、在安装、调试过程中，卖方应对买方技术人员所提出的技术问题给予满意的答复，并向买方提供安装调试过程中的各种文档资料，以便买方今后能掌握操作方法和维护方法。</w:t>
      </w:r>
      <w:r>
        <w:rPr>
          <w:rFonts w:hint="eastAsia" w:ascii="宋体" w:hAnsi="宋体" w:cs="宋体"/>
          <w:szCs w:val="21"/>
        </w:rPr>
      </w:r>
      <w:r/>
    </w:p>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（五）人员培训要求</w:t>
      </w:r>
      <w:r>
        <w:rPr>
          <w:rFonts w:hint="eastAsia" w:ascii="宋体" w:hAnsi="宋体" w:cs="宋体"/>
          <w:b/>
          <w:bCs/>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卖方派技术工程师对买方人员进行技术培训，使买方人员能掌握有关设备的使用、维护和管理，达到能独立进行操作、日常测试维护等工作的目的。</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卖方应在培训时提供详细的培训文件。</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rPr>
        <w:t xml:space="preserve">培训内容包括：基本理论、试验方法原理、试验操作、仪器的使用、仪器维护、安全要点以及其他相关内容。</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培训地点：用户现场。</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5、所发生的培训费用由卖方承担。</w:t>
      </w:r>
      <w:r>
        <w:rPr>
          <w:rFonts w:hint="eastAsia" w:ascii="宋体" w:hAnsi="宋体" w:cs="宋体"/>
          <w:szCs w:val="21"/>
        </w:rPr>
      </w:r>
      <w:r/>
    </w:p>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电动汽车充电桩综合检测装置整体免费质保期为2年，自验收合格之日起算。</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质保期内的服务：质保期内，由于产品本身在设计制造上的缺陷或质量问题而造成的故障，供货方负责免费维修，并保证在收到用户方通知后的24小时内作出响应。</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rPr>
        <w:t xml:space="preserve">质保期外的服务：过保后，卖方应提供持续、广泛的技术支持，以及优惠的维修保养等售后服务，及时对买方遇到的技术问题或故障予以答复和修复。</w:t>
      </w:r>
      <w:r>
        <w:rPr>
          <w:rFonts w:hint="eastAsia" w:ascii="宋体" w:hAnsi="宋体" w:cs="宋体"/>
          <w:szCs w:val="21"/>
        </w:rPr>
      </w:r>
      <w:r/>
    </w:p>
    <w:p>
      <w:pPr>
        <w:pStyle w:val="1434"/>
        <w:spacing w:line="360" w:lineRule="auto"/>
        <w:rPr>
          <w:rFonts w:hint="eastAsia" w:ascii="宋体" w:hAnsi="宋体" w:cs="宋体"/>
          <w:b/>
          <w:color w:val="ff0000"/>
          <w:szCs w:val="21"/>
        </w:rPr>
      </w:pPr>
      <w:r>
        <w:rPr>
          <w:rFonts w:hint="eastAsia" w:ascii="宋体" w:hAnsi="宋体" w:cs="宋体"/>
          <w:b/>
          <w:color w:val="ff0000"/>
          <w:szCs w:val="21"/>
        </w:rPr>
      </w:r>
      <w:r/>
    </w:p>
    <w:p>
      <w:pPr>
        <w:pStyle w:val="1434"/>
        <w:jc w:val="center"/>
        <w:spacing w:line="360" w:lineRule="auto"/>
        <w:rPr>
          <w:rFonts w:hint="eastAsia" w:ascii="宋体" w:hAnsi="宋体" w:cs="宋体"/>
          <w:b/>
          <w:bCs/>
          <w:szCs w:val="21"/>
        </w:rPr>
        <w:outlineLvl w:val="1"/>
      </w:pPr>
      <w:r>
        <w:rPr>
          <w:rFonts w:hint="eastAsia" w:ascii="宋体" w:hAnsi="宋体" w:cs="宋体"/>
          <w:b/>
          <w:color w:val="ff0000"/>
          <w:szCs w:val="21"/>
        </w:rPr>
        <w:br w:type="page" w:clear="all"/>
      </w:r>
      <w:bookmarkStart w:id="339" w:name="_Toc22330"/>
      <w:r/>
      <w:bookmarkStart w:id="340" w:name="_Toc19794"/>
      <w:r>
        <w:rPr>
          <w:rFonts w:hint="eastAsia" w:ascii="宋体" w:hAnsi="宋体" w:cs="宋体"/>
          <w:b/>
          <w:bCs/>
          <w:szCs w:val="21"/>
        </w:rPr>
        <w:t xml:space="preserve">设备2：</w:t>
      </w:r>
      <w:bookmarkEnd w:id="339"/>
      <w:r>
        <w:rPr>
          <w:rFonts w:hint="eastAsia" w:ascii="宋体" w:hAnsi="宋体" w:cs="宋体"/>
          <w:b/>
          <w:bCs/>
          <w:szCs w:val="21"/>
        </w:rPr>
        <w:t xml:space="preserve">冷热冲击箱试验箱</w:t>
      </w:r>
      <w:bookmarkEnd w:id="340"/>
      <w:r>
        <w:rPr>
          <w:rFonts w:hint="eastAsia" w:ascii="宋体" w:hAnsi="宋体" w:cs="宋体"/>
          <w:b/>
          <w:bCs/>
          <w:szCs w:val="21"/>
        </w:rPr>
      </w:r>
      <w:r/>
    </w:p>
    <w:p>
      <w:pPr>
        <w:pStyle w:val="1434"/>
        <w:spacing w:line="44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★（一）设备及明细配置清单</w:t>
      </w:r>
      <w:r>
        <w:rPr>
          <w:rFonts w:hint="eastAsia" w:ascii="宋体" w:hAnsi="宋体" w:cs="宋体"/>
          <w:b/>
          <w:bCs/>
          <w:szCs w:val="21"/>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631"/>
        <w:gridCol w:w="1160"/>
        <w:gridCol w:w="2241"/>
        <w:gridCol w:w="1877"/>
        <w:gridCol w:w="948"/>
      </w:tblGrid>
      <w:tr>
        <w:trPr>
          <w:trHeight w:val="389"/>
        </w:trPr>
        <w:tc>
          <w:tcPr>
            <w:tcW w:w="500" w:type="dxa"/>
            <w:vAlign w:val="center"/>
            <w:textDirection w:val="lrTb"/>
            <w:noWrap w:val="false"/>
          </w:tcPr>
          <w:p>
            <w:pPr>
              <w:pStyle w:val="1434"/>
              <w:ind w:right="141"/>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3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589"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113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p>
            <w:pPr>
              <w:pStyle w:val="1434"/>
              <w:jc w:val="center"/>
              <w:spacing w:line="440" w:lineRule="exact"/>
              <w:rPr>
                <w:rFonts w:hint="eastAsia" w:ascii="宋体" w:hAnsi="宋体" w:cs="宋体"/>
                <w:szCs w:val="21"/>
              </w:rPr>
            </w:pPr>
            <w:r>
              <w:rPr>
                <w:rFonts w:hint="eastAsia" w:ascii="宋体" w:hAnsi="宋体" w:cs="宋体"/>
                <w:szCs w:val="21"/>
              </w:rPr>
              <w:t xml:space="preserve">（交货期）</w:t>
            </w:r>
            <w:r>
              <w:rPr>
                <w:rFonts w:hint="eastAsia" w:ascii="宋体" w:hAnsi="宋体" w:cs="宋体"/>
                <w:szCs w:val="21"/>
              </w:rPr>
            </w:r>
            <w:r/>
          </w:p>
        </w:tc>
        <w:tc>
          <w:tcPr>
            <w:tcW w:w="953"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481"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883"/>
        </w:trPr>
        <w:tc>
          <w:tcPr>
            <w:tcW w:w="50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3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冷热冲击试验箱</w:t>
            </w:r>
            <w:r>
              <w:rPr>
                <w:rFonts w:hint="eastAsia" w:ascii="宋体" w:hAnsi="宋体" w:cs="宋体"/>
                <w:szCs w:val="21"/>
              </w:rPr>
            </w:r>
            <w:r/>
          </w:p>
        </w:tc>
        <w:tc>
          <w:tcPr>
            <w:tcW w:w="589" w:type="dxa"/>
            <w:vAlign w:val="center"/>
            <w:textDirection w:val="lrTb"/>
            <w:noWrap w:val="false"/>
          </w:tcPr>
          <w:p>
            <w:pPr>
              <w:pStyle w:val="1434"/>
              <w:jc w:val="center"/>
              <w:keepNext/>
              <w:spacing w:line="440" w:lineRule="exact"/>
              <w:rPr>
                <w:rFonts w:hint="eastAsia" w:ascii="宋体" w:hAnsi="宋体" w:cs="宋体"/>
                <w:szCs w:val="21"/>
              </w:rPr>
              <w:outlineLvl w:val="9"/>
            </w:pPr>
            <w:r/>
            <w:bookmarkStart w:id="341" w:name="_Toc27820"/>
            <w:r>
              <w:rPr>
                <w:rFonts w:hint="eastAsia" w:ascii="宋体" w:hAnsi="宋体" w:cs="宋体"/>
                <w:szCs w:val="21"/>
              </w:rPr>
              <w:t xml:space="preserve">1</w:t>
            </w:r>
            <w:bookmarkEnd w:id="341"/>
            <w:r>
              <w:rPr>
                <w:rFonts w:hint="eastAsia" w:ascii="宋体" w:hAnsi="宋体" w:cs="宋体"/>
                <w:szCs w:val="21"/>
              </w:rPr>
            </w:r>
            <w:r/>
          </w:p>
        </w:tc>
        <w:tc>
          <w:tcPr>
            <w:tcW w:w="113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lang w:eastAsia="zh-CN"/>
              </w:rPr>
              <w:t xml:space="preserve">合同签订生效后</w:t>
            </w:r>
            <w:r>
              <w:rPr>
                <w:rFonts w:hint="eastAsia" w:ascii="宋体" w:hAnsi="宋体" w:cs="宋体"/>
                <w:szCs w:val="21"/>
              </w:rPr>
              <w:t xml:space="preserve">90天</w:t>
            </w:r>
            <w:r>
              <w:rPr>
                <w:rFonts w:hint="eastAsia" w:ascii="宋体" w:hAnsi="宋体" w:cs="宋体"/>
                <w:szCs w:val="21"/>
              </w:rPr>
            </w:r>
            <w:r/>
          </w:p>
        </w:tc>
        <w:tc>
          <w:tcPr>
            <w:tcW w:w="953"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验收合格后5年</w:t>
            </w:r>
            <w:r>
              <w:rPr>
                <w:rFonts w:hint="eastAsia" w:ascii="宋体" w:hAnsi="宋体" w:cs="宋体"/>
                <w:szCs w:val="21"/>
              </w:rPr>
            </w:r>
            <w:r/>
          </w:p>
        </w:tc>
        <w:tc>
          <w:tcPr>
            <w:tcW w:w="481"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r>
            <w:r/>
          </w:p>
        </w:tc>
      </w:tr>
    </w:tbl>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（二）技术指标及功能要求</w:t>
      </w:r>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bCs/>
          <w:color w:val="000000"/>
          <w:szCs w:val="21"/>
        </w:rPr>
        <w:t xml:space="preserve">★</w:t>
      </w:r>
      <w:r>
        <w:rPr>
          <w:rFonts w:hint="eastAsia" w:ascii="宋体" w:hAnsi="宋体" w:cs="宋体"/>
          <w:szCs w:val="21"/>
        </w:rPr>
        <w:t xml:space="preserve">1、测量范围：-65℃ ~+200℃，准确度：±2℃，波动度：±0.5℃。</w:t>
      </w:r>
      <w:r>
        <w:rPr>
          <w:rFonts w:hint="eastAsia" w:ascii="宋体" w:hAnsi="宋体" w:cs="宋体"/>
          <w:szCs w:val="21"/>
        </w:rPr>
      </w:r>
      <w:r/>
    </w:p>
    <w:p>
      <w:pPr>
        <w:pStyle w:val="1434"/>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★2、满足GB/T2423.22-2012《环境试验 第2部分：试验方法 试验N：温度变化》中的Na方法“规定转换时间的快速温度变化”，温度转换时间 ≤1.5秒，高温暴露范围60℃~200℃，低温暴露范围0℃~-65℃。</w:t>
      </w:r>
      <w:r>
        <w:rPr>
          <w:rFonts w:hint="eastAsia" w:ascii="宋体" w:hAnsi="宋体" w:cs="宋体"/>
          <w:bCs/>
          <w:color w:val="000000"/>
          <w:szCs w:val="21"/>
        </w:rPr>
      </w:r>
      <w:r/>
    </w:p>
    <w:p>
      <w:pPr>
        <w:pStyle w:val="1434"/>
        <w:ind w:firstLine="420"/>
        <w:spacing w:line="440" w:lineRule="exact"/>
        <w:rPr>
          <w:rFonts w:hint="eastAsia" w:ascii="宋体" w:hAnsi="宋体" w:cs="宋体"/>
          <w:szCs w:val="21"/>
          <w:highlight w:val="none"/>
        </w:rPr>
      </w:pPr>
      <w:r>
        <w:rPr>
          <w:rFonts w:hint="eastAsia" w:ascii="宋体" w:hAnsi="宋体" w:cs="宋体"/>
          <w:bCs/>
          <w:color w:val="000000"/>
          <w:szCs w:val="21"/>
          <w:highlight w:val="none"/>
        </w:rPr>
        <w:t xml:space="preserve">★</w:t>
      </w:r>
      <w:r>
        <w:rPr>
          <w:rFonts w:hint="eastAsia" w:ascii="宋体" w:hAnsi="宋体" w:cs="宋体"/>
          <w:szCs w:val="21"/>
          <w:highlight w:val="none"/>
        </w:rPr>
        <w:t xml:space="preserve">3、温度恢复时间：10分钟以内。</w:t>
      </w:r>
      <w:r>
        <w:rPr>
          <w:rFonts w:hint="eastAsia" w:ascii="宋体" w:hAnsi="宋体" w:cs="宋体"/>
          <w:szCs w:val="21"/>
          <w:highlight w:val="none"/>
        </w:rPr>
      </w:r>
      <w:r/>
    </w:p>
    <w:p>
      <w:pPr>
        <w:pStyle w:val="1434"/>
        <w:ind w:firstLine="630"/>
        <w:spacing w:line="440" w:lineRule="exact"/>
        <w:rPr>
          <w:rFonts w:hint="eastAsia" w:ascii="宋体" w:hAnsi="宋体" w:cs="宋体"/>
          <w:szCs w:val="21"/>
          <w:highlight w:val="none"/>
        </w:rPr>
      </w:pPr>
      <w:r>
        <w:rPr>
          <w:rFonts w:hint="eastAsia" w:ascii="宋体" w:hAnsi="宋体" w:cs="宋体"/>
          <w:szCs w:val="21"/>
          <w:highlight w:val="none"/>
        </w:rPr>
        <w:t xml:space="preserve">2槽方式：温度暴露：125℃ 30分钟   低温暴露：-40℃ 30分钟</w:t>
      </w:r>
      <w:r>
        <w:rPr>
          <w:rFonts w:hint="eastAsia" w:ascii="宋体" w:hAnsi="宋体" w:cs="宋体"/>
          <w:szCs w:val="21"/>
          <w:highlight w:val="none"/>
        </w:rPr>
      </w:r>
      <w:r/>
    </w:p>
    <w:p>
      <w:pPr>
        <w:pStyle w:val="1434"/>
        <w:ind w:firstLine="630"/>
        <w:spacing w:line="440" w:lineRule="exact"/>
        <w:rPr>
          <w:rFonts w:hint="eastAsia" w:ascii="宋体" w:hAnsi="宋体" w:cs="宋体"/>
          <w:szCs w:val="21"/>
          <w:highlight w:val="none"/>
        </w:rPr>
      </w:pPr>
      <w:r>
        <w:rPr>
          <w:rFonts w:hint="eastAsia" w:ascii="宋体" w:hAnsi="宋体" w:cs="宋体"/>
          <w:szCs w:val="21"/>
          <w:highlight w:val="none"/>
        </w:rPr>
        <w:t xml:space="preserve">试样重量：不小于17kg</w:t>
      </w:r>
      <w:r>
        <w:rPr>
          <w:rFonts w:hint="eastAsia" w:ascii="宋体" w:hAnsi="宋体" w:cs="宋体"/>
          <w:szCs w:val="21"/>
          <w:highlight w:val="none"/>
        </w:rPr>
      </w:r>
      <w:r/>
    </w:p>
    <w:p>
      <w:pPr>
        <w:pStyle w:val="1434"/>
        <w:ind w:firstLine="630"/>
        <w:spacing w:line="440" w:lineRule="exact"/>
        <w:rPr>
          <w:rFonts w:hint="eastAsia" w:ascii="宋体" w:hAnsi="宋体" w:cs="宋体"/>
          <w:szCs w:val="21"/>
          <w:highlight w:val="none"/>
        </w:rPr>
      </w:pPr>
      <w:r>
        <w:rPr>
          <w:rFonts w:hint="eastAsia" w:ascii="宋体" w:hAnsi="宋体" w:cs="宋体"/>
          <w:szCs w:val="21"/>
          <w:highlight w:val="none"/>
        </w:rPr>
        <w:t xml:space="preserve">3槽方式：温度暴露：150℃ 30分钟   常温暴露：环境温度5分钟</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低温暴露：-55℃ 30分钟</w:t>
      </w:r>
      <w:r>
        <w:rPr>
          <w:rFonts w:hint="eastAsia" w:ascii="宋体" w:hAnsi="宋体" w:cs="宋体"/>
          <w:szCs w:val="21"/>
          <w:highlight w:val="none"/>
        </w:rPr>
      </w:r>
      <w:r/>
    </w:p>
    <w:p>
      <w:pPr>
        <w:pStyle w:val="1434"/>
        <w:ind w:firstLine="630"/>
        <w:spacing w:line="440" w:lineRule="exact"/>
        <w:rPr>
          <w:rFonts w:hint="eastAsia" w:ascii="宋体" w:hAnsi="宋体" w:cs="宋体"/>
          <w:szCs w:val="21"/>
          <w:highlight w:val="none"/>
        </w:rPr>
      </w:pPr>
      <w:r>
        <w:rPr>
          <w:rFonts w:hint="eastAsia" w:ascii="宋体" w:hAnsi="宋体" w:cs="宋体"/>
          <w:szCs w:val="21"/>
          <w:highlight w:val="none"/>
        </w:rPr>
        <w:t xml:space="preserve">试样重量：不小于31kg</w:t>
      </w:r>
      <w:r>
        <w:rPr>
          <w:rFonts w:hint="eastAsia" w:ascii="宋体" w:hAnsi="宋体" w:cs="宋体"/>
          <w:szCs w:val="21"/>
          <w:highlight w:val="none"/>
        </w:rPr>
      </w:r>
      <w:r/>
    </w:p>
    <w:p>
      <w:pPr>
        <w:pStyle w:val="1434"/>
        <w:ind w:firstLine="420"/>
        <w:spacing w:line="440" w:lineRule="exact"/>
        <w:rPr>
          <w:rFonts w:hint="eastAsia" w:ascii="宋体" w:hAnsi="宋体" w:cs="宋体"/>
          <w:szCs w:val="21"/>
        </w:rPr>
      </w:pPr>
      <w:r>
        <w:rPr>
          <w:rFonts w:hint="eastAsia" w:ascii="宋体" w:hAnsi="宋体" w:cs="宋体"/>
          <w:bCs/>
          <w:color w:val="000000"/>
          <w:szCs w:val="21"/>
        </w:rPr>
        <w:t xml:space="preserve">★</w:t>
      </w:r>
      <w:r>
        <w:rPr>
          <w:rFonts w:hint="eastAsia" w:ascii="宋体" w:hAnsi="宋体" w:cs="宋体"/>
          <w:szCs w:val="21"/>
        </w:rPr>
        <w:t xml:space="preserve">4、预热上限：205℃ 温度上升时间：常温→200℃   15分钟以内</w:t>
      </w:r>
      <w:r>
        <w:rPr>
          <w:rFonts w:hint="eastAsia" w:ascii="宋体" w:hAnsi="宋体" w:cs="宋体"/>
          <w:szCs w:val="21"/>
        </w:rPr>
      </w:r>
      <w:r/>
    </w:p>
    <w:p>
      <w:pPr>
        <w:pStyle w:val="1434"/>
        <w:ind w:firstLine="840"/>
        <w:spacing w:line="440" w:lineRule="exact"/>
        <w:rPr>
          <w:rFonts w:hint="eastAsia" w:ascii="宋体" w:hAnsi="宋体" w:cs="宋体"/>
          <w:szCs w:val="21"/>
        </w:rPr>
      </w:pPr>
      <w:r>
        <w:rPr>
          <w:rFonts w:hint="eastAsia" w:ascii="宋体" w:hAnsi="宋体" w:cs="宋体"/>
          <w:szCs w:val="21"/>
        </w:rPr>
        <w:t xml:space="preserve"> 预冷下限：-75℃ 温度下降时间：常温→-70℃   40分钟以内</w:t>
      </w:r>
      <w:r>
        <w:rPr>
          <w:rFonts w:hint="eastAsia" w:ascii="宋体" w:hAnsi="宋体" w:cs="宋体"/>
          <w:szCs w:val="21"/>
        </w:rPr>
      </w:r>
      <w:r/>
    </w:p>
    <w:p>
      <w:pPr>
        <w:pStyle w:val="1434"/>
        <w:ind w:firstLine="420"/>
        <w:spacing w:line="440" w:lineRule="exact"/>
        <w:rPr>
          <w:rFonts w:hint="eastAsia" w:ascii="宋体" w:hAnsi="宋体" w:cs="宋体"/>
          <w:szCs w:val="21"/>
          <w:highlight w:val="none"/>
        </w:rPr>
      </w:pPr>
      <w:r>
        <w:rPr>
          <w:rFonts w:hint="eastAsia" w:ascii="宋体" w:hAnsi="宋体" w:cs="宋体"/>
          <w:bCs/>
          <w:color w:val="000000"/>
          <w:szCs w:val="21"/>
          <w:highlight w:val="none"/>
        </w:rPr>
        <w:t xml:space="preserve">★</w:t>
      </w:r>
      <w:r>
        <w:rPr>
          <w:rFonts w:hint="eastAsia" w:ascii="宋体" w:hAnsi="宋体" w:cs="宋体"/>
          <w:szCs w:val="21"/>
          <w:highlight w:val="none"/>
        </w:rPr>
        <w:t xml:space="preserve">5、测试空间≥W950×H450×D650 mm</w:t>
      </w:r>
      <w:r>
        <w:rPr>
          <w:rFonts w:hint="eastAsia" w:ascii="宋体" w:hAnsi="宋体" w:cs="宋体"/>
          <w:szCs w:val="21"/>
          <w:highlight w:val="none"/>
        </w:rPr>
      </w:r>
      <w:r/>
    </w:p>
    <w:p>
      <w:pPr>
        <w:pStyle w:val="1434"/>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6、外形尺寸≤W1850×H2000×D1800 mm</w:t>
      </w:r>
      <w:r>
        <w:rPr>
          <w:rFonts w:hint="eastAsia" w:ascii="宋体" w:hAnsi="宋体" w:cs="宋体"/>
          <w:szCs w:val="21"/>
          <w:highlight w:val="none"/>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7、功能要求：</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7.1 应满足1000个循环连续无霜运行。</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7.2 支持两箱法和三箱法切换。</w:t>
      </w:r>
      <w:r>
        <w:rPr>
          <w:rFonts w:hint="eastAsia" w:ascii="宋体" w:hAnsi="宋体" w:cs="宋体"/>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7.3 测试区产品上需配备至少两个温度传感器，用于在测试过程中监测产品温度。</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7.4 测试结束条件至少需要具备以下模式选择：停止、除霜后停止、准备状态、干燥后停止、常温后停止、除霜/干燥后停止。</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7.5 配备以太网接口，通过Web 管理器可以实现显示功能、设定功能、运转操作功能、数据收录功能、管理设定功能、维护功能、邮件通知功能。</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6 </w:t>
      </w:r>
      <w:r>
        <w:rPr>
          <w:rFonts w:hint="eastAsia" w:ascii="宋体" w:hAnsi="宋体" w:cs="宋体"/>
          <w:szCs w:val="21"/>
        </w:rPr>
        <w:t xml:space="preserve">保护功能要求：</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7.6.1配置过负载、短路、漏电保护；</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7.6.2上电和运行前设备自检功能及故障显示；</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7.6.3上下限温度保护，上限和下限值可设置；</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7.6.4除了用于箱内温度控制的温度传感器，还需配置独立的温度保护传感器，实现箱内过温后备保护。</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7.6.5 配备至少2组试料电源控制端子输出，用于试料通电保护用，设备异常时断开继电器接点。</w:t>
      </w:r>
      <w:r>
        <w:rPr>
          <w:rFonts w:hint="eastAsia" w:ascii="宋体" w:hAnsi="宋体" w:cs="宋体"/>
          <w:szCs w:val="21"/>
        </w:rPr>
      </w:r>
      <w:r/>
    </w:p>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1、温度相关指标校准依据JJF1101-2019《环境试验设备温度、湿度参数校准规范》、温度冲击时间校准依据</w:t>
      </w:r>
      <w:r>
        <w:rPr>
          <w:rFonts w:hint="eastAsia" w:ascii="宋体" w:hAnsi="宋体" w:cs="宋体"/>
          <w:szCs w:val="21"/>
        </w:rPr>
        <w:fldChar w:fldCharType="begin"/>
      </w:r>
      <w:r>
        <w:rPr>
          <w:rFonts w:hint="eastAsia" w:ascii="宋体" w:hAnsi="宋体" w:cs="宋体"/>
          <w:szCs w:val="21"/>
        </w:rPr>
        <w:instrText xml:space="preserve"> HYPERLINK "http://www.baidu.com/link?url=QP2ojgE0KkhgU1n-kkSM_2-pstbRVMnZj1ahDF72BOz1N23NlEoyDYu3himIYhlSzzwQYmbvMpEycYtIid4ENv8Oi56--VF276MEyCrp9gHL6OtcrNak2c-_WkwtVNUj" \t "_blank" </w:instrText>
      </w:r>
      <w:r>
        <w:rPr>
          <w:rFonts w:hint="eastAsia" w:ascii="宋体" w:hAnsi="宋体" w:cs="宋体"/>
          <w:szCs w:val="21"/>
        </w:rPr>
        <w:fldChar w:fldCharType="separate"/>
      </w:r>
      <w:r>
        <w:rPr>
          <w:rFonts w:hint="eastAsia" w:ascii="宋体" w:hAnsi="宋体" w:cs="宋体"/>
          <w:szCs w:val="21"/>
        </w:rPr>
        <w:t xml:space="preserve">JJF1282-2025《时间继电器校准规范》</w:t>
      </w:r>
      <w:r>
        <w:rPr>
          <w:rFonts w:hint="eastAsia" w:ascii="宋体" w:hAnsi="宋体" w:cs="宋体"/>
          <w:szCs w:val="21"/>
        </w:rPr>
        <w:fldChar w:fldCharType="end"/>
      </w:r>
      <w:r>
        <w:rPr>
          <w:rFonts w:hint="eastAsia" w:ascii="宋体" w:hAnsi="宋体" w:cs="宋体"/>
          <w:szCs w:val="21"/>
        </w:rPr>
        <w:t xml:space="preserve">，以及参考仪器说明书上的各项技术指标及本技术文件；</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2、卖方负责将设备送检至江苏省计量科学研究院，出具校准证书。若检测合格，检测费用由买方承担；若检测不合格，检测费用由卖方承担。</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3、验收由双方在买方场地共同进行，江苏省计量科学研究院依据上述证书报告、仪器说明书和本技术文件对设备的各项配置、功能和技术指标进行验收。</w:t>
      </w:r>
      <w:r>
        <w:rPr>
          <w:rFonts w:hint="eastAsia" w:ascii="宋体" w:hAnsi="宋体" w:cs="宋体"/>
          <w:szCs w:val="21"/>
        </w:rPr>
      </w:r>
      <w:r/>
    </w:p>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（四）安装调试</w:t>
      </w:r>
      <w:r>
        <w:rPr>
          <w:rFonts w:hint="eastAsia" w:ascii="宋体" w:hAnsi="宋体" w:cs="宋体"/>
          <w:b/>
          <w:bCs/>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卖方向买方提供设备供货清单，由买方确认。当货物到达买方指定的交货地点后，买卖双方依据设备供货清单共同对设备进行开箱验收，并对设备的数量、品质进行逐项检查。如买方发现所提供设备的品质不符合合同要求时，或有明显损坏，买方有权向卖方提出退、换和索赔。</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2、在设备到达买方场地后，卖方应尽快组织完成整套设备的安装调试。</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卖方应向买方提供测试内容、方法和计划。测试内容由卖方拟定并包括买方需要的验收指标。在测试过程中如有任何软、硬件故障发生，卖方必须更换不合格的部件，并重新进行安装测试，由此引起的全部费用由卖方承担。</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4、在安装、调试过程中，卖方应对买方技术人员所提出的技术问题给予满意的答复，并向买方提供安装调试过程中的各种文档资料，以便买方今后能掌握操作方法和维护方法。</w:t>
      </w:r>
      <w:r>
        <w:rPr>
          <w:rFonts w:hint="eastAsia" w:ascii="宋体" w:hAnsi="宋体" w:cs="宋体"/>
          <w:szCs w:val="21"/>
        </w:rPr>
      </w:r>
      <w:r/>
    </w:p>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（五）人员培训要求</w:t>
      </w:r>
      <w:r>
        <w:rPr>
          <w:rFonts w:hint="eastAsia" w:ascii="宋体" w:hAnsi="宋体" w:cs="宋体"/>
          <w:b/>
          <w:bCs/>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1、卖方派技术工程师对买方人员进行技术培训，使买方人员能掌握有关设备的使用、维护和管理，达到能独立进行操作、日常测试维护等工作的目的。</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2、卖方应在培训时提供详细的培训文件。</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3、培训内容包括：基本理论、试验方法原理、试验操作、仪器的使用、仪器维护、安全要点以及其他相关内容。</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4、培训地点：用户现场</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5、所发生的培训费用由卖方承担。</w:t>
      </w:r>
      <w:r>
        <w:rPr>
          <w:rFonts w:hint="eastAsia" w:ascii="宋体" w:hAnsi="宋体" w:cs="宋体"/>
          <w:szCs w:val="21"/>
        </w:rPr>
      </w:r>
      <w:r/>
    </w:p>
    <w:p>
      <w:pPr>
        <w:pStyle w:val="1434"/>
        <w:spacing w:line="440" w:lineRule="exact"/>
        <w:rPr>
          <w:rFonts w:hint="eastAsia" w:ascii="宋体" w:hAnsi="宋体" w:cs="宋体"/>
          <w:b/>
          <w:bCs/>
          <w:szCs w:val="21"/>
        </w:rPr>
      </w:pPr>
      <w:r>
        <w:rPr>
          <w:rFonts w:hint="eastAsia" w:ascii="宋体" w:hAnsi="宋体" w:cs="宋体"/>
          <w:b/>
          <w:bCs/>
          <w:szCs w:val="21"/>
        </w:rPr>
      </w:r>
      <w:r/>
    </w:p>
    <w:p>
      <w:pPr>
        <w:pStyle w:val="1434"/>
        <w:spacing w:line="440" w:lineRule="exact"/>
        <w:rPr>
          <w:rFonts w:hint="eastAsia"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szCs w:val="21"/>
        </w:rPr>
      </w:r>
      <w:r/>
    </w:p>
    <w:p>
      <w:pPr>
        <w:pStyle w:val="1434"/>
        <w:ind w:firstLine="420"/>
        <w:spacing w:line="440" w:lineRule="exact"/>
        <w:rPr>
          <w:rFonts w:hint="eastAsia" w:ascii="宋体" w:hAnsi="宋体" w:cs="宋体"/>
          <w:szCs w:val="21"/>
        </w:rPr>
      </w:pPr>
      <w:r>
        <w:rPr>
          <w:rFonts w:hint="eastAsia" w:ascii="宋体" w:hAnsi="宋体" w:cs="宋体"/>
          <w:szCs w:val="21"/>
        </w:rPr>
        <w:t xml:space="preserve">★1、冷热冲击试验箱免费质保期为5年，自验收合格之日起算。</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2、质保期内的服务：质保期内，由于产品本身在设计制造上的缺陷或质量问题而造成的故障，供货方负责免费维修，并保证在收到用户方通知后的12小时内作出响应。</w:t>
      </w:r>
      <w:r>
        <w:rPr>
          <w:rFonts w:hint="eastAsia" w:ascii="宋体" w:hAnsi="宋体" w:cs="宋体"/>
          <w:szCs w:val="21"/>
        </w:rPr>
      </w:r>
      <w:r/>
    </w:p>
    <w:p>
      <w:pPr>
        <w:pStyle w:val="1434"/>
        <w:ind w:firstLine="420"/>
        <w:jc w:val="left"/>
        <w:spacing w:line="440" w:lineRule="exact"/>
        <w:rPr>
          <w:rFonts w:hint="eastAsia" w:ascii="宋体" w:hAnsi="宋体" w:cs="宋体"/>
          <w:szCs w:val="21"/>
        </w:rPr>
      </w:pPr>
      <w:r>
        <w:rPr>
          <w:rFonts w:hint="eastAsia" w:ascii="宋体" w:hAnsi="宋体" w:cs="宋体"/>
          <w:szCs w:val="21"/>
        </w:rPr>
        <w:t xml:space="preserve">3、质保期外的服务：过保后，卖方应提供持续、广泛的技术支持，以及优惠的维修保养等售后服务，及时对买方遇到的技术问题或故障予以答复和修复。</w:t>
      </w:r>
      <w:r>
        <w:rPr>
          <w:rFonts w:hint="eastAsia" w:ascii="宋体" w:hAnsi="宋体" w:cs="宋体"/>
          <w:szCs w:val="21"/>
        </w:rPr>
      </w:r>
      <w:r/>
    </w:p>
    <w:p>
      <w:pPr>
        <w:pStyle w:val="1434"/>
        <w:spacing w:line="360" w:lineRule="auto"/>
        <w:rPr>
          <w:rFonts w:hint="eastAsia" w:ascii="宋体" w:hAnsi="宋体" w:cs="宋体"/>
          <w:b/>
          <w:bCs/>
          <w:szCs w:val="21"/>
        </w:rPr>
      </w:pPr>
      <w:r>
        <w:rPr>
          <w:rFonts w:hint="eastAsia" w:ascii="宋体" w:hAnsi="宋体" w:cs="宋体"/>
          <w:b/>
          <w:bCs/>
          <w:szCs w:val="21"/>
        </w:rPr>
      </w:r>
      <w:r/>
    </w:p>
    <w:p>
      <w:pPr>
        <w:pStyle w:val="1434"/>
        <w:spacing w:line="440" w:lineRule="exact"/>
        <w:rPr>
          <w:rFonts w:ascii="宋体" w:hAnsi="宋体" w:cs="宋体"/>
          <w:bCs/>
          <w:szCs w:val="21"/>
        </w:rPr>
      </w:pPr>
      <w:r>
        <w:rPr>
          <w:rFonts w:hint="eastAsia" w:ascii="宋体" w:hAnsi="宋体" w:cs="宋体"/>
          <w:b/>
          <w:bCs/>
          <w:szCs w:val="21"/>
        </w:rPr>
        <w:t xml:space="preserve">★三、付款方式：</w:t>
      </w:r>
      <w:r>
        <w:rPr>
          <w:rFonts w:hint="eastAsia" w:ascii="宋体" w:hAnsi="宋体" w:cs="宋体"/>
          <w:bCs/>
          <w:szCs w:val="21"/>
          <w:lang w:bidi="ar"/>
        </w:rPr>
        <w:t xml:space="preserve">合同签订生效后一个月内，买方向卖方预付合同总价</w:t>
      </w:r>
      <w:r>
        <w:rPr>
          <w:rFonts w:ascii="宋体" w:hAnsi="宋体" w:cs="宋体"/>
          <w:bCs/>
          <w:szCs w:val="21"/>
          <w:lang w:bidi="ar"/>
        </w:rPr>
        <w:t xml:space="preserve">3</w:t>
      </w:r>
      <w:r>
        <w:rPr>
          <w:rFonts w:hint="eastAsia" w:ascii="宋体" w:hAnsi="宋体" w:cs="宋体"/>
          <w:bCs/>
          <w:szCs w:val="21"/>
          <w:lang w:bidi="ar"/>
        </w:rPr>
        <w:t xml:space="preserve">0%的货款；设备、材料全部运抵交货地点，并安装结束，调试完毕，并验收合格后，买方向卖方支付合同总价</w:t>
      </w:r>
      <w:r>
        <w:rPr>
          <w:rFonts w:ascii="宋体" w:hAnsi="宋体" w:cs="宋体"/>
          <w:bCs/>
          <w:szCs w:val="21"/>
          <w:lang w:bidi="ar"/>
        </w:rPr>
        <w:t xml:space="preserve">6</w:t>
      </w:r>
      <w:r>
        <w:rPr>
          <w:rFonts w:hint="eastAsia" w:ascii="宋体" w:hAnsi="宋体" w:cs="宋体"/>
          <w:bCs/>
          <w:szCs w:val="21"/>
          <w:lang w:bidi="ar"/>
        </w:rPr>
        <w:t xml:space="preserve">0%的货款。设备验收合格后稳定运行一年后，相关稳定性指标满足要求, 买方向卖方支付合同总价10%的货款。</w:t>
      </w:r>
      <w:r>
        <w:rPr>
          <w:rFonts w:ascii="宋体" w:hAnsi="宋体" w:cs="宋体"/>
          <w:bCs/>
          <w:szCs w:val="21"/>
        </w:rPr>
      </w:r>
      <w:r/>
    </w:p>
    <w:p>
      <w:pPr>
        <w:pStyle w:val="1434"/>
        <w:ind w:firstLine="420"/>
        <w:spacing w:line="440" w:lineRule="exact"/>
        <w:rPr>
          <w:rFonts w:hint="eastAsia" w:ascii="宋体" w:hAnsi="宋体" w:cs="宋体"/>
          <w:bCs/>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b/>
          <w:bCs/>
          <w:szCs w:val="21"/>
          <w:lang w:bidi="ar"/>
        </w:rPr>
        <w:t xml:space="preserve">若产品存在质量问题，则不受该付款条件约束，应按照本合同条款其他要求以及民法典有关规定执行。</w:t>
      </w:r>
      <w:r>
        <w:rPr>
          <w:rFonts w:hint="eastAsia" w:ascii="宋体" w:hAnsi="宋体" w:cs="宋体"/>
          <w:bCs/>
          <w:szCs w:val="21"/>
        </w:rPr>
      </w:r>
      <w:r/>
    </w:p>
    <w:p>
      <w:pPr>
        <w:pStyle w:val="1434"/>
        <w:jc w:val="left"/>
        <w:spacing w:line="360" w:lineRule="auto"/>
        <w:rPr>
          <w:rFonts w:hint="eastAsia" w:ascii="宋体" w:cs="宋体"/>
          <w:b/>
          <w:bCs/>
          <w:szCs w:val="21"/>
        </w:rPr>
      </w:pPr>
      <w:r>
        <w:rPr>
          <w:rFonts w:hint="eastAsia" w:ascii="宋体" w:cs="宋体"/>
          <w:b/>
          <w:bCs/>
          <w:szCs w:val="21"/>
        </w:rPr>
      </w:r>
      <w:r/>
    </w:p>
    <w:p>
      <w:pPr>
        <w:pStyle w:val="1434"/>
        <w:jc w:val="left"/>
        <w:spacing w:line="480" w:lineRule="exact"/>
        <w:tabs>
          <w:tab w:val="left" w:pos="1680" w:leader="none"/>
        </w:tabs>
        <w:rPr>
          <w:rFonts w:hint="eastAsia" w:ascii="宋体" w:hAnsi="宋体" w:cs="宋体"/>
          <w:szCs w:val="21"/>
        </w:rPr>
      </w:pPr>
      <w:r>
        <w:rPr>
          <w:rFonts w:hint="eastAsia" w:ascii="宋体" w:hAnsi="宋体" w:cs="宋体"/>
          <w:b/>
          <w:szCs w:val="21"/>
        </w:rPr>
        <w:t xml:space="preserve">四、方案要求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43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43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34"/>
        <w:jc w:val="center"/>
        <w:spacing w:line="440" w:lineRule="exact"/>
        <w:rPr>
          <w:b/>
          <w:sz w:val="28"/>
          <w:szCs w:val="28"/>
        </w:rPr>
        <w:outlineLvl w:val="0"/>
      </w:pPr>
      <w:r/>
      <w:bookmarkStart w:id="342" w:name="_Toc23921"/>
      <w:r>
        <w:rPr>
          <w:b/>
          <w:sz w:val="28"/>
          <w:szCs w:val="28"/>
        </w:rPr>
        <w:t xml:space="preserve">第五章 拟签订的合同文本</w:t>
      </w:r>
      <w:bookmarkEnd w:id="224"/>
      <w:r/>
      <w:bookmarkEnd w:id="342"/>
      <w:r>
        <w:rPr>
          <w:b/>
          <w:sz w:val="28"/>
          <w:szCs w:val="28"/>
        </w:rPr>
      </w:r>
      <w:r/>
    </w:p>
    <w:p>
      <w:pPr>
        <w:pStyle w:val="1434"/>
        <w:jc w:val="center"/>
        <w:spacing w:line="440" w:lineRule="exact"/>
        <w:rPr>
          <w:b/>
          <w:sz w:val="28"/>
          <w:szCs w:val="28"/>
        </w:rPr>
      </w:pPr>
      <w:r/>
      <w:bookmarkStart w:id="343" w:name="_Toc6085"/>
      <w:r>
        <w:rPr>
          <w:b/>
          <w:sz w:val="28"/>
          <w:szCs w:val="28"/>
        </w:rPr>
        <w:t xml:space="preserve">（参考格式，本合同内容条款在正式签署前可具体补充细化，仅作参考，最终合同以采购人法务审查通过的版本为准）</w:t>
      </w:r>
      <w:bookmarkEnd w:id="343"/>
      <w:r>
        <w:rPr>
          <w:b/>
          <w:sz w:val="28"/>
          <w:szCs w:val="28"/>
        </w:rPr>
      </w:r>
      <w:r/>
    </w:p>
    <w:p>
      <w:pPr>
        <w:pStyle w:val="1434"/>
        <w:jc w:val="center"/>
        <w:rPr>
          <w:b/>
          <w:sz w:val="24"/>
        </w:rPr>
      </w:pPr>
      <w:r>
        <w:rPr>
          <w:b/>
          <w:sz w:val="24"/>
          <w:u w:val="single"/>
        </w:rPr>
        <w:t xml:space="preserve">（采购人）（项目名称）</w:t>
      </w:r>
      <w:r>
        <w:rPr>
          <w:b/>
          <w:sz w:val="24"/>
        </w:rPr>
        <w:t xml:space="preserve">采购合同</w:t>
      </w:r>
      <w:r>
        <w:rPr>
          <w:b/>
          <w:sz w:val="24"/>
        </w:rPr>
      </w:r>
      <w:r/>
    </w:p>
    <w:p>
      <w:pPr>
        <w:pStyle w:val="1434"/>
        <w:jc w:val="center"/>
        <w:rPr>
          <w:b/>
          <w:sz w:val="24"/>
        </w:rPr>
      </w:pPr>
      <w:r>
        <w:rPr>
          <w:b/>
          <w:sz w:val="24"/>
        </w:rPr>
        <w:t xml:space="preserve">（货物类模板）</w:t>
      </w:r>
      <w:r>
        <w:rPr>
          <w:b/>
          <w:sz w:val="24"/>
        </w:rPr>
      </w:r>
      <w:r/>
    </w:p>
    <w:p>
      <w:pPr>
        <w:pStyle w:val="1434"/>
        <w:jc w:val="center"/>
        <w:rPr>
          <w:szCs w:val="21"/>
        </w:rPr>
      </w:pPr>
      <w:r>
        <w:rPr>
          <w:szCs w:val="21"/>
        </w:rPr>
      </w:r>
      <w:r/>
    </w:p>
    <w:p>
      <w:pPr>
        <w:pStyle w:val="1434"/>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买方（甲方）：江苏省计量科学研究院（江苏省能源计量数据中心）</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卖方（乙方）： </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采购代理机构： </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rPr>
          <w:rFonts w:hint="eastAsia" w:ascii="宋体" w:hAnsi="宋体" w:cs="宋体"/>
          <w:szCs w:val="21"/>
        </w:rPr>
      </w:r>
      <w:r/>
    </w:p>
    <w:p>
      <w:pPr>
        <w:pStyle w:val="1434"/>
        <w:contextualSpacing/>
        <w:ind w:left="720" w:firstLine="480"/>
        <w:jc w:val="left"/>
        <w:spacing w:before="100" w:after="100" w:line="360" w:lineRule="auto"/>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29"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产品名称</w:t>
            </w:r>
            <w:r>
              <w:rPr>
                <w:rFonts w:hint="eastAsia" w:ascii="宋体" w:hAnsi="宋体" w:cs="宋体"/>
                <w:szCs w:val="21"/>
              </w:rPr>
            </w:r>
            <w:r/>
          </w:p>
        </w:tc>
        <w:tc>
          <w:tcPr>
            <w:tcW w:w="655"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494"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504"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28" w:type="dxa"/>
            <w:vAlign w:val="center"/>
            <w:textDirection w:val="lrTb"/>
            <w:noWrap w:val="false"/>
          </w:tcPr>
          <w:p>
            <w:pPr>
              <w:pStyle w:val="143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735" w:type="dxa"/>
            <w:vAlign w:val="center"/>
            <w:textDirection w:val="lrTb"/>
            <w:noWrap w:val="false"/>
          </w:tcPr>
          <w:p>
            <w:pPr>
              <w:pStyle w:val="1434"/>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452" w:type="dxa"/>
            <w:vAlign w:val="center"/>
            <w:textDirection w:val="lrTb"/>
            <w:noWrap w:val="false"/>
          </w:tcPr>
          <w:p>
            <w:pPr>
              <w:pStyle w:val="1434"/>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452"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43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484" w:type="dxa"/>
            <w:vAlign w:val="center"/>
            <w:textDirection w:val="lrTb"/>
            <w:noWrap w:val="false"/>
          </w:tcPr>
          <w:p>
            <w:pPr>
              <w:pStyle w:val="1434"/>
              <w:ind w:firstLine="482"/>
              <w:jc w:val="center"/>
              <w:spacing w:line="360" w:lineRule="auto"/>
              <w:tabs>
                <w:tab w:val="left" w:pos="-235" w:leader="none"/>
              </w:tabs>
              <w:rPr>
                <w:rFonts w:hint="eastAsia" w:ascii="宋体" w:hAnsi="宋体" w:cs="宋体"/>
                <w:szCs w:val="21"/>
              </w:rPr>
            </w:pPr>
            <w:r>
              <w:rPr>
                <w:rFonts w:hint="eastAsia" w:ascii="宋体" w:hAnsi="宋体" w:cs="宋体"/>
                <w:b/>
                <w:bCs/>
                <w:szCs w:val="21"/>
              </w:rPr>
              <w:t xml:space="preserve">合计（元）</w:t>
            </w:r>
            <w:r>
              <w:rPr>
                <w:rFonts w:hint="eastAsia" w:ascii="宋体" w:hAnsi="宋体" w:cs="宋体"/>
                <w:szCs w:val="21"/>
              </w:rPr>
            </w:r>
            <w:r/>
          </w:p>
        </w:tc>
        <w:tc>
          <w:tcPr>
            <w:gridSpan w:val="3"/>
            <w:tcW w:w="3867" w:type="dxa"/>
            <w:vAlign w:val="center"/>
            <w:textDirection w:val="lrTb"/>
            <w:noWrap w:val="false"/>
          </w:tcPr>
          <w:p>
            <w:pPr>
              <w:pStyle w:val="1434"/>
              <w:ind w:firstLine="482"/>
              <w:spacing w:line="360" w:lineRule="auto"/>
              <w:tabs>
                <w:tab w:val="left" w:pos="-235"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r>
            <w:r/>
          </w:p>
        </w:tc>
      </w:tr>
    </w:tbl>
    <w:p>
      <w:pPr>
        <w:pStyle w:val="1434"/>
        <w:ind w:left="108" w:firstLine="420"/>
        <w:jc w:val="left"/>
        <w:spacing w:before="120" w:after="120"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hint="eastAsia" w:ascii="宋体" w:hAnsi="宋体" w:cs="宋体"/>
          <w:bCs/>
          <w:szCs w:val="21"/>
        </w:rPr>
      </w:r>
      <w:r/>
    </w:p>
    <w:p>
      <w:pPr>
        <w:pStyle w:val="1434"/>
        <w:ind w:left="108" w:firstLine="1470"/>
        <w:jc w:val="left"/>
        <w:spacing w:before="120" w:after="120"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hint="eastAsia" w:ascii="宋体" w:hAnsi="宋体" w:cs="宋体"/>
          <w:bCs/>
          <w:szCs w:val="21"/>
        </w:rPr>
      </w:r>
      <w:r/>
    </w:p>
    <w:p>
      <w:pPr>
        <w:pStyle w:val="1434"/>
        <w:ind w:firstLine="420"/>
        <w:spacing w:before="120" w:after="120"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lang w:eastAsia="zh-CN"/>
        </w:rPr>
        <w:t xml:space="preserve">合同签订生效后</w:t>
      </w:r>
      <w:r>
        <w:rPr>
          <w:rFonts w:hint="eastAsia" w:ascii="宋体" w:hAnsi="宋体" w:cs="宋体"/>
          <w:b/>
          <w:bCs/>
          <w:szCs w:val="21"/>
          <w:u w:val="single"/>
        </w:rPr>
        <w:t xml:space="preserve">X个月内</w:t>
      </w:r>
      <w:r>
        <w:rPr>
          <w:rFonts w:hint="eastAsia" w:ascii="宋体" w:hAnsi="宋体" w:cs="宋体"/>
          <w:bCs/>
          <w:szCs w:val="21"/>
        </w:rPr>
        <w:t xml:space="preserve">全部设备、材料经检定合格后全部运抵买方现场，并安装、调试结束，待验收合格，交付买方使用。</w:t>
      </w:r>
      <w:r>
        <w:rPr>
          <w:rFonts w:hint="eastAsia" w:ascii="宋体" w:hAnsi="宋体" w:cs="宋体"/>
          <w:szCs w:val="21"/>
        </w:rPr>
      </w:r>
      <w:r/>
    </w:p>
    <w:p>
      <w:pPr>
        <w:pStyle w:val="1434"/>
        <w:ind w:firstLine="525"/>
        <w:spacing w:before="120" w:after="120"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hint="eastAsia" w:ascii="宋体" w:hAnsi="宋体" w:cs="宋体"/>
          <w:szCs w:val="21"/>
        </w:rPr>
      </w:r>
      <w:r/>
    </w:p>
    <w:p>
      <w:pPr>
        <w:pStyle w:val="1434"/>
        <w:ind w:firstLine="525"/>
        <w:spacing w:before="120" w:after="120" w:line="360" w:lineRule="auto"/>
        <w:tabs>
          <w:tab w:val="left" w:pos="-235" w:leader="none"/>
        </w:tabs>
        <w:rPr>
          <w:rFonts w:hint="eastAsia"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hint="eastAsia" w:ascii="宋体" w:hAnsi="宋体" w:cs="宋体"/>
          <w:b/>
          <w:szCs w:val="21"/>
          <w:u w:val="single"/>
        </w:rPr>
      </w:r>
      <w:r/>
    </w:p>
    <w:p>
      <w:pPr>
        <w:pStyle w:val="1434"/>
        <w:ind w:firstLine="525"/>
        <w:spacing w:before="120" w:after="120"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rPr>
          <w:rFonts w:hint="eastAsia" w:ascii="宋体" w:hAnsi="宋体" w:cs="宋体"/>
          <w:szCs w:val="21"/>
          <w:u w:val="single"/>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8. 买方付款方式及期限：</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w:t>
      </w:r>
      <w:r>
        <w:rPr>
          <w:rFonts w:hint="eastAsia" w:ascii="宋体" w:hAnsi="宋体" w:cs="宋体"/>
          <w:szCs w:val="21"/>
        </w:rPr>
        <w:t xml:space="preserve">民法典</w:t>
      </w:r>
      <w:r>
        <w:rPr>
          <w:rFonts w:hint="eastAsia" w:ascii="宋体" w:hAnsi="宋体" w:cs="宋体"/>
          <w:szCs w:val="21"/>
        </w:rPr>
        <w:t xml:space="preserve">有关规定执行。</w:t>
      </w:r>
      <w:r>
        <w:rPr>
          <w:rFonts w:hint="eastAsia" w:ascii="宋体" w:hAnsi="宋体" w:cs="宋体"/>
          <w:szCs w:val="21"/>
        </w:rPr>
      </w:r>
      <w:r/>
    </w:p>
    <w:p>
      <w:pPr>
        <w:pStyle w:val="143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9. 验收</w:t>
      </w:r>
      <w:r>
        <w:rPr>
          <w:rFonts w:hint="eastAsia" w:ascii="宋体" w:hAnsi="宋体" w:cs="宋体"/>
          <w:szCs w:val="21"/>
        </w:rPr>
      </w:r>
      <w:r/>
    </w:p>
    <w:p>
      <w:pPr>
        <w:pStyle w:val="1434"/>
        <w:ind w:left="8" w:firstLine="569"/>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按投标文件及双方签订的《技术协议》中的要求提供相关资料。</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 卖方的违约责任</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 买方的违约责任：</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三、廉洁条款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四、保密条款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五、送达条款</w:t>
      </w:r>
      <w:r>
        <w:rPr>
          <w:rFonts w:hint="eastAsia" w:ascii="宋体" w:hAnsi="宋体" w:cs="宋体"/>
          <w:szCs w:val="21"/>
        </w:rPr>
      </w:r>
      <w:r/>
    </w:p>
    <w:p>
      <w:pPr>
        <w:pStyle w:val="143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cs="宋体"/>
          <w:szCs w:val="21"/>
        </w:rPr>
      </w:r>
      <w:r/>
    </w:p>
    <w:p>
      <w:pPr>
        <w:pStyle w:val="1434"/>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434"/>
              <w:ind w:firstLine="420"/>
              <w:spacing w:before="120" w:after="120" w:line="400" w:lineRule="exact"/>
              <w:rPr>
                <w:rFonts w:ascii="宋体" w:hAnsi="宋体" w:cs="宋体"/>
                <w:szCs w:val="21"/>
              </w:rPr>
            </w:pPr>
            <w:r>
              <w:rPr>
                <w:rFonts w:hint="eastAsia" w:ascii="宋体" w:hAnsi="宋体" w:cs="宋体"/>
                <w:szCs w:val="21"/>
              </w:rPr>
              <w:t xml:space="preserve">买方（盖章）：</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联系方式：</w:t>
            </w:r>
            <w:r>
              <w:rPr>
                <w:rFonts w:ascii="宋体" w:hAnsi="宋体" w:cs="宋体"/>
                <w:szCs w:val="21"/>
              </w:rPr>
            </w:r>
            <w:r/>
          </w:p>
          <w:p>
            <w:pPr>
              <w:pStyle w:val="1434"/>
              <w:ind w:firstLine="420"/>
              <w:spacing w:before="120" w:after="120" w:line="400" w:lineRule="exact"/>
              <w:rPr>
                <w:rFonts w:ascii="宋体" w:hAnsi="宋体" w:cs="宋体"/>
                <w:szCs w:val="21"/>
              </w:rPr>
            </w:pPr>
            <w:r>
              <w:rPr>
                <w:rFonts w:ascii="宋体" w:hAnsi="宋体" w:cs="宋体"/>
                <w:szCs w:val="21"/>
              </w:rPr>
            </w:r>
            <w:r/>
          </w:p>
          <w:p>
            <w:pPr>
              <w:pStyle w:val="1434"/>
              <w:ind w:firstLine="420"/>
              <w:spacing w:before="120" w:after="120" w:line="400" w:lineRule="exact"/>
              <w:rPr>
                <w:rFonts w:ascii="宋体" w:hAnsi="宋体" w:cs="宋体"/>
                <w:szCs w:val="21"/>
              </w:rPr>
            </w:pPr>
            <w:r>
              <w:rPr>
                <w:rFonts w:ascii="宋体" w:hAnsi="宋体" w:cs="宋体"/>
                <w:szCs w:val="21"/>
              </w:rPr>
            </w:r>
            <w:r/>
          </w:p>
          <w:p>
            <w:pPr>
              <w:pStyle w:val="1434"/>
              <w:ind w:firstLine="420"/>
              <w:spacing w:before="120" w:after="120" w:line="400" w:lineRule="exact"/>
              <w:rPr>
                <w:rFonts w:ascii="宋体" w:hAnsi="宋体" w:cs="宋体"/>
                <w:szCs w:val="21"/>
              </w:rPr>
            </w:pP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684" w:type="dxa"/>
            <w:vAlign w:val="top"/>
            <w:textDirection w:val="lrTb"/>
            <w:noWrap w:val="false"/>
          </w:tcPr>
          <w:p>
            <w:pPr>
              <w:pStyle w:val="1434"/>
              <w:ind w:firstLine="420"/>
              <w:spacing w:before="120" w:after="120" w:line="400" w:lineRule="exact"/>
              <w:rPr>
                <w:rFonts w:ascii="宋体" w:hAnsi="宋体" w:cs="宋体"/>
                <w:szCs w:val="21"/>
              </w:rPr>
            </w:pPr>
            <w:r>
              <w:rPr>
                <w:rFonts w:hint="eastAsia" w:ascii="宋体" w:hAnsi="宋体" w:cs="宋体"/>
                <w:szCs w:val="21"/>
              </w:rPr>
              <w:t xml:space="preserve">卖方（盖章）：</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税号：</w:t>
            </w:r>
            <w:r>
              <w:rPr>
                <w:rFonts w:ascii="宋体" w:hAnsi="宋体" w:cs="宋体"/>
                <w:szCs w:val="21"/>
              </w:rPr>
            </w:r>
            <w:r/>
          </w:p>
          <w:p>
            <w:pPr>
              <w:pStyle w:val="143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434"/>
        <w:jc w:val="center"/>
        <w:spacing w:line="360" w:lineRule="auto"/>
        <w:rPr>
          <w:rFonts w:hint="eastAsia" w:ascii="宋体" w:hAnsi="宋体" w:cs="宋体"/>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34"/>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434"/>
        <w:jc w:val="center"/>
        <w:spacing w:line="440" w:lineRule="exact"/>
        <w:rPr>
          <w:b/>
          <w:sz w:val="28"/>
          <w:szCs w:val="28"/>
        </w:rPr>
      </w:pPr>
      <w:r>
        <w:rPr>
          <w:b/>
          <w:sz w:val="28"/>
          <w:szCs w:val="28"/>
        </w:rPr>
      </w:r>
      <w:r/>
    </w:p>
    <w:p>
      <w:pPr>
        <w:pStyle w:val="143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34"/>
        <w:jc w:val="center"/>
        <w:spacing w:line="440" w:lineRule="exact"/>
        <w:rPr>
          <w:b/>
          <w:sz w:val="28"/>
          <w:szCs w:val="28"/>
        </w:rPr>
        <w:outlineLvl w:val="0"/>
      </w:pPr>
      <w:r/>
      <w:bookmarkStart w:id="344" w:name="_Toc19"/>
      <w:r/>
      <w:bookmarkStart w:id="345" w:name="_Toc26078"/>
      <w:r/>
      <w:bookmarkStart w:id="346" w:name="_Toc16280"/>
      <w:r>
        <w:rPr>
          <w:b/>
          <w:sz w:val="28"/>
          <w:szCs w:val="28"/>
        </w:rPr>
        <w:t xml:space="preserve">第六章 投标文件格式及附件</w:t>
      </w:r>
      <w:bookmarkEnd w:id="344"/>
      <w:r/>
      <w:bookmarkEnd w:id="345"/>
      <w:r/>
      <w:bookmarkEnd w:id="346"/>
      <w:r>
        <w:rPr>
          <w:b/>
          <w:sz w:val="28"/>
          <w:szCs w:val="28"/>
        </w:rPr>
      </w:r>
      <w:r/>
    </w:p>
    <w:p>
      <w:pPr>
        <w:pStyle w:val="1434"/>
        <w:spacing w:line="360" w:lineRule="auto"/>
        <w:rPr>
          <w:b/>
          <w:bCs/>
          <w:szCs w:val="21"/>
        </w:rPr>
      </w:pPr>
      <w:r>
        <w:rPr>
          <w:b/>
          <w:bCs/>
          <w:szCs w:val="21"/>
        </w:rPr>
        <w:t xml:space="preserve">注：</w:t>
      </w:r>
      <w:r>
        <w:rPr>
          <w:b/>
          <w:bCs/>
          <w:szCs w:val="21"/>
        </w:rPr>
      </w:r>
      <w:r/>
    </w:p>
    <w:p>
      <w:pPr>
        <w:pStyle w:val="1434"/>
        <w:jc w:val="left"/>
        <w:spacing w:line="360" w:lineRule="auto"/>
        <w:rPr>
          <w:szCs w:val="21"/>
        </w:rPr>
      </w:pPr>
      <w:r>
        <w:rPr>
          <w:szCs w:val="21"/>
        </w:rPr>
        <w:t xml:space="preserve">1.本部分内容仅提供格式参考。 </w:t>
      </w:r>
      <w:r>
        <w:rPr>
          <w:szCs w:val="21"/>
        </w:rPr>
      </w:r>
      <w:r/>
    </w:p>
    <w:p>
      <w:pPr>
        <w:pStyle w:val="143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4"/>
        <w:jc w:val="left"/>
        <w:spacing w:line="360" w:lineRule="auto"/>
        <w:rPr>
          <w:szCs w:val="21"/>
        </w:rPr>
      </w:pPr>
      <w:r>
        <w:rPr>
          <w:szCs w:val="21"/>
        </w:rPr>
        <w:t xml:space="preserve">3.所附表格中要求回答的全部问题和信息都必须正面回答。 </w:t>
      </w:r>
      <w:r>
        <w:rPr>
          <w:szCs w:val="21"/>
        </w:rPr>
      </w:r>
      <w:r/>
    </w:p>
    <w:p>
      <w:pPr>
        <w:pStyle w:val="1434"/>
        <w:jc w:val="left"/>
        <w:spacing w:line="360" w:lineRule="auto"/>
        <w:rPr>
          <w:szCs w:val="21"/>
        </w:rPr>
      </w:pPr>
      <w:r>
        <w:rPr>
          <w:szCs w:val="21"/>
        </w:rPr>
        <w:t xml:space="preserve">4.供应商提交的材料不予退还。 </w:t>
      </w:r>
      <w:r>
        <w:rPr>
          <w:szCs w:val="21"/>
        </w:rPr>
      </w:r>
      <w:r/>
    </w:p>
    <w:p>
      <w:pPr>
        <w:pStyle w:val="1434"/>
        <w:jc w:val="left"/>
        <w:spacing w:line="360" w:lineRule="auto"/>
        <w:rPr>
          <w:szCs w:val="21"/>
        </w:rPr>
      </w:pPr>
      <w:r>
        <w:rPr>
          <w:szCs w:val="21"/>
        </w:rPr>
        <w:t xml:space="preserve">5.全部文件应按投标人须知以及前附表中规定的语言和份数提交。 </w:t>
      </w:r>
      <w:r>
        <w:rPr>
          <w:szCs w:val="21"/>
        </w:rPr>
      </w:r>
      <w:r/>
    </w:p>
    <w:p>
      <w:pPr>
        <w:pStyle w:val="143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4"/>
        <w:jc w:val="center"/>
        <w:rPr>
          <w:szCs w:val="24"/>
        </w:rPr>
      </w:pPr>
      <w:r/>
      <w:bookmarkStart w:id="347" w:name="_Toc29373"/>
      <w:r/>
      <w:bookmarkStart w:id="348" w:name="_Toc496780634"/>
      <w:r/>
      <w:bookmarkStart w:id="349" w:name="_Toc12151"/>
      <w:r>
        <w:rPr>
          <w:szCs w:val="24"/>
        </w:rPr>
      </w:r>
      <w:r/>
    </w:p>
    <w:p>
      <w:pPr>
        <w:pStyle w:val="143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4"/>
        <w:jc w:val="left"/>
        <w:widowControl/>
      </w:pPr>
      <w:r>
        <w:rPr>
          <w:b/>
          <w:bCs/>
          <w:color w:val="000000"/>
          <w:sz w:val="28"/>
          <w:szCs w:val="28"/>
          <w:lang w:bidi="ar"/>
        </w:rPr>
        <w:t xml:space="preserve">投标文件封面格式 </w:t>
      </w:r>
      <w:r/>
    </w:p>
    <w:p>
      <w:pPr>
        <w:pStyle w:val="143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4"/>
        <w:jc w:val="center"/>
        <w:spacing w:line="500" w:lineRule="exact"/>
        <w:rPr>
          <w:b/>
          <w:sz w:val="44"/>
          <w:szCs w:val="44"/>
        </w:rPr>
      </w:pPr>
      <w:r>
        <w:rPr>
          <w:b/>
          <w:sz w:val="44"/>
          <w:szCs w:val="44"/>
        </w:rPr>
      </w:r>
      <w:r/>
    </w:p>
    <w:p>
      <w:pPr>
        <w:pStyle w:val="1620"/>
        <w:ind w:firstLine="883"/>
        <w:rPr>
          <w:b/>
          <w:sz w:val="44"/>
          <w:szCs w:val="44"/>
        </w:rPr>
      </w:pPr>
      <w:r>
        <w:rPr>
          <w:b/>
          <w:sz w:val="44"/>
          <w:szCs w:val="44"/>
        </w:rPr>
      </w:r>
      <w:r/>
    </w:p>
    <w:p>
      <w:pPr>
        <w:pStyle w:val="1620"/>
        <w:ind w:firstLine="883"/>
        <w:rPr>
          <w:b/>
          <w:sz w:val="44"/>
          <w:szCs w:val="44"/>
        </w:rPr>
      </w:pPr>
      <w:r>
        <w:rPr>
          <w:b/>
          <w:sz w:val="44"/>
          <w:szCs w:val="44"/>
        </w:rPr>
      </w:r>
      <w:r/>
    </w:p>
    <w:p>
      <w:pPr>
        <w:pStyle w:val="1434"/>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434"/>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434"/>
        <w:jc w:val="center"/>
        <w:spacing w:line="500" w:lineRule="exact"/>
        <w:rPr>
          <w:rFonts w:hint="eastAsia"/>
          <w:b/>
          <w:sz w:val="48"/>
          <w:szCs w:val="48"/>
        </w:rPr>
      </w:pPr>
      <w:r>
        <w:rPr>
          <w:rFonts w:hint="eastAsia"/>
          <w:b/>
          <w:sz w:val="48"/>
          <w:szCs w:val="48"/>
        </w:rPr>
      </w:r>
      <w:r/>
    </w:p>
    <w:p>
      <w:pPr>
        <w:pStyle w:val="1434"/>
        <w:jc w:val="center"/>
        <w:spacing w:line="500" w:lineRule="exact"/>
        <w:rPr>
          <w:rFonts w:hint="eastAsia"/>
          <w:b/>
          <w:sz w:val="48"/>
          <w:szCs w:val="48"/>
        </w:rPr>
      </w:pPr>
      <w:r>
        <w:rPr>
          <w:rFonts w:hint="eastAsia"/>
          <w:b/>
          <w:sz w:val="48"/>
          <w:szCs w:val="48"/>
        </w:rPr>
      </w:r>
      <w:r/>
    </w:p>
    <w:p>
      <w:pPr>
        <w:pStyle w:val="1434"/>
        <w:jc w:val="center"/>
        <w:spacing w:line="500" w:lineRule="exact"/>
        <w:rPr>
          <w:rFonts w:hint="eastAsia"/>
          <w:b/>
          <w:color w:val="000000"/>
          <w:spacing w:val="80"/>
          <w:sz w:val="72"/>
        </w:rPr>
      </w:pPr>
      <w:r>
        <w:rPr>
          <w:rFonts w:hint="eastAsia"/>
          <w:b/>
          <w:sz w:val="48"/>
          <w:szCs w:val="48"/>
        </w:rPr>
        <w:t xml:space="preserve">电动汽车充电桩综合检测系统等设备</w:t>
      </w:r>
      <w:r>
        <w:rPr>
          <w:rFonts w:hint="eastAsia"/>
          <w:b/>
          <w:color w:val="000000"/>
          <w:spacing w:val="80"/>
          <w:sz w:val="72"/>
        </w:rPr>
      </w:r>
      <w:r/>
    </w:p>
    <w:p>
      <w:pPr>
        <w:pStyle w:val="1620"/>
        <w:ind w:firstLine="1766"/>
        <w:rPr>
          <w:b/>
          <w:color w:val="000000"/>
          <w:spacing w:val="80"/>
          <w:sz w:val="72"/>
        </w:rPr>
      </w:pPr>
      <w:r>
        <w:rPr>
          <w:b/>
          <w:color w:val="000000"/>
          <w:spacing w:val="80"/>
          <w:sz w:val="72"/>
        </w:rPr>
      </w:r>
      <w:r/>
    </w:p>
    <w:p>
      <w:pPr>
        <w:pStyle w:val="1620"/>
        <w:ind w:firstLine="1766"/>
        <w:rPr>
          <w:b/>
          <w:color w:val="000000"/>
          <w:spacing w:val="80"/>
          <w:sz w:val="72"/>
        </w:rPr>
      </w:pPr>
      <w:r>
        <w:rPr>
          <w:b/>
          <w:color w:val="000000"/>
          <w:spacing w:val="80"/>
          <w:sz w:val="72"/>
        </w:rPr>
      </w:r>
      <w:r/>
    </w:p>
    <w:p>
      <w:pPr>
        <w:pStyle w:val="143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4"/>
        <w:ind w:firstLine="1285"/>
        <w:spacing w:line="360" w:lineRule="auto"/>
        <w:rPr>
          <w:b/>
          <w:sz w:val="32"/>
          <w:szCs w:val="32"/>
        </w:rPr>
      </w:pPr>
      <w:r>
        <w:rPr>
          <w:b/>
          <w:sz w:val="32"/>
          <w:szCs w:val="32"/>
        </w:rPr>
      </w:r>
      <w:r/>
    </w:p>
    <w:p>
      <w:pPr>
        <w:pStyle w:val="1434"/>
        <w:spacing w:line="500" w:lineRule="exact"/>
        <w:rPr>
          <w:color w:val="000000"/>
          <w:sz w:val="32"/>
        </w:rPr>
      </w:pPr>
      <w:r>
        <w:rPr>
          <w:color w:val="000000"/>
          <w:sz w:val="32"/>
        </w:rPr>
      </w:r>
      <w:r/>
    </w:p>
    <w:p>
      <w:pPr>
        <w:pStyle w:val="1434"/>
        <w:spacing w:line="360" w:lineRule="auto"/>
        <w:rPr>
          <w:b/>
          <w:sz w:val="32"/>
          <w:szCs w:val="32"/>
        </w:rPr>
      </w:pPr>
      <w:r>
        <w:rPr>
          <w:b/>
          <w:sz w:val="32"/>
          <w:szCs w:val="32"/>
        </w:rPr>
      </w:r>
      <w:r/>
    </w:p>
    <w:p>
      <w:pPr>
        <w:pStyle w:val="1434"/>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JSZC-320000-SMDY-G2026-0026</w:t>
      </w:r>
      <w:r>
        <w:rPr>
          <w:b/>
          <w:sz w:val="32"/>
          <w:szCs w:val="32"/>
        </w:rPr>
        <w:t xml:space="preserve">（</w:t>
      </w:r>
      <w:r>
        <w:rPr>
          <w:rFonts w:hint="eastAsia"/>
          <w:b/>
          <w:sz w:val="32"/>
          <w:szCs w:val="32"/>
        </w:rPr>
        <w:t xml:space="preserve">2640SUMEC/ZWGG2040</w:t>
      </w:r>
      <w:r>
        <w:rPr>
          <w:b/>
          <w:sz w:val="32"/>
          <w:szCs w:val="32"/>
        </w:rPr>
        <w:t xml:space="preserve">）</w:t>
      </w:r>
      <w:r>
        <w:rPr>
          <w:b/>
          <w:sz w:val="32"/>
          <w:szCs w:val="32"/>
          <w:highlight w:val="yellow"/>
        </w:rPr>
      </w:r>
      <w:r/>
    </w:p>
    <w:p>
      <w:pPr>
        <w:pStyle w:val="143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4"/>
        <w:jc w:val="center"/>
        <w:spacing w:line="360" w:lineRule="auto"/>
        <w:rPr>
          <w:b/>
          <w:sz w:val="36"/>
          <w:szCs w:val="36"/>
        </w:rPr>
      </w:pPr>
      <w:r>
        <w:rPr>
          <w:b/>
          <w:sz w:val="36"/>
          <w:szCs w:val="36"/>
        </w:rPr>
      </w:r>
      <w:r/>
    </w:p>
    <w:p>
      <w:pPr>
        <w:pStyle w:val="150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6"/>
        <w:jc w:val="center"/>
        <w:spacing w:before="120" w:after="120" w:line="360" w:lineRule="auto"/>
        <w:rPr>
          <w:rFonts w:ascii="Times New Roman" w:hAnsi="Times New Roman" w:eastAsia="宋体"/>
          <w:sz w:val="28"/>
          <w:szCs w:val="28"/>
        </w:rPr>
      </w:pPr>
      <w:r/>
      <w:bookmarkStart w:id="350" w:name="_Toc22769"/>
      <w:r>
        <w:rPr>
          <w:rFonts w:ascii="Times New Roman" w:hAnsi="Times New Roman" w:eastAsia="宋体"/>
          <w:sz w:val="28"/>
          <w:szCs w:val="28"/>
        </w:rPr>
        <w:t xml:space="preserve">资格审查索引表</w:t>
      </w:r>
      <w:bookmarkEnd w:id="350"/>
      <w:r>
        <w:rPr>
          <w:rFonts w:ascii="Times New Roman" w:hAnsi="Times New Roman" w:eastAsia="宋体"/>
          <w:sz w:val="28"/>
          <w:szCs w:val="28"/>
        </w:rPr>
      </w:r>
      <w:r/>
    </w:p>
    <w:p>
      <w:pPr>
        <w:pStyle w:val="143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4"/>
              <w:spacing w:line="360" w:lineRule="auto"/>
              <w:widowControl/>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bl>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6"/>
        <w:jc w:val="center"/>
        <w:spacing w:before="120" w:after="120"/>
        <w:rPr>
          <w:rFonts w:ascii="Times New Roman" w:hAnsi="Times New Roman" w:eastAsia="宋体"/>
          <w:sz w:val="28"/>
          <w:szCs w:val="28"/>
        </w:rPr>
      </w:pPr>
      <w:r/>
      <w:bookmarkEnd w:id="347"/>
      <w:r/>
      <w:bookmarkEnd w:id="348"/>
      <w:r/>
      <w:bookmarkEnd w:id="349"/>
      <w:r/>
      <w:bookmarkStart w:id="351" w:name="_Toc30185"/>
      <w:r/>
      <w:bookmarkStart w:id="352" w:name="_Toc18263"/>
      <w:r/>
      <w:bookmarkStart w:id="353" w:name="_Toc13756"/>
      <w:r>
        <w:rPr>
          <w:rFonts w:ascii="Times New Roman" w:hAnsi="Times New Roman" w:eastAsia="宋体"/>
          <w:sz w:val="28"/>
          <w:szCs w:val="28"/>
        </w:rPr>
        <w:t xml:space="preserve">评审索引表</w:t>
      </w:r>
      <w:bookmarkEnd w:id="351"/>
      <w:r/>
      <w:bookmarkEnd w:id="352"/>
      <w:r>
        <w:rPr>
          <w:rFonts w:ascii="Times New Roman" w:hAnsi="Times New Roman" w:eastAsia="宋体"/>
          <w:sz w:val="28"/>
          <w:szCs w:val="28"/>
        </w:rPr>
      </w:r>
      <w:r/>
    </w:p>
    <w:p>
      <w:pPr>
        <w:pStyle w:val="1434"/>
        <w:jc w:val="center"/>
        <w:spacing w:before="120" w:after="120"/>
        <w:rPr>
          <w:sz w:val="28"/>
          <w:szCs w:val="28"/>
        </w:rPr>
      </w:pPr>
      <w:r/>
      <w:bookmarkStart w:id="354" w:name="_Toc5536"/>
      <w:r>
        <w:rPr>
          <w:sz w:val="24"/>
          <w:szCs w:val="24"/>
        </w:rPr>
        <w:t xml:space="preserve">（具体详见招标文件第三章评标标准）</w:t>
      </w:r>
      <w:bookmarkEnd w:id="354"/>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bl>
    <w:p>
      <w:pPr>
        <w:pStyle w:val="1434"/>
        <w:spacing w:line="440" w:lineRule="exact"/>
        <w:rPr>
          <w:szCs w:val="24"/>
        </w:rPr>
      </w:pPr>
      <w:r>
        <w:rPr>
          <w:szCs w:val="24"/>
        </w:rPr>
      </w:r>
      <w:r/>
    </w:p>
    <w:p>
      <w:pPr>
        <w:pStyle w:val="1434"/>
        <w:spacing w:line="440" w:lineRule="exact"/>
        <w:rPr>
          <w:szCs w:val="24"/>
        </w:rPr>
      </w:pPr>
      <w:r>
        <w:rPr>
          <w:szCs w:val="24"/>
        </w:rPr>
      </w:r>
      <w:r/>
    </w:p>
    <w:p>
      <w:pPr>
        <w:pStyle w:val="146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4"/>
        <w:spacing w:line="440" w:lineRule="exact"/>
        <w:rPr>
          <w:rFonts w:hint="eastAsia" w:ascii="宋体" w:hAnsi="宋体" w:cs="宋体"/>
          <w:b/>
          <w:bCs/>
          <w:szCs w:val="21"/>
        </w:rPr>
        <w:outlineLvl w:val="1"/>
      </w:pPr>
      <w:r/>
      <w:bookmarkStart w:id="355" w:name="_Toc10923"/>
      <w:r>
        <w:rPr>
          <w:rFonts w:hint="eastAsia" w:ascii="宋体" w:hAnsi="宋体" w:cs="宋体"/>
          <w:b/>
          <w:bCs/>
          <w:szCs w:val="21"/>
        </w:rPr>
        <w:t xml:space="preserve">附件一 投标函格式</w:t>
      </w:r>
      <w:bookmarkEnd w:id="353"/>
      <w:r/>
      <w:bookmarkEnd w:id="355"/>
      <w:r>
        <w:rPr>
          <w:rFonts w:hint="eastAsia" w:ascii="宋体" w:hAnsi="宋体" w:cs="宋体"/>
          <w:b/>
          <w:bCs/>
          <w:szCs w:val="21"/>
        </w:rPr>
      </w:r>
      <w:r/>
    </w:p>
    <w:p>
      <w:pPr>
        <w:pStyle w:val="1434"/>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434"/>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434"/>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434"/>
        <w:spacing w:line="440" w:lineRule="exact"/>
        <w:rPr>
          <w:szCs w:val="21"/>
        </w:rPr>
      </w:pPr>
      <w:r>
        <w:rPr>
          <w:szCs w:val="21"/>
        </w:rPr>
      </w:r>
      <w:r/>
    </w:p>
    <w:p>
      <w:pPr>
        <w:pStyle w:val="1434"/>
        <w:spacing w:line="360" w:lineRule="auto"/>
        <w:rPr>
          <w:szCs w:val="21"/>
        </w:rPr>
      </w:pPr>
      <w:r>
        <w:rPr>
          <w:szCs w:val="21"/>
        </w:rPr>
        <w:t xml:space="preserve">投标人名称：</w:t>
      </w:r>
      <w:r>
        <w:rPr>
          <w:szCs w:val="21"/>
          <w:u w:val="single"/>
        </w:rPr>
        <w:t xml:space="preserve">                   （公章）</w:t>
      </w:r>
      <w:r>
        <w:rPr>
          <w:szCs w:val="21"/>
        </w:rPr>
      </w:r>
      <w:r/>
    </w:p>
    <w:p>
      <w:pPr>
        <w:pStyle w:val="143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4"/>
        <w:spacing w:line="360" w:lineRule="auto"/>
        <w:rPr>
          <w:sz w:val="24"/>
        </w:rPr>
      </w:pPr>
      <w:r>
        <w:rPr>
          <w:szCs w:val="21"/>
        </w:rPr>
        <w:t xml:space="preserve">日期：</w:t>
      </w:r>
      <w:r>
        <w:rPr>
          <w:szCs w:val="21"/>
          <w:u w:val="single"/>
        </w:rPr>
        <w:t xml:space="preserve">               </w:t>
      </w:r>
      <w:r>
        <w:rPr>
          <w:sz w:val="24"/>
        </w:rPr>
      </w:r>
      <w:r/>
    </w:p>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line="440" w:lineRule="exact"/>
        <w:rPr>
          <w:b/>
          <w:bCs/>
          <w:sz w:val="24"/>
          <w:szCs w:val="22"/>
        </w:rPr>
        <w:outlineLvl w:val="1"/>
      </w:pPr>
      <w:r/>
      <w:bookmarkStart w:id="356" w:name="_Toc437"/>
      <w:r/>
      <w:bookmarkStart w:id="357" w:name="_Toc14605"/>
      <w:r/>
      <w:bookmarkStart w:id="358" w:name="_Toc21846"/>
      <w:r>
        <w:rPr>
          <w:b/>
          <w:bCs/>
          <w:sz w:val="24"/>
          <w:szCs w:val="22"/>
        </w:rPr>
        <w:t xml:space="preserve">附件二 开标一览表</w:t>
      </w:r>
      <w:bookmarkEnd w:id="356"/>
      <w:r/>
      <w:bookmarkEnd w:id="357"/>
      <w:r/>
      <w:bookmarkEnd w:id="358"/>
      <w:r>
        <w:rPr>
          <w:b/>
          <w:bCs/>
          <w:sz w:val="24"/>
          <w:szCs w:val="22"/>
        </w:rPr>
      </w:r>
      <w:r/>
    </w:p>
    <w:p>
      <w:pPr>
        <w:pStyle w:val="1434"/>
        <w:jc w:val="center"/>
        <w:spacing w:line="440" w:lineRule="exact"/>
        <w:rPr>
          <w:b/>
          <w:sz w:val="28"/>
          <w:szCs w:val="22"/>
        </w:rPr>
      </w:pPr>
      <w:r>
        <w:rPr>
          <w:b/>
          <w:sz w:val="28"/>
          <w:szCs w:val="22"/>
        </w:rPr>
        <w:t xml:space="preserve">开标一览表</w:t>
      </w:r>
      <w:r>
        <w:rPr>
          <w:b/>
          <w:sz w:val="28"/>
          <w:szCs w:val="22"/>
        </w:rPr>
      </w:r>
      <w:r/>
    </w:p>
    <w:p>
      <w:pPr>
        <w:pStyle w:val="143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5"/>
        <w:gridCol w:w="6778"/>
      </w:tblGrid>
      <w:tr>
        <w:trPr>
          <w:cantSplit/>
          <w:trHeight w:val="560"/>
        </w:trPr>
        <w:tc>
          <w:tcPr>
            <w:tcW w:w="2605" w:type="dxa"/>
            <w:vAlign w:val="center"/>
            <w:textDirection w:val="lrTb"/>
            <w:noWrap w:val="false"/>
          </w:tcPr>
          <w:p>
            <w:pPr>
              <w:pStyle w:val="1434"/>
              <w:jc w:val="center"/>
              <w:spacing w:line="480" w:lineRule="exact"/>
              <w:rPr>
                <w:szCs w:val="21"/>
              </w:rPr>
            </w:pPr>
            <w:r>
              <w:rPr>
                <w:szCs w:val="21"/>
              </w:rPr>
              <w:t xml:space="preserve">项目名称</w:t>
            </w:r>
            <w:r>
              <w:rPr>
                <w:szCs w:val="21"/>
              </w:rPr>
            </w:r>
            <w:r/>
          </w:p>
        </w:tc>
        <w:tc>
          <w:tcPr>
            <w:tcW w:w="6778" w:type="dxa"/>
            <w:vAlign w:val="center"/>
            <w:textDirection w:val="lrTb"/>
            <w:noWrap w:val="false"/>
          </w:tcPr>
          <w:p>
            <w:pPr>
              <w:pStyle w:val="1434"/>
              <w:ind w:firstLine="105"/>
              <w:spacing w:line="480" w:lineRule="exact"/>
              <w:rPr>
                <w:szCs w:val="21"/>
              </w:rPr>
            </w:pPr>
            <w:r>
              <w:rPr>
                <w:szCs w:val="21"/>
              </w:rPr>
            </w:r>
            <w:r/>
          </w:p>
        </w:tc>
      </w:tr>
      <w:tr>
        <w:trPr>
          <w:cantSplit/>
          <w:trHeight w:val="1280"/>
        </w:trPr>
        <w:tc>
          <w:tcPr>
            <w:tcW w:w="2605" w:type="dxa"/>
            <w:vAlign w:val="center"/>
            <w:textDirection w:val="lrTb"/>
            <w:noWrap w:val="false"/>
          </w:tcPr>
          <w:p>
            <w:pPr>
              <w:pStyle w:val="1434"/>
              <w:jc w:val="center"/>
              <w:spacing w:line="480" w:lineRule="exact"/>
              <w:rPr>
                <w:szCs w:val="21"/>
              </w:rPr>
            </w:pPr>
            <w:r>
              <w:rPr>
                <w:szCs w:val="21"/>
              </w:rPr>
              <w:t xml:space="preserve">报价（总价）</w:t>
            </w:r>
            <w:r>
              <w:rPr>
                <w:szCs w:val="21"/>
              </w:rPr>
            </w:r>
            <w:r/>
          </w:p>
        </w:tc>
        <w:tc>
          <w:tcPr>
            <w:tcW w:w="6778" w:type="dxa"/>
            <w:vAlign w:val="center"/>
            <w:textDirection w:val="lrTb"/>
            <w:noWrap w:val="false"/>
          </w:tcPr>
          <w:p>
            <w:pPr>
              <w:pStyle w:val="143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605" w:type="dxa"/>
            <w:vAlign w:val="center"/>
            <w:textDirection w:val="lrTb"/>
            <w:noWrap w:val="false"/>
          </w:tcPr>
          <w:p>
            <w:pPr>
              <w:pStyle w:val="1434"/>
              <w:jc w:val="center"/>
              <w:spacing w:line="480" w:lineRule="exact"/>
              <w:rPr>
                <w:szCs w:val="21"/>
              </w:rPr>
            </w:pPr>
            <w:r>
              <w:rPr>
                <w:szCs w:val="21"/>
              </w:rPr>
              <w:t xml:space="preserve">所投品牌</w:t>
            </w:r>
            <w:r>
              <w:rPr>
                <w:szCs w:val="21"/>
              </w:rPr>
            </w:r>
            <w:r/>
          </w:p>
          <w:p>
            <w:pPr>
              <w:pStyle w:val="1434"/>
              <w:jc w:val="center"/>
              <w:spacing w:line="480" w:lineRule="exact"/>
              <w:rPr>
                <w:rFonts w:hint="eastAsia"/>
                <w:szCs w:val="21"/>
              </w:rPr>
            </w:pPr>
            <w:r>
              <w:rPr>
                <w:rFonts w:hint="eastAsia"/>
                <w:szCs w:val="21"/>
              </w:rPr>
              <w:t xml:space="preserve">（分包内多产品的填写核心产品）</w:t>
            </w:r>
            <w:r>
              <w:rPr>
                <w:rFonts w:hint="eastAsia"/>
                <w:szCs w:val="21"/>
              </w:rPr>
            </w:r>
            <w:r/>
          </w:p>
        </w:tc>
        <w:tc>
          <w:tcPr>
            <w:tcW w:w="6778" w:type="dxa"/>
            <w:vAlign w:val="center"/>
            <w:textDirection w:val="lrTb"/>
            <w:noWrap w:val="false"/>
          </w:tcPr>
          <w:p>
            <w:pPr>
              <w:pStyle w:val="1434"/>
              <w:spacing w:line="480" w:lineRule="exact"/>
              <w:rPr>
                <w:i/>
                <w:iCs/>
                <w:szCs w:val="21"/>
              </w:rPr>
            </w:pPr>
            <w:r>
              <w:rPr>
                <w:i/>
                <w:iCs/>
                <w:szCs w:val="21"/>
              </w:rPr>
            </w:r>
            <w:r/>
          </w:p>
        </w:tc>
      </w:tr>
      <w:tr>
        <w:trPr>
          <w:cantSplit/>
          <w:trHeight w:val="724"/>
        </w:trPr>
        <w:tc>
          <w:tcPr>
            <w:tcW w:w="2605" w:type="dxa"/>
            <w:vAlign w:val="center"/>
            <w:textDirection w:val="lrTb"/>
            <w:noWrap w:val="false"/>
          </w:tcPr>
          <w:p>
            <w:pPr>
              <w:pStyle w:val="1434"/>
              <w:jc w:val="center"/>
              <w:spacing w:line="480" w:lineRule="exact"/>
              <w:rPr>
                <w:szCs w:val="21"/>
              </w:rPr>
            </w:pPr>
            <w:r>
              <w:rPr>
                <w:rFonts w:hint="eastAsia" w:ascii="宋体" w:hAnsi="宋体" w:cs="宋体"/>
                <w:szCs w:val="21"/>
              </w:rPr>
              <w:t xml:space="preserve">合同履行期限</w:t>
            </w:r>
            <w:r>
              <w:rPr>
                <w:szCs w:val="21"/>
              </w:rPr>
            </w:r>
            <w:r/>
          </w:p>
        </w:tc>
        <w:tc>
          <w:tcPr>
            <w:tcW w:w="6778" w:type="dxa"/>
            <w:vAlign w:val="center"/>
            <w:textDirection w:val="lrTb"/>
            <w:noWrap w:val="false"/>
          </w:tcPr>
          <w:p>
            <w:pPr>
              <w:pStyle w:val="1434"/>
              <w:ind w:firstLine="105"/>
              <w:spacing w:line="480" w:lineRule="exact"/>
              <w:rPr>
                <w:szCs w:val="21"/>
              </w:rPr>
            </w:pPr>
            <w:r>
              <w:rPr>
                <w:szCs w:val="21"/>
              </w:rPr>
            </w:r>
            <w:r/>
          </w:p>
        </w:tc>
      </w:tr>
      <w:tr>
        <w:trPr>
          <w:cantSplit/>
          <w:trHeight w:val="701"/>
        </w:trPr>
        <w:tc>
          <w:tcPr>
            <w:tcW w:w="2605" w:type="dxa"/>
            <w:vAlign w:val="center"/>
            <w:textDirection w:val="lrTb"/>
            <w:noWrap w:val="false"/>
          </w:tcPr>
          <w:p>
            <w:pPr>
              <w:pStyle w:val="1434"/>
              <w:jc w:val="center"/>
              <w:spacing w:line="480" w:lineRule="exact"/>
            </w:pPr>
            <w:r>
              <w:rPr>
                <w:rFonts w:hint="eastAsia"/>
              </w:rPr>
              <w:t xml:space="preserve">是否属于小微型企业</w:t>
            </w:r>
            <w:r/>
          </w:p>
        </w:tc>
        <w:tc>
          <w:tcPr>
            <w:tcW w:w="6778" w:type="dxa"/>
            <w:vAlign w:val="center"/>
            <w:textDirection w:val="lrTb"/>
            <w:noWrap w:val="false"/>
          </w:tcPr>
          <w:p>
            <w:pPr>
              <w:pStyle w:val="144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4"/>
        <w:spacing w:line="440" w:lineRule="exact"/>
        <w:rPr>
          <w:szCs w:val="21"/>
        </w:rPr>
      </w:pPr>
      <w:r>
        <w:rPr>
          <w:szCs w:val="21"/>
        </w:rPr>
      </w:r>
      <w:r/>
    </w:p>
    <w:p>
      <w:pPr>
        <w:pStyle w:val="1503"/>
        <w:ind w:firstLine="280"/>
      </w:p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注：此表中，投标总价合计应和分项报价表中的总价一致。</w:t>
      </w:r>
      <w:r>
        <w:rPr>
          <w:szCs w:val="21"/>
        </w:rPr>
      </w:r>
      <w:r/>
    </w:p>
    <w:p>
      <w:pPr>
        <w:pStyle w:val="1464"/>
        <w:rPr>
          <w:rFonts w:ascii="Times New Roman"/>
        </w:rPr>
      </w:pPr>
      <w:r>
        <w:rPr>
          <w:rFonts w:ascii="Times New Roman"/>
        </w:rPr>
      </w:r>
      <w:r/>
    </w:p>
    <w:p>
      <w:pPr>
        <w:pStyle w:val="1434"/>
        <w:jc w:val="center"/>
        <w:spacing w:line="440" w:lineRule="exact"/>
        <w:rPr>
          <w:b/>
        </w:rPr>
      </w:pPr>
      <w:r>
        <w:rPr>
          <w:b/>
        </w:rPr>
      </w:r>
      <w:r/>
    </w:p>
    <w:p>
      <w:pPr>
        <w:pStyle w:val="1434"/>
        <w:jc w:val="center"/>
        <w:spacing w:line="440" w:lineRule="exact"/>
        <w:rPr>
          <w:b/>
        </w:rPr>
      </w:pPr>
      <w:r>
        <w:rPr>
          <w:b/>
        </w:rPr>
      </w:r>
      <w:r/>
    </w:p>
    <w:p>
      <w:pPr>
        <w:pStyle w:val="1434"/>
        <w:spacing w:line="440" w:lineRule="exact"/>
        <w:rPr>
          <w:b/>
        </w:rPr>
      </w:pPr>
      <w:r>
        <w:rPr>
          <w:b/>
        </w:rPr>
      </w:r>
      <w:r/>
    </w:p>
    <w:p>
      <w:pPr>
        <w:pStyle w:val="143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59" w:name="_Toc14445"/>
      <w:r>
        <w:rPr>
          <w:b/>
          <w:bCs/>
          <w:sz w:val="24"/>
          <w:szCs w:val="22"/>
        </w:rPr>
      </w:r>
      <w:r/>
    </w:p>
    <w:p>
      <w:pPr>
        <w:pStyle w:val="1434"/>
        <w:spacing w:line="440" w:lineRule="exact"/>
        <w:rPr>
          <w:b/>
          <w:bCs/>
          <w:sz w:val="24"/>
          <w:szCs w:val="22"/>
        </w:rPr>
        <w:outlineLvl w:val="1"/>
      </w:pPr>
      <w:r/>
      <w:bookmarkEnd w:id="359"/>
      <w:r/>
      <w:bookmarkStart w:id="360" w:name="_Toc2903"/>
      <w:r/>
      <w:bookmarkStart w:id="361" w:name="_Toc30385"/>
      <w:r>
        <w:rPr>
          <w:b/>
          <w:bCs/>
          <w:sz w:val="24"/>
          <w:szCs w:val="22"/>
        </w:rPr>
        <w:t xml:space="preserve">附件三 分项报价表</w:t>
      </w:r>
      <w:bookmarkEnd w:id="360"/>
      <w:r/>
      <w:bookmarkEnd w:id="361"/>
      <w:r>
        <w:rPr>
          <w:b/>
          <w:bCs/>
          <w:sz w:val="24"/>
          <w:szCs w:val="22"/>
        </w:rPr>
      </w:r>
      <w:r/>
    </w:p>
    <w:p>
      <w:pPr>
        <w:pStyle w:val="1434"/>
        <w:jc w:val="center"/>
        <w:spacing w:line="440" w:lineRule="exact"/>
        <w:rPr>
          <w:rFonts w:hint="eastAsia"/>
          <w:b/>
          <w:sz w:val="28"/>
          <w:szCs w:val="22"/>
        </w:rPr>
        <w:outlineLvl w:val="9"/>
      </w:pPr>
      <w:r/>
      <w:bookmarkStart w:id="362" w:name="_Toc31228"/>
      <w:r/>
      <w:bookmarkStart w:id="363" w:name="_Toc8446"/>
      <w:r>
        <w:rPr>
          <w:b/>
          <w:sz w:val="28"/>
          <w:szCs w:val="22"/>
        </w:rPr>
        <w:t xml:space="preserve">分项报价表</w:t>
      </w:r>
      <w:bookmarkEnd w:id="362"/>
      <w:r/>
      <w:bookmarkEnd w:id="363"/>
      <w:r>
        <w:rPr>
          <w:rFonts w:hint="eastAsia"/>
          <w:b/>
          <w:sz w:val="28"/>
          <w:szCs w:val="22"/>
        </w:rPr>
      </w:r>
      <w:r/>
    </w:p>
    <w:p>
      <w:pPr>
        <w:pStyle w:val="1449"/>
        <w:ind w:firstLine="0"/>
        <w:rPr>
          <w:sz w:val="21"/>
          <w:szCs w:val="21"/>
        </w:rPr>
      </w:pPr>
      <w:r>
        <w:rPr>
          <w:sz w:val="21"/>
          <w:szCs w:val="21"/>
        </w:rPr>
      </w:r>
      <w:r/>
    </w:p>
    <w:p>
      <w:pPr>
        <w:pStyle w:val="1434"/>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1"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16"/>
        <w:gridCol w:w="1474"/>
        <w:gridCol w:w="1191"/>
        <w:gridCol w:w="762"/>
        <w:gridCol w:w="1295"/>
        <w:gridCol w:w="1582"/>
        <w:gridCol w:w="1590"/>
      </w:tblGrid>
      <w:tr>
        <w:trPr/>
        <w:tc>
          <w:tcPr>
            <w:tcW w:w="426"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17" w:type="dxa"/>
            <w:vAlign w:val="center"/>
            <w:textDirection w:val="lrTb"/>
            <w:noWrap w:val="false"/>
          </w:tcPr>
          <w:p>
            <w:pPr>
              <w:pStyle w:val="1434"/>
              <w:jc w:val="center"/>
              <w:rPr>
                <w:rFonts w:hint="eastAsia"/>
              </w:rPr>
            </w:pPr>
            <w:r>
              <w:rPr>
                <w:rFonts w:hint="eastAsia"/>
              </w:rPr>
              <w:t xml:space="preserve">名 称</w:t>
            </w:r>
            <w:r>
              <w:rPr>
                <w:rFonts w:hint="eastAsia"/>
              </w:rPr>
            </w:r>
            <w:r/>
          </w:p>
        </w:tc>
        <w:tc>
          <w:tcPr>
            <w:tcW w:w="1475" w:type="dxa"/>
            <w:vAlign w:val="center"/>
            <w:textDirection w:val="lrTb"/>
            <w:noWrap w:val="false"/>
          </w:tcPr>
          <w:p>
            <w:pPr>
              <w:pStyle w:val="1434"/>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434"/>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434"/>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434"/>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434"/>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434"/>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rPr>
              <w:t xml:space="preserve">电动汽车充电桩综合检测系统</w:t>
            </w:r>
            <w:r>
              <w:rPr>
                <w:rFonts w:hint="eastAsia" w:ascii="宋体" w:hAnsi="宋体" w:cs="宋体"/>
                <w:szCs w:val="21"/>
              </w:rPr>
            </w:r>
            <w:r/>
          </w:p>
        </w:tc>
        <w:tc>
          <w:tcPr>
            <w:tcW w:w="1475" w:type="dxa"/>
            <w:vAlign w:val="center"/>
            <w:textDirection w:val="lrTb"/>
            <w:noWrap w:val="false"/>
          </w:tcPr>
          <w:p>
            <w:pPr>
              <w:pStyle w:val="1434"/>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rPr>
              <w:t xml:space="preserve">冷热冲击箱试验箱</w:t>
            </w:r>
            <w:r>
              <w:rPr>
                <w:rFonts w:hint="eastAsia" w:ascii="宋体" w:hAnsi="宋体" w:cs="宋体"/>
                <w:szCs w:val="21"/>
              </w:rPr>
            </w:r>
            <w:r/>
          </w:p>
        </w:tc>
        <w:tc>
          <w:tcPr>
            <w:tcW w:w="1475" w:type="dxa"/>
            <w:vAlign w:val="center"/>
            <w:textDirection w:val="lrTb"/>
            <w:noWrap w:val="false"/>
          </w:tcPr>
          <w:p>
            <w:pPr>
              <w:pStyle w:val="1434"/>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17" w:type="dxa"/>
            <w:vAlign w:val="top"/>
            <w:textDirection w:val="lrTb"/>
            <w:noWrap w:val="false"/>
          </w:tcPr>
          <w:p>
            <w:pPr>
              <w:pStyle w:val="1434"/>
              <w:ind w:left="-827" w:firstLine="827"/>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17"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47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gridSpan w:val="3"/>
            <w:tcW w:w="341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szCs w:val="21"/>
              </w:rPr>
            </w:r>
            <w:r/>
          </w:p>
        </w:tc>
      </w:tr>
      <w:tr>
        <w:trPr/>
        <w:tc>
          <w:tcPr>
            <w:gridSpan w:val="8"/>
            <w:tcW w:w="9838" w:type="dxa"/>
            <w:vAlign w:val="top"/>
            <w:textDirection w:val="lrTb"/>
            <w:noWrap w:val="false"/>
          </w:tcPr>
          <w:p>
            <w:pPr>
              <w:pStyle w:val="1434"/>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434"/>
        <w:spacing w:line="440" w:lineRule="exact"/>
        <w:rPr>
          <w:rFonts w:hint="eastAsia" w:ascii="宋体" w:cs="宋体"/>
          <w:szCs w:val="21"/>
        </w:rPr>
      </w:pPr>
      <w:r>
        <w:rPr>
          <w:rFonts w:hint="eastAsia" w:ascii="宋体" w:cs="宋体"/>
          <w:szCs w:val="21"/>
        </w:rPr>
      </w:r>
      <w:r/>
    </w:p>
    <w:p>
      <w:pPr>
        <w:pStyle w:val="1434"/>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434"/>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43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434"/>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rPr>
          <w:rFonts w:hint="eastAsia" w:ascii="宋体" w:hAnsi="宋体" w:cs="宋体"/>
        </w:rPr>
      </w:r>
      <w:r/>
    </w:p>
    <w:p>
      <w:pPr>
        <w:pStyle w:val="1434"/>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434"/>
        <w:ind w:firstLine="420"/>
        <w:spacing w:line="440" w:lineRule="exact"/>
        <w:rPr>
          <w:rFonts w:hint="eastAsia" w:ascii="宋体" w:hAnsi="宋体" w:cs="宋体"/>
        </w:rPr>
      </w:pPr>
      <w:r>
        <w:rPr>
          <w:rFonts w:hint="eastAsia" w:ascii="宋体" w:hAnsi="宋体" w:cs="宋体"/>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434"/>
        <w:ind w:firstLine="420"/>
        <w:spacing w:line="440" w:lineRule="exact"/>
        <w:rPr>
          <w:rFonts w:hint="eastAsia" w:ascii="宋体" w:hAnsi="宋体" w:cs="宋体"/>
        </w:rPr>
      </w:pPr>
      <w:r>
        <w:rPr>
          <w:rFonts w:hint="eastAsia" w:ascii="宋体" w:hAnsi="宋体" w:cs="宋体"/>
        </w:rPr>
        <w:t xml:space="preserve">4、表中表格行数可自行添加。</w:t>
      </w:r>
      <w:r>
        <w:rPr>
          <w:rFonts w:hint="eastAsia" w:ascii="宋体" w:hAnsi="宋体" w:cs="宋体"/>
        </w:rPr>
      </w:r>
      <w:r/>
    </w:p>
    <w:p>
      <w:pPr>
        <w:pStyle w:val="1434"/>
        <w:spacing w:line="440" w:lineRule="exact"/>
        <w:rPr>
          <w:szCs w:val="21"/>
        </w:rPr>
      </w:pPr>
      <w:r>
        <w:rPr>
          <w:szCs w:val="21"/>
        </w:rPr>
      </w:r>
      <w:r/>
    </w:p>
    <w:p>
      <w:pPr>
        <w:pStyle w:val="143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4"/>
        <w:spacing w:line="440" w:lineRule="exact"/>
        <w:rPr>
          <w:sz w:val="24"/>
        </w:rPr>
      </w:pPr>
      <w:r>
        <w:rPr>
          <w:sz w:val="24"/>
        </w:rPr>
      </w:r>
      <w:r/>
    </w:p>
    <w:p>
      <w:pPr>
        <w:pStyle w:val="1434"/>
        <w:spacing w:after="156" w:line="440" w:lineRule="exact"/>
        <w:rPr>
          <w:b/>
          <w:bCs/>
          <w:sz w:val="24"/>
          <w:szCs w:val="22"/>
        </w:rPr>
        <w:outlineLvl w:val="1"/>
      </w:pPr>
      <w:r/>
      <w:bookmarkStart w:id="364" w:name="_Toc31558"/>
      <w:r/>
      <w:bookmarkStart w:id="365" w:name="_Toc3694"/>
      <w:r/>
      <w:bookmarkStart w:id="366" w:name="_Toc6072"/>
      <w:r>
        <w:rPr>
          <w:b/>
          <w:bCs/>
          <w:sz w:val="24"/>
          <w:szCs w:val="22"/>
        </w:rPr>
        <w:t xml:space="preserve">附件四 商务条款偏离表</w:t>
      </w:r>
      <w:bookmarkEnd w:id="364"/>
      <w:r/>
      <w:bookmarkEnd w:id="365"/>
      <w:r/>
      <w:bookmarkEnd w:id="36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71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5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3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bl>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3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34"/>
        <w:ind w:firstLine="420"/>
        <w:spacing w:line="440" w:lineRule="exact"/>
        <w:rPr>
          <w:color w:val="000000"/>
          <w:szCs w:val="21"/>
        </w:rPr>
      </w:pPr>
      <w:r>
        <w:rPr>
          <w:color w:val="000000"/>
          <w:szCs w:val="21"/>
        </w:rPr>
        <w:t xml:space="preserve">3、如果行数不够，请自行增加。</w:t>
      </w:r>
      <w:r>
        <w:rPr>
          <w:color w:val="000000"/>
          <w:szCs w:val="21"/>
        </w:rPr>
      </w:r>
      <w:r/>
    </w:p>
    <w:p>
      <w:pPr>
        <w:pStyle w:val="1434"/>
        <w:ind w:firstLine="5494"/>
        <w:spacing w:line="440" w:lineRule="exact"/>
        <w:rPr>
          <w:sz w:val="24"/>
        </w:rPr>
      </w:pPr>
      <w:r>
        <w:rPr>
          <w:sz w:val="24"/>
        </w:rPr>
      </w:r>
      <w:r/>
    </w:p>
    <w:p>
      <w:pPr>
        <w:pStyle w:val="14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after="156" w:line="440" w:lineRule="exact"/>
        <w:rPr>
          <w:b/>
          <w:bCs/>
          <w:sz w:val="24"/>
          <w:szCs w:val="22"/>
        </w:rPr>
        <w:outlineLvl w:val="1"/>
      </w:pPr>
      <w:r/>
      <w:bookmarkStart w:id="367" w:name="_Toc28316"/>
      <w:r/>
      <w:bookmarkStart w:id="368" w:name="_Toc17448"/>
      <w:r>
        <w:rPr>
          <w:b/>
          <w:bCs/>
          <w:sz w:val="24"/>
          <w:szCs w:val="22"/>
        </w:rPr>
        <w:t xml:space="preserve">附件五 技术条款偏离表</w:t>
      </w:r>
      <w:bookmarkEnd w:id="367"/>
      <w:r/>
      <w:bookmarkEnd w:id="368"/>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4"/>
              <w:jc w:val="center"/>
              <w:spacing w:line="440" w:lineRule="exact"/>
              <w:rPr>
                <w:szCs w:val="21"/>
              </w:rPr>
            </w:pPr>
            <w:r>
              <w:rPr>
                <w:szCs w:val="21"/>
              </w:rPr>
            </w:r>
            <w:r/>
          </w:p>
          <w:p>
            <w:pPr>
              <w:pStyle w:val="143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34"/>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34"/>
              <w:jc w:val="left"/>
              <w:spacing w:line="440" w:lineRule="exact"/>
              <w:widowControl/>
              <w:rPr>
                <w:szCs w:val="21"/>
              </w:rPr>
            </w:pPr>
            <w:r>
              <w:rPr>
                <w:szCs w:val="21"/>
              </w:rPr>
            </w:r>
            <w:r/>
          </w:p>
        </w:tc>
        <w:tc>
          <w:tcPr>
            <w:tcW w:w="1134" w:type="dxa"/>
            <w:vAlign w:val="center"/>
            <w:textDirection w:val="lrTb"/>
            <w:noWrap w:val="false"/>
          </w:tcPr>
          <w:p>
            <w:pPr>
              <w:pStyle w:val="143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4"/>
              <w:jc w:val="center"/>
              <w:spacing w:line="440" w:lineRule="exact"/>
              <w:rPr>
                <w:szCs w:val="21"/>
              </w:rPr>
            </w:pPr>
            <w:r>
              <w:rPr>
                <w:szCs w:val="21"/>
              </w:rPr>
            </w:r>
            <w:r/>
          </w:p>
        </w:tc>
        <w:tc>
          <w:tcPr>
            <w:tcW w:w="2143" w:type="dxa"/>
            <w:vAlign w:val="top"/>
            <w:vMerge w:val="continue"/>
            <w:textDirection w:val="lrTb"/>
            <w:noWrap w:val="false"/>
          </w:tcPr>
          <w:p>
            <w:pPr>
              <w:pStyle w:val="1434"/>
              <w:jc w:val="center"/>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bl>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43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4"/>
        <w:ind w:firstLine="420"/>
        <w:spacing w:line="440" w:lineRule="exact"/>
        <w:rPr>
          <w:szCs w:val="21"/>
        </w:rPr>
      </w:pPr>
      <w:r>
        <w:rPr>
          <w:szCs w:val="21"/>
        </w:rPr>
        <w:t xml:space="preserve">4、如果行数不够，请自行增加。</w:t>
      </w:r>
      <w:r>
        <w:rPr>
          <w:szCs w:val="21"/>
        </w:rPr>
      </w:r>
      <w:r/>
    </w:p>
    <w:p>
      <w:pPr>
        <w:pStyle w:val="1434"/>
        <w:ind w:firstLine="482"/>
        <w:spacing w:line="360" w:lineRule="auto"/>
        <w:tabs>
          <w:tab w:val="left" w:pos="960" w:leader="none"/>
        </w:tabs>
        <w:rPr>
          <w:color w:val="ff0000"/>
          <w:szCs w:val="21"/>
        </w:rPr>
      </w:pPr>
      <w:r>
        <w:rPr>
          <w:color w:val="ff0000"/>
          <w:szCs w:val="21"/>
        </w:rPr>
      </w:r>
      <w:r/>
    </w:p>
    <w:p>
      <w:pPr>
        <w:pStyle w:val="1434"/>
        <w:spacing w:after="156" w:line="440" w:lineRule="exact"/>
        <w:rPr>
          <w:b/>
          <w:bCs/>
          <w:sz w:val="24"/>
          <w:szCs w:val="22"/>
        </w:rPr>
        <w:outlineLvl w:val="1"/>
      </w:pPr>
      <w:r/>
      <w:bookmarkStart w:id="369" w:name="_Toc20842"/>
      <w:r>
        <w:rPr>
          <w:b/>
          <w:bCs/>
          <w:sz w:val="24"/>
          <w:szCs w:val="22"/>
        </w:rPr>
        <w:br w:type="page" w:clear="all"/>
      </w:r>
      <w:bookmarkStart w:id="370" w:name="_Toc18731"/>
      <w:r/>
      <w:bookmarkStart w:id="371" w:name="_Toc9428"/>
      <w:r>
        <w:rPr>
          <w:b/>
          <w:bCs/>
          <w:sz w:val="24"/>
          <w:szCs w:val="22"/>
        </w:rPr>
        <w:t xml:space="preserve">附件六 政府采购政策</w:t>
      </w:r>
      <w:bookmarkEnd w:id="369"/>
      <w:r/>
      <w:bookmarkEnd w:id="370"/>
      <w:r/>
      <w:bookmarkEnd w:id="371"/>
      <w:r>
        <w:rPr>
          <w:b/>
          <w:bCs/>
          <w:sz w:val="24"/>
          <w:szCs w:val="22"/>
        </w:rPr>
      </w:r>
      <w:r/>
    </w:p>
    <w:p>
      <w:pPr>
        <w:pStyle w:val="1434"/>
        <w:numPr>
          <w:ilvl w:val="0"/>
          <w:numId w:val="3"/>
        </w:numPr>
        <w:jc w:val="center"/>
        <w:widowControl/>
        <w:rPr>
          <w:rFonts w:ascii="Arial" w:hAnsi="Arial" w:cs="Arial"/>
          <w:b/>
          <w:bCs/>
          <w:szCs w:val="21"/>
        </w:rPr>
        <w:outlineLvl w:val="2"/>
      </w:pPr>
      <w:r/>
      <w:bookmarkStart w:id="372" w:name="_Toc14499"/>
      <w:r/>
      <w:bookmarkStart w:id="373" w:name="_Toc21802"/>
      <w:r/>
      <w:bookmarkStart w:id="374" w:name="_Toc12270"/>
      <w:r/>
      <w:bookmarkStart w:id="375" w:name="_Toc24699"/>
      <w:r/>
      <w:bookmarkStart w:id="376" w:name="_Toc15638"/>
      <w:r/>
      <w:bookmarkStart w:id="377" w:name="_Toc16035"/>
      <w:r/>
      <w:bookmarkStart w:id="378" w:name="_Toc15908"/>
      <w:r/>
      <w:bookmarkStart w:id="379" w:name="_Toc17125"/>
      <w:r/>
      <w:bookmarkStart w:id="380" w:name="_Toc32276"/>
      <w:r>
        <w:rPr>
          <w:rFonts w:ascii="Arial" w:hAnsi="Arial" w:cs="Arial"/>
          <w:b/>
          <w:bCs/>
          <w:szCs w:val="21"/>
        </w:rPr>
        <w:t xml:space="preserve">《中小企业声明函》</w:t>
      </w:r>
      <w:bookmarkEnd w:id="372"/>
      <w:r/>
      <w:bookmarkEnd w:id="373"/>
      <w:r/>
      <w:bookmarkEnd w:id="374"/>
      <w:r/>
      <w:bookmarkEnd w:id="375"/>
      <w:r/>
      <w:bookmarkEnd w:id="376"/>
      <w:r/>
      <w:bookmarkEnd w:id="377"/>
      <w:r/>
      <w:bookmarkEnd w:id="378"/>
      <w:r/>
      <w:bookmarkEnd w:id="379"/>
      <w:r/>
      <w:bookmarkEnd w:id="380"/>
      <w:r>
        <w:rPr>
          <w:rFonts w:ascii="Arial" w:hAnsi="Arial" w:cs="Arial"/>
          <w:b/>
          <w:bCs/>
          <w:szCs w:val="21"/>
        </w:rPr>
      </w:r>
      <w:r/>
    </w:p>
    <w:p>
      <w:pPr>
        <w:pStyle w:val="143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4"/>
        <w:ind w:left="425"/>
        <w:jc w:val="center"/>
        <w:spacing w:line="360" w:lineRule="auto"/>
        <w:widowControl/>
        <w:rPr>
          <w:b/>
          <w:bCs/>
          <w:sz w:val="24"/>
          <w:szCs w:val="24"/>
        </w:rPr>
      </w:pPr>
      <w:r>
        <w:rPr>
          <w:b/>
          <w:bCs/>
          <w:sz w:val="24"/>
          <w:szCs w:val="24"/>
        </w:rPr>
      </w:r>
      <w:r/>
    </w:p>
    <w:p>
      <w:pPr>
        <w:pStyle w:val="143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4"/>
        <w:ind w:left="36" w:right="236" w:firstLine="640"/>
        <w:spacing w:before="199" w:line="360" w:lineRule="auto"/>
        <w:rPr>
          <w:spacing w:val="-4"/>
          <w:szCs w:val="21"/>
        </w:rPr>
      </w:pPr>
      <w:r/>
      <w:bookmarkStart w:id="381" w:name="_Toc22161"/>
      <w:r/>
      <w:bookmarkStart w:id="382" w:name="_Toc5150"/>
      <w:r/>
      <w:bookmarkStart w:id="383" w:name="_Toc15594"/>
      <w:r/>
      <w:bookmarkStart w:id="384"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4"/>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电动汽车充电桩综合检测系统</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冷热冲击箱试验箱</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firstLine="688"/>
        <w:spacing w:before="132" w:line="360" w:lineRule="auto"/>
        <w:rPr>
          <w:szCs w:val="21"/>
        </w:rPr>
      </w:pPr>
      <w:r>
        <w:rPr>
          <w:spacing w:val="-18"/>
          <w:position w:val="-7"/>
          <w:szCs w:val="21"/>
        </w:rPr>
        <w:t xml:space="preserve">……</w:t>
      </w:r>
      <w:r>
        <w:rPr>
          <w:szCs w:val="21"/>
        </w:rPr>
      </w:r>
      <w:r/>
    </w:p>
    <w:p>
      <w:pPr>
        <w:pStyle w:val="143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4"/>
        <w:ind w:firstLine="594"/>
        <w:spacing w:line="360" w:lineRule="auto"/>
        <w:rPr>
          <w:spacing w:val="-6"/>
          <w:szCs w:val="21"/>
        </w:rPr>
      </w:pPr>
      <w:r>
        <w:rPr>
          <w:spacing w:val="-6"/>
          <w:szCs w:val="21"/>
        </w:rPr>
      </w:r>
      <w:r/>
    </w:p>
    <w:p>
      <w:pPr>
        <w:pStyle w:val="143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4"/>
        <w:spacing w:line="360" w:lineRule="auto"/>
        <w:rPr>
          <w:b/>
          <w:bCs/>
          <w:szCs w:val="21"/>
        </w:rPr>
      </w:pPr>
      <w:r>
        <w:rPr>
          <w:b/>
          <w:bCs/>
          <w:szCs w:val="21"/>
        </w:rPr>
        <w:t xml:space="preserve">备注：</w:t>
      </w:r>
      <w:r>
        <w:rPr>
          <w:b/>
          <w:bCs/>
          <w:szCs w:val="21"/>
        </w:rPr>
      </w:r>
      <w:r/>
    </w:p>
    <w:p>
      <w:pPr>
        <w:pStyle w:val="143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4"/>
        <w:sectPr>
          <w:footnotePr/>
          <w:endnotePr/>
          <w:type w:val="nextPage"/>
          <w:pgSz w:w="11906" w:h="16838" w:orient="portrait"/>
          <w:pgMar w:top="1440" w:right="1080" w:bottom="1440" w:left="1080" w:header="851" w:footer="992" w:gutter="0"/>
          <w:cols w:num="1" w:sep="0" w:space="1701" w:equalWidth="1"/>
          <w:docGrid w:linePitch="360"/>
        </w:sectPr>
      </w:pPr>
      <w:r/>
      <w:r/>
    </w:p>
    <w:p>
      <w:pPr>
        <w:pStyle w:val="1434"/>
        <w:jc w:val="center"/>
        <w:spacing w:line="360" w:lineRule="auto"/>
        <w:rPr>
          <w:b/>
          <w:bCs/>
          <w:szCs w:val="21"/>
        </w:rPr>
        <w:outlineLvl w:val="2"/>
      </w:pPr>
      <w:r/>
      <w:bookmarkStart w:id="385" w:name="_Toc10764"/>
      <w:r>
        <w:rPr>
          <w:b/>
          <w:bCs/>
          <w:szCs w:val="21"/>
        </w:rPr>
        <w:t xml:space="preserve">（二）残疾人福利性单位声明函</w:t>
      </w:r>
      <w:bookmarkEnd w:id="381"/>
      <w:r/>
      <w:bookmarkEnd w:id="382"/>
      <w:r/>
      <w:bookmarkEnd w:id="383"/>
      <w:r/>
      <w:bookmarkEnd w:id="384"/>
      <w:r/>
      <w:bookmarkEnd w:id="385"/>
      <w:r>
        <w:rPr>
          <w:b/>
          <w:bCs/>
          <w:szCs w:val="21"/>
        </w:rPr>
      </w:r>
      <w:r/>
    </w:p>
    <w:p>
      <w:pPr>
        <w:pStyle w:val="1434"/>
        <w:ind w:firstLine="444"/>
        <w:jc w:val="left"/>
        <w:spacing w:line="360" w:lineRule="auto"/>
        <w:tabs>
          <w:tab w:val="left" w:pos="4860" w:leader="none"/>
        </w:tabs>
        <w:rPr>
          <w:spacing w:val="6"/>
          <w:szCs w:val="21"/>
        </w:rPr>
      </w:pP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4"/>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34"/>
        <w:jc w:val="center"/>
        <w:spacing w:line="360" w:lineRule="auto"/>
        <w:rPr>
          <w:rFonts w:hint="eastAsia"/>
          <w:b/>
          <w:bCs/>
          <w:color w:val="000000"/>
          <w:szCs w:val="21"/>
        </w:rPr>
        <w:outlineLvl w:val="2"/>
      </w:pPr>
      <w:r/>
      <w:bookmarkStart w:id="386" w:name="_Toc24515"/>
      <w:r/>
      <w:bookmarkStart w:id="387" w:name="_Toc15200"/>
      <w:r/>
      <w:bookmarkStart w:id="388" w:name="_Toc16464"/>
      <w:r>
        <w:rPr>
          <w:rFonts w:hint="eastAsia"/>
          <w:b/>
          <w:bCs/>
          <w:color w:val="000000"/>
          <w:szCs w:val="21"/>
        </w:rPr>
        <w:t xml:space="preserve">（三）采购本国产品的支持政策</w:t>
      </w:r>
      <w:bookmarkEnd w:id="386"/>
      <w:r/>
      <w:bookmarkEnd w:id="387"/>
      <w:r/>
      <w:bookmarkEnd w:id="388"/>
      <w:r>
        <w:rPr>
          <w:rFonts w:hint="eastAsia"/>
          <w:b/>
          <w:bCs/>
          <w:color w:val="000000"/>
          <w:szCs w:val="21"/>
        </w:rPr>
      </w:r>
      <w:r/>
    </w:p>
    <w:p>
      <w:pPr>
        <w:pStyle w:val="143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4"/>
        <w:jc w:val="center"/>
        <w:keepLines/>
        <w:keepNext/>
        <w:spacing w:line="360" w:lineRule="auto"/>
        <w:rPr>
          <w:rFonts w:hint="eastAsia" w:ascii="宋体" w:hAnsi="宋体" w:cs="宋体"/>
          <w:b/>
          <w:sz w:val="24"/>
        </w:rPr>
        <w:outlineLvl w:val="2"/>
      </w:pPr>
      <w:r/>
      <w:bookmarkStart w:id="389" w:name="_Toc21133"/>
      <w:r/>
      <w:bookmarkStart w:id="390" w:name="_Toc3682"/>
      <w:r/>
      <w:bookmarkStart w:id="391" w:name="_Toc24678"/>
      <w:r>
        <w:rPr>
          <w:rFonts w:hint="eastAsia" w:ascii="宋体" w:hAnsi="宋体" w:cs="宋体"/>
          <w:b/>
          <w:sz w:val="24"/>
        </w:rPr>
        <w:t xml:space="preserve">关于符合本国产品标准的声明函</w:t>
      </w:r>
      <w:bookmarkEnd w:id="389"/>
      <w:r/>
      <w:bookmarkEnd w:id="390"/>
      <w:r/>
      <w:bookmarkEnd w:id="391"/>
      <w:r>
        <w:rPr>
          <w:rFonts w:hint="eastAsia" w:ascii="宋体" w:hAnsi="宋体" w:cs="宋体"/>
          <w:b/>
          <w:sz w:val="24"/>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508"/>
          <w:rFonts w:hint="eastAsia" w:ascii="宋体" w:hAnsi="宋体" w:cs="宋体"/>
          <w:i w:val="0"/>
          <w:szCs w:val="21"/>
          <w:u w:val="single"/>
          <w:shd w:val="clear" w:color="auto" w:fill="ffffff"/>
        </w:rPr>
        <w:t xml:space="preserve">（电动汽车充电桩综合检测系统）</w:t>
      </w:r>
      <w:r>
        <w:rPr>
          <w:rStyle w:val="150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Style w:val="150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 </w:t>
      </w:r>
      <w:r>
        <w:rPr>
          <w:rStyle w:val="1508"/>
          <w:rFonts w:hint="eastAsia" w:ascii="宋体" w:hAnsi="宋体" w:cs="宋体"/>
          <w:i w:val="0"/>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trike/>
          <w:szCs w:val="21"/>
          <w:u w:val="single"/>
          <w:shd w:val="clear" w:color="auto" w:fill="ffffff"/>
        </w:rPr>
        <w:t xml:space="preserve">（规定比例）</w:t>
      </w:r>
      <w:r>
        <w:rPr>
          <w:rStyle w:val="1508"/>
          <w:rFonts w:hint="eastAsia" w:ascii="宋体" w:hAnsi="宋体" w:cs="宋体"/>
          <w:i w:val="0"/>
          <w:strike/>
          <w:szCs w:val="21"/>
          <w:shd w:val="clear" w:color="auto" w:fill="ffffff"/>
          <w:vertAlign w:val="superscript"/>
        </w:rPr>
        <w:t xml:space="preserve">3</w:t>
      </w:r>
      <w:r>
        <w:rPr>
          <w:rFonts w:hint="eastAsia" w:ascii="宋体" w:hAnsi="宋体" w:cs="宋体"/>
          <w:szCs w:val="21"/>
          <w:shd w:val="clear" w:color="auto" w:fill="ffffff"/>
        </w:rPr>
        <w:t xml:space="preserve">。</w:t>
      </w:r>
      <w:r>
        <w:rPr>
          <w:rStyle w:val="150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（关键组件）</w:t>
      </w:r>
      <w:r>
        <w:rPr>
          <w:rStyle w:val="1508"/>
          <w:rFonts w:hint="eastAsia" w:ascii="宋体" w:hAnsi="宋体" w:cs="宋体"/>
          <w:i w:val="0"/>
          <w:strike/>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0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（关键工序）</w:t>
      </w:r>
      <w:r>
        <w:rPr>
          <w:rStyle w:val="150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508"/>
          <w:rFonts w:hint="eastAsia" w:ascii="宋体" w:hAnsi="宋体" w:cs="宋体"/>
          <w:i w:val="0"/>
          <w:szCs w:val="21"/>
          <w:u w:val="single"/>
          <w:shd w:val="clear" w:color="auto" w:fill="ffffff"/>
        </w:rPr>
        <w:t xml:space="preserve">（冷热冲击箱试验箱）</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0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50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0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删除线</w:t>
      </w:r>
      <w:r>
        <w:rPr>
          <w:szCs w:val="21"/>
          <w:shd w:val="clear" w:color="auto" w:fill="ffffff"/>
        </w:rPr>
        <w:t xml:space="preserve">划除的地方无需填写。</w:t>
      </w:r>
      <w:r>
        <w:rPr>
          <w:szCs w:val="21"/>
          <w:shd w:val="clear" w:color="auto" w:fill="ffffff"/>
        </w:rPr>
      </w:r>
      <w:r/>
    </w:p>
    <w:p>
      <w:pPr>
        <w:pStyle w:val="143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34"/>
        <w:spacing w:after="156" w:line="440" w:lineRule="exact"/>
        <w:rPr>
          <w:b/>
          <w:bCs/>
          <w:color w:val="000000"/>
          <w:sz w:val="24"/>
          <w:szCs w:val="22"/>
        </w:rPr>
        <w:outlineLvl w:val="1"/>
      </w:pPr>
      <w:r/>
      <w:bookmarkStart w:id="392" w:name="_Toc3321"/>
      <w:r/>
      <w:bookmarkStart w:id="393"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392"/>
      <w:r>
        <w:rPr>
          <w:b/>
          <w:bCs/>
          <w:color w:val="000000"/>
          <w:sz w:val="24"/>
          <w:szCs w:val="22"/>
        </w:rPr>
      </w:r>
      <w:r/>
    </w:p>
    <w:p>
      <w:pPr>
        <w:pStyle w:val="1434"/>
        <w:ind w:firstLine="422"/>
        <w:jc w:val="center"/>
        <w:spacing w:line="360" w:lineRule="auto"/>
        <w:rPr>
          <w:b/>
          <w:bCs/>
          <w:szCs w:val="21"/>
        </w:rPr>
      </w:pPr>
      <w:r>
        <w:rPr>
          <w:b/>
          <w:bCs/>
          <w:szCs w:val="21"/>
        </w:rPr>
        <w:t xml:space="preserve">中小企业划型标准规定</w:t>
      </w:r>
      <w:r>
        <w:rPr>
          <w:b/>
          <w:bCs/>
          <w:szCs w:val="21"/>
        </w:rPr>
      </w:r>
      <w:r/>
    </w:p>
    <w:p>
      <w:pPr>
        <w:pStyle w:val="143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4"/>
        <w:ind w:firstLine="420"/>
        <w:jc w:val="left"/>
        <w:spacing w:line="360" w:lineRule="auto"/>
        <w:rPr>
          <w:szCs w:val="21"/>
        </w:rPr>
      </w:pPr>
      <w:r>
        <w:rPr>
          <w:szCs w:val="21"/>
        </w:rPr>
        <w:t xml:space="preserve">四、各行业划型标准为：</w:t>
      </w:r>
      <w:r>
        <w:rPr>
          <w:szCs w:val="21"/>
        </w:rPr>
      </w:r>
      <w:r/>
    </w:p>
    <w:p>
      <w:pPr>
        <w:pStyle w:val="143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3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4"/>
        <w:ind w:firstLine="420"/>
        <w:jc w:val="left"/>
        <w:spacing w:line="360" w:lineRule="auto"/>
        <w:rPr>
          <w:szCs w:val="21"/>
        </w:rPr>
      </w:pPr>
      <w:r>
        <w:rPr>
          <w:szCs w:val="21"/>
        </w:rPr>
        <w:t xml:space="preserve">五、企业类型的划分以统计部门的统计数据为依据。</w:t>
      </w:r>
      <w:r>
        <w:rPr>
          <w:szCs w:val="21"/>
        </w:rPr>
      </w:r>
      <w:r/>
    </w:p>
    <w:p>
      <w:pPr>
        <w:pStyle w:val="143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4"/>
        <w:spacing w:after="156" w:line="440" w:lineRule="exact"/>
        <w:rPr>
          <w:b/>
        </w:rPr>
        <w:outlineLvl w:val="1"/>
      </w:pPr>
      <w:r>
        <w:rPr>
          <w:b/>
          <w:bCs/>
          <w:sz w:val="24"/>
          <w:szCs w:val="22"/>
          <w:lang w:val="zh-CN"/>
        </w:rPr>
        <w:br w:type="page" w:clear="all"/>
      </w:r>
      <w:bookmarkEnd w:id="393"/>
      <w:r/>
      <w:bookmarkStart w:id="394" w:name="_Toc3450"/>
      <w:r/>
      <w:bookmarkStart w:id="395" w:name="_Toc31116"/>
      <w:r/>
      <w:bookmarkStart w:id="396" w:name="_Toc100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394"/>
      <w:r/>
      <w:bookmarkEnd w:id="395"/>
      <w:r/>
      <w:bookmarkEnd w:id="396"/>
      <w:r>
        <w:rPr>
          <w:b/>
        </w:rPr>
      </w:r>
      <w:r/>
    </w:p>
    <w:p>
      <w:pPr>
        <w:pStyle w:val="1434"/>
        <w:jc w:val="left"/>
        <w:spacing w:line="360" w:lineRule="auto"/>
        <w:rPr>
          <w:b/>
          <w:bCs/>
          <w:szCs w:val="21"/>
          <w:lang w:val="zh-CN"/>
        </w:rPr>
        <w:outlineLvl w:val="2"/>
      </w:pPr>
      <w:r/>
      <w:bookmarkStart w:id="397" w:name="_Toc19774"/>
      <w:r/>
      <w:bookmarkStart w:id="398" w:name="_Toc27229"/>
      <w:r/>
      <w:bookmarkStart w:id="399" w:name="_Toc28163"/>
      <w:r>
        <w:rPr>
          <w:b/>
          <w:bCs/>
          <w:szCs w:val="21"/>
          <w:lang w:val="zh-CN"/>
        </w:rPr>
        <w:t xml:space="preserve">1、法人或其他组织的营业执照等证明文件（复印件加盖公章）</w:t>
      </w:r>
      <w:bookmarkEnd w:id="397"/>
      <w:r/>
      <w:bookmarkEnd w:id="398"/>
      <w:r/>
      <w:bookmarkEnd w:id="399"/>
      <w:r>
        <w:rPr>
          <w:b/>
          <w:bCs/>
          <w:szCs w:val="21"/>
          <w:lang w:val="zh-CN"/>
        </w:rPr>
      </w:r>
      <w:r/>
    </w:p>
    <w:p>
      <w:pPr>
        <w:pStyle w:val="143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4"/>
        <w:jc w:val="left"/>
        <w:spacing w:line="360" w:lineRule="auto"/>
        <w:rPr>
          <w:b/>
          <w:bCs/>
          <w:szCs w:val="21"/>
          <w:lang w:val="zh-CN"/>
        </w:rPr>
        <w:outlineLvl w:val="2"/>
      </w:pPr>
      <w:r/>
      <w:bookmarkStart w:id="400" w:name="_Toc3569"/>
      <w:r/>
      <w:bookmarkStart w:id="401" w:name="_Toc32530"/>
      <w:r/>
      <w:bookmarkStart w:id="402" w:name="_Toc24024"/>
      <w:r>
        <w:rPr>
          <w:b/>
          <w:bCs/>
          <w:szCs w:val="21"/>
          <w:lang w:val="zh-CN"/>
        </w:rPr>
        <w:t xml:space="preserve">2、法人代表授权书</w:t>
      </w:r>
      <w:bookmarkEnd w:id="400"/>
      <w:r/>
      <w:bookmarkEnd w:id="401"/>
      <w:r/>
      <w:bookmarkEnd w:id="402"/>
      <w:r>
        <w:rPr>
          <w:b/>
          <w:bCs/>
          <w:szCs w:val="21"/>
          <w:lang w:val="zh-CN"/>
        </w:rPr>
      </w:r>
      <w:r/>
    </w:p>
    <w:p>
      <w:pPr>
        <w:pStyle w:val="1434"/>
        <w:spacing w:line="360" w:lineRule="auto"/>
        <w:rPr>
          <w:b/>
        </w:rPr>
      </w:pPr>
      <w:r>
        <w:rPr>
          <w:b/>
        </w:rPr>
        <w:t xml:space="preserve">致江苏苏美达仪器设备有限公司：</w:t>
      </w:r>
      <w:r>
        <w:rPr>
          <w:b/>
        </w:rPr>
      </w:r>
      <w:r/>
    </w:p>
    <w:p>
      <w:pPr>
        <w:pStyle w:val="143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4"/>
        <w:spacing w:line="360" w:lineRule="auto"/>
        <w:rPr>
          <w:szCs w:val="21"/>
        </w:rPr>
      </w:pPr>
      <w:r>
        <w:rPr>
          <w:szCs w:val="21"/>
        </w:rPr>
      </w:r>
      <w:r/>
    </w:p>
    <w:p>
      <w:pPr>
        <w:pStyle w:val="1434"/>
        <w:spacing w:line="360" w:lineRule="auto"/>
        <w:rPr>
          <w:szCs w:val="21"/>
        </w:rPr>
      </w:pPr>
      <w:r>
        <w:rPr>
          <w:szCs w:val="21"/>
        </w:rPr>
        <w:t xml:space="preserve">法定代表人（签字或盖章）： </w:t>
      </w:r>
      <w:r>
        <w:rPr>
          <w:szCs w:val="21"/>
        </w:rPr>
      </w:r>
      <w:r/>
    </w:p>
    <w:p>
      <w:pPr>
        <w:pStyle w:val="1434"/>
        <w:spacing w:line="360" w:lineRule="auto"/>
        <w:rPr>
          <w:szCs w:val="21"/>
        </w:rPr>
      </w:pPr>
      <w:r>
        <w:rPr>
          <w:szCs w:val="21"/>
        </w:rPr>
        <w:t xml:space="preserve">授权代表（签字）： </w:t>
      </w:r>
      <w:r>
        <w:rPr>
          <w:szCs w:val="21"/>
        </w:rPr>
      </w:r>
      <w:r/>
    </w:p>
    <w:p>
      <w:pPr>
        <w:pStyle w:val="143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4"/>
        <w:spacing w:line="440" w:lineRule="exact"/>
        <w:rPr>
          <w:szCs w:val="21"/>
        </w:rPr>
      </w:pPr>
      <w:r>
        <w:rPr>
          <w:szCs w:val="21"/>
        </w:rPr>
        <w:t xml:space="preserve">日期：</w:t>
      </w:r>
      <w:r>
        <w:rPr>
          <w:szCs w:val="21"/>
        </w:rPr>
      </w:r>
      <w:r/>
    </w:p>
    <w:p>
      <w:pPr>
        <w:pStyle w:val="1434"/>
        <w:spacing w:line="360" w:lineRule="auto"/>
        <w:rPr>
          <w:b/>
          <w:szCs w:val="21"/>
        </w:rPr>
      </w:pPr>
      <w:r>
        <w:rPr>
          <w:color w:val="000000"/>
          <w:sz w:val="23"/>
        </w:rPr>
        <w:t xml:space="preserve"> </w:t>
      </w:r>
      <w:r>
        <w:rPr>
          <w:b/>
          <w:szCs w:val="21"/>
        </w:rPr>
      </w:r>
      <w:r/>
    </w:p>
    <w:p>
      <w:pPr>
        <w:pStyle w:val="143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4"/>
              <w:spacing w:line="440" w:lineRule="exact"/>
              <w:rPr>
                <w:b/>
              </w:rPr>
            </w:pPr>
            <w:r>
              <w:rPr>
                <w:b/>
              </w:rPr>
            </w:r>
            <w:r/>
          </w:p>
        </w:tc>
      </w:tr>
    </w:tbl>
    <w:p>
      <w:pPr>
        <w:pStyle w:val="1434"/>
        <w:spacing w:line="440" w:lineRule="exact"/>
        <w:rPr>
          <w:b/>
        </w:rPr>
      </w:pPr>
      <w:r>
        <w:rPr>
          <w:b/>
        </w:rPr>
      </w:r>
      <w:r/>
    </w:p>
    <w:p>
      <w:pPr>
        <w:pStyle w:val="143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4"/>
        <w:ind w:right="-5"/>
        <w:spacing w:line="360" w:lineRule="auto"/>
        <w:rPr>
          <w:b/>
          <w:bCs/>
          <w:szCs w:val="21"/>
          <w:lang w:val="zh-CN"/>
        </w:rPr>
        <w:outlineLvl w:val="2"/>
      </w:pPr>
      <w:r/>
      <w:bookmarkStart w:id="403" w:name="_Toc5456"/>
      <w:r/>
      <w:bookmarkStart w:id="404" w:name="_Toc24273"/>
      <w:r/>
      <w:bookmarkStart w:id="405" w:name="_Toc14151"/>
      <w:r>
        <w:rPr>
          <w:b/>
          <w:bCs/>
          <w:szCs w:val="21"/>
        </w:rPr>
        <w:t xml:space="preserve">3</w:t>
      </w:r>
      <w:r>
        <w:rPr>
          <w:b/>
          <w:bCs/>
          <w:szCs w:val="21"/>
          <w:lang w:val="zh-CN"/>
        </w:rPr>
        <w:t xml:space="preserve">、具有良好的商业信誉和健全的财务会计制度</w:t>
      </w:r>
      <w:bookmarkEnd w:id="403"/>
      <w:r/>
      <w:bookmarkEnd w:id="404"/>
      <w:r/>
      <w:bookmarkEnd w:id="405"/>
      <w:r>
        <w:rPr>
          <w:b/>
          <w:bCs/>
          <w:szCs w:val="21"/>
          <w:lang w:val="zh-CN"/>
        </w:rPr>
      </w:r>
      <w:r/>
    </w:p>
    <w:p>
      <w:pPr>
        <w:pStyle w:val="1434"/>
        <w:ind w:left="-2" w:right="-5"/>
        <w:spacing w:line="440" w:lineRule="exact"/>
        <w:rPr>
          <w:sz w:val="24"/>
        </w:rPr>
      </w:pPr>
      <w:r>
        <w:rPr>
          <w:sz w:val="24"/>
        </w:rPr>
      </w:r>
      <w:r/>
    </w:p>
    <w:p>
      <w:pPr>
        <w:pStyle w:val="143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434"/>
        <w:ind w:left="-2" w:right="-5"/>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Cs w:val="21"/>
        </w:rPr>
      </w:pPr>
      <w:r>
        <w:rPr>
          <w:szCs w:val="21"/>
        </w:rPr>
        <w:t xml:space="preserve">说明： </w:t>
      </w:r>
      <w:r>
        <w:rPr>
          <w:szCs w:val="21"/>
        </w:rPr>
      </w:r>
      <w:r/>
    </w:p>
    <w:p>
      <w:pPr>
        <w:pStyle w:val="143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3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3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3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lang w:val="zh-CN"/>
        </w:rPr>
        <w:outlineLvl w:val="2"/>
      </w:pPr>
      <w:r/>
      <w:bookmarkStart w:id="406" w:name="_Toc26694"/>
      <w:r/>
      <w:bookmarkStart w:id="407" w:name="_Toc26222"/>
      <w:r/>
      <w:bookmarkStart w:id="408" w:name="_Toc15262"/>
      <w:r>
        <w:rPr>
          <w:b/>
          <w:bCs/>
          <w:szCs w:val="21"/>
        </w:rPr>
        <w:t xml:space="preserve">4、</w:t>
      </w:r>
      <w:r>
        <w:rPr>
          <w:b/>
          <w:bCs/>
          <w:szCs w:val="21"/>
          <w:lang w:val="zh-CN"/>
        </w:rPr>
        <w:t xml:space="preserve">具有履行合同所必需的设备和专业技术能力</w:t>
      </w:r>
      <w:bookmarkEnd w:id="406"/>
      <w:r/>
      <w:bookmarkEnd w:id="407"/>
      <w:r/>
      <w:bookmarkEnd w:id="408"/>
      <w:r>
        <w:rPr>
          <w:b/>
          <w:bCs/>
          <w:szCs w:val="21"/>
          <w:lang w:val="zh-CN"/>
        </w:rPr>
      </w:r>
      <w:r/>
    </w:p>
    <w:p>
      <w:pPr>
        <w:pStyle w:val="143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3"/>
        <w:ind w:firstLine="280"/>
      </w:pPr>
      <w:r/>
      <w:r/>
    </w:p>
    <w:p>
      <w:pPr>
        <w:pStyle w:val="1434"/>
        <w:jc w:val="left"/>
        <w:spacing w:line="440" w:lineRule="exact"/>
      </w:pPr>
      <w:r>
        <w:t xml:space="preserve">承诺函参考格式：</w:t>
      </w:r>
      <w:r/>
    </w:p>
    <w:p>
      <w:pPr>
        <w:pStyle w:val="1503"/>
        <w:ind w:firstLine="321"/>
        <w:jc w:val="center"/>
        <w:rPr>
          <w:b/>
          <w:sz w:val="32"/>
          <w:szCs w:val="32"/>
        </w:rPr>
      </w:pPr>
      <w:r>
        <w:rPr>
          <w:b/>
          <w:sz w:val="32"/>
          <w:szCs w:val="32"/>
        </w:rPr>
        <w:t xml:space="preserve">承  诺  函</w:t>
      </w:r>
      <w:r>
        <w:rPr>
          <w:b/>
          <w:sz w:val="32"/>
          <w:szCs w:val="32"/>
        </w:rPr>
      </w:r>
      <w:r/>
    </w:p>
    <w:p>
      <w:pPr>
        <w:pStyle w:val="150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rPr>
        <w:outlineLvl w:val="2"/>
      </w:pPr>
      <w:r/>
      <w:bookmarkStart w:id="409" w:name="_Toc1099"/>
      <w:r/>
      <w:bookmarkStart w:id="410" w:name="_Toc10033"/>
      <w:r/>
      <w:bookmarkStart w:id="411" w:name="_Toc16483"/>
      <w:r>
        <w:rPr>
          <w:b/>
          <w:bCs/>
          <w:szCs w:val="21"/>
        </w:rPr>
        <w:t xml:space="preserve">5、</w:t>
      </w:r>
      <w:bookmarkEnd w:id="409"/>
      <w:r/>
      <w:bookmarkEnd w:id="410"/>
      <w:r>
        <w:rPr>
          <w:b/>
          <w:bCs/>
          <w:szCs w:val="21"/>
        </w:rPr>
        <w:t xml:space="preserve">参加政府采购活动近三年内（成立时间不足三年的、自成立时间起），在经营活动中没有重大违法记录</w:t>
      </w:r>
      <w:bookmarkEnd w:id="411"/>
      <w:r>
        <w:rPr>
          <w:b/>
          <w:bCs/>
          <w:szCs w:val="21"/>
        </w:rPr>
      </w:r>
      <w:r/>
    </w:p>
    <w:p>
      <w:pPr>
        <w:pStyle w:val="1434"/>
        <w:spacing w:line="440" w:lineRule="exact"/>
        <w:tabs>
          <w:tab w:val="left" w:pos="972" w:leader="none"/>
        </w:tabs>
        <w:rPr>
          <w:szCs w:val="21"/>
        </w:rPr>
      </w:pPr>
      <w:r>
        <w:rPr>
          <w:szCs w:val="21"/>
        </w:rPr>
        <w:t xml:space="preserve">参考格式：</w:t>
      </w:r>
      <w:r>
        <w:rPr>
          <w:szCs w:val="21"/>
        </w:rPr>
        <w:tab/>
      </w:r>
      <w:r>
        <w:rPr>
          <w:szCs w:val="21"/>
        </w:rPr>
      </w:r>
      <w:r/>
    </w:p>
    <w:p>
      <w:pPr>
        <w:pStyle w:val="1434"/>
        <w:jc w:val="center"/>
        <w:rPr>
          <w:b/>
          <w:sz w:val="32"/>
          <w:szCs w:val="32"/>
        </w:rPr>
      </w:pPr>
      <w:r>
        <w:rPr>
          <w:b/>
          <w:sz w:val="32"/>
          <w:szCs w:val="32"/>
        </w:rPr>
        <w:t xml:space="preserve">无重大违法记录声明</w:t>
      </w:r>
      <w:r>
        <w:rPr>
          <w:b/>
          <w:sz w:val="32"/>
          <w:szCs w:val="32"/>
        </w:rPr>
      </w:r>
      <w:r/>
    </w:p>
    <w:p>
      <w:pPr>
        <w:pStyle w:val="1434"/>
        <w:rPr>
          <w:sz w:val="30"/>
          <w:szCs w:val="30"/>
        </w:rPr>
      </w:pPr>
      <w:r>
        <w:rPr>
          <w:sz w:val="30"/>
          <w:szCs w:val="30"/>
        </w:rPr>
      </w:r>
      <w:r/>
    </w:p>
    <w:p>
      <w:pPr>
        <w:pStyle w:val="1434"/>
        <w:ind w:firstLine="420"/>
        <w:spacing w:line="360" w:lineRule="auto"/>
      </w:pPr>
      <w:r>
        <w:rPr>
          <w:szCs w:val="21"/>
        </w:rPr>
        <w:t xml:space="preserve">江苏苏美达仪器设备有限公司</w:t>
      </w:r>
      <w:r>
        <w:t xml:space="preserve">：</w:t>
      </w:r>
      <w:r/>
    </w:p>
    <w:p>
      <w:pPr>
        <w:pStyle w:val="1434"/>
        <w:ind w:firstLine="420"/>
        <w:spacing w:line="360" w:lineRule="auto"/>
      </w:pPr>
      <w:r/>
      <w:r/>
    </w:p>
    <w:p>
      <w:pPr>
        <w:pStyle w:val="1434"/>
        <w:ind w:firstLine="420"/>
        <w:spacing w:line="360" w:lineRule="auto"/>
      </w:pPr>
      <w:r>
        <w:t xml:space="preserve">我单位</w:t>
      </w:r>
      <w:r>
        <w:rPr>
          <w:u w:val="single"/>
        </w:rPr>
        <w:t xml:space="preserve">                </w:t>
      </w:r>
      <w:r>
        <w:t xml:space="preserve">（供应商名称）郑重声明：</w:t>
      </w:r>
      <w:r/>
    </w:p>
    <w:p>
      <w:pPr>
        <w:pStyle w:val="143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412" w:name="_Toc13811"/>
      <w:r>
        <w:rPr>
          <w:b/>
          <w:bCs/>
          <w:szCs w:val="21"/>
        </w:rPr>
      </w:r>
      <w:r/>
    </w:p>
    <w:p>
      <w:pPr>
        <w:pStyle w:val="1434"/>
        <w:jc w:val="left"/>
        <w:spacing w:line="360" w:lineRule="auto"/>
        <w:rPr>
          <w:b/>
          <w:bCs/>
          <w:szCs w:val="21"/>
        </w:rPr>
        <w:outlineLvl w:val="2"/>
      </w:pPr>
      <w:r/>
      <w:bookmarkStart w:id="413" w:name="_Toc20211"/>
      <w:r/>
      <w:bookmarkStart w:id="414" w:name="_Toc14470"/>
      <w:r>
        <w:rPr>
          <w:b/>
          <w:bCs/>
          <w:szCs w:val="21"/>
        </w:rPr>
        <w:t xml:space="preserve">6、依法缴纳税收的记录</w:t>
      </w:r>
      <w:bookmarkEnd w:id="412"/>
      <w:r/>
      <w:bookmarkEnd w:id="413"/>
      <w:r/>
      <w:bookmarkEnd w:id="414"/>
      <w:r>
        <w:rPr>
          <w:b/>
          <w:bCs/>
          <w:szCs w:val="21"/>
        </w:rPr>
      </w:r>
      <w:r/>
    </w:p>
    <w:p>
      <w:pPr>
        <w:pStyle w:val="143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jc w:val="left"/>
        <w:spacing w:line="360" w:lineRule="auto"/>
        <w:rPr>
          <w:b/>
          <w:bCs/>
          <w:szCs w:val="21"/>
        </w:rPr>
        <w:outlineLvl w:val="2"/>
      </w:pPr>
      <w:r/>
      <w:bookmarkStart w:id="415" w:name="_Toc17181"/>
      <w:r>
        <w:rPr>
          <w:b/>
          <w:bCs/>
          <w:szCs w:val="21"/>
        </w:rPr>
        <w:br w:type="page" w:clear="all"/>
      </w:r>
      <w:bookmarkStart w:id="416" w:name="_Toc31194"/>
      <w:r/>
      <w:bookmarkStart w:id="417" w:name="_Toc5629"/>
      <w:r>
        <w:rPr>
          <w:b/>
          <w:bCs/>
          <w:szCs w:val="21"/>
        </w:rPr>
        <w:t xml:space="preserve">7、依法缴纳社会保障资金的记录</w:t>
      </w:r>
      <w:bookmarkEnd w:id="415"/>
      <w:r/>
      <w:bookmarkEnd w:id="416"/>
      <w:r/>
      <w:bookmarkEnd w:id="417"/>
      <w:r>
        <w:rPr>
          <w:b/>
          <w:bCs/>
          <w:szCs w:val="21"/>
        </w:rPr>
      </w:r>
      <w:r/>
    </w:p>
    <w:p>
      <w:pPr>
        <w:pStyle w:val="143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34"/>
        <w:spacing w:after="120" w:line="440" w:lineRule="exact"/>
      </w:pPr>
      <w:r>
        <w:t xml:space="preserve">（2）依法不需要缴纳社会保障资金的，应提供相应的文件证明。 </w:t>
      </w:r>
      <w:r/>
    </w:p>
    <w:p>
      <w:pPr>
        <w:pStyle w:val="1434"/>
        <w:spacing w:line="440" w:lineRule="exact"/>
        <w:rPr>
          <w:sz w:val="24"/>
        </w:rPr>
      </w:pPr>
      <w:r>
        <w:rPr>
          <w:sz w:val="24"/>
        </w:rPr>
      </w:r>
      <w:r/>
    </w:p>
    <w:p>
      <w:pPr>
        <w:pStyle w:val="1434"/>
        <w:spacing w:line="440" w:lineRule="exact"/>
        <w:rPr>
          <w:b/>
        </w:rPr>
      </w:pPr>
      <w:r>
        <w:rPr>
          <w:b/>
        </w:rPr>
        <w:t xml:space="preserve">  </w:t>
      </w:r>
      <w:r>
        <w:rPr>
          <w:b/>
        </w:rPr>
      </w:r>
      <w:r/>
    </w:p>
    <w:p>
      <w:pPr>
        <w:pStyle w:val="1434"/>
        <w:spacing w:line="440" w:lineRule="exact"/>
        <w:rPr>
          <w:b/>
        </w:rPr>
      </w:pPr>
      <w:r>
        <w:rPr>
          <w:b/>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b/>
        </w:rPr>
      </w:pPr>
      <w:r>
        <w:rPr>
          <w:b/>
        </w:rPr>
      </w:r>
      <w:r/>
    </w:p>
    <w:p>
      <w:pPr>
        <w:pStyle w:val="1434"/>
        <w:jc w:val="center"/>
        <w:spacing w:line="440" w:lineRule="exact"/>
      </w:p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418" w:name="_Toc9645"/>
      <w:r/>
      <w:bookmarkStart w:id="419" w:name="_Toc17743"/>
      <w:r/>
      <w:bookmarkStart w:id="420" w:name="_Toc607"/>
      <w:r>
        <w:rPr>
          <w:b/>
          <w:bCs/>
          <w:szCs w:val="21"/>
        </w:rPr>
        <w:t xml:space="preserve">8、</w:t>
      </w:r>
      <w:bookmarkEnd w:id="418"/>
      <w:r>
        <w:rPr>
          <w:b/>
          <w:bCs/>
          <w:color w:val="000000"/>
          <w:szCs w:val="21"/>
        </w:rPr>
        <w:t xml:space="preserve">针对</w:t>
      </w:r>
      <w:r>
        <w:rPr>
          <w:b/>
          <w:bCs/>
          <w:szCs w:val="21"/>
        </w:rPr>
        <w:t xml:space="preserve">本项目的特定资格要求</w:t>
      </w:r>
      <w:bookmarkEnd w:id="419"/>
      <w:r/>
      <w:bookmarkEnd w:id="420"/>
      <w:r>
        <w:rPr>
          <w:b/>
          <w:bCs/>
          <w:szCs w:val="21"/>
        </w:rPr>
      </w:r>
      <w:r/>
    </w:p>
    <w:p>
      <w:pPr>
        <w:pStyle w:val="1434"/>
        <w:spacing w:line="440" w:lineRule="exact"/>
        <w:rPr>
          <w:szCs w:val="21"/>
        </w:rPr>
      </w:pPr>
      <w:r/>
      <w:bookmarkStart w:id="421" w:name="_Toc9807"/>
      <w:r/>
      <w:bookmarkStart w:id="422"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80" w:lineRule="exact"/>
        <w:widowControl/>
        <w:rPr>
          <w:rFonts w:ascii="宋体" w:hAnsi="宋体" w:cs="宋体"/>
          <w:b/>
          <w:bCs/>
          <w:szCs w:val="21"/>
        </w:rPr>
        <w:outlineLvl w:val="2"/>
      </w:pPr>
      <w:r>
        <w:rPr>
          <w:b/>
          <w:bCs/>
          <w:szCs w:val="21"/>
        </w:rPr>
        <w:br w:type="page" w:clear="all"/>
      </w:r>
      <w:bookmarkStart w:id="423" w:name="_Toc27561"/>
      <w:r>
        <w:rPr>
          <w:b/>
          <w:bCs/>
          <w:szCs w:val="21"/>
        </w:rPr>
        <w:t xml:space="preserve">9、</w:t>
      </w:r>
      <w:bookmarkEnd w:id="421"/>
      <w:r/>
      <w:bookmarkEnd w:id="422"/>
      <w:r/>
      <w:bookmarkStart w:id="424" w:name="_Toc20191"/>
      <w:r/>
      <w:bookmarkStart w:id="425"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423"/>
      <w:r/>
      <w:bookmarkEnd w:id="424"/>
      <w:r/>
      <w:bookmarkEnd w:id="425"/>
      <w:r>
        <w:rPr>
          <w:rFonts w:hint="eastAsia"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434"/>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434"/>
        <w:ind w:left="1260"/>
        <w:rPr>
          <w:rFonts w:hint="eastAsia"/>
        </w:rPr>
      </w:pPr>
      <w:r>
        <w:rPr>
          <w:rFonts w:hint="eastAsia"/>
        </w:rPr>
      </w:r>
      <w:r/>
    </w:p>
    <w:p>
      <w:pPr>
        <w:pStyle w:val="1434"/>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434"/>
        <w:jc w:val="left"/>
        <w:spacing w:line="360" w:lineRule="auto"/>
        <w:rPr>
          <w:rFonts w:hint="eastAsia" w:ascii="宋体" w:hAnsi="宋体" w:cs="宋体"/>
          <w:b/>
          <w:bCs/>
          <w:szCs w:val="21"/>
        </w:rPr>
      </w:pPr>
      <w:r>
        <w:rPr>
          <w:rFonts w:hint="eastAsia" w:ascii="宋体" w:hAnsi="宋体" w:cs="宋体"/>
          <w:b/>
          <w:bCs/>
          <w:szCs w:val="21"/>
        </w:rPr>
      </w:r>
      <w:r/>
    </w:p>
    <w:p>
      <w:pPr>
        <w:pStyle w:val="1434"/>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434"/>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43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34"/>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434"/>
        <w:spacing w:line="360" w:lineRule="auto"/>
        <w:rPr>
          <w:rFonts w:hint="eastAsia" w:ascii="宋体" w:hAnsi="宋体" w:cs="宋体"/>
          <w:szCs w:val="21"/>
        </w:rPr>
      </w:pPr>
      <w:r>
        <w:rPr>
          <w:rFonts w:hint="eastAsia" w:ascii="宋体" w:hAnsi="宋体" w:cs="宋体"/>
          <w:szCs w:val="21"/>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43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34"/>
        <w:rPr>
          <w:rFonts w:hint="eastAsia" w:ascii="宋体" w:hAnsi="宋体" w:cs="宋体"/>
          <w:b/>
          <w:bCs/>
          <w:szCs w:val="21"/>
        </w:rPr>
        <w:outlineLvl w:val="2"/>
      </w:pPr>
      <w:r/>
      <w:bookmarkStart w:id="426" w:name="_Toc2986"/>
      <w:r/>
      <w:bookmarkStart w:id="427" w:name="_Toc30898"/>
      <w:r/>
      <w:bookmarkStart w:id="428" w:name="_Toc24244"/>
      <w:r/>
      <w:bookmarkStart w:id="429" w:name="_Toc21934"/>
      <w:r/>
      <w:bookmarkStart w:id="430" w:name="_Toc10766"/>
      <w:r>
        <w:rPr>
          <w:rFonts w:hint="eastAsia" w:ascii="宋体" w:hAnsi="宋体" w:cs="宋体"/>
          <w:b/>
          <w:bCs/>
          <w:szCs w:val="21"/>
        </w:rPr>
        <w:t xml:space="preserve">10、符合招标文件第一章“拒绝下述供应商参加本次采购活动的情形”中第 2）条的声明（加盖单位公章）</w:t>
      </w:r>
      <w:bookmarkEnd w:id="426"/>
      <w:r/>
      <w:bookmarkEnd w:id="427"/>
      <w:r/>
      <w:bookmarkEnd w:id="428"/>
      <w:r/>
      <w:bookmarkEnd w:id="429"/>
      <w:r/>
      <w:bookmarkEnd w:id="430"/>
      <w:r>
        <w:rPr>
          <w:rFonts w:hint="eastAsia" w:ascii="宋体" w:hAnsi="宋体" w:cs="宋体"/>
          <w:b/>
          <w:bCs/>
          <w:szCs w:val="21"/>
        </w:rPr>
      </w:r>
      <w:r/>
    </w:p>
    <w:p>
      <w:pPr>
        <w:pStyle w:val="1434"/>
        <w:ind w:firstLine="210"/>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434"/>
        <w:ind w:firstLine="420"/>
        <w:rPr>
          <w:rFonts w:ascii="宋体" w:hAnsi="宋体" w:cs="宋体"/>
          <w:szCs w:val="21"/>
        </w:rPr>
      </w:pPr>
      <w:r>
        <w:rPr>
          <w:rFonts w:ascii="宋体" w:hAnsi="宋体" w:cs="宋体"/>
          <w:szCs w:val="21"/>
        </w:rPr>
      </w:r>
      <w:r/>
    </w:p>
    <w:p>
      <w:pPr>
        <w:pStyle w:val="1434"/>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434"/>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434"/>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434"/>
        <w:ind w:firstLine="211"/>
        <w:rPr>
          <w:rFonts w:hint="eastAsia" w:ascii="宋体" w:hAnsi="宋体" w:cs="宋体"/>
          <w:b/>
          <w:bCs/>
          <w:szCs w:val="21"/>
        </w:rPr>
      </w:pPr>
      <w:r>
        <w:rPr>
          <w:rFonts w:hint="eastAsia" w:ascii="宋体" w:hAnsi="宋体" w:cs="宋体"/>
          <w:b/>
          <w:bCs/>
          <w:szCs w:val="21"/>
        </w:rPr>
      </w:r>
      <w:r/>
    </w:p>
    <w:p>
      <w:pPr>
        <w:pStyle w:val="1434"/>
        <w:spacing w:line="440" w:lineRule="exact"/>
        <w:rPr>
          <w:szCs w:val="21"/>
        </w:rPr>
      </w:pPr>
      <w:r/>
      <w:bookmarkStart w:id="431" w:name="_Toc27347"/>
      <w:r/>
      <w:bookmarkStart w:id="432" w:name="_Toc25559"/>
      <w:r/>
      <w:bookmarkStart w:id="433" w:name="_Toc3794"/>
      <w:r/>
      <w:bookmarkStart w:id="434" w:name="_Toc24775"/>
      <w:r/>
      <w:bookmarkStart w:id="435" w:name="_Toc5579"/>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436" w:name="_Toc8824"/>
      <w:r>
        <w:rPr>
          <w:rFonts w:hint="eastAsia" w:ascii="宋体" w:hAnsi="宋体" w:cs="宋体"/>
          <w:b/>
          <w:bCs/>
          <w:szCs w:val="21"/>
        </w:rPr>
        <w:t xml:space="preserve">11、本项目不接受联合体投标，中标后不允许分包、转包。</w:t>
      </w:r>
      <w:bookmarkEnd w:id="431"/>
      <w:r/>
      <w:bookmarkEnd w:id="432"/>
      <w:r/>
      <w:bookmarkEnd w:id="433"/>
      <w:r/>
      <w:bookmarkEnd w:id="434"/>
      <w:r/>
      <w:bookmarkEnd w:id="436"/>
      <w:r>
        <w:rPr>
          <w:rFonts w:hint="eastAsia" w:ascii="宋体" w:hAnsi="宋体" w:cs="宋体"/>
          <w:b/>
          <w:bCs/>
          <w:szCs w:val="21"/>
        </w:rPr>
      </w:r>
      <w:r/>
    </w:p>
    <w:p>
      <w:pPr>
        <w:pStyle w:val="1434"/>
        <w:jc w:val="left"/>
        <w:spacing w:line="440" w:lineRule="exact"/>
        <w:rPr>
          <w:rFonts w:hint="eastAsia" w:ascii="宋体" w:hAnsi="宋体" w:cs="宋体"/>
          <w:szCs w:val="21"/>
        </w:rPr>
        <w:outlineLvl w:val="2"/>
      </w:pPr>
      <w:r/>
      <w:bookmarkStart w:id="437" w:name="_Toc6011"/>
      <w:r/>
      <w:bookmarkStart w:id="438" w:name="_Toc22262"/>
      <w:r/>
      <w:bookmarkStart w:id="439" w:name="_Toc6732"/>
      <w:r/>
      <w:bookmarkStart w:id="440" w:name="_Toc2936"/>
      <w:r/>
      <w:bookmarkStart w:id="441" w:name="_Toc10285"/>
      <w:r>
        <w:rPr>
          <w:rFonts w:hint="eastAsia" w:ascii="宋体" w:hAnsi="宋体" w:cs="宋体"/>
          <w:szCs w:val="21"/>
        </w:rPr>
        <w:t xml:space="preserve">参考格式：</w:t>
      </w:r>
      <w:bookmarkEnd w:id="435"/>
      <w:r/>
      <w:bookmarkEnd w:id="437"/>
      <w:r/>
      <w:bookmarkEnd w:id="438"/>
      <w:r/>
      <w:bookmarkEnd w:id="439"/>
      <w:r/>
      <w:bookmarkEnd w:id="440"/>
      <w:r/>
      <w:bookmarkEnd w:id="441"/>
      <w:r>
        <w:rPr>
          <w:rFonts w:hint="eastAsia" w:ascii="宋体" w:hAnsi="宋体" w:cs="宋体"/>
          <w:szCs w:val="21"/>
        </w:rPr>
      </w:r>
      <w:r/>
    </w:p>
    <w:p>
      <w:pPr>
        <w:pStyle w:val="1434"/>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434"/>
        <w:rPr>
          <w:rFonts w:hint="eastAsia" w:ascii="宋体" w:hAnsi="宋体" w:cs="宋体"/>
          <w:sz w:val="24"/>
          <w:szCs w:val="22"/>
        </w:rPr>
      </w:pPr>
      <w:r>
        <w:rPr>
          <w:rFonts w:hint="eastAsia" w:ascii="宋体" w:hAnsi="宋体" w:cs="宋体"/>
          <w:sz w:val="24"/>
          <w:szCs w:val="22"/>
        </w:rPr>
      </w:r>
      <w:r/>
    </w:p>
    <w:p>
      <w:pPr>
        <w:pStyle w:val="1434"/>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434"/>
        <w:rPr>
          <w:rFonts w:hint="eastAsia" w:ascii="宋体" w:hAnsi="宋体" w:cs="宋体"/>
          <w:sz w:val="24"/>
          <w:szCs w:val="22"/>
        </w:rPr>
      </w:pPr>
      <w:r>
        <w:rPr>
          <w:rFonts w:hint="eastAsia" w:ascii="宋体" w:hAnsi="宋体" w:cs="宋体"/>
          <w:sz w:val="24"/>
          <w:szCs w:val="22"/>
        </w:rPr>
      </w:r>
      <w:r/>
    </w:p>
    <w:p>
      <w:pPr>
        <w:pStyle w:val="1434"/>
        <w:ind w:left="-2" w:right="-5"/>
        <w:spacing w:line="360" w:lineRule="auto"/>
        <w:rPr>
          <w:rFonts w:hint="eastAsia" w:ascii="宋体" w:hAnsi="宋体" w:cs="宋体"/>
          <w:szCs w:val="21"/>
        </w:rPr>
      </w:pPr>
      <w:r>
        <w:rPr>
          <w:rFonts w:hint="eastAsia" w:ascii="宋体" w:hAnsi="宋体" w:cs="宋体"/>
          <w:szCs w:val="21"/>
        </w:rPr>
      </w:r>
      <w:r/>
    </w:p>
    <w:p>
      <w:pPr>
        <w:pStyle w:val="1434"/>
        <w:ind w:left="-2" w:right="-5"/>
        <w:spacing w:line="360" w:lineRule="auto"/>
        <w:rPr>
          <w:rFonts w:hint="eastAsia" w:ascii="宋体" w:hAnsi="宋体" w:cs="宋体"/>
          <w:szCs w:val="21"/>
        </w:rPr>
      </w:pP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43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434"/>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43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4"/>
        <w:spacing w:line="360" w:lineRule="auto"/>
        <w:rPr>
          <w:b/>
          <w:color w:val="000000"/>
          <w:sz w:val="24"/>
          <w:lang w:val="zh-CN"/>
        </w:rPr>
        <w:outlineLvl w:val="1"/>
      </w:pPr>
      <w:r/>
      <w:bookmarkStart w:id="442" w:name="_Toc23555"/>
      <w:r/>
      <w:bookmarkStart w:id="443" w:name="_Toc22079"/>
      <w:r/>
      <w:bookmarkStart w:id="444" w:name="_Toc9255"/>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442"/>
      <w:r/>
      <w:bookmarkEnd w:id="443"/>
      <w:r/>
      <w:bookmarkEnd w:id="444"/>
      <w:r>
        <w:rPr>
          <w:b/>
          <w:color w:val="000000"/>
          <w:sz w:val="24"/>
          <w:lang w:val="zh-CN"/>
        </w:rPr>
      </w:r>
      <w:r/>
    </w:p>
    <w:p>
      <w:pPr>
        <w:pStyle w:val="143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34"/>
        <w:rPr>
          <w:b/>
          <w:color w:val="000000"/>
          <w:sz w:val="24"/>
          <w:lang w:val="zh-CN"/>
        </w:rPr>
      </w:pPr>
      <w:r>
        <w:rPr>
          <w:b/>
          <w:color w:val="000000"/>
          <w:sz w:val="24"/>
          <w:lang w:val="zh-CN"/>
        </w:rPr>
      </w:r>
      <w:r/>
    </w:p>
    <w:p>
      <w:pPr>
        <w:pStyle w:val="143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W w:w="62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8" w:type="dxa"/>
            <w:vAlign w:val="center"/>
            <w:textDirection w:val="lrTb"/>
            <w:noWrap w:val="false"/>
          </w:tcPr>
          <w:p>
            <w:pPr>
              <w:pStyle w:val="143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电动汽车充电桩综合检测装置，不得低于以下配置：</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711"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非车载充电机综合测试系统，不得低于以下配置：</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三相可编程双向交流电源（容量400kVA）</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2台</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1.1.2</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三相大电流分析单元</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1.1.3</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系统操作显示单元</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1.1.4</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超级充电接口综合测试与分析单元</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1.1.5</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大功率直流可调阻性负载</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3台</w:t>
            </w:r>
            <w:r>
              <w:rPr>
                <w:rFonts w:hint="eastAsia" w:ascii="宋体" w:hAnsi="宋体" w:cs="宋体"/>
                <w:szCs w:val="21"/>
              </w:rPr>
            </w:r>
            <w:r/>
          </w:p>
        </w:tc>
      </w:tr>
      <w:tr>
        <w:trPr>
          <w:trHeight w:val="604"/>
        </w:trPr>
        <w:tc>
          <w:tcPr>
            <w:tcW w:w="62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1.1.6</w:t>
            </w:r>
            <w:r>
              <w:rPr>
                <w:rFonts w:hint="eastAsia" w:ascii="宋体" w:hAnsi="宋体" w:cs="宋体"/>
                <w:szCs w:val="21"/>
              </w:rPr>
            </w:r>
            <w:r/>
          </w:p>
        </w:tc>
        <w:tc>
          <w:tcPr>
            <w:tcW w:w="165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示波器</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1.1.7</w:t>
            </w:r>
            <w:r>
              <w:rPr>
                <w:rFonts w:hint="eastAsia" w:ascii="宋体" w:hAnsi="宋体" w:cs="宋体"/>
                <w:szCs w:val="21"/>
              </w:rPr>
            </w:r>
            <w:r/>
          </w:p>
        </w:tc>
        <w:tc>
          <w:tcPr>
            <w:tcW w:w="307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可编程双向直流电源</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1.1.8</w:t>
            </w:r>
            <w:r>
              <w:rPr>
                <w:rFonts w:hint="eastAsia" w:ascii="宋体" w:hAnsi="宋体" w:cs="宋体"/>
                <w:szCs w:val="21"/>
              </w:rPr>
            </w:r>
            <w:r/>
          </w:p>
        </w:tc>
        <w:tc>
          <w:tcPr>
            <w:tcW w:w="307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非车载充电机综合测试软件和控制机</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307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交流充电桩综合测试系统，不得低于以下配置：</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1.2.1</w:t>
            </w:r>
            <w:r>
              <w:rPr>
                <w:rFonts w:hint="eastAsia" w:ascii="宋体" w:hAnsi="宋体" w:cs="宋体"/>
                <w:szCs w:val="21"/>
              </w:rPr>
            </w:r>
            <w:r/>
          </w:p>
        </w:tc>
        <w:tc>
          <w:tcPr>
            <w:tcW w:w="3070"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三相可编程双向交流电源（容量60kVA）</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1.2.2</w:t>
            </w:r>
            <w:r>
              <w:rPr>
                <w:rFonts w:hint="eastAsia" w:ascii="宋体" w:hAnsi="宋体" w:cs="宋体"/>
                <w:szCs w:val="21"/>
              </w:rPr>
            </w:r>
            <w:r/>
          </w:p>
        </w:tc>
        <w:tc>
          <w:tcPr>
            <w:tcW w:w="3070"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三相电源分析单元</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1.2.3</w:t>
            </w:r>
            <w:r>
              <w:rPr>
                <w:rFonts w:hint="eastAsia" w:ascii="宋体" w:hAnsi="宋体" w:cs="宋体"/>
                <w:szCs w:val="21"/>
              </w:rPr>
            </w:r>
            <w:r/>
          </w:p>
        </w:tc>
        <w:tc>
          <w:tcPr>
            <w:tcW w:w="3070"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系统操作显示单元</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1.2.4</w:t>
            </w:r>
            <w:r>
              <w:rPr>
                <w:rFonts w:hint="eastAsia" w:ascii="宋体" w:hAnsi="宋体" w:cs="宋体"/>
                <w:szCs w:val="21"/>
              </w:rPr>
            </w:r>
            <w:r/>
          </w:p>
        </w:tc>
        <w:tc>
          <w:tcPr>
            <w:tcW w:w="3070"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交流充电接口综合测试与分析单元</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1.2.5</w:t>
            </w:r>
            <w:r>
              <w:rPr>
                <w:rFonts w:hint="eastAsia" w:ascii="宋体" w:hAnsi="宋体" w:cs="宋体"/>
                <w:szCs w:val="21"/>
              </w:rPr>
            </w:r>
            <w:r/>
          </w:p>
        </w:tc>
        <w:tc>
          <w:tcPr>
            <w:tcW w:w="3070"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大功率交流可调阻性负载</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1.2.6</w:t>
            </w:r>
            <w:r>
              <w:rPr>
                <w:rFonts w:hint="eastAsia" w:ascii="宋体" w:hAnsi="宋体" w:cs="宋体"/>
                <w:szCs w:val="21"/>
              </w:rPr>
            </w:r>
            <w:r/>
          </w:p>
        </w:tc>
        <w:tc>
          <w:tcPr>
            <w:tcW w:w="3070"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示波器</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1.2.7</w:t>
            </w:r>
            <w:r>
              <w:rPr>
                <w:rFonts w:hint="eastAsia" w:ascii="宋体" w:hAnsi="宋体" w:cs="宋体"/>
                <w:szCs w:val="21"/>
              </w:rPr>
            </w:r>
            <w:r/>
          </w:p>
        </w:tc>
        <w:tc>
          <w:tcPr>
            <w:tcW w:w="3070" w:type="dxa"/>
            <w:vAlign w:val="center"/>
            <w:textDirection w:val="lrTb"/>
            <w:noWrap w:val="false"/>
          </w:tcPr>
          <w:p>
            <w:pPr>
              <w:pStyle w:val="1434"/>
              <w:ind w:firstLine="420"/>
              <w:jc w:val="center"/>
              <w:spacing w:line="440" w:lineRule="exact"/>
              <w:rPr>
                <w:rFonts w:hint="eastAsia" w:ascii="宋体" w:hAnsi="宋体" w:cs="宋体"/>
                <w:szCs w:val="21"/>
              </w:rPr>
            </w:pPr>
            <w:r>
              <w:rPr>
                <w:rFonts w:hint="eastAsia" w:ascii="宋体" w:hAnsi="宋体" w:cs="宋体"/>
                <w:szCs w:val="21"/>
              </w:rPr>
              <w:t xml:space="preserve">交流充电桩综合测试软件和控制机</w:t>
            </w:r>
            <w:r>
              <w:rPr>
                <w:rFonts w:hint="eastAsia" w:ascii="宋体" w:hAnsi="宋体" w:cs="宋体"/>
                <w:szCs w:val="21"/>
              </w:rPr>
            </w:r>
            <w:r/>
          </w:p>
        </w:tc>
        <w:tc>
          <w:tcPr>
            <w:tcW w:w="900"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keepNext/>
              <w:spacing w:line="440" w:lineRule="exact"/>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r>
      <w:tr>
        <w:trPr>
          <w:trHeight w:val="604"/>
        </w:trPr>
        <w:tc>
          <w:tcPr>
            <w:tcW w:w="1148" w:type="dxa"/>
            <w:vAlign w:val="center"/>
            <w:textDirection w:val="lrTb"/>
            <w:noWrap w:val="false"/>
          </w:tcPr>
          <w:p>
            <w:pPr>
              <w:pStyle w:val="1434"/>
              <w:ind w:right="141"/>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keepNext/>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keepNext/>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keepNext/>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c>
          <w:tcPr>
            <w:tcW w:w="1666" w:type="dxa"/>
            <w:vAlign w:val="top"/>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r>
            <w:r/>
          </w:p>
        </w:tc>
        <w:tc>
          <w:tcPr>
            <w:tcW w:w="1316"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r>
            <w:r/>
          </w:p>
        </w:tc>
      </w:tr>
    </w:tbl>
    <w:p>
      <w:pPr>
        <w:pStyle w:val="1434"/>
        <w:spacing w:line="440" w:lineRule="exact"/>
        <w:rPr>
          <w:rFonts w:hint="eastAsia" w:ascii="宋体" w:hAnsi="宋体" w:cs="宋体"/>
          <w:szCs w:val="21"/>
        </w:rPr>
      </w:pP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szCs w:val="21"/>
        </w:rPr>
      </w:r>
      <w:r/>
    </w:p>
    <w:p>
      <w:pPr>
        <w:pStyle w:val="143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3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tc>
      </w:tr>
    </w:tbl>
    <w:p>
      <w:pPr>
        <w:pStyle w:val="1434"/>
        <w:spacing w:line="440" w:lineRule="exact"/>
        <w:rPr>
          <w:rFonts w:hint="eastAsia" w:ascii="宋体" w:hAnsi="宋体" w:cs="宋体"/>
          <w:bCs/>
          <w:szCs w:val="21"/>
        </w:rPr>
      </w:pPr>
      <w:r>
        <w:rPr>
          <w:rFonts w:hint="eastAsia" w:ascii="宋体" w:hAnsi="宋体" w:cs="宋体"/>
          <w:bCs/>
          <w:szCs w:val="21"/>
        </w:rPr>
      </w:r>
      <w:r/>
    </w:p>
    <w:p>
      <w:pPr>
        <w:pStyle w:val="143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34"/>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bl>
    <w:p>
      <w:pPr>
        <w:pStyle w:val="143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34"/>
        <w:spacing w:line="440" w:lineRule="exact"/>
        <w:rPr>
          <w:rFonts w:ascii="Arial" w:hAnsi="Arial" w:cs="Arial"/>
          <w:sz w:val="24"/>
          <w:szCs w:val="24"/>
        </w:rPr>
      </w:pPr>
      <w:r>
        <w:rPr>
          <w:rFonts w:ascii="Arial" w:hAnsi="Arial" w:cs="Arial"/>
          <w:sz w:val="24"/>
          <w:szCs w:val="24"/>
        </w:rPr>
      </w:r>
      <w:r/>
    </w:p>
    <w:p>
      <w:pPr>
        <w:pStyle w:val="1434"/>
        <w:spacing w:line="440" w:lineRule="exact"/>
        <w:rPr>
          <w:b/>
          <w:szCs w:val="21"/>
        </w:rPr>
      </w:pPr>
      <w:r>
        <w:rPr>
          <w:b/>
          <w:szCs w:val="21"/>
        </w:rPr>
      </w:r>
      <w:r/>
    </w:p>
    <w:p>
      <w:pPr>
        <w:pStyle w:val="149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rPr>
        <w:rStyle w:val="1507"/>
      </w:rPr>
    </w:pPr>
    <w:r>
      <w:rPr>
        <w:rStyle w:val="1507"/>
      </w:rPr>
    </w:r>
    <w:r/>
  </w:p>
  <w:p>
    <w:pPr>
      <w:pStyle w:val="1482"/>
      <w:tabs>
        <w:tab w:val="center" w:pos="4153" w:leader="none"/>
        <w:tab w:val="right" w:pos="8306" w:leader="none"/>
      </w:tabs>
      <w:rPr>
        <w:rStyle w:val="1507"/>
      </w:rPr>
      <w:framePr w:wrap="around" w:vAnchor="text" w:hAnchor="page" w:x="6104" w:y="52"/>
    </w:pPr>
    <w:r>
      <w:rPr>
        <w:rStyle w:val="1507"/>
      </w:rPr>
    </w:r>
    <w:r/>
  </w:p>
  <w:p>
    <w:pPr>
      <w:pStyle w:val="1482"/>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819" w:leader="none"/>
        <w:tab w:val="right" w:pos="8306" w:leader="none"/>
      </w:tabs>
      <w:rPr>
        <w:rStyle w:val="1507"/>
      </w:rPr>
    </w:pPr>
    <w:r>
      <w:rPr>
        <w:rStyle w:val="1507"/>
        <w:rFonts w:hint="eastAsia"/>
      </w:rPr>
      <w:tab/>
    </w:r>
    <w:r>
      <w:rPr>
        <w:rStyle w:val="1507"/>
      </w:rPr>
    </w:r>
    <w:r/>
  </w:p>
  <w:p>
    <w:pPr>
      <w:pStyle w:val="1482"/>
      <w:tabs>
        <w:tab w:val="center" w:pos="4153" w:leader="none"/>
        <w:tab w:val="right" w:pos="8306" w:leader="none"/>
      </w:tabs>
      <w:rPr>
        <w:rStyle w:val="1507"/>
      </w:rPr>
      <w:framePr w:wrap="around" w:vAnchor="text" w:hAnchor="page" w:x="6104" w:y="52"/>
    </w:pPr>
    <w:r>
      <w:rPr>
        <w:rStyle w:val="15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43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43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3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2"/>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2"/>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43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2"/>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2"/>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3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3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143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143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6">
    <w:name w:val="Heading 1"/>
    <w:basedOn w:val="1434"/>
    <w:next w:val="1434"/>
    <w:link w:val="1257"/>
    <w:uiPriority w:val="9"/>
    <w:qFormat/>
    <w:pPr>
      <w:keepLines/>
      <w:keepNext/>
      <w:spacing w:before="480" w:after="200"/>
      <w:outlineLvl w:val="0"/>
    </w:pPr>
    <w:rPr>
      <w:rFonts w:ascii="Arial" w:hAnsi="Arial" w:eastAsia="Arial" w:cs="Arial"/>
      <w:sz w:val="40"/>
      <w:szCs w:val="40"/>
    </w:rPr>
  </w:style>
  <w:style w:type="character" w:styleId="1257">
    <w:name w:val="Heading 1 Char"/>
    <w:link w:val="1256"/>
    <w:uiPriority w:val="9"/>
    <w:rPr>
      <w:rFonts w:ascii="Arial" w:hAnsi="Arial" w:eastAsia="Arial" w:cs="Arial"/>
      <w:sz w:val="40"/>
      <w:szCs w:val="40"/>
    </w:rPr>
  </w:style>
  <w:style w:type="paragraph" w:styleId="1258">
    <w:name w:val="Heading 2"/>
    <w:basedOn w:val="1434"/>
    <w:next w:val="1434"/>
    <w:link w:val="1259"/>
    <w:uiPriority w:val="9"/>
    <w:unhideWhenUsed/>
    <w:qFormat/>
    <w:pPr>
      <w:keepLines/>
      <w:keepNext/>
      <w:spacing w:before="360" w:after="200"/>
      <w:outlineLvl w:val="1"/>
    </w:pPr>
    <w:rPr>
      <w:rFonts w:ascii="Arial" w:hAnsi="Arial" w:eastAsia="Arial" w:cs="Arial"/>
      <w:sz w:val="34"/>
    </w:rPr>
  </w:style>
  <w:style w:type="character" w:styleId="1259">
    <w:name w:val="Heading 2 Char"/>
    <w:link w:val="1258"/>
    <w:uiPriority w:val="9"/>
    <w:rPr>
      <w:rFonts w:ascii="Arial" w:hAnsi="Arial" w:eastAsia="Arial" w:cs="Arial"/>
      <w:sz w:val="34"/>
    </w:rPr>
  </w:style>
  <w:style w:type="paragraph" w:styleId="1260">
    <w:name w:val="Heading 3"/>
    <w:basedOn w:val="1434"/>
    <w:next w:val="1434"/>
    <w:link w:val="1261"/>
    <w:uiPriority w:val="9"/>
    <w:unhideWhenUsed/>
    <w:qFormat/>
    <w:pPr>
      <w:keepLines/>
      <w:keepNext/>
      <w:spacing w:before="320" w:after="200"/>
      <w:outlineLvl w:val="2"/>
    </w:pPr>
    <w:rPr>
      <w:rFonts w:ascii="Arial" w:hAnsi="Arial" w:eastAsia="Arial" w:cs="Arial"/>
      <w:sz w:val="30"/>
      <w:szCs w:val="30"/>
    </w:rPr>
  </w:style>
  <w:style w:type="character" w:styleId="1261">
    <w:name w:val="Heading 3 Char"/>
    <w:link w:val="1260"/>
    <w:uiPriority w:val="9"/>
    <w:rPr>
      <w:rFonts w:ascii="Arial" w:hAnsi="Arial" w:eastAsia="Arial" w:cs="Arial"/>
      <w:sz w:val="30"/>
      <w:szCs w:val="30"/>
    </w:rPr>
  </w:style>
  <w:style w:type="paragraph" w:styleId="1262">
    <w:name w:val="Heading 4"/>
    <w:basedOn w:val="1434"/>
    <w:next w:val="1434"/>
    <w:link w:val="1263"/>
    <w:uiPriority w:val="9"/>
    <w:unhideWhenUsed/>
    <w:qFormat/>
    <w:pPr>
      <w:keepLines/>
      <w:keepNext/>
      <w:spacing w:before="320" w:after="200"/>
      <w:outlineLvl w:val="3"/>
    </w:pPr>
    <w:rPr>
      <w:rFonts w:ascii="Arial" w:hAnsi="Arial" w:eastAsia="Arial" w:cs="Arial"/>
      <w:b/>
      <w:bCs/>
      <w:sz w:val="26"/>
      <w:szCs w:val="26"/>
    </w:rPr>
  </w:style>
  <w:style w:type="character" w:styleId="1263">
    <w:name w:val="Heading 4 Char"/>
    <w:link w:val="1262"/>
    <w:uiPriority w:val="9"/>
    <w:rPr>
      <w:rFonts w:ascii="Arial" w:hAnsi="Arial" w:eastAsia="Arial" w:cs="Arial"/>
      <w:b/>
      <w:bCs/>
      <w:sz w:val="26"/>
      <w:szCs w:val="26"/>
    </w:rPr>
  </w:style>
  <w:style w:type="paragraph" w:styleId="1264">
    <w:name w:val="Heading 5"/>
    <w:basedOn w:val="1434"/>
    <w:next w:val="1434"/>
    <w:link w:val="1265"/>
    <w:uiPriority w:val="9"/>
    <w:unhideWhenUsed/>
    <w:qFormat/>
    <w:pPr>
      <w:keepLines/>
      <w:keepNext/>
      <w:spacing w:before="320" w:after="200"/>
      <w:outlineLvl w:val="4"/>
    </w:pPr>
    <w:rPr>
      <w:rFonts w:ascii="Arial" w:hAnsi="Arial" w:eastAsia="Arial" w:cs="Arial"/>
      <w:b/>
      <w:bCs/>
      <w:sz w:val="24"/>
      <w:szCs w:val="24"/>
    </w:rPr>
  </w:style>
  <w:style w:type="character" w:styleId="1265">
    <w:name w:val="Heading 5 Char"/>
    <w:link w:val="1264"/>
    <w:uiPriority w:val="9"/>
    <w:rPr>
      <w:rFonts w:ascii="Arial" w:hAnsi="Arial" w:eastAsia="Arial" w:cs="Arial"/>
      <w:b/>
      <w:bCs/>
      <w:sz w:val="24"/>
      <w:szCs w:val="24"/>
    </w:rPr>
  </w:style>
  <w:style w:type="paragraph" w:styleId="1266">
    <w:name w:val="Heading 6"/>
    <w:basedOn w:val="1434"/>
    <w:next w:val="1434"/>
    <w:link w:val="1267"/>
    <w:uiPriority w:val="9"/>
    <w:unhideWhenUsed/>
    <w:qFormat/>
    <w:pPr>
      <w:keepLines/>
      <w:keepNext/>
      <w:spacing w:before="320" w:after="200"/>
      <w:outlineLvl w:val="5"/>
    </w:pPr>
    <w:rPr>
      <w:rFonts w:ascii="Arial" w:hAnsi="Arial" w:eastAsia="Arial" w:cs="Arial"/>
      <w:b/>
      <w:bCs/>
      <w:sz w:val="22"/>
      <w:szCs w:val="22"/>
    </w:rPr>
  </w:style>
  <w:style w:type="character" w:styleId="1267">
    <w:name w:val="Heading 6 Char"/>
    <w:link w:val="1266"/>
    <w:uiPriority w:val="9"/>
    <w:rPr>
      <w:rFonts w:ascii="Arial" w:hAnsi="Arial" w:eastAsia="Arial" w:cs="Arial"/>
      <w:b/>
      <w:bCs/>
      <w:sz w:val="22"/>
      <w:szCs w:val="22"/>
    </w:rPr>
  </w:style>
  <w:style w:type="paragraph" w:styleId="1268">
    <w:name w:val="Heading 7"/>
    <w:basedOn w:val="1434"/>
    <w:next w:val="1434"/>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name w:val="Heading 7 Char"/>
    <w:link w:val="1268"/>
    <w:uiPriority w:val="9"/>
    <w:rPr>
      <w:rFonts w:ascii="Arial" w:hAnsi="Arial" w:eastAsia="Arial" w:cs="Arial"/>
      <w:b/>
      <w:bCs/>
      <w:i/>
      <w:iCs/>
      <w:sz w:val="22"/>
      <w:szCs w:val="22"/>
    </w:rPr>
  </w:style>
  <w:style w:type="paragraph" w:styleId="1270">
    <w:name w:val="Heading 8"/>
    <w:basedOn w:val="1434"/>
    <w:next w:val="1434"/>
    <w:link w:val="1271"/>
    <w:uiPriority w:val="9"/>
    <w:unhideWhenUsed/>
    <w:qFormat/>
    <w:pPr>
      <w:keepLines/>
      <w:keepNext/>
      <w:spacing w:before="320" w:after="200"/>
      <w:outlineLvl w:val="7"/>
    </w:pPr>
    <w:rPr>
      <w:rFonts w:ascii="Arial" w:hAnsi="Arial" w:eastAsia="Arial" w:cs="Arial"/>
      <w:i/>
      <w:iCs/>
      <w:sz w:val="22"/>
      <w:szCs w:val="22"/>
    </w:rPr>
  </w:style>
  <w:style w:type="character" w:styleId="1271">
    <w:name w:val="Heading 8 Char"/>
    <w:link w:val="1270"/>
    <w:uiPriority w:val="9"/>
    <w:rPr>
      <w:rFonts w:ascii="Arial" w:hAnsi="Arial" w:eastAsia="Arial" w:cs="Arial"/>
      <w:i/>
      <w:iCs/>
      <w:sz w:val="22"/>
      <w:szCs w:val="22"/>
    </w:rPr>
  </w:style>
  <w:style w:type="paragraph" w:styleId="1272">
    <w:name w:val="Heading 9"/>
    <w:basedOn w:val="1434"/>
    <w:next w:val="1434"/>
    <w:link w:val="1273"/>
    <w:uiPriority w:val="9"/>
    <w:unhideWhenUsed/>
    <w:qFormat/>
    <w:pPr>
      <w:keepLines/>
      <w:keepNext/>
      <w:spacing w:before="320" w:after="200"/>
      <w:outlineLvl w:val="8"/>
    </w:pPr>
    <w:rPr>
      <w:rFonts w:ascii="Arial" w:hAnsi="Arial" w:eastAsia="Arial" w:cs="Arial"/>
      <w:i/>
      <w:iCs/>
      <w:sz w:val="21"/>
      <w:szCs w:val="21"/>
    </w:rPr>
  </w:style>
  <w:style w:type="character" w:styleId="1273">
    <w:name w:val="Heading 9 Char"/>
    <w:link w:val="1272"/>
    <w:uiPriority w:val="9"/>
    <w:rPr>
      <w:rFonts w:ascii="Arial" w:hAnsi="Arial" w:eastAsia="Arial" w:cs="Arial"/>
      <w:i/>
      <w:iCs/>
      <w:sz w:val="21"/>
      <w:szCs w:val="21"/>
    </w:rPr>
  </w:style>
  <w:style w:type="paragraph" w:styleId="1274">
    <w:name w:val="List Paragraph"/>
    <w:basedOn w:val="1434"/>
    <w:uiPriority w:val="34"/>
    <w:qFormat/>
    <w:pPr>
      <w:contextualSpacing/>
      <w:ind w:left="720"/>
    </w:pPr>
  </w:style>
  <w:style w:type="paragraph" w:styleId="1275">
    <w:name w:val="No Spacing"/>
    <w:uiPriority w:val="1"/>
    <w:qFormat/>
    <w:pPr>
      <w:spacing w:before="0" w:after="0" w:line="240" w:lineRule="auto"/>
    </w:pPr>
  </w:style>
  <w:style w:type="paragraph" w:styleId="1276">
    <w:name w:val="Title"/>
    <w:basedOn w:val="1434"/>
    <w:next w:val="1434"/>
    <w:link w:val="1277"/>
    <w:uiPriority w:val="10"/>
    <w:qFormat/>
    <w:pPr>
      <w:contextualSpacing/>
      <w:spacing w:before="300" w:after="200"/>
    </w:pPr>
    <w:rPr>
      <w:sz w:val="48"/>
      <w:szCs w:val="48"/>
    </w:rPr>
  </w:style>
  <w:style w:type="character" w:styleId="1277">
    <w:name w:val="Title Char"/>
    <w:link w:val="1276"/>
    <w:uiPriority w:val="10"/>
    <w:rPr>
      <w:sz w:val="48"/>
      <w:szCs w:val="48"/>
    </w:rPr>
  </w:style>
  <w:style w:type="paragraph" w:styleId="1278">
    <w:name w:val="Subtitle"/>
    <w:basedOn w:val="1434"/>
    <w:next w:val="1434"/>
    <w:link w:val="1279"/>
    <w:uiPriority w:val="11"/>
    <w:qFormat/>
    <w:pPr>
      <w:spacing w:before="200" w:after="200"/>
    </w:pPr>
    <w:rPr>
      <w:sz w:val="24"/>
      <w:szCs w:val="24"/>
    </w:rPr>
  </w:style>
  <w:style w:type="character" w:styleId="1279">
    <w:name w:val="Subtitle Char"/>
    <w:link w:val="1278"/>
    <w:uiPriority w:val="11"/>
    <w:rPr>
      <w:sz w:val="24"/>
      <w:szCs w:val="24"/>
    </w:rPr>
  </w:style>
  <w:style w:type="paragraph" w:styleId="1280">
    <w:name w:val="Quote"/>
    <w:basedOn w:val="1434"/>
    <w:next w:val="1434"/>
    <w:link w:val="1281"/>
    <w:uiPriority w:val="29"/>
    <w:qFormat/>
    <w:pPr>
      <w:ind w:left="720" w:right="720"/>
    </w:pPr>
    <w:rPr>
      <w:i/>
    </w:rPr>
  </w:style>
  <w:style w:type="character" w:styleId="1281">
    <w:name w:val="Quote Char"/>
    <w:link w:val="1280"/>
    <w:uiPriority w:val="29"/>
    <w:rPr>
      <w:i/>
    </w:rPr>
  </w:style>
  <w:style w:type="paragraph" w:styleId="1282">
    <w:name w:val="Intense Quote"/>
    <w:basedOn w:val="1434"/>
    <w:next w:val="1434"/>
    <w:link w:val="12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name w:val="Intense Quote Char"/>
    <w:link w:val="1282"/>
    <w:uiPriority w:val="30"/>
    <w:rPr>
      <w:i/>
    </w:rPr>
  </w:style>
  <w:style w:type="paragraph" w:styleId="1284">
    <w:name w:val="Header"/>
    <w:basedOn w:val="1434"/>
    <w:link w:val="1285"/>
    <w:uiPriority w:val="99"/>
    <w:unhideWhenUsed/>
    <w:pPr>
      <w:spacing w:after="0" w:line="240" w:lineRule="auto"/>
      <w:tabs>
        <w:tab w:val="center" w:pos="7143" w:leader="none"/>
        <w:tab w:val="right" w:pos="14287" w:leader="none"/>
      </w:tabs>
    </w:pPr>
  </w:style>
  <w:style w:type="character" w:styleId="1285">
    <w:name w:val="Header Char"/>
    <w:link w:val="1284"/>
    <w:uiPriority w:val="99"/>
  </w:style>
  <w:style w:type="paragraph" w:styleId="1286">
    <w:name w:val="Footer"/>
    <w:basedOn w:val="1434"/>
    <w:link w:val="1289"/>
    <w:uiPriority w:val="99"/>
    <w:unhideWhenUsed/>
    <w:pPr>
      <w:spacing w:after="0" w:line="240" w:lineRule="auto"/>
      <w:tabs>
        <w:tab w:val="center" w:pos="7143" w:leader="none"/>
        <w:tab w:val="right" w:pos="14287" w:leader="none"/>
      </w:tabs>
    </w:pPr>
  </w:style>
  <w:style w:type="character" w:styleId="1287">
    <w:name w:val="Footer Char"/>
    <w:link w:val="1286"/>
    <w:uiPriority w:val="99"/>
  </w:style>
  <w:style w:type="paragraph" w:styleId="1288">
    <w:name w:val="Caption"/>
    <w:basedOn w:val="1434"/>
    <w:next w:val="1434"/>
    <w:uiPriority w:val="35"/>
    <w:semiHidden/>
    <w:unhideWhenUsed/>
    <w:qFormat/>
    <w:pPr>
      <w:spacing w:line="276" w:lineRule="auto"/>
    </w:pPr>
    <w:rPr>
      <w:b/>
      <w:bCs/>
      <w:color w:val="4f81bd" w:themeColor="accent1"/>
      <w:sz w:val="18"/>
      <w:szCs w:val="18"/>
    </w:rPr>
  </w:style>
  <w:style w:type="character" w:styleId="1289">
    <w:name w:val="Caption Char"/>
    <w:basedOn w:val="1288"/>
    <w:link w:val="1286"/>
    <w:uiPriority w:val="99"/>
  </w:style>
  <w:style w:type="table" w:styleId="12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6">
    <w:name w:val="Hyperlink"/>
    <w:uiPriority w:val="99"/>
    <w:unhideWhenUsed/>
    <w:rPr>
      <w:color w:val="0000ff" w:themeColor="hyperlink"/>
      <w:u w:val="single"/>
    </w:rPr>
  </w:style>
  <w:style w:type="paragraph" w:styleId="1417">
    <w:name w:val="footnote text"/>
    <w:basedOn w:val="1434"/>
    <w:link w:val="1418"/>
    <w:uiPriority w:val="99"/>
    <w:semiHidden/>
    <w:unhideWhenUsed/>
    <w:pPr>
      <w:spacing w:after="40" w:line="240" w:lineRule="auto"/>
    </w:pPr>
    <w:rPr>
      <w:sz w:val="18"/>
    </w:rPr>
  </w:style>
  <w:style w:type="character" w:styleId="1418">
    <w:name w:val="Footnote Text Char"/>
    <w:link w:val="1417"/>
    <w:uiPriority w:val="99"/>
    <w:rPr>
      <w:sz w:val="18"/>
    </w:rPr>
  </w:style>
  <w:style w:type="character" w:styleId="1419">
    <w:name w:val="footnote reference"/>
    <w:uiPriority w:val="99"/>
    <w:unhideWhenUsed/>
    <w:rPr>
      <w:vertAlign w:val="superscript"/>
    </w:rPr>
  </w:style>
  <w:style w:type="paragraph" w:styleId="1420">
    <w:name w:val="endnote text"/>
    <w:basedOn w:val="1434"/>
    <w:link w:val="1421"/>
    <w:uiPriority w:val="99"/>
    <w:semiHidden/>
    <w:unhideWhenUsed/>
    <w:pPr>
      <w:spacing w:after="0" w:line="240" w:lineRule="auto"/>
    </w:pPr>
    <w:rPr>
      <w:sz w:val="20"/>
    </w:rPr>
  </w:style>
  <w:style w:type="character" w:styleId="1421">
    <w:name w:val="Endnote Text Char"/>
    <w:link w:val="1420"/>
    <w:uiPriority w:val="99"/>
    <w:rPr>
      <w:sz w:val="20"/>
    </w:rPr>
  </w:style>
  <w:style w:type="character" w:styleId="1422">
    <w:name w:val="endnote reference"/>
    <w:uiPriority w:val="99"/>
    <w:semiHidden/>
    <w:unhideWhenUsed/>
    <w:rPr>
      <w:vertAlign w:val="superscript"/>
    </w:rPr>
  </w:style>
  <w:style w:type="paragraph" w:styleId="1423">
    <w:name w:val="toc 1"/>
    <w:basedOn w:val="1434"/>
    <w:next w:val="1434"/>
    <w:uiPriority w:val="39"/>
    <w:unhideWhenUsed/>
    <w:pPr>
      <w:ind w:left="0" w:right="0" w:firstLine="0"/>
      <w:spacing w:after="57"/>
    </w:pPr>
  </w:style>
  <w:style w:type="paragraph" w:styleId="1424">
    <w:name w:val="toc 2"/>
    <w:basedOn w:val="1434"/>
    <w:next w:val="1434"/>
    <w:uiPriority w:val="39"/>
    <w:unhideWhenUsed/>
    <w:pPr>
      <w:ind w:left="283" w:right="0" w:firstLine="0"/>
      <w:spacing w:after="57"/>
    </w:pPr>
  </w:style>
  <w:style w:type="paragraph" w:styleId="1425">
    <w:name w:val="toc 3"/>
    <w:basedOn w:val="1434"/>
    <w:next w:val="1434"/>
    <w:uiPriority w:val="39"/>
    <w:unhideWhenUsed/>
    <w:pPr>
      <w:ind w:left="567" w:right="0" w:firstLine="0"/>
      <w:spacing w:after="57"/>
    </w:pPr>
  </w:style>
  <w:style w:type="paragraph" w:styleId="1426">
    <w:name w:val="toc 4"/>
    <w:basedOn w:val="1434"/>
    <w:next w:val="1434"/>
    <w:uiPriority w:val="39"/>
    <w:unhideWhenUsed/>
    <w:pPr>
      <w:ind w:left="850" w:right="0" w:firstLine="0"/>
      <w:spacing w:after="57"/>
    </w:pPr>
  </w:style>
  <w:style w:type="paragraph" w:styleId="1427">
    <w:name w:val="toc 5"/>
    <w:basedOn w:val="1434"/>
    <w:next w:val="1434"/>
    <w:uiPriority w:val="39"/>
    <w:unhideWhenUsed/>
    <w:pPr>
      <w:ind w:left="1134" w:right="0" w:firstLine="0"/>
      <w:spacing w:after="57"/>
    </w:pPr>
  </w:style>
  <w:style w:type="paragraph" w:styleId="1428">
    <w:name w:val="toc 6"/>
    <w:basedOn w:val="1434"/>
    <w:next w:val="1434"/>
    <w:uiPriority w:val="39"/>
    <w:unhideWhenUsed/>
    <w:pPr>
      <w:ind w:left="1417" w:right="0" w:firstLine="0"/>
      <w:spacing w:after="57"/>
    </w:pPr>
  </w:style>
  <w:style w:type="paragraph" w:styleId="1429">
    <w:name w:val="toc 7"/>
    <w:basedOn w:val="1434"/>
    <w:next w:val="1434"/>
    <w:uiPriority w:val="39"/>
    <w:unhideWhenUsed/>
    <w:pPr>
      <w:ind w:left="1701" w:right="0" w:firstLine="0"/>
      <w:spacing w:after="57"/>
    </w:pPr>
  </w:style>
  <w:style w:type="paragraph" w:styleId="1430">
    <w:name w:val="toc 8"/>
    <w:basedOn w:val="1434"/>
    <w:next w:val="1434"/>
    <w:uiPriority w:val="39"/>
    <w:unhideWhenUsed/>
    <w:pPr>
      <w:ind w:left="1984" w:right="0" w:firstLine="0"/>
      <w:spacing w:after="57"/>
    </w:pPr>
  </w:style>
  <w:style w:type="paragraph" w:styleId="1431">
    <w:name w:val="toc 9"/>
    <w:basedOn w:val="1434"/>
    <w:next w:val="1434"/>
    <w:uiPriority w:val="39"/>
    <w:unhideWhenUsed/>
    <w:pPr>
      <w:ind w:left="2268" w:right="0" w:firstLine="0"/>
      <w:spacing w:after="57"/>
    </w:pPr>
  </w:style>
  <w:style w:type="paragraph" w:styleId="1432">
    <w:name w:val="TOC Heading"/>
    <w:uiPriority w:val="39"/>
    <w:unhideWhenUsed/>
  </w:style>
  <w:style w:type="paragraph" w:styleId="1433">
    <w:name w:val="table of figures"/>
    <w:basedOn w:val="1434"/>
    <w:next w:val="1434"/>
    <w:uiPriority w:val="99"/>
    <w:unhideWhenUsed/>
    <w:pPr>
      <w:spacing w:after="0" w:afterAutospacing="0"/>
    </w:pPr>
  </w:style>
  <w:style w:type="paragraph" w:styleId="1434" w:default="1">
    <w:name w:val="Normal"/>
    <w:next w:val="1434"/>
    <w:link w:val="1434"/>
    <w:qFormat/>
    <w:pPr>
      <w:jc w:val="both"/>
      <w:widowControl w:val="off"/>
    </w:pPr>
    <w:rPr>
      <w:sz w:val="21"/>
      <w:lang w:val="en-US" w:eastAsia="zh-CN" w:bidi="ar-SA"/>
    </w:rPr>
  </w:style>
  <w:style w:type="paragraph" w:styleId="1435">
    <w:name w:val="标题 1"/>
    <w:basedOn w:val="1434"/>
    <w:next w:val="1434"/>
    <w:link w:val="1445"/>
    <w:qFormat/>
    <w:pPr>
      <w:jc w:val="center"/>
      <w:keepNext/>
      <w:spacing w:line="440" w:lineRule="exact"/>
      <w:outlineLvl w:val="0"/>
    </w:pPr>
    <w:rPr>
      <w:rFonts w:ascii="宋体"/>
      <w:sz w:val="28"/>
    </w:rPr>
  </w:style>
  <w:style w:type="paragraph" w:styleId="1436">
    <w:name w:val="标题 2"/>
    <w:basedOn w:val="1434"/>
    <w:next w:val="1434"/>
    <w:link w:val="1446"/>
    <w:qFormat/>
    <w:pPr>
      <w:keepLines/>
      <w:keepNext/>
      <w:spacing w:before="260" w:after="260" w:line="416" w:lineRule="auto"/>
      <w:outlineLvl w:val="1"/>
    </w:pPr>
    <w:rPr>
      <w:rFonts w:ascii="Arial" w:hAnsi="Arial" w:eastAsia="黑体"/>
      <w:b/>
      <w:bCs/>
      <w:sz w:val="32"/>
      <w:szCs w:val="32"/>
    </w:rPr>
  </w:style>
  <w:style w:type="paragraph" w:styleId="1437">
    <w:name w:val="标题 3"/>
    <w:basedOn w:val="1434"/>
    <w:next w:val="1434"/>
    <w:link w:val="144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8">
    <w:name w:val="标题 4"/>
    <w:basedOn w:val="1434"/>
    <w:next w:val="1449"/>
    <w:link w:val="1448"/>
    <w:qFormat/>
    <w:pPr>
      <w:keepLines/>
      <w:keepNext/>
      <w:spacing w:before="280" w:after="290" w:line="372" w:lineRule="auto"/>
      <w:outlineLvl w:val="3"/>
    </w:pPr>
    <w:rPr>
      <w:rFonts w:ascii="Arial" w:hAnsi="Arial" w:eastAsia="黑体"/>
      <w:b/>
      <w:bCs/>
      <w:sz w:val="28"/>
      <w:szCs w:val="28"/>
    </w:rPr>
  </w:style>
  <w:style w:type="paragraph" w:styleId="1439">
    <w:name w:val="标题 5"/>
    <w:basedOn w:val="1434"/>
    <w:next w:val="1434"/>
    <w:link w:val="1451"/>
    <w:qFormat/>
    <w:pPr>
      <w:jc w:val="left"/>
      <w:keepLines/>
      <w:keepNext/>
      <w:spacing w:before="280" w:after="290" w:line="376" w:lineRule="auto"/>
      <w:outlineLvl w:val="4"/>
    </w:pPr>
    <w:rPr>
      <w:rFonts w:ascii="宋体"/>
      <w:b/>
      <w:bCs/>
      <w:sz w:val="28"/>
      <w:szCs w:val="28"/>
    </w:rPr>
  </w:style>
  <w:style w:type="paragraph" w:styleId="1440">
    <w:name w:val="标题 6"/>
    <w:basedOn w:val="1434"/>
    <w:next w:val="1434"/>
    <w:link w:val="1452"/>
    <w:qFormat/>
    <w:pPr>
      <w:jc w:val="left"/>
      <w:keepLines/>
      <w:keepNext/>
      <w:spacing w:before="240" w:after="64" w:line="320" w:lineRule="auto"/>
      <w:outlineLvl w:val="5"/>
    </w:pPr>
    <w:rPr>
      <w:rFonts w:ascii="Arial" w:hAnsi="Arial" w:eastAsia="黑体"/>
      <w:b/>
      <w:bCs/>
      <w:sz w:val="24"/>
      <w:szCs w:val="24"/>
    </w:rPr>
  </w:style>
  <w:style w:type="paragraph" w:styleId="1441">
    <w:name w:val="标题 8"/>
    <w:basedOn w:val="1434"/>
    <w:next w:val="1434"/>
    <w:link w:val="1453"/>
    <w:qFormat/>
    <w:pPr>
      <w:jc w:val="left"/>
      <w:keepLines/>
      <w:keepNext/>
      <w:spacing w:before="240" w:after="64" w:line="320" w:lineRule="auto"/>
      <w:outlineLvl w:val="7"/>
    </w:pPr>
    <w:rPr>
      <w:rFonts w:ascii="Arial" w:hAnsi="Arial" w:eastAsia="黑体"/>
      <w:sz w:val="24"/>
      <w:szCs w:val="24"/>
    </w:rPr>
  </w:style>
  <w:style w:type="paragraph" w:styleId="1442">
    <w:name w:val="标题 9"/>
    <w:basedOn w:val="1434"/>
    <w:next w:val="1434"/>
    <w:link w:val="1454"/>
    <w:qFormat/>
    <w:pPr>
      <w:jc w:val="left"/>
      <w:keepLines/>
      <w:keepNext/>
      <w:spacing w:before="240" w:after="64" w:line="320" w:lineRule="auto"/>
      <w:outlineLvl w:val="8"/>
    </w:pPr>
    <w:rPr>
      <w:rFonts w:ascii="Arial" w:hAnsi="Arial" w:eastAsia="黑体"/>
      <w:szCs w:val="21"/>
    </w:rPr>
  </w:style>
  <w:style w:type="character" w:styleId="1443">
    <w:name w:val="默认段落字体"/>
    <w:next w:val="1443"/>
    <w:link w:val="1434"/>
    <w:uiPriority w:val="1"/>
    <w:unhideWhenUsed/>
  </w:style>
  <w:style w:type="table" w:styleId="1444">
    <w:name w:val="普通表格"/>
    <w:next w:val="1444"/>
    <w:link w:val="14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5">
    <w:name w:val="标题 1 字符"/>
    <w:next w:val="1445"/>
    <w:link w:val="1435"/>
    <w:qFormat/>
    <w:rPr>
      <w:rFonts w:ascii="宋体"/>
      <w:sz w:val="28"/>
    </w:rPr>
  </w:style>
  <w:style w:type="character" w:styleId="1446">
    <w:name w:val="标题 2 字符"/>
    <w:next w:val="1446"/>
    <w:link w:val="1436"/>
    <w:qFormat/>
    <w:rPr>
      <w:rFonts w:ascii="Arial" w:hAnsi="Arial" w:eastAsia="黑体"/>
      <w:b/>
      <w:bCs/>
      <w:sz w:val="32"/>
      <w:szCs w:val="32"/>
    </w:rPr>
  </w:style>
  <w:style w:type="character" w:styleId="1447">
    <w:name w:val="标题 3 字符"/>
    <w:next w:val="1447"/>
    <w:link w:val="1437"/>
    <w:qFormat/>
    <w:rPr>
      <w:rFonts w:ascii="仿宋_GB2312" w:eastAsia="仿宋_GB2312"/>
      <w:sz w:val="32"/>
    </w:rPr>
  </w:style>
  <w:style w:type="character" w:styleId="1448">
    <w:name w:val="标题 4 字符"/>
    <w:next w:val="1448"/>
    <w:link w:val="1438"/>
    <w:qFormat/>
    <w:rPr>
      <w:rFonts w:ascii="Arial" w:hAnsi="Arial" w:eastAsia="黑体" w:cs="Arial"/>
      <w:b/>
      <w:bCs/>
      <w:sz w:val="28"/>
      <w:szCs w:val="28"/>
    </w:rPr>
  </w:style>
  <w:style w:type="paragraph" w:styleId="1449">
    <w:name w:val="正文缩进"/>
    <w:basedOn w:val="1434"/>
    <w:next w:val="1449"/>
    <w:link w:val="1450"/>
    <w:qFormat/>
    <w:pPr>
      <w:ind w:firstLine="420"/>
    </w:pPr>
    <w:rPr>
      <w:b/>
      <w:sz w:val="24"/>
    </w:rPr>
  </w:style>
  <w:style w:type="character" w:styleId="1450">
    <w:name w:val="正文缩进 字符"/>
    <w:next w:val="1450"/>
    <w:link w:val="1449"/>
    <w:qFormat/>
    <w:rPr>
      <w:b/>
      <w:sz w:val="24"/>
    </w:rPr>
  </w:style>
  <w:style w:type="character" w:styleId="1451">
    <w:name w:val="标题 5 字符"/>
    <w:next w:val="1451"/>
    <w:link w:val="1439"/>
    <w:qFormat/>
    <w:rPr>
      <w:rFonts w:ascii="宋体"/>
      <w:b/>
      <w:bCs/>
      <w:sz w:val="28"/>
      <w:szCs w:val="28"/>
    </w:rPr>
  </w:style>
  <w:style w:type="character" w:styleId="1452">
    <w:name w:val="标题 6 字符"/>
    <w:next w:val="1452"/>
    <w:link w:val="1440"/>
    <w:qFormat/>
    <w:rPr>
      <w:rFonts w:ascii="Arial" w:hAnsi="Arial" w:eastAsia="黑体"/>
      <w:b/>
      <w:bCs/>
      <w:sz w:val="24"/>
      <w:szCs w:val="24"/>
    </w:rPr>
  </w:style>
  <w:style w:type="character" w:styleId="1453">
    <w:name w:val="标题 8 字符"/>
    <w:next w:val="1453"/>
    <w:link w:val="1441"/>
    <w:qFormat/>
    <w:rPr>
      <w:rFonts w:ascii="Arial" w:hAnsi="Arial" w:eastAsia="黑体"/>
      <w:sz w:val="24"/>
      <w:szCs w:val="24"/>
    </w:rPr>
  </w:style>
  <w:style w:type="character" w:styleId="1454">
    <w:name w:val="标题 9 字符"/>
    <w:next w:val="1454"/>
    <w:link w:val="1442"/>
    <w:qFormat/>
    <w:rPr>
      <w:rFonts w:ascii="Arial" w:hAnsi="Arial" w:eastAsia="黑体"/>
      <w:sz w:val="21"/>
      <w:szCs w:val="21"/>
    </w:rPr>
  </w:style>
  <w:style w:type="paragraph" w:styleId="1455">
    <w:name w:val="列表 3"/>
    <w:basedOn w:val="1434"/>
    <w:next w:val="1455"/>
    <w:link w:val="1434"/>
    <w:qFormat/>
    <w:pPr>
      <w:contextualSpacing/>
      <w:ind w:left="100" w:hanging="200"/>
    </w:pPr>
  </w:style>
  <w:style w:type="paragraph" w:styleId="1456">
    <w:name w:val="目录 7"/>
    <w:basedOn w:val="1434"/>
    <w:next w:val="1434"/>
    <w:link w:val="1434"/>
    <w:uiPriority w:val="39"/>
    <w:qFormat/>
    <w:pPr>
      <w:ind w:left="2520"/>
    </w:pPr>
  </w:style>
  <w:style w:type="paragraph" w:styleId="1457">
    <w:name w:val="题注"/>
    <w:basedOn w:val="1434"/>
    <w:next w:val="1434"/>
    <w:link w:val="1434"/>
    <w:qFormat/>
    <w:pPr>
      <w:ind w:firstLine="200"/>
      <w:spacing w:line="360" w:lineRule="auto"/>
    </w:pPr>
    <w:rPr>
      <w:rFonts w:ascii="Cambria" w:hAnsi="Cambria" w:eastAsia="黑体"/>
      <w:sz w:val="20"/>
    </w:rPr>
  </w:style>
  <w:style w:type="paragraph" w:styleId="1458">
    <w:name w:val="列表项目符号"/>
    <w:basedOn w:val="1434"/>
    <w:next w:val="1458"/>
    <w:link w:val="1434"/>
    <w:qFormat/>
    <w:pPr>
      <w:ind w:firstLine="288"/>
      <w:spacing w:line="360" w:lineRule="atLeast"/>
      <w:tabs>
        <w:tab w:val="left" w:pos="0" w:leader="none"/>
        <w:tab w:val="left" w:pos="360" w:leader="none"/>
      </w:tabs>
    </w:pPr>
    <w:rPr>
      <w:rFonts w:ascii="Arial" w:hAnsi="Arial"/>
      <w:szCs w:val="21"/>
    </w:rPr>
  </w:style>
  <w:style w:type="paragraph" w:styleId="1459">
    <w:name w:val="文档结构图"/>
    <w:basedOn w:val="1434"/>
    <w:next w:val="1459"/>
    <w:link w:val="1460"/>
    <w:qFormat/>
    <w:pPr>
      <w:jc w:val="left"/>
    </w:pPr>
    <w:rPr>
      <w:rFonts w:ascii="宋体" w:eastAsia="仿宋_GB2312"/>
      <w:sz w:val="18"/>
      <w:szCs w:val="18"/>
    </w:rPr>
  </w:style>
  <w:style w:type="character" w:styleId="1460">
    <w:name w:val="文档结构图 字符"/>
    <w:next w:val="1460"/>
    <w:link w:val="1459"/>
    <w:qFormat/>
    <w:rPr>
      <w:rFonts w:ascii="宋体" w:eastAsia="仿宋_GB2312"/>
      <w:sz w:val="18"/>
      <w:szCs w:val="18"/>
    </w:rPr>
  </w:style>
  <w:style w:type="paragraph" w:styleId="1461">
    <w:name w:val="引文目录标题"/>
    <w:basedOn w:val="1434"/>
    <w:next w:val="1434"/>
    <w:link w:val="1434"/>
    <w:qFormat/>
    <w:pPr>
      <w:spacing w:before="120"/>
    </w:pPr>
    <w:rPr>
      <w:rFonts w:ascii="Arial" w:hAnsi="Arial" w:cs="Arial"/>
      <w:sz w:val="24"/>
      <w:szCs w:val="24"/>
    </w:rPr>
  </w:style>
  <w:style w:type="paragraph" w:styleId="1462">
    <w:name w:val="批注文字"/>
    <w:basedOn w:val="1434"/>
    <w:next w:val="1462"/>
    <w:link w:val="1463"/>
    <w:qFormat/>
    <w:pPr>
      <w:jc w:val="left"/>
    </w:pPr>
  </w:style>
  <w:style w:type="character" w:styleId="1463">
    <w:name w:val="批注文字 字符"/>
    <w:next w:val="1463"/>
    <w:link w:val="1462"/>
    <w:qFormat/>
    <w:rPr>
      <w:sz w:val="21"/>
    </w:rPr>
  </w:style>
  <w:style w:type="paragraph" w:styleId="1464">
    <w:name w:val="正文文本"/>
    <w:basedOn w:val="1434"/>
    <w:next w:val="1434"/>
    <w:link w:val="1465"/>
    <w:qFormat/>
    <w:rPr>
      <w:rFonts w:ascii="宋体"/>
      <w:sz w:val="28"/>
    </w:rPr>
  </w:style>
  <w:style w:type="character" w:styleId="1465">
    <w:name w:val="正文文本 字符"/>
    <w:next w:val="1465"/>
    <w:link w:val="1464"/>
    <w:qFormat/>
    <w:rPr>
      <w:rFonts w:ascii="宋体" w:eastAsia="宋体"/>
      <w:sz w:val="28"/>
      <w:lang w:val="en-US" w:eastAsia="zh-CN" w:bidi="ar-SA"/>
    </w:rPr>
  </w:style>
  <w:style w:type="paragraph" w:styleId="1466">
    <w:name w:val="正文文本缩进"/>
    <w:basedOn w:val="1434"/>
    <w:next w:val="1466"/>
    <w:link w:val="1467"/>
    <w:qFormat/>
    <w:pPr>
      <w:ind w:firstLine="420"/>
      <w:spacing w:line="360" w:lineRule="auto"/>
    </w:pPr>
    <w:rPr>
      <w:rFonts w:ascii="宋体"/>
      <w:sz w:val="24"/>
    </w:rPr>
  </w:style>
  <w:style w:type="character" w:styleId="1467">
    <w:name w:val="正文文本缩进 字符"/>
    <w:next w:val="1467"/>
    <w:link w:val="1466"/>
    <w:qFormat/>
    <w:rPr>
      <w:rFonts w:ascii="宋体"/>
      <w:sz w:val="24"/>
    </w:rPr>
  </w:style>
  <w:style w:type="paragraph" w:styleId="1468">
    <w:name w:val="列表 2"/>
    <w:basedOn w:val="1434"/>
    <w:next w:val="1468"/>
    <w:link w:val="1434"/>
    <w:qFormat/>
    <w:pPr>
      <w:ind w:left="100" w:hanging="200"/>
    </w:pPr>
  </w:style>
  <w:style w:type="paragraph" w:styleId="1469">
    <w:name w:val="文本块"/>
    <w:basedOn w:val="1434"/>
    <w:next w:val="1469"/>
    <w:link w:val="1434"/>
    <w:uiPriority w:val="99"/>
    <w:unhideWhenUsed/>
    <w:qFormat/>
    <w:pPr>
      <w:ind w:left="1440" w:right="1440"/>
      <w:spacing w:after="120"/>
    </w:pPr>
  </w:style>
  <w:style w:type="paragraph" w:styleId="1470">
    <w:name w:val="索引 4"/>
    <w:basedOn w:val="1434"/>
    <w:next w:val="1434"/>
    <w:link w:val="1434"/>
    <w:uiPriority w:val="99"/>
    <w:unhideWhenUsed/>
    <w:qFormat/>
    <w:pPr>
      <w:ind w:left="600"/>
    </w:pPr>
    <w:rPr>
      <w:rFonts w:ascii="Verdana" w:hAnsi="Verdana"/>
      <w:szCs w:val="20"/>
    </w:rPr>
  </w:style>
  <w:style w:type="paragraph" w:styleId="1471">
    <w:name w:val="目录 5"/>
    <w:basedOn w:val="1434"/>
    <w:next w:val="1434"/>
    <w:link w:val="1434"/>
    <w:uiPriority w:val="39"/>
    <w:qFormat/>
    <w:pPr>
      <w:ind w:left="1680"/>
    </w:pPr>
  </w:style>
  <w:style w:type="paragraph" w:styleId="1472">
    <w:name w:val="目录 3"/>
    <w:basedOn w:val="1434"/>
    <w:next w:val="1434"/>
    <w:link w:val="1434"/>
    <w:uiPriority w:val="39"/>
    <w:qFormat/>
    <w:pPr>
      <w:ind w:left="840"/>
    </w:pPr>
  </w:style>
  <w:style w:type="paragraph" w:styleId="1473">
    <w:name w:val="纯文本"/>
    <w:basedOn w:val="1434"/>
    <w:next w:val="1473"/>
    <w:link w:val="1474"/>
    <w:qFormat/>
    <w:rPr>
      <w:rFonts w:ascii="宋体" w:hAnsi="Courier New"/>
    </w:rPr>
  </w:style>
  <w:style w:type="character" w:styleId="1474">
    <w:name w:val="纯文本 字符"/>
    <w:next w:val="1474"/>
    <w:link w:val="1473"/>
    <w:qFormat/>
    <w:rPr>
      <w:rFonts w:ascii="宋体" w:hAnsi="Courier New" w:eastAsia="宋体"/>
      <w:sz w:val="21"/>
      <w:lang w:val="en-US" w:eastAsia="zh-CN" w:bidi="ar-SA"/>
    </w:rPr>
  </w:style>
  <w:style w:type="paragraph" w:styleId="1475">
    <w:name w:val="目录 8"/>
    <w:basedOn w:val="1434"/>
    <w:next w:val="1434"/>
    <w:link w:val="1434"/>
    <w:uiPriority w:val="39"/>
    <w:qFormat/>
    <w:pPr>
      <w:ind w:left="2940"/>
    </w:pPr>
  </w:style>
  <w:style w:type="paragraph" w:styleId="1476">
    <w:name w:val="日期"/>
    <w:basedOn w:val="1434"/>
    <w:next w:val="1434"/>
    <w:link w:val="1477"/>
    <w:qFormat/>
    <w:rPr>
      <w:rFonts w:ascii="宋体"/>
    </w:rPr>
  </w:style>
  <w:style w:type="character" w:styleId="1477">
    <w:name w:val="日期 字符"/>
    <w:next w:val="1477"/>
    <w:link w:val="1476"/>
    <w:qFormat/>
    <w:rPr>
      <w:rFonts w:ascii="宋体"/>
      <w:sz w:val="21"/>
    </w:rPr>
  </w:style>
  <w:style w:type="paragraph" w:styleId="1478">
    <w:name w:val="正文文本缩进 2"/>
    <w:basedOn w:val="1434"/>
    <w:next w:val="1478"/>
    <w:link w:val="1479"/>
    <w:qFormat/>
    <w:pPr>
      <w:ind w:firstLine="525"/>
      <w:spacing w:line="420" w:lineRule="exact"/>
    </w:pPr>
    <w:rPr>
      <w:rFonts w:ascii="宋体"/>
    </w:rPr>
  </w:style>
  <w:style w:type="character" w:styleId="1479">
    <w:name w:val="正文文本缩进 2 字符"/>
    <w:next w:val="1479"/>
    <w:link w:val="1478"/>
    <w:qFormat/>
    <w:rPr>
      <w:rFonts w:ascii="宋体"/>
      <w:sz w:val="21"/>
    </w:rPr>
  </w:style>
  <w:style w:type="paragraph" w:styleId="1480">
    <w:name w:val="批注框文本"/>
    <w:basedOn w:val="1434"/>
    <w:next w:val="1480"/>
    <w:link w:val="1481"/>
    <w:uiPriority w:val="99"/>
    <w:qFormat/>
    <w:rPr>
      <w:sz w:val="18"/>
      <w:szCs w:val="18"/>
    </w:rPr>
  </w:style>
  <w:style w:type="character" w:styleId="1481">
    <w:name w:val="批注框文本 字符"/>
    <w:next w:val="1481"/>
    <w:link w:val="1480"/>
    <w:uiPriority w:val="99"/>
    <w:semiHidden/>
    <w:qFormat/>
    <w:rPr>
      <w:sz w:val="18"/>
      <w:szCs w:val="18"/>
    </w:rPr>
  </w:style>
  <w:style w:type="paragraph" w:styleId="1482">
    <w:name w:val="页脚"/>
    <w:basedOn w:val="1434"/>
    <w:next w:val="1482"/>
    <w:link w:val="1483"/>
    <w:uiPriority w:val="99"/>
    <w:qFormat/>
    <w:pPr>
      <w:jc w:val="left"/>
      <w:tabs>
        <w:tab w:val="center" w:pos="4153" w:leader="none"/>
        <w:tab w:val="right" w:pos="8306" w:leader="none"/>
      </w:tabs>
    </w:pPr>
    <w:rPr>
      <w:sz w:val="18"/>
    </w:rPr>
  </w:style>
  <w:style w:type="character" w:styleId="1483">
    <w:name w:val="页脚 字符"/>
    <w:next w:val="1483"/>
    <w:link w:val="1482"/>
    <w:uiPriority w:val="99"/>
    <w:qFormat/>
    <w:rPr>
      <w:sz w:val="18"/>
    </w:rPr>
  </w:style>
  <w:style w:type="paragraph" w:styleId="1484">
    <w:name w:val="寄信人地址"/>
    <w:basedOn w:val="1434"/>
    <w:next w:val="1484"/>
    <w:link w:val="1434"/>
    <w:qFormat/>
    <w:rPr>
      <w:rFonts w:ascii="Arial" w:hAnsi="Arial"/>
    </w:rPr>
  </w:style>
  <w:style w:type="paragraph" w:styleId="1485">
    <w:name w:val="页眉"/>
    <w:basedOn w:val="1434"/>
    <w:next w:val="1485"/>
    <w:link w:val="1486"/>
    <w:uiPriority w:val="99"/>
    <w:qFormat/>
    <w:pPr>
      <w:jc w:val="center"/>
      <w:tabs>
        <w:tab w:val="center" w:pos="4153" w:leader="none"/>
        <w:tab w:val="right" w:pos="8306" w:leader="none"/>
      </w:tabs>
      <w:pBdr>
        <w:bottom w:val="single" w:color="000000" w:sz="6" w:space="1"/>
      </w:pBdr>
    </w:pPr>
    <w:rPr>
      <w:sz w:val="18"/>
    </w:rPr>
  </w:style>
  <w:style w:type="character" w:styleId="1486">
    <w:name w:val="页眉 字符"/>
    <w:next w:val="1486"/>
    <w:link w:val="1485"/>
    <w:uiPriority w:val="99"/>
    <w:qFormat/>
    <w:rPr>
      <w:sz w:val="18"/>
    </w:rPr>
  </w:style>
  <w:style w:type="paragraph" w:styleId="1487">
    <w:name w:val="目录 1"/>
    <w:basedOn w:val="1434"/>
    <w:next w:val="1434"/>
    <w:link w:val="1434"/>
    <w:uiPriority w:val="39"/>
    <w:qFormat/>
  </w:style>
  <w:style w:type="paragraph" w:styleId="1488">
    <w:name w:val="目录 4"/>
    <w:basedOn w:val="1434"/>
    <w:next w:val="1434"/>
    <w:link w:val="1434"/>
    <w:uiPriority w:val="39"/>
    <w:qFormat/>
    <w:pPr>
      <w:ind w:left="1260"/>
    </w:pPr>
  </w:style>
  <w:style w:type="paragraph" w:styleId="1489">
    <w:name w:val="副标题"/>
    <w:basedOn w:val="1434"/>
    <w:next w:val="1434"/>
    <w:link w:val="1490"/>
    <w:qFormat/>
    <w:pPr>
      <w:jc w:val="center"/>
      <w:spacing w:before="240" w:after="60" w:line="312" w:lineRule="auto"/>
      <w:outlineLvl w:val="1"/>
    </w:pPr>
    <w:rPr>
      <w:rFonts w:ascii="Cambria" w:hAnsi="Cambria"/>
      <w:b/>
      <w:bCs/>
      <w:sz w:val="32"/>
      <w:szCs w:val="32"/>
    </w:rPr>
  </w:style>
  <w:style w:type="character" w:styleId="1490">
    <w:name w:val="副标题 字符"/>
    <w:next w:val="1490"/>
    <w:link w:val="1489"/>
    <w:qFormat/>
    <w:rPr>
      <w:rFonts w:ascii="Cambria" w:hAnsi="Cambria"/>
      <w:b/>
      <w:bCs/>
      <w:sz w:val="32"/>
      <w:szCs w:val="32"/>
    </w:rPr>
  </w:style>
  <w:style w:type="paragraph" w:styleId="1491">
    <w:name w:val="目录 6"/>
    <w:basedOn w:val="1434"/>
    <w:next w:val="1434"/>
    <w:link w:val="1434"/>
    <w:uiPriority w:val="39"/>
    <w:qFormat/>
    <w:pPr>
      <w:ind w:left="2100"/>
    </w:pPr>
  </w:style>
  <w:style w:type="paragraph" w:styleId="1492">
    <w:name w:val="正文文本缩进 3"/>
    <w:basedOn w:val="1434"/>
    <w:next w:val="1492"/>
    <w:link w:val="1493"/>
    <w:qFormat/>
    <w:pPr>
      <w:ind w:firstLine="841"/>
    </w:pPr>
    <w:rPr>
      <w:rFonts w:eastAsia="华文新魏"/>
      <w:b/>
      <w:bCs/>
      <w:sz w:val="84"/>
    </w:rPr>
  </w:style>
  <w:style w:type="character" w:styleId="1493">
    <w:name w:val="正文文本缩进 3 字符"/>
    <w:next w:val="1493"/>
    <w:link w:val="1492"/>
    <w:qFormat/>
    <w:rPr>
      <w:rFonts w:eastAsia="华文新魏"/>
      <w:b/>
      <w:bCs/>
      <w:sz w:val="84"/>
    </w:rPr>
  </w:style>
  <w:style w:type="paragraph" w:styleId="1494">
    <w:name w:val="目录 2"/>
    <w:basedOn w:val="1434"/>
    <w:next w:val="1434"/>
    <w:link w:val="1434"/>
    <w:uiPriority w:val="39"/>
    <w:qFormat/>
    <w:pPr>
      <w:ind w:left="420"/>
    </w:pPr>
  </w:style>
  <w:style w:type="paragraph" w:styleId="1495">
    <w:name w:val="目录 9"/>
    <w:basedOn w:val="1434"/>
    <w:next w:val="1434"/>
    <w:link w:val="1434"/>
    <w:uiPriority w:val="39"/>
    <w:qFormat/>
    <w:pPr>
      <w:ind w:left="3360"/>
    </w:pPr>
  </w:style>
  <w:style w:type="paragraph" w:styleId="1496">
    <w:name w:val="HTML 预设格式"/>
    <w:basedOn w:val="1434"/>
    <w:next w:val="1496"/>
    <w:link w:val="14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7">
    <w:name w:val="HTML 预设格式 字符"/>
    <w:next w:val="1497"/>
    <w:link w:val="1496"/>
    <w:qFormat/>
    <w:rPr>
      <w:rFonts w:ascii="黑体" w:hAnsi="Courier New" w:eastAsia="黑体" w:cs="Courier New"/>
    </w:rPr>
  </w:style>
  <w:style w:type="paragraph" w:styleId="1498">
    <w:name w:val="普通(网站)"/>
    <w:basedOn w:val="1434"/>
    <w:next w:val="1498"/>
    <w:link w:val="143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9">
    <w:name w:val="标题"/>
    <w:basedOn w:val="1434"/>
    <w:next w:val="1499"/>
    <w:link w:val="1500"/>
    <w:uiPriority w:val="10"/>
    <w:qFormat/>
    <w:pPr>
      <w:jc w:val="center"/>
    </w:pPr>
    <w:rPr>
      <w:sz w:val="30"/>
      <w:szCs w:val="24"/>
    </w:rPr>
  </w:style>
  <w:style w:type="character" w:styleId="1500">
    <w:name w:val="标题 字符"/>
    <w:next w:val="1500"/>
    <w:link w:val="1499"/>
    <w:uiPriority w:val="10"/>
    <w:qFormat/>
    <w:rPr>
      <w:sz w:val="30"/>
      <w:szCs w:val="24"/>
    </w:rPr>
  </w:style>
  <w:style w:type="paragraph" w:styleId="1501">
    <w:name w:val="批注主题"/>
    <w:basedOn w:val="1462"/>
    <w:next w:val="1462"/>
    <w:link w:val="1502"/>
    <w:qFormat/>
    <w:rPr>
      <w:b/>
      <w:bCs/>
    </w:rPr>
  </w:style>
  <w:style w:type="character" w:styleId="1502">
    <w:name w:val="批注主题 字符"/>
    <w:next w:val="1502"/>
    <w:link w:val="1501"/>
    <w:qFormat/>
    <w:rPr>
      <w:b/>
      <w:bCs/>
      <w:sz w:val="21"/>
    </w:rPr>
  </w:style>
  <w:style w:type="paragraph" w:styleId="1503">
    <w:name w:val="正文首行缩进"/>
    <w:basedOn w:val="1464"/>
    <w:next w:val="1503"/>
    <w:link w:val="1434"/>
    <w:qFormat/>
    <w:pPr>
      <w:ind w:firstLine="420"/>
      <w:spacing w:line="360" w:lineRule="auto"/>
    </w:pPr>
    <w:rPr>
      <w:rFonts w:ascii="Times New Roman"/>
      <w:szCs w:val="21"/>
    </w:rPr>
  </w:style>
  <w:style w:type="paragraph" w:styleId="1504">
    <w:name w:val="正文首行缩进 2"/>
    <w:basedOn w:val="1466"/>
    <w:next w:val="1434"/>
    <w:link w:val="1434"/>
    <w:qFormat/>
    <w:pPr>
      <w:ind w:firstLine="420"/>
    </w:pPr>
  </w:style>
  <w:style w:type="table" w:styleId="1505">
    <w:name w:val="网格型"/>
    <w:basedOn w:val="1444"/>
    <w:next w:val="1505"/>
    <w:link w:val="1434"/>
    <w:qFormat/>
    <w:rPr>
      <w:sz w:val="21"/>
      <w:szCs w:val="22"/>
    </w:rPr>
    <w:tblPr/>
  </w:style>
  <w:style w:type="character" w:styleId="1506">
    <w:name w:val="要点"/>
    <w:next w:val="1506"/>
    <w:link w:val="1434"/>
    <w:qFormat/>
    <w:rPr>
      <w:b/>
      <w:bCs/>
    </w:rPr>
  </w:style>
  <w:style w:type="character" w:styleId="1507">
    <w:name w:val="页码"/>
    <w:next w:val="1507"/>
    <w:link w:val="1434"/>
    <w:qFormat/>
  </w:style>
  <w:style w:type="character" w:styleId="1508">
    <w:name w:val="强调"/>
    <w:next w:val="1508"/>
    <w:link w:val="1434"/>
    <w:uiPriority w:val="20"/>
    <w:qFormat/>
    <w:rPr>
      <w:i/>
    </w:rPr>
  </w:style>
  <w:style w:type="character" w:styleId="1509">
    <w:name w:val="超链接"/>
    <w:next w:val="1509"/>
    <w:link w:val="1434"/>
    <w:uiPriority w:val="99"/>
    <w:qFormat/>
    <w:rPr>
      <w:color w:val="333333"/>
      <w:u w:val="none"/>
    </w:rPr>
  </w:style>
  <w:style w:type="character" w:styleId="1510">
    <w:name w:val="批注引用"/>
    <w:next w:val="1510"/>
    <w:link w:val="1434"/>
    <w:qFormat/>
    <w:rPr>
      <w:sz w:val="21"/>
      <w:szCs w:val="21"/>
    </w:rPr>
  </w:style>
  <w:style w:type="character" w:styleId="1511">
    <w:name w:val="标题 8 Char"/>
    <w:next w:val="1511"/>
    <w:link w:val="1434"/>
    <w:qFormat/>
    <w:rPr>
      <w:rFonts w:ascii="Arial" w:hAnsi="Arial" w:eastAsia="黑体"/>
      <w:sz w:val="24"/>
      <w:szCs w:val="24"/>
    </w:rPr>
  </w:style>
  <w:style w:type="character" w:styleId="1512">
    <w:name w:val="日期 Char"/>
    <w:next w:val="1512"/>
    <w:link w:val="1434"/>
    <w:qFormat/>
    <w:rPr>
      <w:rFonts w:ascii="宋体" w:hAnsi="Times New Roman" w:eastAsia="宋体" w:cs="Times New Roman"/>
      <w:sz w:val="20"/>
      <w:szCs w:val="20"/>
    </w:rPr>
  </w:style>
  <w:style w:type="character" w:styleId="1513">
    <w:name w:val="页脚 Char1"/>
    <w:next w:val="1513"/>
    <w:link w:val="1434"/>
    <w:uiPriority w:val="99"/>
    <w:qFormat/>
    <w:rPr>
      <w:sz w:val="18"/>
    </w:rPr>
  </w:style>
  <w:style w:type="character" w:styleId="1514">
    <w:name w:val="标题 6 Char"/>
    <w:next w:val="1514"/>
    <w:link w:val="1434"/>
    <w:qFormat/>
    <w:rPr>
      <w:rFonts w:ascii="Arial" w:hAnsi="Arial" w:eastAsia="黑体"/>
      <w:b/>
      <w:bCs/>
      <w:sz w:val="24"/>
      <w:szCs w:val="24"/>
    </w:rPr>
  </w:style>
  <w:style w:type="character" w:styleId="1515">
    <w:name w:val="apple-style-span"/>
    <w:next w:val="1515"/>
    <w:link w:val="1434"/>
    <w:qFormat/>
  </w:style>
  <w:style w:type="character" w:styleId="1516">
    <w:name w:val="页眉 Char"/>
    <w:next w:val="1516"/>
    <w:link w:val="1434"/>
    <w:qFormat/>
    <w:rPr>
      <w:rFonts w:ascii="宋体" w:hAnsi="Times New Roman" w:eastAsia="宋体" w:cs="Times New Roman"/>
      <w:sz w:val="18"/>
      <w:szCs w:val="18"/>
    </w:rPr>
  </w:style>
  <w:style w:type="character" w:styleId="1517">
    <w:name w:val="纯文本 Char"/>
    <w:next w:val="1517"/>
    <w:link w:val="1434"/>
    <w:qFormat/>
    <w:rPr>
      <w:rFonts w:ascii="宋体" w:hAnsi="Courier New" w:eastAsia="宋体" w:cs="Courier New"/>
      <w:szCs w:val="21"/>
    </w:rPr>
  </w:style>
  <w:style w:type="character" w:styleId="1518">
    <w:name w:val="批注框文本 Char"/>
    <w:next w:val="1518"/>
    <w:link w:val="1434"/>
    <w:uiPriority w:val="99"/>
    <w:semiHidden/>
    <w:qFormat/>
    <w:rPr>
      <w:rFonts w:ascii="宋体" w:hAnsi="Times New Roman" w:eastAsia="宋体" w:cs="Times New Roman"/>
      <w:sz w:val="18"/>
      <w:szCs w:val="18"/>
    </w:rPr>
  </w:style>
  <w:style w:type="character" w:styleId="1519">
    <w:name w:val="font21"/>
    <w:next w:val="1519"/>
    <w:link w:val="1434"/>
    <w:qFormat/>
    <w:rPr>
      <w:rFonts w:hint="eastAsia" w:ascii="新宋体" w:hAnsi="新宋体" w:eastAsia="新宋体" w:cs="新宋体"/>
      <w:color w:val="000000"/>
      <w:sz w:val="18"/>
      <w:szCs w:val="18"/>
      <w:u w:val="none"/>
    </w:rPr>
  </w:style>
  <w:style w:type="character" w:styleId="1520">
    <w:name w:val="style21"/>
    <w:next w:val="1520"/>
    <w:link w:val="1434"/>
    <w:qFormat/>
    <w:rPr>
      <w:sz w:val="18"/>
      <w:szCs w:val="18"/>
    </w:rPr>
  </w:style>
  <w:style w:type="character" w:styleId="1521">
    <w:name w:val="文档结构图 Char"/>
    <w:next w:val="1521"/>
    <w:link w:val="1434"/>
    <w:qFormat/>
    <w:rPr>
      <w:rFonts w:ascii="宋体" w:hAnsi="Times New Roman" w:eastAsia="宋体" w:cs="Times New Roman"/>
      <w:sz w:val="18"/>
      <w:szCs w:val="18"/>
    </w:rPr>
  </w:style>
  <w:style w:type="character" w:styleId="1522">
    <w:name w:val="标题 2 Char1"/>
    <w:next w:val="1522"/>
    <w:link w:val="1434"/>
    <w:qFormat/>
    <w:rPr>
      <w:rFonts w:ascii="Arial" w:hAnsi="Arial" w:eastAsia="黑体"/>
      <w:b/>
      <w:bCs/>
      <w:sz w:val="32"/>
      <w:szCs w:val="32"/>
    </w:rPr>
  </w:style>
  <w:style w:type="character" w:styleId="1523">
    <w:name w:val="批注框文本 Char1"/>
    <w:next w:val="1523"/>
    <w:link w:val="1434"/>
    <w:uiPriority w:val="99"/>
    <w:semiHidden/>
    <w:qFormat/>
    <w:rPr>
      <w:sz w:val="18"/>
      <w:szCs w:val="18"/>
    </w:rPr>
  </w:style>
  <w:style w:type="character" w:styleId="1524">
    <w:name w:val="yy1"/>
    <w:next w:val="1524"/>
    <w:link w:val="1434"/>
    <w:qFormat/>
    <w:rPr>
      <w:rFonts w:ascii="宋体" w:hAnsi="宋体" w:eastAsia="宋体"/>
      <w:b/>
      <w:bCs/>
      <w:sz w:val="28"/>
    </w:rPr>
  </w:style>
  <w:style w:type="character" w:styleId="1525">
    <w:name w:val="标题 Char"/>
    <w:next w:val="1525"/>
    <w:link w:val="1434"/>
    <w:qFormat/>
    <w:rPr>
      <w:rFonts w:ascii="Cambria" w:hAnsi="Cambria" w:eastAsia="宋体" w:cs="Times New Roman"/>
      <w:b/>
      <w:bCs/>
      <w:sz w:val="32"/>
      <w:szCs w:val="32"/>
    </w:rPr>
  </w:style>
  <w:style w:type="character" w:styleId="1526">
    <w:name w:val="c lh15"/>
    <w:next w:val="1526"/>
    <w:link w:val="1434"/>
    <w:qFormat/>
  </w:style>
  <w:style w:type="character" w:styleId="1527">
    <w:name w:val="ask-title2"/>
    <w:next w:val="1527"/>
    <w:link w:val="1434"/>
    <w:qFormat/>
  </w:style>
  <w:style w:type="character" w:styleId="1528">
    <w:name w:val="页脚 Char"/>
    <w:next w:val="1528"/>
    <w:link w:val="1434"/>
    <w:uiPriority w:val="99"/>
    <w:qFormat/>
    <w:rPr>
      <w:rFonts w:ascii="宋体" w:hAnsi="Times New Roman" w:eastAsia="宋体" w:cs="Times New Roman"/>
      <w:sz w:val="18"/>
      <w:szCs w:val="18"/>
    </w:rPr>
  </w:style>
  <w:style w:type="character" w:styleId="1529">
    <w:name w:val="正文文本缩进 Char"/>
    <w:next w:val="1529"/>
    <w:link w:val="1434"/>
    <w:uiPriority w:val="99"/>
    <w:semiHidden/>
    <w:qFormat/>
    <w:rPr>
      <w:rFonts w:ascii="宋体" w:hAnsi="Times New Roman" w:eastAsia="宋体" w:cs="Times New Roman"/>
      <w:sz w:val="20"/>
      <w:szCs w:val="20"/>
    </w:rPr>
  </w:style>
  <w:style w:type="character" w:styleId="1530">
    <w:name w:val="NormalCharacter1"/>
    <w:next w:val="1530"/>
    <w:link w:val="1434"/>
    <w:semiHidden/>
    <w:rPr>
      <w:sz w:val="21"/>
      <w:lang w:val="en-US" w:eastAsia="zh-CN" w:bidi="ar-SA"/>
    </w:rPr>
  </w:style>
  <w:style w:type="character" w:styleId="1531">
    <w:name w:val="font31"/>
    <w:next w:val="1531"/>
    <w:link w:val="1434"/>
    <w:qFormat/>
    <w:rPr>
      <w:rFonts w:hint="eastAsia" w:ascii="宋体" w:hAnsi="宋体" w:eastAsia="宋体" w:cs="宋体"/>
      <w:color w:val="000000"/>
      <w:sz w:val="22"/>
      <w:szCs w:val="22"/>
      <w:u w:val="none"/>
    </w:rPr>
  </w:style>
  <w:style w:type="character" w:styleId="1532">
    <w:name w:val="页眉 Char1"/>
    <w:next w:val="1532"/>
    <w:link w:val="1434"/>
    <w:uiPriority w:val="99"/>
    <w:qFormat/>
    <w:rPr>
      <w:sz w:val="18"/>
    </w:rPr>
  </w:style>
  <w:style w:type="character" w:styleId="1533">
    <w:name w:val="正文文本 (8)_"/>
    <w:next w:val="1533"/>
    <w:link w:val="1534"/>
    <w:qFormat/>
    <w:rPr>
      <w:rFonts w:ascii="Gulim" w:hAnsi="Gulim" w:eastAsia="Gulim" w:cs="Gulim"/>
      <w:b/>
      <w:sz w:val="15"/>
      <w:szCs w:val="15"/>
      <w:shd w:val="clear" w:color="auto" w:fill="ffffff"/>
      <w:lang w:eastAsia="en-US" w:bidi="en-US"/>
    </w:rPr>
  </w:style>
  <w:style w:type="paragraph" w:styleId="1534">
    <w:name w:val="正文文本 (8)"/>
    <w:basedOn w:val="1434"/>
    <w:next w:val="1534"/>
    <w:link w:val="1533"/>
    <w:qFormat/>
    <w:pPr>
      <w:jc w:val="left"/>
      <w:spacing w:line="0" w:lineRule="atLeast"/>
      <w:shd w:val="clear" w:color="auto" w:fill="ffffff"/>
    </w:pPr>
    <w:rPr>
      <w:rFonts w:ascii="Gulim" w:hAnsi="Gulim" w:eastAsia="Gulim" w:cs="Gulim"/>
      <w:b/>
      <w:sz w:val="15"/>
      <w:szCs w:val="15"/>
      <w:lang w:eastAsia="en-US" w:bidi="en-US"/>
    </w:rPr>
  </w:style>
  <w:style w:type="character" w:styleId="1535">
    <w:name w:val="标题 Char2"/>
    <w:next w:val="1535"/>
    <w:link w:val="1434"/>
    <w:uiPriority w:val="10"/>
    <w:qFormat/>
    <w:rPr>
      <w:sz w:val="30"/>
      <w:szCs w:val="24"/>
    </w:rPr>
  </w:style>
  <w:style w:type="character" w:styleId="1536">
    <w:name w:val="Andy_正文格式 Char"/>
    <w:next w:val="1536"/>
    <w:link w:val="1537"/>
    <w:qFormat/>
    <w:rPr>
      <w:rFonts w:ascii="仿宋_GB2312" w:eastAsia="仿宋_GB2312"/>
      <w:sz w:val="28"/>
      <w:szCs w:val="28"/>
    </w:rPr>
  </w:style>
  <w:style w:type="paragraph" w:styleId="1537">
    <w:name w:val="Andy_正文格式"/>
    <w:basedOn w:val="1434"/>
    <w:next w:val="1537"/>
    <w:link w:val="1536"/>
    <w:qFormat/>
    <w:pPr>
      <w:ind w:firstLine="560"/>
    </w:pPr>
    <w:rPr>
      <w:rFonts w:ascii="仿宋_GB2312" w:eastAsia="仿宋_GB2312"/>
      <w:sz w:val="28"/>
      <w:szCs w:val="28"/>
    </w:rPr>
  </w:style>
  <w:style w:type="character" w:styleId="1538">
    <w:name w:val="标题 1 Char1"/>
    <w:next w:val="1538"/>
    <w:link w:val="1434"/>
    <w:qFormat/>
    <w:rPr>
      <w:rFonts w:ascii="宋体"/>
      <w:sz w:val="28"/>
    </w:rPr>
  </w:style>
  <w:style w:type="character" w:styleId="1539">
    <w:name w:val="批注文字 Char"/>
    <w:next w:val="1539"/>
    <w:link w:val="1434"/>
    <w:qFormat/>
    <w:rPr>
      <w:sz w:val="21"/>
    </w:rPr>
  </w:style>
  <w:style w:type="character" w:styleId="1540">
    <w:name w:val="新正文 Char Char"/>
    <w:next w:val="1540"/>
    <w:link w:val="1541"/>
    <w:qFormat/>
    <w:rPr>
      <w:rFonts w:ascii="宋体" w:hAnsi="宋体" w:cs="宋体"/>
      <w:b/>
      <w:bCs/>
      <w:color w:val="000000"/>
      <w:sz w:val="24"/>
      <w:szCs w:val="21"/>
    </w:rPr>
  </w:style>
  <w:style w:type="paragraph" w:styleId="1541">
    <w:name w:val="新正文"/>
    <w:basedOn w:val="1434"/>
    <w:next w:val="1541"/>
    <w:link w:val="1540"/>
    <w:qFormat/>
    <w:pPr>
      <w:ind w:firstLine="200"/>
      <w:spacing w:line="480" w:lineRule="exact"/>
    </w:pPr>
    <w:rPr>
      <w:rFonts w:ascii="宋体" w:hAnsi="宋体"/>
      <w:b/>
      <w:bCs/>
      <w:color w:val="000000"/>
      <w:sz w:val="24"/>
      <w:szCs w:val="21"/>
    </w:rPr>
  </w:style>
  <w:style w:type="character" w:styleId="1542">
    <w:name w:val="Char Char3"/>
    <w:next w:val="1542"/>
    <w:link w:val="1434"/>
    <w:qFormat/>
    <w:rPr>
      <w:rFonts w:ascii="宋体" w:hAnsi="宋体" w:eastAsia="宋体"/>
      <w:sz w:val="24"/>
      <w:szCs w:val="24"/>
      <w:lang w:val="en-US" w:eastAsia="zh-CN" w:bidi="ar-SA"/>
    </w:rPr>
  </w:style>
  <w:style w:type="character" w:styleId="1543">
    <w:name w:val="font41"/>
    <w:next w:val="1543"/>
    <w:link w:val="1434"/>
    <w:qFormat/>
    <w:rPr>
      <w:rFonts w:hint="eastAsia" w:ascii="宋体" w:hAnsi="宋体" w:eastAsia="宋体" w:cs="宋体"/>
      <w:color w:val="000000"/>
      <w:sz w:val="22"/>
      <w:szCs w:val="22"/>
      <w:u w:val="none"/>
    </w:rPr>
  </w:style>
  <w:style w:type="character" w:styleId="1544">
    <w:name w:val="标题 3 Char Char Char Char Char Char Char Char Char"/>
    <w:next w:val="1544"/>
    <w:link w:val="1434"/>
    <w:qFormat/>
    <w:rPr>
      <w:rFonts w:eastAsia="宋体"/>
      <w:b/>
      <w:sz w:val="32"/>
      <w:lang w:val="en-US" w:eastAsia="zh-CN"/>
    </w:rPr>
  </w:style>
  <w:style w:type="character" w:styleId="1545">
    <w:name w:val="列出段落 Char1"/>
    <w:next w:val="1545"/>
    <w:link w:val="1546"/>
    <w:qFormat/>
    <w:rPr>
      <w:rFonts w:ascii="Calibri" w:hAnsi="Calibri"/>
      <w:sz w:val="21"/>
      <w:szCs w:val="22"/>
    </w:rPr>
  </w:style>
  <w:style w:type="paragraph" w:styleId="1546">
    <w:name w:val="列出段落1"/>
    <w:basedOn w:val="1434"/>
    <w:next w:val="1546"/>
    <w:link w:val="1545"/>
    <w:qFormat/>
    <w:pPr>
      <w:ind w:firstLine="420"/>
    </w:pPr>
    <w:rPr>
      <w:rFonts w:ascii="Calibri" w:hAnsi="Calibri"/>
      <w:szCs w:val="22"/>
    </w:rPr>
  </w:style>
  <w:style w:type="character" w:styleId="1547">
    <w:name w:val="正文文本缩进 Char1"/>
    <w:next w:val="1547"/>
    <w:link w:val="1434"/>
    <w:qFormat/>
    <w:rPr>
      <w:rFonts w:ascii="宋体"/>
      <w:sz w:val="24"/>
    </w:rPr>
  </w:style>
  <w:style w:type="character" w:styleId="1548">
    <w:name w:val="标题 2 Char Char Char"/>
    <w:next w:val="1548"/>
    <w:link w:val="1434"/>
    <w:qFormat/>
    <w:rPr>
      <w:rFonts w:ascii="Arial" w:hAnsi="Arial" w:eastAsia="黑体"/>
      <w:b/>
      <w:bCs/>
      <w:sz w:val="32"/>
      <w:szCs w:val="32"/>
      <w:lang w:val="en-US" w:eastAsia="zh-CN" w:bidi="ar-SA"/>
    </w:rPr>
  </w:style>
  <w:style w:type="character" w:styleId="1549">
    <w:name w:val="样式 样式 标题 3 + (中文) 黑体 Char + (中文) 宋体 小四 Char Char Char Char Char Char"/>
    <w:next w:val="1549"/>
    <w:link w:val="1434"/>
    <w:qFormat/>
    <w:rPr>
      <w:rFonts w:ascii="宋体" w:hAnsi="Courier New" w:eastAsia="宋体" w:cs="Courier New"/>
      <w:sz w:val="24"/>
      <w:szCs w:val="21"/>
      <w:lang w:val="en-US" w:eastAsia="zh-CN" w:bidi="ar-SA"/>
    </w:rPr>
  </w:style>
  <w:style w:type="character" w:styleId="1550">
    <w:name w:val="标题 2 Char"/>
    <w:next w:val="1550"/>
    <w:link w:val="1434"/>
    <w:uiPriority w:val="9"/>
    <w:semiHidden/>
    <w:qFormat/>
    <w:rPr>
      <w:rFonts w:ascii="Cambria" w:hAnsi="Cambria" w:eastAsia="宋体" w:cs="Times New Roman"/>
      <w:b/>
      <w:bCs/>
      <w:sz w:val="32"/>
      <w:szCs w:val="32"/>
    </w:rPr>
  </w:style>
  <w:style w:type="character" w:styleId="1551">
    <w:name w:val="identication Char"/>
    <w:next w:val="1551"/>
    <w:link w:val="1434"/>
    <w:qFormat/>
    <w:rPr>
      <w:rFonts w:eastAsia="宋体"/>
      <w:sz w:val="21"/>
      <w:szCs w:val="24"/>
      <w:lang w:val="en-US" w:eastAsia="zh-CN" w:bidi="ar-SA"/>
    </w:rPr>
  </w:style>
  <w:style w:type="character" w:styleId="1552">
    <w:name w:val="HTML 预设格式 Char"/>
    <w:next w:val="1552"/>
    <w:link w:val="1434"/>
    <w:qFormat/>
    <w:rPr>
      <w:rFonts w:ascii="黑体" w:hAnsi="Courier New" w:eastAsia="黑体" w:cs="Courier New"/>
    </w:rPr>
  </w:style>
  <w:style w:type="character" w:styleId="1553">
    <w:name w:val="表格标题 + SimSun"/>
    <w:next w:val="1553"/>
    <w:link w:val="1434"/>
    <w:qFormat/>
    <w:rPr>
      <w:rFonts w:ascii="宋体" w:hAnsi="宋体" w:eastAsia="宋体" w:cs="宋体"/>
      <w:b/>
      <w:color w:val="000000"/>
      <w:spacing w:val="0"/>
      <w:position w:val="0"/>
      <w:sz w:val="17"/>
      <w:szCs w:val="17"/>
      <w:shd w:val="clear" w:color="auto" w:fill="ffffff"/>
      <w:lang w:val="zh-CN" w:eastAsia="zh-CN" w:bidi="zh-CN"/>
    </w:rPr>
  </w:style>
  <w:style w:type="character" w:styleId="1554">
    <w:name w:val="批注主题 Char"/>
    <w:next w:val="1554"/>
    <w:link w:val="1434"/>
    <w:qFormat/>
    <w:rPr>
      <w:b/>
      <w:bCs/>
      <w:sz w:val="21"/>
    </w:rPr>
  </w:style>
  <w:style w:type="character" w:styleId="1555">
    <w:name w:val="批注文字 字符1"/>
    <w:next w:val="1555"/>
    <w:link w:val="1434"/>
    <w:uiPriority w:val="99"/>
    <w:semiHidden/>
    <w:qFormat/>
    <w:rPr>
      <w:rFonts w:ascii="宋体" w:hAnsi="Times New Roman" w:eastAsia="宋体" w:cs="Times New Roman"/>
      <w:sz w:val="20"/>
      <w:szCs w:val="20"/>
    </w:rPr>
  </w:style>
  <w:style w:type="character" w:styleId="1556">
    <w:name w:val="正文缩进 Char"/>
    <w:next w:val="1556"/>
    <w:link w:val="1434"/>
    <w:qFormat/>
    <w:rPr>
      <w:b/>
      <w:sz w:val="24"/>
    </w:rPr>
  </w:style>
  <w:style w:type="character" w:styleId="1557">
    <w:name w:val="font211"/>
    <w:next w:val="1557"/>
    <w:link w:val="1434"/>
    <w:qFormat/>
    <w:rPr>
      <w:rFonts w:hint="eastAsia" w:ascii="新宋体" w:hAnsi="新宋体" w:eastAsia="新宋体" w:cs="新宋体"/>
      <w:color w:val="000000"/>
      <w:sz w:val="18"/>
      <w:szCs w:val="18"/>
      <w:u w:val="none"/>
    </w:rPr>
  </w:style>
  <w:style w:type="character" w:styleId="1558">
    <w:name w:val="标题 4 Char1"/>
    <w:next w:val="1558"/>
    <w:link w:val="1434"/>
    <w:qFormat/>
    <w:rPr>
      <w:rFonts w:ascii="Arial" w:hAnsi="Arial" w:eastAsia="黑体" w:cs="Arial"/>
      <w:b/>
      <w:bCs/>
      <w:sz w:val="28"/>
      <w:szCs w:val="28"/>
    </w:rPr>
  </w:style>
  <w:style w:type="character" w:styleId="1559">
    <w:name w:val="正文文本 Char"/>
    <w:next w:val="1559"/>
    <w:link w:val="1434"/>
    <w:qFormat/>
    <w:rPr>
      <w:rFonts w:ascii="宋体" w:eastAsia="宋体"/>
      <w:sz w:val="28"/>
      <w:lang w:val="en-US" w:eastAsia="zh-CN" w:bidi="ar-SA"/>
    </w:rPr>
  </w:style>
  <w:style w:type="character" w:styleId="1560">
    <w:name w:val="标题 Char1"/>
    <w:next w:val="1560"/>
    <w:link w:val="1434"/>
    <w:qFormat/>
    <w:rPr>
      <w:rFonts w:ascii="Cambria" w:hAnsi="Cambria" w:eastAsia="仿宋_GB2312" w:cs="Times New Roman"/>
      <w:b/>
      <w:bCs/>
      <w:sz w:val="32"/>
      <w:szCs w:val="32"/>
      <w:lang w:val="en-US" w:eastAsia="zh-CN" w:bidi="ar-SA"/>
    </w:rPr>
  </w:style>
  <w:style w:type="character" w:styleId="1561">
    <w:name w:val="纯文本 Char2"/>
    <w:next w:val="1561"/>
    <w:link w:val="1434"/>
    <w:qFormat/>
    <w:rPr>
      <w:rFonts w:ascii="宋体" w:hAnsi="Courier New" w:eastAsia="宋体"/>
      <w:sz w:val="21"/>
      <w:lang w:val="en-US" w:eastAsia="zh-CN" w:bidi="ar-SA"/>
    </w:rPr>
  </w:style>
  <w:style w:type="character" w:styleId="1562">
    <w:name w:val="列出段落 Char"/>
    <w:next w:val="1562"/>
    <w:link w:val="1434"/>
    <w:qFormat/>
    <w:rPr>
      <w:rFonts w:ascii="Calibri" w:hAnsi="Calibri"/>
      <w:sz w:val="21"/>
      <w:szCs w:val="22"/>
    </w:rPr>
  </w:style>
  <w:style w:type="character" w:styleId="1563">
    <w:name w:val="文档结构图 字符1"/>
    <w:next w:val="1563"/>
    <w:link w:val="1434"/>
    <w:qFormat/>
    <w:rPr>
      <w:rFonts w:ascii="Microsoft YaHei UI" w:eastAsia="Microsoft YaHei UI"/>
      <w:sz w:val="18"/>
      <w:szCs w:val="18"/>
    </w:rPr>
  </w:style>
  <w:style w:type="character" w:styleId="1564">
    <w:name w:val="日期 Char1"/>
    <w:next w:val="1564"/>
    <w:link w:val="1434"/>
    <w:qFormat/>
    <w:rPr>
      <w:rFonts w:ascii="宋体"/>
      <w:sz w:val="21"/>
    </w:rPr>
  </w:style>
  <w:style w:type="character" w:styleId="1565">
    <w:name w:val="副标题 Char"/>
    <w:next w:val="1565"/>
    <w:link w:val="1434"/>
    <w:qFormat/>
    <w:rPr>
      <w:rFonts w:ascii="Cambria" w:hAnsi="Cambria"/>
      <w:b/>
      <w:bCs/>
      <w:sz w:val="32"/>
      <w:szCs w:val="32"/>
    </w:rPr>
  </w:style>
  <w:style w:type="character" w:styleId="1566">
    <w:name w:val="表格标题_"/>
    <w:next w:val="1566"/>
    <w:link w:val="1567"/>
    <w:qFormat/>
    <w:rPr>
      <w:rFonts w:ascii="Gulim" w:hAnsi="Gulim" w:eastAsia="Gulim" w:cs="Gulim"/>
      <w:b/>
      <w:sz w:val="15"/>
      <w:szCs w:val="15"/>
      <w:shd w:val="clear" w:color="auto" w:fill="ffffff"/>
      <w:lang w:eastAsia="en-US" w:bidi="en-US"/>
    </w:rPr>
  </w:style>
  <w:style w:type="paragraph" w:styleId="1567">
    <w:name w:val="表格标题"/>
    <w:basedOn w:val="1434"/>
    <w:next w:val="1567"/>
    <w:link w:val="1566"/>
    <w:qFormat/>
    <w:pPr>
      <w:jc w:val="left"/>
      <w:spacing w:line="0" w:lineRule="atLeast"/>
      <w:shd w:val="clear" w:color="auto" w:fill="ffffff"/>
    </w:pPr>
    <w:rPr>
      <w:rFonts w:ascii="Gulim" w:hAnsi="Gulim" w:eastAsia="Gulim" w:cs="Gulim"/>
      <w:b/>
      <w:sz w:val="15"/>
      <w:szCs w:val="15"/>
      <w:lang w:eastAsia="en-US" w:bidi="en-US"/>
    </w:rPr>
  </w:style>
  <w:style w:type="character" w:styleId="1568">
    <w:name w:val="正文文本 (2)_"/>
    <w:next w:val="1568"/>
    <w:link w:val="1434"/>
    <w:qFormat/>
    <w:rPr>
      <w:rFonts w:ascii="宋体" w:hAnsi="宋体" w:eastAsia="宋体" w:cs="宋体"/>
      <w:b/>
      <w:sz w:val="17"/>
      <w:szCs w:val="17"/>
      <w:u w:val="none"/>
      <w:lang w:val="en-US" w:eastAsia="zh-CN" w:bidi="ar-SA"/>
    </w:rPr>
  </w:style>
  <w:style w:type="character" w:styleId="1569">
    <w:name w:val="正文文本缩进 2 Char"/>
    <w:next w:val="1569"/>
    <w:link w:val="1434"/>
    <w:qFormat/>
    <w:rPr>
      <w:rFonts w:ascii="宋体"/>
      <w:sz w:val="21"/>
    </w:rPr>
  </w:style>
  <w:style w:type="character" w:styleId="1570">
    <w:name w:val="fontstyle01"/>
    <w:next w:val="1570"/>
    <w:link w:val="1434"/>
    <w:rPr>
      <w:rFonts w:hint="eastAsia" w:ascii="宋体" w:hAnsi="宋体" w:eastAsia="宋体"/>
      <w:color w:val="000000"/>
      <w:sz w:val="24"/>
      <w:szCs w:val="24"/>
    </w:rPr>
  </w:style>
  <w:style w:type="character" w:styleId="1571">
    <w:name w:val="标准文本 Char"/>
    <w:next w:val="1571"/>
    <w:link w:val="1572"/>
    <w:qFormat/>
    <w:rPr>
      <w:rFonts w:ascii="宋体" w:hAnsi="宋体" w:eastAsia="宋体" w:cs="宋体"/>
      <w:sz w:val="21"/>
      <w:szCs w:val="21"/>
      <w:lang w:val="en-US" w:eastAsia="zh-CN" w:bidi="ar-SA"/>
    </w:rPr>
  </w:style>
  <w:style w:type="paragraph" w:styleId="1572">
    <w:name w:val="标准文本"/>
    <w:basedOn w:val="1434"/>
    <w:next w:val="1572"/>
    <w:link w:val="1571"/>
    <w:qFormat/>
    <w:pPr>
      <w:ind w:firstLine="420"/>
      <w:spacing w:line="300" w:lineRule="auto"/>
    </w:pPr>
    <w:rPr>
      <w:rFonts w:ascii="宋体" w:hAnsi="宋体" w:cs="宋体"/>
      <w:szCs w:val="21"/>
    </w:rPr>
  </w:style>
  <w:style w:type="character" w:styleId="1573">
    <w:name w:val="news"/>
    <w:next w:val="1573"/>
    <w:link w:val="1434"/>
    <w:qFormat/>
    <w:rPr>
      <w:rFonts w:ascii="仿宋_GB2312" w:eastAsia="仿宋_GB2312"/>
      <w:sz w:val="24"/>
      <w:szCs w:val="24"/>
      <w:lang w:val="en-US" w:eastAsia="zh-CN" w:bidi="ar-SA"/>
    </w:rPr>
  </w:style>
  <w:style w:type="character" w:styleId="1574">
    <w:name w:val="font71"/>
    <w:next w:val="1574"/>
    <w:link w:val="1434"/>
    <w:qFormat/>
    <w:rPr>
      <w:rFonts w:hint="eastAsia" w:ascii="宋体" w:hAnsi="宋体" w:eastAsia="宋体" w:cs="宋体"/>
      <w:color w:val="000000"/>
      <w:sz w:val="18"/>
      <w:szCs w:val="18"/>
      <w:u w:val="none"/>
    </w:rPr>
  </w:style>
  <w:style w:type="character" w:styleId="1575">
    <w:name w:val="标题 4 Char"/>
    <w:next w:val="1575"/>
    <w:link w:val="1434"/>
    <w:qFormat/>
    <w:rPr>
      <w:rFonts w:ascii="Cambria" w:hAnsi="Cambria" w:eastAsia="宋体" w:cs="Times New Roman"/>
      <w:b/>
      <w:bCs/>
      <w:sz w:val="28"/>
      <w:szCs w:val="28"/>
    </w:rPr>
  </w:style>
  <w:style w:type="character" w:styleId="1576">
    <w:name w:val="报告正文 Char"/>
    <w:next w:val="1576"/>
    <w:link w:val="1577"/>
    <w:qFormat/>
    <w:rPr>
      <w:rFonts w:eastAsia="仿宋_GB2312"/>
      <w:sz w:val="24"/>
      <w:szCs w:val="24"/>
    </w:rPr>
  </w:style>
  <w:style w:type="paragraph" w:styleId="1577">
    <w:name w:val="报告正文"/>
    <w:basedOn w:val="1434"/>
    <w:next w:val="1577"/>
    <w:link w:val="1576"/>
    <w:qFormat/>
    <w:pPr>
      <w:ind w:firstLine="480"/>
      <w:spacing w:line="360" w:lineRule="auto"/>
    </w:pPr>
    <w:rPr>
      <w:rFonts w:eastAsia="仿宋_GB2312"/>
      <w:sz w:val="24"/>
      <w:szCs w:val="24"/>
    </w:rPr>
  </w:style>
  <w:style w:type="character" w:styleId="1578">
    <w:name w:val="标题 1 Char"/>
    <w:next w:val="1578"/>
    <w:link w:val="1434"/>
    <w:qFormat/>
    <w:rPr>
      <w:rFonts w:ascii="宋体" w:hAnsi="Times New Roman" w:eastAsia="宋体" w:cs="Times New Roman"/>
      <w:b/>
      <w:bCs/>
      <w:sz w:val="44"/>
      <w:szCs w:val="44"/>
    </w:rPr>
  </w:style>
  <w:style w:type="character" w:styleId="1579">
    <w:name w:val="访问过的超链接1"/>
    <w:next w:val="1579"/>
    <w:link w:val="1434"/>
    <w:uiPriority w:val="99"/>
    <w:qFormat/>
    <w:rPr>
      <w:color w:val="333333"/>
      <w:u w:val="none"/>
    </w:rPr>
  </w:style>
  <w:style w:type="character" w:styleId="1580">
    <w:name w:val="标题 9 Char"/>
    <w:next w:val="1580"/>
    <w:link w:val="1434"/>
    <w:qFormat/>
    <w:rPr>
      <w:rFonts w:ascii="Arial" w:hAnsi="Arial" w:eastAsia="黑体"/>
      <w:sz w:val="21"/>
      <w:szCs w:val="21"/>
    </w:rPr>
  </w:style>
  <w:style w:type="character" w:styleId="1581">
    <w:name w:val="font241"/>
    <w:next w:val="1581"/>
    <w:link w:val="1434"/>
    <w:qFormat/>
    <w:rPr>
      <w:rFonts w:hint="eastAsia" w:ascii="宋体" w:hAnsi="宋体" w:eastAsia="宋体" w:cs="宋体"/>
      <w:color w:val="000000"/>
      <w:sz w:val="18"/>
      <w:szCs w:val="18"/>
      <w:u w:val="none"/>
    </w:rPr>
  </w:style>
  <w:style w:type="character" w:styleId="1582">
    <w:name w:val="B正文 Char"/>
    <w:next w:val="1582"/>
    <w:link w:val="1583"/>
    <w:qFormat/>
    <w:rPr>
      <w:sz w:val="28"/>
      <w:szCs w:val="24"/>
    </w:rPr>
  </w:style>
  <w:style w:type="paragraph" w:styleId="1583">
    <w:name w:val="B正文"/>
    <w:basedOn w:val="1434"/>
    <w:next w:val="1583"/>
    <w:link w:val="1582"/>
    <w:qFormat/>
    <w:pPr>
      <w:ind w:firstLine="560"/>
      <w:spacing w:line="500" w:lineRule="exact"/>
    </w:pPr>
    <w:rPr>
      <w:sz w:val="28"/>
      <w:szCs w:val="24"/>
    </w:rPr>
  </w:style>
  <w:style w:type="character" w:styleId="1584">
    <w:name w:val="font01"/>
    <w:next w:val="1584"/>
    <w:link w:val="1434"/>
    <w:qFormat/>
    <w:rPr>
      <w:rFonts w:hint="eastAsia" w:ascii="宋体" w:hAnsi="宋体" w:eastAsia="宋体" w:cs="宋体"/>
      <w:color w:val="000000"/>
      <w:sz w:val="20"/>
      <w:szCs w:val="20"/>
      <w:u w:val="none"/>
    </w:rPr>
  </w:style>
  <w:style w:type="character" w:styleId="1585">
    <w:name w:val="apple-converted-space"/>
    <w:next w:val="1585"/>
    <w:link w:val="1434"/>
    <w:qFormat/>
  </w:style>
  <w:style w:type="character" w:styleId="1586">
    <w:name w:val="标题 3 Char"/>
    <w:next w:val="1586"/>
    <w:link w:val="1434"/>
    <w:qFormat/>
    <w:rPr>
      <w:rFonts w:ascii="仿宋_GB2312" w:eastAsia="仿宋_GB2312"/>
      <w:sz w:val="32"/>
    </w:rPr>
  </w:style>
  <w:style w:type="character" w:styleId="1587">
    <w:name w:val="纯文本 Char1"/>
    <w:next w:val="1587"/>
    <w:link w:val="1434"/>
    <w:qFormat/>
    <w:rPr>
      <w:rFonts w:ascii="宋体" w:hAnsi="Courier New" w:eastAsia="宋体" w:cs="Times New Roman"/>
      <w:sz w:val="21"/>
      <w:szCs w:val="20"/>
    </w:rPr>
  </w:style>
  <w:style w:type="character" w:styleId="1588">
    <w:name w:val="正文文本 (2)"/>
    <w:next w:val="1588"/>
    <w:link w:val="1434"/>
    <w:qFormat/>
    <w:rPr>
      <w:rFonts w:ascii="宋体" w:hAnsi="宋体" w:eastAsia="宋体" w:cs="宋体"/>
      <w:b/>
      <w:color w:val="000000"/>
      <w:spacing w:val="0"/>
      <w:position w:val="0"/>
      <w:sz w:val="17"/>
      <w:szCs w:val="17"/>
      <w:u w:val="none"/>
      <w:lang w:val="zh-CN" w:eastAsia="zh-CN" w:bidi="zh-CN"/>
    </w:rPr>
  </w:style>
  <w:style w:type="character" w:styleId="1589">
    <w:name w:val="正文文本 (2) + MingLiU"/>
    <w:next w:val="1589"/>
    <w:link w:val="1434"/>
    <w:qFormat/>
    <w:rPr>
      <w:rFonts w:ascii="MingLiU" w:hAnsi="MingLiU" w:eastAsia="MingLiU" w:cs="MingLiU"/>
      <w:b/>
      <w:color w:val="000000"/>
      <w:spacing w:val="-20"/>
      <w:position w:val="0"/>
      <w:sz w:val="14"/>
      <w:szCs w:val="14"/>
      <w:u w:val="none"/>
      <w:lang w:val="zh-CN" w:eastAsia="zh-CN" w:bidi="zh-CN"/>
    </w:rPr>
  </w:style>
  <w:style w:type="character" w:styleId="1590">
    <w:name w:val="正文文本缩进 3 Char"/>
    <w:next w:val="1590"/>
    <w:link w:val="1434"/>
    <w:qFormat/>
    <w:rPr>
      <w:rFonts w:eastAsia="华文新魏"/>
      <w:b/>
      <w:bCs/>
      <w:sz w:val="84"/>
    </w:rPr>
  </w:style>
  <w:style w:type="character" w:styleId="1591">
    <w:name w:val="文档结构图 Char1"/>
    <w:next w:val="1591"/>
    <w:link w:val="1434"/>
    <w:qFormat/>
    <w:rPr>
      <w:rFonts w:ascii="宋体" w:eastAsia="仿宋_GB2312"/>
      <w:sz w:val="18"/>
      <w:szCs w:val="18"/>
    </w:rPr>
  </w:style>
  <w:style w:type="character" w:styleId="1592">
    <w:name w:val="正文文本 (2) + Gulim"/>
    <w:next w:val="1592"/>
    <w:link w:val="1434"/>
    <w:qFormat/>
    <w:rPr>
      <w:rFonts w:ascii="Gulim" w:hAnsi="Gulim" w:eastAsia="Gulim" w:cs="Gulim"/>
      <w:b/>
      <w:color w:val="000000"/>
      <w:spacing w:val="0"/>
      <w:position w:val="0"/>
      <w:sz w:val="15"/>
      <w:szCs w:val="15"/>
      <w:u w:val="none"/>
      <w:lang w:val="en-US" w:eastAsia="en-US" w:bidi="en-US"/>
    </w:rPr>
  </w:style>
  <w:style w:type="character" w:styleId="1593">
    <w:name w:val="标题 5 Char"/>
    <w:next w:val="1593"/>
    <w:link w:val="1434"/>
    <w:qFormat/>
    <w:rPr>
      <w:rFonts w:ascii="宋体"/>
      <w:b/>
      <w:bCs/>
      <w:sz w:val="28"/>
      <w:szCs w:val="28"/>
    </w:rPr>
  </w:style>
  <w:style w:type="character" w:styleId="1594">
    <w:name w:val="样式 仿宋_GB2312 小四 加粗 黑色"/>
    <w:next w:val="1594"/>
    <w:link w:val="1434"/>
    <w:qFormat/>
    <w:rPr>
      <w:rFonts w:ascii="仿宋_GB2312" w:eastAsia="仿宋_GB2312"/>
      <w:b/>
      <w:bCs/>
      <w:color w:val="000000"/>
      <w:sz w:val="24"/>
      <w:szCs w:val="24"/>
      <w:lang w:val="en-US" w:eastAsia="zh-CN" w:bidi="ar-SA"/>
    </w:rPr>
  </w:style>
  <w:style w:type="character" w:styleId="1595">
    <w:name w:val="fontstyle11"/>
    <w:next w:val="1595"/>
    <w:link w:val="1434"/>
    <w:rPr>
      <w:rFonts w:ascii="Times New Roman" w:hAnsi="Times New Roman" w:cs="Times New Roman"/>
      <w:color w:val="000000"/>
      <w:sz w:val="24"/>
      <w:szCs w:val="24"/>
    </w:rPr>
  </w:style>
  <w:style w:type="character" w:styleId="1596">
    <w:name w:val="Char Char4"/>
    <w:next w:val="1596"/>
    <w:link w:val="1434"/>
    <w:qFormat/>
    <w:rPr>
      <w:rFonts w:eastAsia="宋体"/>
      <w:sz w:val="18"/>
      <w:szCs w:val="18"/>
      <w:lang w:val="en-US" w:eastAsia="zh-CN" w:bidi="ar-SA"/>
    </w:rPr>
  </w:style>
  <w:style w:type="paragraph" w:styleId="1597">
    <w:name w:val="此正文"/>
    <w:basedOn w:val="1434"/>
    <w:next w:val="1597"/>
    <w:link w:val="1434"/>
    <w:qFormat/>
    <w:pPr>
      <w:ind w:firstLine="200"/>
      <w:spacing w:line="360" w:lineRule="auto"/>
    </w:pPr>
    <w:rPr>
      <w:sz w:val="24"/>
    </w:rPr>
  </w:style>
  <w:style w:type="paragraph" w:styleId="1598">
    <w:name w:val="flName"/>
    <w:basedOn w:val="1434"/>
    <w:next w:val="1598"/>
    <w:link w:val="1434"/>
    <w:qFormat/>
    <w:pPr>
      <w:jc w:val="center"/>
      <w:spacing w:before="320" w:after="160" w:line="360" w:lineRule="atLeast"/>
    </w:pPr>
    <w:rPr>
      <w:rFonts w:ascii="Arial" w:eastAsia="黑体"/>
      <w:sz w:val="32"/>
      <w:szCs w:val="24"/>
    </w:rPr>
  </w:style>
  <w:style w:type="paragraph" w:styleId="1599">
    <w:name w:val="xl75"/>
    <w:basedOn w:val="1434"/>
    <w:next w:val="159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0">
    <w:name w:val="xl101"/>
    <w:basedOn w:val="1434"/>
    <w:next w:val="1600"/>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1">
    <w:name w:val="无格式无间隔"/>
    <w:next w:val="1601"/>
    <w:link w:val="1434"/>
    <w:qFormat/>
    <w:rPr>
      <w:rFonts w:ascii="Calibri" w:hAnsi="Calibri"/>
      <w:sz w:val="21"/>
      <w:szCs w:val="21"/>
      <w:lang w:val="en-US" w:eastAsia="zh-CN" w:bidi="ar-SA"/>
    </w:rPr>
  </w:style>
  <w:style w:type="paragraph" w:styleId="1602">
    <w:name w:val="正文_1_0"/>
    <w:basedOn w:val="1603"/>
    <w:next w:val="1606"/>
    <w:link w:val="1434"/>
    <w:qFormat/>
    <w:rPr>
      <w:rFonts w:cs="Times New Roman"/>
      <w:szCs w:val="22"/>
    </w:rPr>
  </w:style>
  <w:style w:type="paragraph" w:styleId="1603">
    <w:name w:val="正文_1"/>
    <w:next w:val="1604"/>
    <w:link w:val="1434"/>
    <w:qFormat/>
    <w:pPr>
      <w:jc w:val="both"/>
      <w:widowControl w:val="off"/>
    </w:pPr>
    <w:rPr>
      <w:rFonts w:cs="Calibri"/>
      <w:sz w:val="21"/>
      <w:szCs w:val="21"/>
      <w:lang w:val="en-US" w:eastAsia="zh-CN" w:bidi="ar-SA"/>
    </w:rPr>
  </w:style>
  <w:style w:type="paragraph" w:styleId="1604">
    <w:name w:val="Plain Text1"/>
    <w:basedOn w:val="1605"/>
    <w:next w:val="1604"/>
    <w:link w:val="1434"/>
    <w:qFormat/>
    <w:rPr>
      <w:rFonts w:ascii="宋体" w:hAnsi="Courier New" w:cs="Courier New"/>
      <w:szCs w:val="21"/>
    </w:rPr>
  </w:style>
  <w:style w:type="paragraph" w:styleId="1605">
    <w:name w:val="正文_1_0_0"/>
    <w:basedOn w:val="1602"/>
    <w:next w:val="1606"/>
    <w:link w:val="1434"/>
    <w:qFormat/>
  </w:style>
  <w:style w:type="paragraph" w:styleId="1606">
    <w:name w:val="Plain Text2"/>
    <w:basedOn w:val="1605"/>
    <w:next w:val="1606"/>
    <w:link w:val="1434"/>
    <w:qFormat/>
    <w:rPr>
      <w:rFonts w:ascii="宋体" w:hAnsi="Courier New" w:cs="Courier New"/>
      <w:szCs w:val="21"/>
    </w:rPr>
  </w:style>
  <w:style w:type="paragraph" w:styleId="1607">
    <w:name w:val="修订1"/>
    <w:next w:val="1607"/>
    <w:link w:val="1434"/>
    <w:uiPriority w:val="99"/>
    <w:unhideWhenUsed/>
    <w:qFormat/>
    <w:rPr>
      <w:sz w:val="21"/>
      <w:lang w:val="en-US" w:eastAsia="zh-CN" w:bidi="ar-SA"/>
    </w:rPr>
  </w:style>
  <w:style w:type="paragraph" w:styleId="1608">
    <w:name w:val="Char"/>
    <w:basedOn w:val="1434"/>
    <w:next w:val="1608"/>
    <w:link w:val="1434"/>
    <w:qFormat/>
    <w:pPr>
      <w:tabs>
        <w:tab w:val="left" w:pos="360" w:leader="none"/>
      </w:tabs>
    </w:pPr>
    <w:rPr>
      <w:rFonts w:ascii="仿宋_GB2312" w:eastAsia="仿宋_GB2312"/>
      <w:b/>
      <w:sz w:val="24"/>
      <w:szCs w:val="24"/>
    </w:rPr>
  </w:style>
  <w:style w:type="paragraph" w:styleId="1609">
    <w:name w:val="Default"/>
    <w:basedOn w:val="1610"/>
    <w:next w:val="1609"/>
    <w:link w:val="1434"/>
    <w:qFormat/>
    <w:pPr>
      <w:widowControl w:val="off"/>
    </w:pPr>
    <w:rPr>
      <w:rFonts w:ascii="微软雅黑" w:eastAsia="微软雅黑" w:cs="微软雅黑"/>
      <w:color w:val="000000"/>
      <w:sz w:val="24"/>
      <w:szCs w:val="24"/>
      <w:lang w:val="en-US" w:eastAsia="zh-CN" w:bidi="ar-SA"/>
    </w:rPr>
  </w:style>
  <w:style w:type="paragraph" w:styleId="1610">
    <w:name w:val="正文_2"/>
    <w:next w:val="1606"/>
    <w:link w:val="1434"/>
    <w:qFormat/>
    <w:pPr>
      <w:jc w:val="both"/>
      <w:widowControl w:val="off"/>
    </w:pPr>
    <w:rPr>
      <w:sz w:val="21"/>
      <w:szCs w:val="22"/>
      <w:lang w:val="en-US" w:eastAsia="zh-CN" w:bidi="ar-SA"/>
    </w:rPr>
  </w:style>
  <w:style w:type="paragraph" w:styleId="1611">
    <w:name w:val="列出段落11"/>
    <w:basedOn w:val="1434"/>
    <w:next w:val="1611"/>
    <w:link w:val="1434"/>
    <w:uiPriority w:val="34"/>
    <w:qFormat/>
    <w:pPr>
      <w:ind w:firstLine="420"/>
    </w:pPr>
    <w:rPr>
      <w:rFonts w:ascii="Calibri" w:hAnsi="Calibri"/>
      <w:szCs w:val="22"/>
    </w:rPr>
  </w:style>
  <w:style w:type="paragraph" w:styleId="1612">
    <w:name w:val="xl72"/>
    <w:basedOn w:val="1434"/>
    <w:next w:val="1612"/>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标题5"/>
    <w:basedOn w:val="1439"/>
    <w:next w:val="1613"/>
    <w:link w:val="143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4">
    <w:name w:val="Char Char"/>
    <w:basedOn w:val="1434"/>
    <w:next w:val="1614"/>
    <w:link w:val="1434"/>
    <w:qFormat/>
    <w:pPr>
      <w:tabs>
        <w:tab w:val="left" w:pos="360" w:leader="none"/>
      </w:tabs>
    </w:pPr>
    <w:rPr>
      <w:sz w:val="24"/>
      <w:szCs w:val="24"/>
    </w:rPr>
  </w:style>
  <w:style w:type="paragraph" w:styleId="1615">
    <w:name w:val="默认段落字体 Para Char Char Char Char"/>
    <w:basedOn w:val="1434"/>
    <w:next w:val="1615"/>
    <w:link w:val="1434"/>
    <w:qFormat/>
  </w:style>
  <w:style w:type="paragraph" w:styleId="1616">
    <w:name w:val="p0"/>
    <w:basedOn w:val="1434"/>
    <w:next w:val="1616"/>
    <w:link w:val="1434"/>
    <w:qFormat/>
    <w:pPr>
      <w:jc w:val="left"/>
      <w:spacing w:before="100" w:beforeAutospacing="1" w:after="100" w:afterAutospacing="1"/>
      <w:widowControl/>
    </w:pPr>
    <w:rPr>
      <w:rFonts w:ascii="宋体" w:hAnsi="宋体" w:cs="宋体"/>
      <w:sz w:val="24"/>
      <w:szCs w:val="24"/>
    </w:rPr>
  </w:style>
  <w:style w:type="paragraph" w:styleId="1617">
    <w:name w:val="xl79"/>
    <w:basedOn w:val="1434"/>
    <w:next w:val="161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8">
    <w:name w:val="font10"/>
    <w:basedOn w:val="1434"/>
    <w:next w:val="1618"/>
    <w:link w:val="1434"/>
    <w:qFormat/>
    <w:pPr>
      <w:jc w:val="left"/>
      <w:spacing w:before="100" w:beforeAutospacing="1" w:after="100" w:afterAutospacing="1"/>
      <w:widowControl/>
    </w:pPr>
    <w:rPr>
      <w:rFonts w:ascii="宋体" w:hAnsi="宋体" w:cs="宋体"/>
      <w:color w:val="000000"/>
      <w:sz w:val="22"/>
      <w:szCs w:val="22"/>
    </w:rPr>
  </w:style>
  <w:style w:type="paragraph" w:styleId="1619">
    <w:name w:val="Char Char Char"/>
    <w:basedOn w:val="1434"/>
    <w:next w:val="1619"/>
    <w:link w:val="1434"/>
    <w:qFormat/>
    <w:pPr>
      <w:jc w:val="center"/>
      <w:spacing w:line="400" w:lineRule="exact"/>
      <w:widowControl/>
    </w:pPr>
    <w:rPr>
      <w:szCs w:val="24"/>
    </w:rPr>
  </w:style>
  <w:style w:type="paragraph" w:styleId="1620">
    <w:name w:val="_Style 2"/>
    <w:basedOn w:val="1434"/>
    <w:next w:val="1620"/>
    <w:link w:val="1434"/>
    <w:uiPriority w:val="34"/>
    <w:qFormat/>
    <w:pPr>
      <w:ind w:firstLine="420"/>
    </w:pPr>
    <w:rPr>
      <w:szCs w:val="24"/>
    </w:rPr>
  </w:style>
  <w:style w:type="paragraph" w:styleId="1621">
    <w:name w:val="xl100"/>
    <w:basedOn w:val="1434"/>
    <w:next w:val="162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2">
    <w:name w:val="标题3"/>
    <w:basedOn w:val="1437"/>
    <w:next w:val="1622"/>
    <w:link w:val="143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3">
    <w:name w:val="Char Char Char Char"/>
    <w:basedOn w:val="1459"/>
    <w:next w:val="1623"/>
    <w:link w:val="1434"/>
    <w:qFormat/>
    <w:pPr>
      <w:jc w:val="both"/>
      <w:spacing w:line="360" w:lineRule="auto"/>
      <w:shd w:val="clear" w:color="auto" w:fill="000080"/>
    </w:pPr>
    <w:rPr>
      <w:rFonts w:ascii="Tahoma" w:hAnsi="Tahoma"/>
      <w:sz w:val="24"/>
      <w:szCs w:val="24"/>
    </w:rPr>
  </w:style>
  <w:style w:type="paragraph" w:styleId="1624">
    <w:name w:val="样式 首行缩进:  2 字符"/>
    <w:basedOn w:val="1434"/>
    <w:next w:val="1624"/>
    <w:link w:val="1434"/>
    <w:qFormat/>
    <w:pPr>
      <w:ind w:firstLine="200"/>
      <w:spacing w:line="400" w:lineRule="exact"/>
    </w:pPr>
    <w:rPr>
      <w:rFonts w:cs="宋体"/>
      <w:sz w:val="24"/>
      <w:szCs w:val="24"/>
    </w:rPr>
  </w:style>
  <w:style w:type="paragraph" w:styleId="1625">
    <w:name w:val="xl66"/>
    <w:basedOn w:val="1434"/>
    <w:next w:val="16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6">
    <w:name w:val="样式 样式 标题1 + 行距: 单倍行距 + 段前: 7.8 磅 段后: 7.8 磅"/>
    <w:basedOn w:val="1434"/>
    <w:next w:val="1626"/>
    <w:link w:val="143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7">
    <w:name w:val="列出段落3"/>
    <w:basedOn w:val="1434"/>
    <w:next w:val="1627"/>
    <w:link w:val="1434"/>
    <w:qFormat/>
    <w:pPr>
      <w:ind w:firstLine="420"/>
    </w:pPr>
    <w:rPr>
      <w:rFonts w:ascii="Calibri" w:hAnsi="Calibri"/>
      <w:szCs w:val="22"/>
    </w:rPr>
  </w:style>
  <w:style w:type="paragraph" w:styleId="1628">
    <w:name w:val="xl69"/>
    <w:basedOn w:val="1434"/>
    <w:next w:val="162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font6"/>
    <w:basedOn w:val="1434"/>
    <w:next w:val="1629"/>
    <w:link w:val="1434"/>
    <w:qFormat/>
    <w:pPr>
      <w:jc w:val="left"/>
      <w:spacing w:before="100" w:beforeAutospacing="1" w:after="100" w:afterAutospacing="1"/>
      <w:widowControl/>
    </w:pPr>
    <w:rPr>
      <w:color w:val="000000"/>
      <w:szCs w:val="21"/>
    </w:rPr>
  </w:style>
  <w:style w:type="paragraph" w:styleId="1630">
    <w:name w:val="列出段落2"/>
    <w:basedOn w:val="1434"/>
    <w:next w:val="1630"/>
    <w:link w:val="1434"/>
    <w:uiPriority w:val="34"/>
    <w:qFormat/>
    <w:pPr>
      <w:ind w:firstLine="420"/>
    </w:pPr>
    <w:rPr>
      <w:rFonts w:ascii="Calibri" w:hAnsi="Calibri"/>
      <w:szCs w:val="21"/>
    </w:rPr>
  </w:style>
  <w:style w:type="paragraph" w:styleId="1631">
    <w:name w:val="格式1"/>
    <w:basedOn w:val="1434"/>
    <w:next w:val="1631"/>
    <w:link w:val="1434"/>
    <w:qFormat/>
    <w:pPr>
      <w:jc w:val="center"/>
    </w:pPr>
    <w:rPr>
      <w:rFonts w:ascii="黑体" w:hAnsi="宋体" w:eastAsia="黑体"/>
      <w:b/>
      <w:bCs/>
      <w:color w:val="000000"/>
      <w:sz w:val="32"/>
    </w:rPr>
  </w:style>
  <w:style w:type="paragraph" w:styleId="1632">
    <w:name w:val="修订"/>
    <w:next w:val="1632"/>
    <w:link w:val="1434"/>
    <w:uiPriority w:val="99"/>
    <w:unhideWhenUsed/>
    <w:rPr>
      <w:sz w:val="21"/>
      <w:lang w:val="en-US" w:eastAsia="zh-CN" w:bidi="ar-SA"/>
    </w:rPr>
  </w:style>
  <w:style w:type="paragraph" w:styleId="1633">
    <w:name w:val="正文宋体4"/>
    <w:basedOn w:val="1434"/>
    <w:next w:val="1633"/>
    <w:link w:val="1434"/>
    <w:qFormat/>
    <w:pPr>
      <w:ind w:firstLine="359"/>
      <w:tabs>
        <w:tab w:val="left" w:pos="0" w:leader="none"/>
      </w:tabs>
    </w:pPr>
    <w:rPr>
      <w:rFonts w:ascii="仿宋_GB2312" w:eastAsia="仿宋_GB2312"/>
      <w:b/>
      <w:color w:val="000000"/>
      <w:sz w:val="24"/>
      <w:szCs w:val="24"/>
    </w:rPr>
  </w:style>
  <w:style w:type="paragraph" w:styleId="1634">
    <w:name w:val="正文1"/>
    <w:next w:val="1634"/>
    <w:link w:val="1434"/>
    <w:qFormat/>
    <w:pPr>
      <w:jc w:val="both"/>
    </w:pPr>
    <w:rPr>
      <w:rFonts w:cs="宋体"/>
      <w:sz w:val="21"/>
      <w:szCs w:val="21"/>
      <w:lang w:val="en-US" w:eastAsia="zh-CN" w:bidi="ar-SA"/>
    </w:rPr>
  </w:style>
  <w:style w:type="paragraph" w:styleId="1635">
    <w:name w:val="简单回函地址"/>
    <w:basedOn w:val="1434"/>
    <w:next w:val="1635"/>
    <w:link w:val="1434"/>
    <w:qFormat/>
    <w:rPr>
      <w:szCs w:val="24"/>
    </w:rPr>
  </w:style>
  <w:style w:type="paragraph" w:styleId="1636">
    <w:name w:val="font11"/>
    <w:basedOn w:val="1434"/>
    <w:next w:val="1636"/>
    <w:link w:val="1434"/>
    <w:qFormat/>
    <w:pPr>
      <w:jc w:val="left"/>
      <w:spacing w:before="100" w:beforeAutospacing="1" w:after="100" w:afterAutospacing="1"/>
      <w:widowControl/>
    </w:pPr>
    <w:rPr>
      <w:rFonts w:ascii="宋体" w:hAnsi="宋体" w:cs="宋体"/>
      <w:color w:val="000000"/>
      <w:sz w:val="18"/>
      <w:szCs w:val="18"/>
    </w:rPr>
  </w:style>
  <w:style w:type="paragraph" w:styleId="1637">
    <w:name w:val="xl105"/>
    <w:basedOn w:val="1434"/>
    <w:next w:val="1637"/>
    <w:link w:val="1434"/>
    <w:qFormat/>
    <w:pPr>
      <w:jc w:val="left"/>
      <w:spacing w:before="100" w:beforeAutospacing="1" w:after="100" w:afterAutospacing="1"/>
      <w:widowControl/>
    </w:pPr>
    <w:rPr>
      <w:rFonts w:ascii="宋体" w:hAnsi="宋体" w:cs="宋体"/>
      <w:sz w:val="20"/>
    </w:rPr>
  </w:style>
  <w:style w:type="paragraph" w:styleId="1638">
    <w:name w:val="xl86"/>
    <w:basedOn w:val="1434"/>
    <w:next w:val="163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9">
    <w:name w:val="xl109"/>
    <w:basedOn w:val="1434"/>
    <w:next w:val="1639"/>
    <w:link w:val="143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0">
    <w:name w:val="节标题"/>
    <w:basedOn w:val="1434"/>
    <w:next w:val="1434"/>
    <w:link w:val="1434"/>
    <w:qFormat/>
    <w:pPr>
      <w:jc w:val="center"/>
      <w:spacing w:line="289" w:lineRule="atLeast"/>
    </w:pPr>
    <w:rPr>
      <w:sz w:val="28"/>
      <w:szCs w:val="24"/>
    </w:rPr>
  </w:style>
  <w:style w:type="paragraph" w:styleId="1641">
    <w:name w:val="xl103"/>
    <w:basedOn w:val="1434"/>
    <w:next w:val="1641"/>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2">
    <w:name w:val="xl112"/>
    <w:basedOn w:val="1434"/>
    <w:next w:val="1642"/>
    <w:link w:val="143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3">
    <w:name w:val="2"/>
    <w:basedOn w:val="1434"/>
    <w:next w:val="1643"/>
    <w:link w:val="1434"/>
    <w:qFormat/>
    <w:pPr>
      <w:spacing w:line="360" w:lineRule="auto"/>
    </w:pPr>
    <w:rPr>
      <w:rFonts w:ascii="宋体" w:hAnsi="宋体"/>
      <w:b/>
      <w:sz w:val="24"/>
    </w:rPr>
  </w:style>
  <w:style w:type="paragraph" w:styleId="1644">
    <w:name w:val="BodyText1I1"/>
    <w:basedOn w:val="1645"/>
    <w:next w:val="1644"/>
    <w:link w:val="1434"/>
    <w:qFormat/>
    <w:pPr>
      <w:ind w:left="120" w:firstLine="420"/>
      <w:jc w:val="both"/>
      <w:spacing w:before="36"/>
    </w:pPr>
  </w:style>
  <w:style w:type="paragraph" w:styleId="1645">
    <w:name w:val="BodyText1"/>
    <w:basedOn w:val="1434"/>
    <w:next w:val="1434"/>
    <w:link w:val="1434"/>
    <w:qFormat/>
    <w:pPr>
      <w:ind w:left="120"/>
      <w:jc w:val="both"/>
      <w:spacing w:before="36"/>
    </w:pPr>
    <w:rPr>
      <w:rFonts w:ascii="宋体" w:hAnsi="宋体" w:eastAsia="宋体"/>
      <w:sz w:val="24"/>
      <w:szCs w:val="24"/>
      <w:lang w:val="en-US" w:eastAsia="zh-CN" w:bidi="ar-SA"/>
    </w:rPr>
  </w:style>
  <w:style w:type="paragraph" w:styleId="1646">
    <w:name w:val="font14"/>
    <w:basedOn w:val="1434"/>
    <w:next w:val="1646"/>
    <w:link w:val="1434"/>
    <w:qFormat/>
    <w:pPr>
      <w:jc w:val="left"/>
      <w:spacing w:before="100" w:beforeAutospacing="1" w:after="100" w:afterAutospacing="1"/>
      <w:widowControl/>
    </w:pPr>
    <w:rPr>
      <w:rFonts w:ascii="宋体" w:hAnsi="宋体" w:cs="宋体"/>
      <w:color w:val="000000"/>
      <w:szCs w:val="21"/>
    </w:rPr>
  </w:style>
  <w:style w:type="paragraph" w:styleId="1647">
    <w:name w:val="xl65"/>
    <w:basedOn w:val="1434"/>
    <w:next w:val="1647"/>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8">
    <w:name w:val="Char Char Char Char Char Char Char1"/>
    <w:basedOn w:val="1434"/>
    <w:next w:val="1648"/>
    <w:link w:val="1434"/>
    <w:qFormat/>
    <w:pPr>
      <w:ind w:left="432" w:hanging="432"/>
      <w:jc w:val="center"/>
      <w:tabs>
        <w:tab w:val="left" w:pos="432" w:leader="none"/>
      </w:tabs>
    </w:pPr>
    <w:rPr>
      <w:rFonts w:ascii="仿宋_GB2312" w:hAnsi="Tahoma" w:eastAsia="仿宋_GB2312"/>
      <w:sz w:val="24"/>
      <w:szCs w:val="24"/>
    </w:rPr>
  </w:style>
  <w:style w:type="paragraph" w:styleId="1649">
    <w:name w:val="xl99"/>
    <w:basedOn w:val="1434"/>
    <w:next w:val="1649"/>
    <w:link w:val="143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0">
    <w:name w:val="xl80"/>
    <w:basedOn w:val="1434"/>
    <w:next w:val="1650"/>
    <w:link w:val="143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1">
    <w:name w:val="xl94"/>
    <w:basedOn w:val="1434"/>
    <w:next w:val="1651"/>
    <w:link w:val="143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2">
    <w:name w:val="标题9"/>
    <w:basedOn w:val="1442"/>
    <w:next w:val="1652"/>
    <w:link w:val="1434"/>
    <w:qFormat/>
    <w:pPr>
      <w:jc w:val="both"/>
      <w:keepLines w:val="0"/>
      <w:keepNext w:val="0"/>
      <w:spacing w:before="0" w:after="0" w:line="360" w:lineRule="auto"/>
      <w:tabs>
        <w:tab w:val="left" w:pos="0" w:leader="none"/>
      </w:tabs>
    </w:pPr>
    <w:rPr>
      <w:rFonts w:eastAsia="仿宋_GB2312"/>
      <w:sz w:val="30"/>
    </w:rPr>
  </w:style>
  <w:style w:type="paragraph" w:styleId="1653">
    <w:name w:val="正文缩进1"/>
    <w:basedOn w:val="1434"/>
    <w:next w:val="1653"/>
    <w:link w:val="1434"/>
    <w:qFormat/>
    <w:pPr>
      <w:ind w:firstLine="482"/>
      <w:spacing w:line="360" w:lineRule="atLeast"/>
    </w:pPr>
    <w:rPr>
      <w:sz w:val="24"/>
      <w:szCs w:val="24"/>
    </w:rPr>
  </w:style>
  <w:style w:type="paragraph" w:styleId="1654">
    <w:name w:val="_Style 53"/>
    <w:next w:val="1434"/>
    <w:link w:val="1434"/>
    <w:uiPriority w:val="99"/>
    <w:unhideWhenUsed/>
    <w:qFormat/>
    <w:pPr>
      <w:widowControl w:val="off"/>
    </w:pPr>
    <w:rPr>
      <w:rFonts w:ascii="宋体"/>
      <w:lang w:val="en-US" w:eastAsia="zh-CN" w:bidi="ar-SA"/>
    </w:rPr>
  </w:style>
  <w:style w:type="paragraph" w:styleId="1655">
    <w:name w:val="Char Char Char1"/>
    <w:basedOn w:val="1434"/>
    <w:next w:val="1655"/>
    <w:link w:val="1434"/>
    <w:qFormat/>
    <w:rPr>
      <w:szCs w:val="24"/>
    </w:rPr>
  </w:style>
  <w:style w:type="paragraph" w:styleId="1656">
    <w:name w:val="三级条我的分类标题"/>
    <w:basedOn w:val="1434"/>
    <w:next w:val="1656"/>
    <w:link w:val="1434"/>
    <w:uiPriority w:val="99"/>
    <w:qFormat/>
    <w:pPr>
      <w:ind w:left="992" w:hanging="567"/>
    </w:pPr>
    <w:rPr>
      <w:rFonts w:ascii="黑体" w:hAnsi="黑体" w:eastAsia="黑体"/>
      <w:b/>
      <w:sz w:val="28"/>
      <w:szCs w:val="28"/>
    </w:rPr>
  </w:style>
  <w:style w:type="paragraph" w:styleId="1657">
    <w:name w:val="yy一级标题"/>
    <w:basedOn w:val="1434"/>
    <w:next w:val="1657"/>
    <w:link w:val="1434"/>
    <w:qFormat/>
    <w:rPr>
      <w:rFonts w:ascii="宋体" w:hAnsi="宋体"/>
      <w:sz w:val="24"/>
      <w:szCs w:val="24"/>
    </w:rPr>
  </w:style>
  <w:style w:type="paragraph" w:styleId="1658">
    <w:name w:val="_Style 20"/>
    <w:basedOn w:val="1434"/>
    <w:next w:val="1659"/>
    <w:link w:val="1434"/>
    <w:uiPriority w:val="34"/>
    <w:qFormat/>
    <w:pPr>
      <w:ind w:firstLine="420"/>
    </w:pPr>
    <w:rPr>
      <w:szCs w:val="24"/>
    </w:rPr>
  </w:style>
  <w:style w:type="paragraph" w:styleId="1659">
    <w:name w:val="列出段落"/>
    <w:basedOn w:val="1434"/>
    <w:next w:val="1659"/>
    <w:link w:val="1434"/>
    <w:uiPriority w:val="34"/>
    <w:qFormat/>
    <w:pPr>
      <w:ind w:firstLine="420"/>
    </w:pPr>
  </w:style>
  <w:style w:type="paragraph" w:styleId="1660">
    <w:name w:val="标题8"/>
    <w:basedOn w:val="1441"/>
    <w:next w:val="1660"/>
    <w:link w:val="1434"/>
    <w:qFormat/>
    <w:pPr>
      <w:jc w:val="both"/>
      <w:keepLines w:val="0"/>
      <w:keepNext w:val="0"/>
      <w:spacing w:before="0" w:after="0" w:line="360" w:lineRule="auto"/>
      <w:tabs>
        <w:tab w:val="left" w:pos="0" w:leader="none"/>
      </w:tabs>
    </w:pPr>
    <w:rPr>
      <w:rFonts w:eastAsia="仿宋_GB2312"/>
      <w:sz w:val="30"/>
    </w:rPr>
  </w:style>
  <w:style w:type="paragraph" w:styleId="1661">
    <w:name w:val="xl93"/>
    <w:basedOn w:val="1434"/>
    <w:next w:val="166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2">
    <w:name w:val="标题4"/>
    <w:basedOn w:val="1438"/>
    <w:next w:val="1662"/>
    <w:link w:val="1434"/>
    <w:qFormat/>
    <w:pPr>
      <w:keepLines w:val="0"/>
      <w:keepNext w:val="0"/>
      <w:spacing w:before="0" w:after="0" w:line="360" w:lineRule="auto"/>
      <w:tabs>
        <w:tab w:val="left" w:pos="0" w:leader="none"/>
      </w:tabs>
    </w:pPr>
    <w:rPr>
      <w:rFonts w:eastAsia="仿宋_GB2312"/>
      <w:b w:val="0"/>
      <w:sz w:val="30"/>
      <w:szCs w:val="30"/>
    </w:rPr>
  </w:style>
  <w:style w:type="paragraph" w:styleId="1663">
    <w:name w:val="标题6"/>
    <w:basedOn w:val="1440"/>
    <w:next w:val="1663"/>
    <w:link w:val="1434"/>
    <w:qFormat/>
    <w:pPr>
      <w:jc w:val="both"/>
      <w:keepLines w:val="0"/>
      <w:keepNext w:val="0"/>
      <w:spacing w:before="0" w:after="0" w:line="360" w:lineRule="auto"/>
      <w:tabs>
        <w:tab w:val="left" w:pos="0" w:leader="none"/>
      </w:tabs>
    </w:pPr>
    <w:rPr>
      <w:rFonts w:eastAsia="仿宋_GB2312"/>
      <w:b w:val="0"/>
      <w:sz w:val="30"/>
    </w:rPr>
  </w:style>
  <w:style w:type="paragraph" w:styleId="1664">
    <w:name w:val="xl97"/>
    <w:basedOn w:val="1434"/>
    <w:next w:val="1664"/>
    <w:link w:val="1434"/>
    <w:qFormat/>
    <w:pPr>
      <w:jc w:val="left"/>
      <w:spacing w:before="100" w:beforeAutospacing="1" w:after="100" w:afterAutospacing="1"/>
      <w:widowControl/>
    </w:pPr>
    <w:rPr>
      <w:rFonts w:ascii="宋体" w:hAnsi="宋体" w:cs="宋体"/>
      <w:szCs w:val="21"/>
    </w:rPr>
  </w:style>
  <w:style w:type="paragraph" w:styleId="1665">
    <w:name w:val="xl76"/>
    <w:basedOn w:val="1434"/>
    <w:next w:val="1665"/>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6">
    <w:name w:val="yy标题"/>
    <w:basedOn w:val="1667"/>
    <w:next w:val="1666"/>
    <w:link w:val="1434"/>
    <w:qFormat/>
    <w:rPr>
      <w:sz w:val="24"/>
    </w:rPr>
  </w:style>
  <w:style w:type="paragraph" w:styleId="1667">
    <w:name w:val="yy目录"/>
    <w:basedOn w:val="1434"/>
    <w:next w:val="1667"/>
    <w:link w:val="1434"/>
    <w:qFormat/>
    <w:pPr>
      <w:spacing w:line="360" w:lineRule="auto"/>
    </w:pPr>
    <w:rPr>
      <w:rFonts w:ascii="楷体_GB2312"/>
      <w:bCs/>
      <w:sz w:val="28"/>
      <w:szCs w:val="72"/>
    </w:rPr>
  </w:style>
  <w:style w:type="paragraph" w:styleId="1668">
    <w:name w:val="xl70"/>
    <w:basedOn w:val="1434"/>
    <w:next w:val="166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9">
    <w:name w:val="_Style 4"/>
    <w:basedOn w:val="1434"/>
    <w:next w:val="1669"/>
    <w:link w:val="1434"/>
    <w:uiPriority w:val="99"/>
    <w:qFormat/>
    <w:pPr>
      <w:ind w:firstLine="420"/>
    </w:pPr>
  </w:style>
  <w:style w:type="paragraph" w:styleId="1670">
    <w:name w:val="Char1"/>
    <w:basedOn w:val="1434"/>
    <w:next w:val="1670"/>
    <w:link w:val="1434"/>
    <w:qFormat/>
    <w:pPr>
      <w:ind w:left="840" w:hanging="420"/>
      <w:tabs>
        <w:tab w:val="left" w:pos="840" w:leader="none"/>
      </w:tabs>
    </w:pPr>
    <w:rPr>
      <w:sz w:val="24"/>
      <w:szCs w:val="24"/>
    </w:rPr>
  </w:style>
  <w:style w:type="paragraph" w:styleId="1671">
    <w:name w:val="xl71"/>
    <w:basedOn w:val="1434"/>
    <w:next w:val="1671"/>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2">
    <w:name w:val="三级条带序号我的标题"/>
    <w:basedOn w:val="1434"/>
    <w:next w:val="1672"/>
    <w:link w:val="1434"/>
    <w:uiPriority w:val="99"/>
    <w:qFormat/>
    <w:pPr>
      <w:ind w:left="420" w:hanging="420"/>
      <w:outlineLvl w:val="2"/>
    </w:pPr>
    <w:rPr>
      <w:rFonts w:ascii="黑体" w:hAnsi="黑体" w:eastAsia="黑体"/>
      <w:b/>
      <w:sz w:val="28"/>
      <w:szCs w:val="28"/>
    </w:rPr>
  </w:style>
  <w:style w:type="paragraph" w:styleId="1673">
    <w:name w:val="TOC 标题1"/>
    <w:basedOn w:val="1435"/>
    <w:next w:val="1434"/>
    <w:link w:val="1434"/>
    <w:uiPriority w:val="39"/>
    <w:qFormat/>
    <w:pPr>
      <w:jc w:val="left"/>
      <w:keepLines/>
      <w:spacing w:before="480" w:line="276" w:lineRule="auto"/>
      <w:widowControl/>
      <w:outlineLvl w:val="9"/>
    </w:pPr>
    <w:rPr>
      <w:rFonts w:ascii="Cambria" w:hAnsi="Cambria"/>
      <w:b/>
      <w:bCs/>
      <w:color w:val="365f91"/>
      <w:szCs w:val="28"/>
    </w:rPr>
  </w:style>
  <w:style w:type="paragraph" w:styleId="1674">
    <w:name w:val="xl96"/>
    <w:basedOn w:val="1434"/>
    <w:next w:val="1674"/>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5">
    <w:name w:val="xl102"/>
    <w:basedOn w:val="1434"/>
    <w:next w:val="1675"/>
    <w:link w:val="143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6">
    <w:name w:val="xl91"/>
    <w:basedOn w:val="1434"/>
    <w:next w:val="1676"/>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7">
    <w:name w:val="xl67"/>
    <w:basedOn w:val="1434"/>
    <w:next w:val="1677"/>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8">
    <w:name w:val="默认段落字体 Para Char Char Char Char Char Char Char"/>
    <w:basedOn w:val="1434"/>
    <w:next w:val="1678"/>
    <w:link w:val="1434"/>
    <w:qFormat/>
    <w:pPr>
      <w:spacing w:line="360" w:lineRule="auto"/>
    </w:pPr>
    <w:rPr>
      <w:rFonts w:ascii="Arial" w:hAnsi="Arial" w:eastAsia="黑体" w:cs="Verdana"/>
      <w:b/>
      <w:sz w:val="30"/>
      <w:szCs w:val="24"/>
      <w:lang w:eastAsia="en-US"/>
    </w:rPr>
  </w:style>
  <w:style w:type="paragraph" w:styleId="1679">
    <w:name w:val="列出段落5"/>
    <w:basedOn w:val="1434"/>
    <w:next w:val="1679"/>
    <w:link w:val="1434"/>
    <w:uiPriority w:val="99"/>
    <w:unhideWhenUsed/>
    <w:qFormat/>
    <w:pPr>
      <w:ind w:firstLine="420"/>
    </w:pPr>
  </w:style>
  <w:style w:type="paragraph" w:styleId="1680">
    <w:name w:val="列出段落4"/>
    <w:basedOn w:val="1434"/>
    <w:next w:val="1680"/>
    <w:link w:val="1434"/>
    <w:uiPriority w:val="34"/>
    <w:qFormat/>
    <w:pPr>
      <w:ind w:firstLine="420"/>
    </w:pPr>
  </w:style>
  <w:style w:type="paragraph" w:styleId="1681">
    <w:name w:val="xl81"/>
    <w:basedOn w:val="1434"/>
    <w:next w:val="1681"/>
    <w:link w:val="1434"/>
    <w:qFormat/>
    <w:pPr>
      <w:jc w:val="left"/>
      <w:spacing w:before="100" w:beforeAutospacing="1" w:after="100" w:afterAutospacing="1"/>
      <w:widowControl/>
      <w:pBdr>
        <w:left w:val="single" w:color="000000" w:sz="4" w:space="0"/>
        <w:right w:val="single" w:color="000000" w:sz="4" w:space="0"/>
      </w:pBdr>
    </w:pPr>
    <w:rPr>
      <w:sz w:val="20"/>
    </w:rPr>
  </w:style>
  <w:style w:type="paragraph" w:styleId="1682">
    <w:name w:val="_Style 231"/>
    <w:next w:val="1682"/>
    <w:link w:val="1434"/>
    <w:uiPriority w:val="99"/>
    <w:qFormat/>
    <w:pPr>
      <w:jc w:val="both"/>
      <w:widowControl w:val="off"/>
    </w:pPr>
    <w:rPr>
      <w:sz w:val="21"/>
      <w:lang w:val="en-US" w:eastAsia="zh-CN" w:bidi="ar-SA"/>
    </w:rPr>
  </w:style>
  <w:style w:type="paragraph" w:styleId="1683">
    <w:name w:val="Table Paragraph"/>
    <w:basedOn w:val="1434"/>
    <w:next w:val="1683"/>
    <w:link w:val="1434"/>
    <w:uiPriority w:val="1"/>
    <w:qFormat/>
    <w:pPr>
      <w:spacing w:before="2"/>
    </w:pPr>
    <w:rPr>
      <w:rFonts w:ascii="宋体" w:hAnsi="宋体" w:eastAsia="宋体" w:cs="宋体"/>
      <w:lang w:val="zh-CN" w:eastAsia="zh-CN" w:bidi="zh-CN"/>
    </w:rPr>
  </w:style>
  <w:style w:type="paragraph" w:styleId="1684">
    <w:name w:val="xl68"/>
    <w:basedOn w:val="1434"/>
    <w:next w:val="1684"/>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Body Text First Indent1"/>
    <w:basedOn w:val="1464"/>
    <w:next w:val="1685"/>
    <w:link w:val="1434"/>
    <w:qFormat/>
    <w:pPr>
      <w:ind w:firstLine="420"/>
    </w:pPr>
  </w:style>
  <w:style w:type="paragraph" w:styleId="1686">
    <w:name w:val="yy标题2"/>
    <w:basedOn w:val="1667"/>
    <w:next w:val="1686"/>
    <w:link w:val="1434"/>
    <w:qFormat/>
    <w:rPr>
      <w:bCs w:val="0"/>
      <w:color w:val="000000"/>
      <w:sz w:val="24"/>
    </w:rPr>
  </w:style>
  <w:style w:type="paragraph" w:styleId="1687">
    <w:name w:val="xl90"/>
    <w:basedOn w:val="1434"/>
    <w:next w:val="1687"/>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8">
    <w:name w:val="xl108"/>
    <w:basedOn w:val="1434"/>
    <w:next w:val="1688"/>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xl74"/>
    <w:basedOn w:val="1434"/>
    <w:next w:val="1689"/>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0">
    <w:name w:val="xl83"/>
    <w:basedOn w:val="1434"/>
    <w:next w:val="1690"/>
    <w:link w:val="143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1">
    <w:name w:val="彩色列表 - 强调文字颜色 11"/>
    <w:basedOn w:val="1434"/>
    <w:next w:val="1691"/>
    <w:link w:val="143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2">
    <w:name w:val="xl111"/>
    <w:basedOn w:val="1434"/>
    <w:next w:val="1692"/>
    <w:link w:val="143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3">
    <w:name w:val="xl77"/>
    <w:basedOn w:val="1434"/>
    <w:next w:val="1693"/>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标题2"/>
    <w:basedOn w:val="1436"/>
    <w:next w:val="1694"/>
    <w:link w:val="1434"/>
    <w:qFormat/>
    <w:pPr>
      <w:keepLines w:val="0"/>
      <w:keepNext w:val="0"/>
      <w:spacing w:before="0" w:after="0" w:line="360" w:lineRule="auto"/>
      <w:tabs>
        <w:tab w:val="left" w:pos="0" w:leader="none"/>
      </w:tabs>
    </w:pPr>
    <w:rPr>
      <w:rFonts w:eastAsia="仿宋_GB2312"/>
      <w:b w:val="0"/>
      <w:sz w:val="30"/>
    </w:rPr>
  </w:style>
  <w:style w:type="paragraph" w:styleId="1695">
    <w:name w:val="正文2"/>
    <w:basedOn w:val="1434"/>
    <w:next w:val="1695"/>
    <w:link w:val="1434"/>
    <w:qFormat/>
    <w:pPr>
      <w:ind w:firstLine="200"/>
      <w:jc w:val="left"/>
      <w:spacing w:after="160" w:line="360" w:lineRule="auto"/>
      <w:widowControl/>
    </w:pPr>
    <w:rPr>
      <w:rFonts w:ascii="Verdana" w:hAnsi="Verdana" w:eastAsia="黑体"/>
      <w:lang w:eastAsia="en-US"/>
    </w:rPr>
  </w:style>
  <w:style w:type="paragraph" w:styleId="1696">
    <w:name w:val="xl107"/>
    <w:basedOn w:val="1434"/>
    <w:next w:val="1696"/>
    <w:link w:val="143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7">
    <w:name w:val="xl104"/>
    <w:basedOn w:val="1434"/>
    <w:next w:val="169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8">
    <w:name w:val="xl95"/>
    <w:basedOn w:val="1434"/>
    <w:next w:val="1698"/>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9">
    <w:name w:val="font13"/>
    <w:basedOn w:val="1434"/>
    <w:next w:val="1699"/>
    <w:link w:val="1434"/>
    <w:qFormat/>
    <w:pPr>
      <w:jc w:val="left"/>
      <w:spacing w:before="100" w:beforeAutospacing="1" w:after="100" w:afterAutospacing="1"/>
      <w:widowControl/>
    </w:pPr>
    <w:rPr>
      <w:rFonts w:ascii="宋体" w:hAnsi="宋体" w:cs="宋体"/>
      <w:sz w:val="18"/>
      <w:szCs w:val="18"/>
    </w:rPr>
  </w:style>
  <w:style w:type="paragraph" w:styleId="1700">
    <w:name w:val="font5"/>
    <w:basedOn w:val="1434"/>
    <w:next w:val="1700"/>
    <w:link w:val="1434"/>
    <w:qFormat/>
    <w:pPr>
      <w:jc w:val="left"/>
      <w:spacing w:before="100" w:beforeAutospacing="1" w:after="100" w:afterAutospacing="1"/>
      <w:widowControl/>
    </w:pPr>
    <w:rPr>
      <w:color w:val="000000"/>
      <w:sz w:val="20"/>
    </w:rPr>
  </w:style>
  <w:style w:type="paragraph" w:styleId="1701">
    <w:name w:val="xl98"/>
    <w:basedOn w:val="1434"/>
    <w:next w:val="1701"/>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2">
    <w:name w:val="xl87"/>
    <w:basedOn w:val="1434"/>
    <w:next w:val="1702"/>
    <w:link w:val="143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3">
    <w:name w:val="xl110"/>
    <w:basedOn w:val="1434"/>
    <w:next w:val="1703"/>
    <w:link w:val="143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4">
    <w:name w:val="a"/>
    <w:basedOn w:val="1434"/>
    <w:next w:val="1704"/>
    <w:link w:val="1434"/>
    <w:qFormat/>
    <w:pPr>
      <w:jc w:val="left"/>
      <w:spacing w:before="100" w:beforeAutospacing="1" w:after="100" w:afterAutospacing="1"/>
    </w:pPr>
    <w:rPr>
      <w:rFonts w:ascii="宋体" w:hAnsi="宋体" w:cs="宋体"/>
      <w:sz w:val="24"/>
      <w:szCs w:val="24"/>
    </w:rPr>
  </w:style>
  <w:style w:type="paragraph" w:styleId="1705">
    <w:name w:val="font8"/>
    <w:basedOn w:val="1434"/>
    <w:next w:val="1705"/>
    <w:link w:val="1434"/>
    <w:qFormat/>
    <w:pPr>
      <w:jc w:val="left"/>
      <w:spacing w:before="100" w:beforeAutospacing="1" w:after="100" w:afterAutospacing="1"/>
      <w:widowControl/>
    </w:pPr>
    <w:rPr>
      <w:rFonts w:ascii="宋体" w:hAnsi="宋体" w:cs="宋体"/>
      <w:b/>
      <w:bCs/>
      <w:color w:val="000000"/>
      <w:szCs w:val="21"/>
    </w:rPr>
  </w:style>
  <w:style w:type="paragraph" w:styleId="1706">
    <w:name w:val="Char Char Char Char Char Char Char"/>
    <w:basedOn w:val="1434"/>
    <w:next w:val="1706"/>
    <w:link w:val="1434"/>
    <w:semiHidden/>
    <w:qFormat/>
    <w:rPr>
      <w:rFonts w:ascii="Tahoma" w:hAnsi="Tahoma" w:cs="仿宋_GB2312"/>
      <w:sz w:val="24"/>
      <w:szCs w:val="28"/>
    </w:rPr>
  </w:style>
  <w:style w:type="paragraph" w:styleId="1707">
    <w:name w:val="xl106"/>
    <w:basedOn w:val="1434"/>
    <w:next w:val="1707"/>
    <w:link w:val="143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8">
    <w:name w:val="_Style 1"/>
    <w:basedOn w:val="1434"/>
    <w:next w:val="1708"/>
    <w:link w:val="1434"/>
    <w:uiPriority w:val="99"/>
    <w:qFormat/>
    <w:pPr>
      <w:ind w:firstLine="420"/>
    </w:pPr>
    <w:rPr>
      <w:rFonts w:ascii="Calibri" w:hAnsi="Calibri"/>
      <w:szCs w:val="22"/>
    </w:rPr>
  </w:style>
  <w:style w:type="paragraph" w:styleId="1709">
    <w:name w:val="yy正文"/>
    <w:basedOn w:val="1667"/>
    <w:next w:val="1709"/>
    <w:link w:val="1434"/>
    <w:qFormat/>
    <w:pPr>
      <w:spacing w:line="300" w:lineRule="auto"/>
    </w:pPr>
    <w:rPr>
      <w:sz w:val="21"/>
    </w:rPr>
  </w:style>
  <w:style w:type="paragraph" w:styleId="1710">
    <w:name w:val="正文 A"/>
    <w:next w:val="1710"/>
    <w:link w:val="1434"/>
    <w:qFormat/>
    <w:pPr>
      <w:jc w:val="both"/>
      <w:widowControl w:val="off"/>
    </w:pPr>
    <w:rPr>
      <w:rFonts w:eastAsia="Times New Roman"/>
      <w:color w:val="000000"/>
      <w:sz w:val="21"/>
      <w:szCs w:val="21"/>
      <w:lang w:val="en-US" w:eastAsia="zh-CN" w:bidi="ar-SA"/>
    </w:rPr>
  </w:style>
  <w:style w:type="paragraph" w:styleId="1711">
    <w:name w:val="首行缩进"/>
    <w:basedOn w:val="1434"/>
    <w:next w:val="1711"/>
    <w:link w:val="1434"/>
    <w:qFormat/>
    <w:pPr>
      <w:ind w:firstLine="480"/>
    </w:pPr>
    <w:rPr>
      <w:lang w:val="zh-CN"/>
    </w:rPr>
  </w:style>
  <w:style w:type="paragraph" w:styleId="1712">
    <w:name w:val="font12"/>
    <w:basedOn w:val="1434"/>
    <w:next w:val="1712"/>
    <w:link w:val="1434"/>
    <w:qFormat/>
    <w:pPr>
      <w:jc w:val="left"/>
      <w:spacing w:before="100" w:beforeAutospacing="1" w:after="100" w:afterAutospacing="1"/>
      <w:widowControl/>
    </w:pPr>
    <w:rPr>
      <w:rFonts w:ascii="宋体" w:hAnsi="宋体" w:cs="宋体"/>
      <w:color w:val="000000"/>
      <w:sz w:val="20"/>
    </w:rPr>
  </w:style>
  <w:style w:type="paragraph" w:styleId="1713">
    <w:name w:val="Char Char2 Char"/>
    <w:basedOn w:val="1434"/>
    <w:next w:val="1713"/>
    <w:link w:val="1434"/>
    <w:qFormat/>
    <w:pPr>
      <w:ind w:left="390" w:hanging="390"/>
      <w:keepLines/>
      <w:keepNext/>
      <w:pageBreakBefore/>
      <w:tabs>
        <w:tab w:val="left" w:pos="390" w:leader="none"/>
      </w:tabs>
    </w:pPr>
    <w:rPr>
      <w:szCs w:val="24"/>
    </w:rPr>
  </w:style>
  <w:style w:type="paragraph" w:styleId="1714">
    <w:name w:val="xl88"/>
    <w:basedOn w:val="1434"/>
    <w:next w:val="1714"/>
    <w:link w:val="143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5">
    <w:name w:val="xl89"/>
    <w:basedOn w:val="1434"/>
    <w:next w:val="1715"/>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6">
    <w:name w:val="font7"/>
    <w:basedOn w:val="1434"/>
    <w:next w:val="1716"/>
    <w:link w:val="1434"/>
    <w:qFormat/>
    <w:pPr>
      <w:jc w:val="left"/>
      <w:spacing w:before="100" w:beforeAutospacing="1" w:after="100" w:afterAutospacing="1"/>
      <w:widowControl/>
    </w:pPr>
    <w:rPr>
      <w:b/>
      <w:bCs/>
      <w:color w:val="000000"/>
      <w:szCs w:val="21"/>
    </w:rPr>
  </w:style>
  <w:style w:type="paragraph" w:styleId="1717">
    <w:name w:val="font9"/>
    <w:basedOn w:val="1434"/>
    <w:next w:val="1717"/>
    <w:link w:val="1434"/>
    <w:qFormat/>
    <w:pPr>
      <w:jc w:val="left"/>
      <w:spacing w:before="100" w:beforeAutospacing="1" w:after="100" w:afterAutospacing="1"/>
      <w:widowControl/>
    </w:pPr>
    <w:rPr>
      <w:rFonts w:ascii="宋体" w:hAnsi="宋体" w:cs="宋体"/>
      <w:color w:val="000000"/>
      <w:szCs w:val="21"/>
    </w:rPr>
  </w:style>
  <w:style w:type="paragraph" w:styleId="1718">
    <w:name w:val="xl92"/>
    <w:basedOn w:val="1434"/>
    <w:next w:val="1718"/>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9">
    <w:name w:val="xl78"/>
    <w:basedOn w:val="1434"/>
    <w:next w:val="171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0">
    <w:name w:val="xl82"/>
    <w:basedOn w:val="1434"/>
    <w:next w:val="1720"/>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1">
    <w:name w:val="xl84"/>
    <w:basedOn w:val="1434"/>
    <w:next w:val="1721"/>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2">
    <w:name w:val="缺省文本"/>
    <w:basedOn w:val="1434"/>
    <w:next w:val="1722"/>
    <w:link w:val="1434"/>
    <w:qFormat/>
    <w:pPr>
      <w:ind w:firstLine="504"/>
      <w:jc w:val="left"/>
      <w:spacing w:before="20" w:after="20" w:line="400" w:lineRule="exact"/>
    </w:pPr>
    <w:rPr>
      <w:sz w:val="24"/>
    </w:rPr>
  </w:style>
  <w:style w:type="paragraph" w:styleId="1723">
    <w:name w:val="xl85"/>
    <w:basedOn w:val="1434"/>
    <w:next w:val="1723"/>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4">
    <w:name w:val="yy标题3"/>
    <w:basedOn w:val="1686"/>
    <w:next w:val="1724"/>
    <w:link w:val="1434"/>
    <w:qFormat/>
  </w:style>
  <w:style w:type="paragraph" w:styleId="1725">
    <w:name w:val="xl73"/>
    <w:basedOn w:val="1434"/>
    <w:next w:val="17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列表段落1"/>
    <w:basedOn w:val="1434"/>
    <w:next w:val="1726"/>
    <w:link w:val="1434"/>
    <w:uiPriority w:val="34"/>
    <w:qFormat/>
  </w:style>
  <w:style w:type="paragraph" w:styleId="1727">
    <w:name w:val="Table Text"/>
    <w:basedOn w:val="1434"/>
    <w:next w:val="1727"/>
    <w:link w:val="1434"/>
    <w:semiHidden/>
    <w:qFormat/>
    <w:rPr>
      <w:rFonts w:ascii="宋体" w:hAnsi="宋体" w:eastAsia="宋体" w:cs="宋体"/>
      <w:sz w:val="20"/>
      <w:szCs w:val="20"/>
      <w:lang w:val="en-US" w:eastAsia="en-US" w:bidi="ar-SA"/>
    </w:rPr>
  </w:style>
  <w:style w:type="table" w:styleId="1728">
    <w:name w:val="Table Normal"/>
    <w:next w:val="1728"/>
    <w:link w:val="1434"/>
    <w:unhideWhenUsed/>
    <w:qFormat/>
    <w:rPr>
      <w:lang w:val="en-US" w:eastAsia="zh-CN" w:bidi="ar-SA"/>
    </w:rPr>
    <w:tblPr/>
  </w:style>
  <w:style w:type="paragraph" w:styleId="1729">
    <w:name w:val="正文首行缩进2"/>
    <w:basedOn w:val="1434"/>
    <w:next w:val="1729"/>
    <w:link w:val="1434"/>
    <w:qFormat/>
    <w:pPr>
      <w:ind w:firstLine="200"/>
    </w:pPr>
  </w:style>
  <w:style w:type="character" w:styleId="1730">
    <w:name w:val="font51"/>
    <w:next w:val="1730"/>
    <w:link w:val="1434"/>
    <w:rPr>
      <w:rFonts w:ascii="Times New Roman" w:hAnsi="Times New Roman" w:cs="Times New Roman"/>
      <w:i w:val="0"/>
      <w:iCs w:val="0"/>
      <w:color w:val="000000"/>
      <w:sz w:val="24"/>
      <w:szCs w:val="24"/>
      <w:u w:val="none"/>
    </w:rPr>
  </w:style>
  <w:style w:type="character" w:styleId="1731">
    <w:name w:val="font61"/>
    <w:next w:val="1731"/>
    <w:link w:val="1434"/>
    <w:rPr>
      <w:rFonts w:ascii="等线" w:hAnsi="等线" w:eastAsia="等线" w:cs="等线"/>
      <w:i w:val="0"/>
      <w:iCs w:val="0"/>
      <w:color w:val="000000"/>
      <w:sz w:val="24"/>
      <w:szCs w:val="24"/>
      <w:u w:val="none"/>
    </w:rPr>
  </w:style>
  <w:style w:type="character" w:styleId="1732">
    <w:name w:val="font81"/>
    <w:next w:val="1732"/>
    <w:link w:val="1434"/>
    <w:rPr>
      <w:rFonts w:ascii="Times New Roman" w:hAnsi="Times New Roman" w:cs="Times New Roman"/>
      <w:i w:val="0"/>
      <w:iCs w:val="0"/>
      <w:color w:val="000000"/>
      <w:sz w:val="24"/>
      <w:szCs w:val="24"/>
      <w:u w:val="none"/>
    </w:rPr>
  </w:style>
  <w:style w:type="character" w:styleId="1733">
    <w:name w:val="font91"/>
    <w:next w:val="1733"/>
    <w:link w:val="1434"/>
    <w:rPr>
      <w:rFonts w:ascii="等线" w:hAnsi="等线" w:eastAsia="等线" w:cs="等线"/>
      <w:i w:val="0"/>
      <w:iCs w:val="0"/>
      <w:color w:val="000000"/>
      <w:sz w:val="24"/>
      <w:szCs w:val="24"/>
      <w:u w:val="none"/>
    </w:rPr>
  </w:style>
  <w:style w:type="character" w:styleId="1734">
    <w:name w:val="font101"/>
    <w:next w:val="1734"/>
    <w:link w:val="1434"/>
    <w:rPr>
      <w:rFonts w:hint="eastAsia" w:ascii="宋体" w:hAnsi="宋体" w:eastAsia="宋体" w:cs="宋体"/>
      <w:i w:val="0"/>
      <w:iCs w:val="0"/>
      <w:color w:val="000000"/>
      <w:sz w:val="24"/>
      <w:szCs w:val="24"/>
      <w:u w:val="none"/>
    </w:rPr>
  </w:style>
  <w:style w:type="character" w:styleId="1735">
    <w:name w:val="font112"/>
    <w:next w:val="1735"/>
    <w:link w:val="1434"/>
    <w:rPr>
      <w:rFonts w:hint="eastAsia" w:ascii="宋体" w:hAnsi="宋体" w:eastAsia="宋体" w:cs="宋体"/>
      <w:i w:val="0"/>
      <w:iCs w:val="0"/>
      <w:color w:val="000000"/>
      <w:sz w:val="24"/>
      <w:szCs w:val="24"/>
      <w:u w:val="none"/>
    </w:rPr>
  </w:style>
  <w:style w:type="paragraph" w:styleId="1736">
    <w:name w:val="标题 41"/>
    <w:basedOn w:val="1434"/>
    <w:next w:val="1653"/>
    <w:link w:val="1434"/>
    <w:uiPriority w:val="9"/>
    <w:qFormat/>
    <w:pPr>
      <w:keepLines/>
      <w:keepNext/>
      <w:spacing w:before="280" w:after="290" w:line="374" w:lineRule="auto"/>
      <w:outlineLvl w:val="3"/>
    </w:pPr>
    <w:rPr>
      <w:rFonts w:ascii="Arial" w:hAnsi="Arial" w:eastAsia="黑体" w:cs="Arial"/>
      <w:b/>
      <w:bCs/>
      <w:sz w:val="28"/>
      <w:szCs w:val="28"/>
    </w:rPr>
  </w:style>
  <w:style w:type="paragraph" w:styleId="1737">
    <w:name w:val="无间隔1"/>
    <w:next w:val="1737"/>
    <w:link w:val="1434"/>
    <w:uiPriority w:val="99"/>
    <w:qFormat/>
    <w:pPr>
      <w:jc w:val="both"/>
      <w:widowControl w:val="off"/>
    </w:pPr>
    <w:rPr>
      <w:sz w:val="21"/>
      <w:szCs w:val="21"/>
      <w:lang w:val="en-US" w:eastAsia="zh-CN" w:bidi="ar-SA"/>
    </w:rPr>
  </w:style>
  <w:style w:type="character" w:styleId="1738" w:default="1">
    <w:name w:val="Default Paragraph Font"/>
    <w:uiPriority w:val="1"/>
    <w:semiHidden/>
    <w:unhideWhenUsed/>
  </w:style>
  <w:style w:type="numbering" w:styleId="1739" w:default="1">
    <w:name w:val="No List"/>
    <w:uiPriority w:val="99"/>
    <w:semiHidden/>
    <w:unhideWhenUsed/>
  </w:style>
  <w:style w:type="table" w:styleId="17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2026-04-14T01:52:00Z</dcterms:created>
  <dcterms:modified xsi:type="dcterms:W3CDTF">2026-04-16T06:20:17Z</dcterms:modified>
</cp:coreProperties>
</file>