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highlight w:val="white"/>
        </w:rPr>
        <w:t xml:space="preserve">阜宁县地籍调查和地籍图编制项目</w:t>
      </w:r>
      <w:r/>
    </w:p>
    <w:p>
      <w:pPr>
        <w:ind w:left="0" w:right="0" w:firstLine="845"/>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招</w:t>
      </w:r>
      <w:r>
        <w:rPr>
          <w:rFonts w:ascii="Arial" w:hAnsi="Arial" w:eastAsia="Arial" w:cs="Arial"/>
          <w:color w:val="000000"/>
          <w:sz w:val="84"/>
        </w:rPr>
        <w:t xml:space="preserve"> </w:t>
      </w:r>
      <w:r>
        <w:rPr>
          <w:rFonts w:ascii="SimSun" w:hAnsi="SimSun" w:eastAsia="SimSun" w:cs="SimSun"/>
          <w:color w:val="000000"/>
          <w:sz w:val="84"/>
        </w:rPr>
        <w:t xml:space="preserve">标</w:t>
      </w:r>
      <w:r>
        <w:rPr>
          <w:rFonts w:ascii="Arial" w:hAnsi="Arial" w:eastAsia="Arial" w:cs="Arial"/>
          <w:color w:val="000000"/>
          <w:sz w:val="84"/>
        </w:rPr>
        <w:t xml:space="preserve"> </w:t>
      </w:r>
      <w:r>
        <w:rPr>
          <w:rFonts w:ascii="SimSun" w:hAnsi="SimSun" w:eastAsia="SimSun" w:cs="SimSun"/>
          <w:color w:val="000000"/>
          <w:sz w:val="84"/>
        </w:rPr>
        <w:t xml:space="preserve">文</w:t>
      </w:r>
      <w:r>
        <w:rPr>
          <w:rFonts w:ascii="Arial" w:hAnsi="Arial" w:eastAsia="Arial" w:cs="Arial"/>
          <w:color w:val="000000"/>
          <w:sz w:val="84"/>
        </w:rPr>
        <w:t xml:space="preserve"> </w:t>
      </w:r>
      <w:r>
        <w:rPr>
          <w:rFonts w:ascii="SimSun" w:hAnsi="SimSun" w:eastAsia="SimSun" w:cs="SimSun"/>
          <w:color w:val="000000"/>
          <w:sz w:val="84"/>
        </w:rPr>
        <w:t xml:space="preserve">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29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 </w:t>
      </w:r>
      <w:r>
        <w:rPr>
          <w:rFonts w:ascii="Calibri" w:hAnsi="Calibri" w:eastAsia="Calibri" w:cs="Calibri"/>
          <w:color w:val="000000"/>
          <w:sz w:val="32"/>
        </w:rPr>
        <w:t xml:space="preserve"> </w:t>
      </w:r>
      <w:r>
        <w:rPr>
          <w:rFonts w:ascii="SimSun" w:hAnsi="SimSun" w:eastAsia="SimSun" w:cs="SimSun"/>
          <w:color w:val="000000"/>
          <w:sz w:val="32"/>
        </w:rPr>
        <w:t xml:space="preserve"> 购 </w:t>
      </w:r>
      <w:r>
        <w:rPr>
          <w:rFonts w:ascii="Calibri" w:hAnsi="Calibri" w:eastAsia="Calibri" w:cs="Calibri"/>
          <w:color w:val="000000"/>
          <w:sz w:val="32"/>
        </w:rPr>
        <w:t xml:space="preserve">  </w:t>
      </w:r>
      <w:r>
        <w:rPr>
          <w:rFonts w:ascii="SimSun" w:hAnsi="SimSun" w:eastAsia="SimSun" w:cs="SimSun"/>
          <w:color w:val="000000"/>
          <w:sz w:val="32"/>
        </w:rPr>
        <w:t xml:space="preserve">人：</w:t>
      </w:r>
      <w:r>
        <w:rPr>
          <w:rFonts w:ascii="SimSun" w:hAnsi="SimSun" w:eastAsia="SimSun" w:cs="SimSun"/>
          <w:color w:val="000000"/>
          <w:sz w:val="32"/>
          <w:u w:val="single"/>
        </w:rPr>
        <w:t xml:space="preserve"> </w:t>
      </w:r>
      <w:r>
        <w:rPr>
          <w:rFonts w:ascii="Calibri" w:hAnsi="Calibri" w:eastAsia="Calibri" w:cs="Calibri"/>
          <w:color w:val="000000"/>
          <w:sz w:val="32"/>
          <w:u w:val="single"/>
        </w:rPr>
        <w:t xml:space="preserve"> </w:t>
      </w:r>
      <w:r>
        <w:rPr>
          <w:rFonts w:ascii="SimSun" w:hAnsi="SimSun" w:eastAsia="SimSun" w:cs="SimSun"/>
          <w:color w:val="000000"/>
          <w:sz w:val="32"/>
          <w:u w:val="single"/>
        </w:rPr>
        <w:t xml:space="preserve">阜宁县不动产登记中心    </w:t>
      </w:r>
      <w:r/>
    </w:p>
    <w:p>
      <w:pPr>
        <w:ind w:left="0" w:right="0" w:firstLine="192"/>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0"/>
        </w:rPr>
        <w:t xml:space="preserve"> </w:t>
      </w:r>
      <w:r/>
    </w:p>
    <w:p>
      <w:pPr>
        <w:ind w:left="0" w:right="0" w:firstLine="129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w:t>
      </w:r>
      <w:r>
        <w:rPr>
          <w:rFonts w:ascii="SimSun" w:hAnsi="SimSun" w:eastAsia="SimSun" w:cs="SimSun"/>
          <w:color w:val="000000"/>
          <w:sz w:val="32"/>
          <w:u w:val="single"/>
        </w:rPr>
        <w:t xml:space="preserve">江苏鸿志工程项目管理有限公司</w:t>
      </w:r>
      <w:r/>
    </w:p>
    <w:p>
      <w:pPr>
        <w:ind w:left="0" w:right="0" w:firstLine="192"/>
        <w:spacing w:before="1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0"/>
          <w:u w:val="single"/>
        </w:rPr>
        <w:t xml:space="preserve"> </w:t>
      </w:r>
      <w:r/>
    </w:p>
    <w:p>
      <w:pPr>
        <w:ind w:left="0" w:right="0" w:firstLine="614"/>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2026</w:t>
      </w:r>
      <w:r>
        <w:rPr>
          <w:rFonts w:ascii="SimSun" w:hAnsi="SimSun" w:eastAsia="SimSun" w:cs="SimSun"/>
          <w:color w:val="000000"/>
          <w:sz w:val="32"/>
        </w:rPr>
        <w:t xml:space="preserve">年</w:t>
      </w:r>
      <w:r>
        <w:rPr>
          <w:rFonts w:ascii="Times New Roman" w:hAnsi="Times New Roman" w:eastAsia="Times New Roman" w:cs="Times New Roman"/>
          <w:color w:val="000000"/>
          <w:sz w:val="32"/>
        </w:rPr>
        <w:t xml:space="preserve">3</w:t>
      </w:r>
      <w:r>
        <w:rPr>
          <w:rFonts w:ascii="SimSun" w:hAnsi="SimSun" w:eastAsia="SimSun" w:cs="SimSun"/>
          <w:color w:val="000000"/>
          <w:sz w:val="32"/>
        </w:rPr>
        <w:t xml:space="preserve">月</w:t>
      </w:r>
      <w:r/>
    </w:p>
    <w:p>
      <w:pPr>
        <w:ind w:left="0" w:right="0" w:firstLine="614"/>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highlight w:val="none"/>
        </w:rPr>
      </w:r>
      <w:r>
        <w:rPr>
          <w:rFonts w:ascii="Times New Roman" w:hAnsi="Times New Roman" w:eastAsia="Times New Roman" w:cs="Times New Roman"/>
          <w:color w:val="000000"/>
          <w:sz w:val="32"/>
          <w:highlight w:val="none"/>
        </w:rPr>
      </w:r>
    </w:p>
    <w:p>
      <w:pPr>
        <w:ind w:left="0" w:right="0" w:firstLine="614"/>
        <w:jc w:val="center"/>
        <w:spacing w:before="120" w:after="120" w:line="85" w:lineRule="atLeast"/>
        <w:rPr>
          <w:rFonts w:ascii="Times New Roman" w:hAnsi="Times New Roman" w:eastAsia="Times New Roman" w:cs="Times New Roman"/>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highlight w:val="none"/>
        </w:rPr>
      </w:r>
      <w:r>
        <w:rPr>
          <w:rFonts w:ascii="Times New Roman" w:hAnsi="Times New Roman" w:eastAsia="Times New Roman" w:cs="Times New Roman"/>
          <w:color w:val="000000"/>
          <w:sz w:val="32"/>
          <w:highlight w:val="none"/>
        </w:rPr>
      </w:r>
    </w:p>
    <w:p>
      <w:pPr>
        <w:ind w:left="0" w:right="0" w:firstLine="614"/>
        <w:jc w:val="center"/>
        <w:spacing w:before="120" w:after="120" w:line="85" w:lineRule="atLeast"/>
        <w:rPr>
          <w:rFonts w:ascii="Times New Roman" w:hAnsi="Times New Roman" w:eastAsia="Times New Roman" w:cs="Times New Roman"/>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highlight w:val="none"/>
        </w:rPr>
      </w:r>
      <w:r>
        <w:rPr>
          <w:rFonts w:ascii="Times New Roman" w:hAnsi="Times New Roman" w:eastAsia="Times New Roman" w:cs="Times New Roman"/>
          <w:color w:val="000000"/>
          <w:sz w:val="32"/>
          <w:highlight w:val="none"/>
        </w:rPr>
      </w:r>
    </w:p>
    <w:p>
      <w:pPr>
        <w:ind w:left="0" w:right="0" w:firstLine="614"/>
        <w:jc w:val="center"/>
        <w:spacing w:before="120" w:after="120" w:line="85" w:lineRule="atLeast"/>
        <w:rPr>
          <w:rFonts w:ascii="Times New Roman" w:hAnsi="Times New Roman" w:eastAsia="Times New Roman" w:cs="Times New Roman"/>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61"/>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sdt>
      <w:sdtPr>
        <w15:appearance w15:val="boundingBox"/>
        <w:rPr/>
      </w:sdtPr>
      <w:sdtContent>
        <w:p>
          <w:pPr>
            <w:ind w:left="0" w:right="0" w:firstLine="403"/>
            <w:jc w:val="center"/>
            <w:spacing w:before="240" w:after="240"/>
            <w:pBdr>
              <w:top w:val="none" w:color="000000" w:sz="4" w:space="0"/>
              <w:left w:val="none" w:color="000000" w:sz="4" w:space="0"/>
              <w:bottom w:val="none" w:color="000000" w:sz="4" w:space="0"/>
              <w:right w:val="none" w:color="000000" w:sz="4" w:space="0"/>
            </w:pBdr>
          </w:pPr>
          <w:r>
            <w:rPr>
              <w:rFonts w:ascii="Calibri Light" w:hAnsi="Calibri Light" w:eastAsia="Calibri Light" w:cs="Calibri Light"/>
              <w:color w:val="000000"/>
              <w:sz w:val="44"/>
            </w:rPr>
            <w:t xml:space="preserve"> </w:t>
          </w:r>
          <w:r/>
        </w:p>
        <w:p>
          <w:pPr>
            <w:ind w:left="0" w:right="0" w:firstLine="40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403"/>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r/>
          <w:hyperlink r:id="rId9" w:tooltip="#_Toc203467903" w:history="1">
            <w:r>
              <w:rPr>
                <w:rStyle w:val="820"/>
                <w:rFonts w:ascii="SimHei" w:hAnsi="SimHei" w:eastAsia="SimHei" w:cs="SimHei"/>
                <w:color w:val="0000ee"/>
                <w:sz w:val="28"/>
                <w:u w:val="single"/>
              </w:rPr>
              <w:t xml:space="preserve">第一章 招标公告</w:t>
            </w:r>
            <w:r>
              <w:rPr>
                <w:rStyle w:val="820"/>
                <w:rFonts w:ascii="Calibri" w:hAnsi="Calibri" w:eastAsia="Calibri" w:cs="Calibri"/>
                <w:color w:val="0000ee"/>
                <w:sz w:val="28"/>
                <w:u w:val="single"/>
              </w:rPr>
              <w:tab/>
            </w:r>
          </w:hyperlink>
          <w:r/>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r/>
          <w:hyperlink r:id="rId10" w:tooltip="#_Toc203467904" w:history="1">
            <w:r>
              <w:rPr>
                <w:rStyle w:val="820"/>
                <w:rFonts w:ascii="SimHei" w:hAnsi="SimHei" w:eastAsia="SimHei" w:cs="SimHei"/>
                <w:color w:val="0000ee"/>
                <w:sz w:val="28"/>
                <w:u w:val="single"/>
              </w:rPr>
              <w:t xml:space="preserve">第二章 投标人须知</w:t>
            </w:r>
            <w:r>
              <w:rPr>
                <w:rStyle w:val="820"/>
                <w:rFonts w:ascii="Calibri" w:hAnsi="Calibri" w:eastAsia="Calibri" w:cs="Calibri"/>
                <w:color w:val="0000ee"/>
                <w:sz w:val="28"/>
                <w:u w:val="single"/>
              </w:rPr>
              <w:tab/>
            </w:r>
          </w:hyperlink>
          <w:r/>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r/>
          <w:hyperlink r:id="rId11" w:tooltip="#_Toc203467905" w:history="1">
            <w:r>
              <w:rPr>
                <w:rStyle w:val="820"/>
                <w:rFonts w:ascii="SimHei" w:hAnsi="SimHei" w:eastAsia="SimHei" w:cs="SimHei"/>
                <w:color w:val="0000ee"/>
                <w:sz w:val="28"/>
                <w:u w:val="single"/>
              </w:rPr>
              <w:t xml:space="preserve">第三章 合同文本</w:t>
            </w:r>
            <w:r>
              <w:rPr>
                <w:rStyle w:val="820"/>
                <w:rFonts w:ascii="Calibri" w:hAnsi="Calibri" w:eastAsia="Calibri" w:cs="Calibri"/>
                <w:color w:val="0000ee"/>
                <w:sz w:val="28"/>
                <w:u w:val="single"/>
              </w:rPr>
              <w:tab/>
            </w:r>
          </w:hyperlink>
          <w:r/>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r/>
          <w:hyperlink r:id="rId12" w:tooltip="#_Toc203467910" w:history="1">
            <w:r>
              <w:rPr>
                <w:rStyle w:val="820"/>
                <w:rFonts w:ascii="SimHei" w:hAnsi="SimHei" w:eastAsia="SimHei" w:cs="SimHei"/>
                <w:color w:val="0000ee"/>
                <w:sz w:val="28"/>
                <w:u w:val="single"/>
              </w:rPr>
              <w:t xml:space="preserve">第四章 采购需求</w:t>
            </w:r>
            <w:r>
              <w:rPr>
                <w:rStyle w:val="820"/>
                <w:rFonts w:ascii="Calibri" w:hAnsi="Calibri" w:eastAsia="Calibri" w:cs="Calibri"/>
                <w:color w:val="0000ee"/>
                <w:sz w:val="28"/>
                <w:u w:val="single"/>
              </w:rPr>
              <w:tab/>
            </w:r>
          </w:hyperlink>
          <w:r/>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r/>
          <w:hyperlink r:id="rId13" w:tooltip="#_Toc203467912" w:history="1">
            <w:r>
              <w:rPr>
                <w:rStyle w:val="820"/>
                <w:rFonts w:ascii="SimHei" w:hAnsi="SimHei" w:eastAsia="SimHei" w:cs="SimHei"/>
                <w:color w:val="0000ee"/>
                <w:sz w:val="28"/>
                <w:u w:val="single"/>
              </w:rPr>
              <w:t xml:space="preserve">第五章 评标方法与评标标准</w:t>
            </w:r>
            <w:r>
              <w:rPr>
                <w:rStyle w:val="820"/>
                <w:rFonts w:ascii="Calibri" w:hAnsi="Calibri" w:eastAsia="Calibri" w:cs="Calibri"/>
                <w:color w:val="0000ee"/>
                <w:sz w:val="28"/>
                <w:u w:val="single"/>
              </w:rPr>
              <w:tab/>
            </w:r>
          </w:hyperlink>
          <w:r/>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r/>
          <w:hyperlink r:id="rId14" w:tooltip="#_Toc203467923" w:history="1">
            <w:r>
              <w:rPr>
                <w:rStyle w:val="820"/>
                <w:rFonts w:ascii="SimHei" w:hAnsi="SimHei" w:eastAsia="SimHei" w:cs="SimHei"/>
                <w:color w:val="0000ee"/>
                <w:sz w:val="28"/>
                <w:u w:val="single"/>
              </w:rPr>
              <w:t xml:space="preserve">第六章</w:t>
            </w:r>
            <w:r>
              <w:rPr>
                <w:rStyle w:val="820"/>
                <w:rFonts w:ascii="Calibri" w:hAnsi="Calibri" w:eastAsia="Calibri" w:cs="Calibri"/>
                <w:color w:val="0000ee"/>
                <w:sz w:val="28"/>
                <w:u w:val="single"/>
              </w:rPr>
              <w:t xml:space="preserve"> </w:t>
            </w:r>
            <w:r>
              <w:rPr>
                <w:rStyle w:val="820"/>
                <w:rFonts w:ascii="SimHei" w:hAnsi="SimHei" w:eastAsia="SimHei" w:cs="SimHei"/>
                <w:color w:val="0000ee"/>
                <w:sz w:val="28"/>
                <w:u w:val="single"/>
              </w:rPr>
              <w:t xml:space="preserve">投标文件格式</w:t>
            </w:r>
            <w:r>
              <w:rPr>
                <w:rStyle w:val="820"/>
                <w:rFonts w:ascii="Calibri" w:hAnsi="Calibri" w:eastAsia="Calibri" w:cs="Calibri"/>
                <w:color w:val="0000ee"/>
                <w:sz w:val="28"/>
                <w:u w:val="single"/>
              </w:rPr>
              <w:tab/>
            </w:r>
          </w:hyperlink>
          <w:r/>
          <w:r/>
        </w:p>
        <w:p>
          <w:pPr>
            <w:ind w:left="0" w:right="0" w:firstLine="538"/>
            <w:jc w:val="both"/>
            <w:spacing w:before="0" w:after="0" w:line="8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sdtContent>
    </w:sdt>
    <w:p>
      <w:pPr>
        <w:ind w:left="0" w:right="0" w:firstLine="461"/>
        <w:jc w:val="center"/>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461"/>
        <w:jc w:val="both"/>
        <w:spacing w:before="240" w:after="240"/>
        <w:rPr>
          <w:rFonts w:ascii="Calibri" w:hAnsi="Calibri" w:eastAsia="Calibri" w:cs="Calibri"/>
          <w:color w:val="000000"/>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szCs w:val="24"/>
        </w:rPr>
      </w:r>
      <w:r/>
    </w:p>
    <w:p>
      <w:pPr>
        <w:ind w:left="0" w:right="0" w:firstLine="461"/>
        <w:jc w:val="center"/>
        <w:spacing w:before="240" w:after="240"/>
        <w:rPr>
          <w:rFonts w:ascii="Calibri" w:hAnsi="Calibri" w:eastAsia="Calibri" w:cs="Calibri"/>
          <w:color w:val="000000"/>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szCs w:val="24"/>
        </w:rPr>
      </w:r>
      <w:r>
        <w:rPr>
          <w:rFonts w:ascii="SimHei" w:hAnsi="SimHei" w:eastAsia="SimHei" w:cs="SimHei"/>
          <w:color w:val="000000"/>
          <w:sz w:val="44"/>
        </w:rPr>
        <w:t xml:space="preserve">第一章 </w:t>
      </w:r>
      <w:r>
        <w:rPr>
          <w:rFonts w:ascii="SimHei" w:hAnsi="SimHei" w:eastAsia="SimHei" w:cs="SimHei"/>
          <w:color w:val="000000"/>
          <w:sz w:val="44"/>
          <w:u w:val="none"/>
        </w:rPr>
        <w:t xml:space="preserve">招标公告</w:t>
      </w:r>
      <w:r>
        <w:rPr>
          <w:rFonts w:ascii="Calibri" w:hAnsi="Calibri" w:eastAsia="Calibri" w:cs="Calibri"/>
          <w:color w:val="000000"/>
          <w:sz w:val="24"/>
          <w:szCs w:val="24"/>
        </w:rPr>
      </w:r>
      <w:r/>
    </w:p>
    <w:p>
      <w:pPr>
        <w:ind w:left="0" w:right="0" w:firstLine="480"/>
        <w:jc w:val="both"/>
        <w:spacing w:before="240" w:after="24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480"/>
        <w:jc w:val="both"/>
        <w:spacing w:before="240" w:after="24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阜宁县地籍调查和地籍图编制项目</w:t>
      </w:r>
      <w:r>
        <w:rPr>
          <w:rFonts w:ascii="SimSun" w:hAnsi="SimSun" w:eastAsia="SimSun" w:cs="SimSun"/>
          <w:color w:val="000000"/>
          <w:sz w:val="24"/>
        </w:rPr>
        <w:t xml:space="preserve">的潜在投标人应在</w:t>
      </w:r>
      <w:r>
        <w:rPr>
          <w:rFonts w:ascii="SimSun" w:hAnsi="SimSun" w:eastAsia="SimSun" w:cs="SimSun"/>
          <w:color w:val="000000"/>
          <w:sz w:val="24"/>
          <w:highlight w:val="white"/>
        </w:rPr>
        <w:t xml:space="preserve">“苏采云”系统内免费下载采购文件（投标人必须在苏采云系统中获取采购文件，方能参与政府采购项目）</w:t>
      </w:r>
      <w:r>
        <w:rPr>
          <w:rFonts w:ascii="SimSun" w:hAnsi="SimSun" w:eastAsia="SimSun" w:cs="SimSun"/>
          <w:color w:val="000000"/>
          <w:sz w:val="24"/>
        </w:rPr>
        <w:t xml:space="preserve">，并于</w:t>
      </w:r>
      <w:r>
        <w:rPr>
          <w:rFonts w:ascii="SimSun" w:hAnsi="SimSun" w:eastAsia="SimSun" w:cs="SimSun"/>
          <w:color w:val="000000"/>
          <w:sz w:val="24"/>
          <w:u w:val="single"/>
        </w:rPr>
        <w:t xml:space="preserve">2026年5月15日 9 时00分00秒（</w:t>
      </w:r>
      <w:r>
        <w:rPr>
          <w:rFonts w:ascii="SimSun" w:hAnsi="SimSun" w:eastAsia="SimSun" w:cs="SimSun"/>
          <w:color w:val="000000"/>
          <w:sz w:val="24"/>
        </w:rPr>
        <w:t xml:space="preserve">北京时间）前递交投标文件。</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000000"/>
          <w:sz w:val="24"/>
          <w:u w:val="single"/>
        </w:rPr>
        <w:t xml:space="preserve">JSZC-320923-HZGL-G2026-0002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阜宁县地籍调查和地籍图编制项目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3.采购方式：</w:t>
      </w:r>
      <w:r>
        <w:rPr>
          <w:rFonts w:ascii="SimSun" w:hAnsi="SimSun" w:eastAsia="SimSun" w:cs="SimSun"/>
          <w:color w:val="000000"/>
          <w:sz w:val="24"/>
          <w:highlight w:val="white"/>
          <w:u w:val="single"/>
        </w:rPr>
        <w:t xml:space="preserve">公开招标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4.最高限价：450万元（其中：采购包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u w:val="single"/>
        </w:rPr>
        <w:t xml:space="preserve">180 </w:t>
      </w:r>
      <w:r>
        <w:rPr>
          <w:rFonts w:ascii="SimSun" w:hAnsi="SimSun" w:eastAsia="SimSun" w:cs="SimSun"/>
          <w:color w:val="000000"/>
          <w:sz w:val="24"/>
        </w:rPr>
        <w:t xml:space="preserve">万元；采购包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u w:val="single"/>
        </w:rPr>
        <w:t xml:space="preserve">270 </w:t>
      </w:r>
      <w:r>
        <w:rPr>
          <w:rFonts w:ascii="SimSun" w:hAnsi="SimSun" w:eastAsia="SimSun" w:cs="SimSun"/>
          <w:color w:val="000000"/>
          <w:sz w:val="24"/>
        </w:rPr>
        <w:t xml:space="preserve">万元；）</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5.采购包划分及采购需求：本项目共分为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个采购包，各采购包划分如下：</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42"/>
        <w:gridCol w:w="800"/>
        <w:gridCol w:w="7377"/>
        <w:gridCol w:w="844"/>
      </w:tblGrid>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1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包2形成的通过质检的各类地籍数据库成果与不动产系统内数据进行融合入库、完成地籍图编制、成果汇交，开发完善地籍管理软件（含三维建设成果）;完成林权、土地承包经营权数据的收集、整合，形成地籍数据库并通过质检软件质检，按照上级要求汇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阜宁县范围内规范开展资料搜集整理、补充地籍调查、数据建库等工作。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w:t>
            </w:r>
            <w:r/>
          </w:p>
        </w:tc>
      </w:tr>
    </w:tbl>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项目范围以采购人实际划定的范围为准，采购人保留对上述范围适当调整的权利。</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为贯彻落实《民法典》《土地管理法实施条例》，根据《自然资源部关于进一步做好地籍调查工作的通知》（自然资发〔2023〕195号）、《自然资源部办公厅关于加快编制地籍图的通知》（自然资办函〔2024〕1481号）、《江苏省自然资源厅关于印发&lt;关于深化开展地籍调查和地籍图编制工作的实施方案&gt;的通知》（苏自然资函〔2024〕868号）工作要求，进一步健全完善地籍调查工作机制，加强地籍数据库建设，推动构建全域覆盖、要素齐全、现势有效、权威准确的地籍“一张图”，更好支撑确权登记、服务自然资源管理工作，详细内容</w:t>
      </w:r>
      <w:r>
        <w:rPr>
          <w:rFonts w:ascii="SimSun" w:hAnsi="SimSun" w:eastAsia="SimSun" w:cs="SimSun"/>
          <w:color w:val="000000"/>
          <w:sz w:val="24"/>
        </w:rPr>
        <w:t xml:space="preserve">见本招标文件第四章。</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b/>
          <w:color w:val="000000"/>
          <w:sz w:val="24"/>
          <w:u w:val="single"/>
        </w:rPr>
        <w:t xml:space="preserve">凡具备承担本招标项目的能力并具备规定的资格条件的供应商，可以参加上述一个或两个采购包的投标，但最多仅能中其中一个采购包（兼投不兼中）。开标、评标、定标顺序为采购包1→采购包2，在前一个采购包评标过程中被推荐为第一中标候选人的投标人将不作为后续采购包中标候选人的推荐，但其有效投标报价仍参与后续采购包的评审，以此类推，包1负责整个项目的数据汇总并向上级汇交数据</w:t>
      </w:r>
      <w:r>
        <w:rPr>
          <w:rFonts w:ascii="SimSun" w:hAnsi="SimSun" w:eastAsia="SimSun" w:cs="SimSun"/>
          <w:color w:val="000000"/>
          <w:sz w:val="24"/>
        </w:rPr>
        <w:t xml:space="preserve">。</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color w:val="000000"/>
          <w:sz w:val="24"/>
          <w:u w:val="single"/>
        </w:rPr>
        <w:t xml:space="preserve">自合同签订之日起至2026年11月底，具体以上级文件规定为准</w:t>
      </w:r>
      <w:r>
        <w:rPr>
          <w:rFonts w:ascii="SimSun" w:hAnsi="SimSun" w:eastAsia="SimSun" w:cs="SimSun"/>
          <w:color w:val="000000"/>
          <w:sz w:val="24"/>
        </w:rPr>
        <w:t xml:space="preserve">。</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7.质量标准</w:t>
      </w:r>
      <w:r>
        <w:rPr>
          <w:rFonts w:ascii="SimSun" w:hAnsi="SimSun" w:eastAsia="SimSun" w:cs="SimSun"/>
          <w:b/>
          <w:color w:val="000000"/>
          <w:sz w:val="24"/>
        </w:rPr>
        <w:t xml:space="preserve">：</w:t>
      </w:r>
      <w:r>
        <w:rPr>
          <w:rFonts w:ascii="SimSun" w:hAnsi="SimSun" w:eastAsia="SimSun" w:cs="SimSun"/>
          <w:color w:val="000000"/>
          <w:sz w:val="24"/>
        </w:rPr>
        <w:t xml:space="preserve">符合现行有效的法律法规和政策文件并通过相关主管部门的验收。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联合体参与投标。</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1.2上一年度（2024年度或2025年度）的财务状况报表（至少提供资产负债表、利润表、现金流量表，投标人成立不满一年无需提供）；</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采购包1、2：投标人具有有效的乙级及以上测绘资质（专业范围需包含地理信息系统工程、界限与不动产测绘、地图编制）</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439" w:lineRule="atLeast"/>
        <w:tabs>
          <w:tab w:val="left" w:pos="78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自招标文件公告发布之日起5个工作日。</w:t>
        <w:tab/>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b/>
          <w:color w:val="000000"/>
          <w:sz w:val="24"/>
          <w:highlight w:val="white"/>
        </w:rPr>
        <w:t xml:space="preserve">网上注册登记成功后</w:t>
      </w:r>
      <w:r>
        <w:rPr>
          <w:rFonts w:ascii="SimSun" w:hAnsi="SimSun" w:eastAsia="SimSun" w:cs="SimSun"/>
          <w:color w:val="000000"/>
          <w:sz w:val="24"/>
        </w:rPr>
        <w:t xml:space="preserve">“苏采云”系统内免费下载（投标人必须在苏采云系统中获取采购文件，方能参与政府采购项目）；</w:t>
      </w:r>
      <w:r>
        <w:rPr>
          <w:rFonts w:ascii="SimSun" w:hAnsi="SimSun" w:eastAsia="SimSun" w:cs="SimSun"/>
          <w:b/>
          <w:color w:val="000000"/>
          <w:sz w:val="24"/>
          <w:highlight w:val="white"/>
        </w:rPr>
        <w:t xml:space="preserve">同一投标人参加多个采购包（标段）投标时须按采购包（标段）分别下载招标文件。</w:t>
      </w:r>
      <w:r>
        <w:rPr>
          <w:rFonts w:ascii="SimSun" w:hAnsi="SimSun" w:eastAsia="SimSun" w:cs="SimSun"/>
          <w:color w:val="000000"/>
          <w:sz w:val="24"/>
          <w:highlight w:val="white"/>
        </w:rPr>
        <w:t xml:space="preserve">投标人必须在苏采云系统中按采购包分别获取采购文件后方能参与政府采购项目。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w:t>
      </w:r>
      <w:r>
        <w:rPr>
          <w:rFonts w:ascii="SimSun" w:hAnsi="SimSun" w:eastAsia="SimSun" w:cs="SimSun"/>
          <w:color w:val="000000"/>
          <w:sz w:val="24"/>
          <w:u w:val="single"/>
        </w:rPr>
        <w:t xml:space="preserve"> 5 </w:t>
      </w:r>
      <w:r>
        <w:rPr>
          <w:rFonts w:ascii="SimSun" w:hAnsi="SimSun" w:eastAsia="SimSun" w:cs="SimSun"/>
          <w:color w:val="000000"/>
          <w:sz w:val="24"/>
        </w:rPr>
        <w:t xml:space="preserve">月</w:t>
      </w:r>
      <w:r>
        <w:rPr>
          <w:rFonts w:ascii="SimSun" w:hAnsi="SimSun" w:eastAsia="SimSun" w:cs="SimSun"/>
          <w:color w:val="000000"/>
          <w:sz w:val="24"/>
          <w:u w:val="single"/>
        </w:rPr>
        <w:t xml:space="preserve"> 15 </w:t>
      </w:r>
      <w:r>
        <w:rPr>
          <w:rFonts w:ascii="SimSun" w:hAnsi="SimSun" w:eastAsia="SimSun" w:cs="SimSun"/>
          <w:color w:val="000000"/>
          <w:sz w:val="24"/>
        </w:rPr>
        <w:t xml:space="preserve">日</w:t>
      </w:r>
      <w:r>
        <w:rPr>
          <w:rFonts w:ascii="SimSun" w:hAnsi="SimSun" w:eastAsia="SimSun" w:cs="SimSun"/>
          <w:color w:val="000000"/>
          <w:sz w:val="24"/>
          <w:u w:val="single"/>
        </w:rPr>
        <w:t xml:space="preserve">  9  </w:t>
      </w:r>
      <w:r>
        <w:rPr>
          <w:rFonts w:ascii="SimSun" w:hAnsi="SimSun" w:eastAsia="SimSun" w:cs="SimSun"/>
          <w:color w:val="000000"/>
          <w:sz w:val="24"/>
        </w:rPr>
        <w:t xml:space="preserve">时00分00秒（北京时间）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 。</w:t>
      </w:r>
      <w:r>
        <w:rPr>
          <w:rFonts w:ascii="SimSun" w:hAnsi="SimSun" w:eastAsia="SimSun" w:cs="SimSun"/>
          <w:b/>
          <w:color w:val="000000"/>
          <w:sz w:val="24"/>
          <w:highlight w:val="white"/>
        </w:rPr>
        <w:t xml:space="preserve">同一投标人参加多个采购包（标段）投标时须按采购包（标段）分别上传投标文件。</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自本公告发布之日起5个工作日。</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ascii="SimSun" w:hAnsi="SimSun" w:eastAsia="SimSun" w:cs="SimSun"/>
          <w:color w:val="000000"/>
          <w:sz w:val="24"/>
        </w:rPr>
        <w:t xml:space="preserve">投标人参与政府采购活动相关资料】。</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w:t>
      </w:r>
      <w:r>
        <w:rPr>
          <w:rFonts w:ascii="SimSun" w:hAnsi="SimSun" w:eastAsia="SimSun" w:cs="SimSun"/>
          <w:color w:val="333333"/>
          <w:sz w:val="24"/>
          <w:highlight w:val="white"/>
        </w:rPr>
        <w:t xml:space="preserve">盐城市盐都区府西路1号四楼盐城市公共资源交易中心</w:t>
      </w:r>
      <w:r>
        <w:rPr>
          <w:rFonts w:ascii="SimSun" w:hAnsi="SimSun" w:eastAsia="SimSun" w:cs="SimSun"/>
          <w:color w:val="000000"/>
          <w:sz w:val="24"/>
        </w:rPr>
        <w:t xml:space="preserve">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投标人在使用系统进行投标的过程中如遇到涉及“苏采云”系统使用的任何问题，应在工作日期间致电技术支持热线咨询，联系电话：0519-86722805、0519-86722801。</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rPr>
          <w:rFonts w:ascii="SimSun" w:hAnsi="SimSun" w:eastAsia="SimSun" w:cs="SimSun"/>
          <w:color w:val="333333"/>
          <w:sz w:val="24"/>
          <w:highlight w:val="white"/>
        </w:rPr>
        <w:t xml:space="preserve">不收履约保证金</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4.因投标人的系统环境、操作等原因导致报名、开评标过程中出现问题由投标人自行承担负责。</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七、对本次招标提出询问，请按以下方式联系。</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名称：阜宁县不动产登记中心  </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地址：盐城市阜宁县城南新区香港路549号  </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 系 人：王先生</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联系方式：15061640389            </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名称：江苏鸿志工程项目管理有限公司</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地址：盐城金融城10号楼805室</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 系 人：孙女士 </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u w:val="none"/>
        </w:rPr>
        <w:t xml:space="preserve">18932286392       </w:t>
      </w:r>
      <w:r>
        <w:rPr>
          <w:rFonts w:ascii="SimSun" w:hAnsi="SimSun" w:eastAsia="SimSun" w:cs="SimSun"/>
          <w:color w:val="000000"/>
          <w:sz w:val="24"/>
          <w:highlight w:val="white"/>
        </w:rPr>
        <w:t xml:space="preserve"> </w:t>
      </w:r>
      <w:r>
        <w:rPr>
          <w:rFonts w:ascii="SimSun" w:hAnsi="SimSun" w:eastAsia="SimSun" w:cs="SimSun"/>
          <w:color w:val="000000"/>
          <w:sz w:val="24"/>
        </w:rPr>
        <w:t xml:space="preserve">   </w:t>
      </w:r>
      <w:r>
        <w:rPr>
          <w:rFonts w:ascii="SimSun" w:hAnsi="SimSun" w:eastAsia="SimSun" w:cs="SimSun"/>
          <w:color w:val="000000"/>
          <w:sz w:val="21"/>
          <w:highlight w:val="white"/>
        </w:rPr>
        <w:t xml:space="preserve">        </w:t>
      </w:r>
      <w:r/>
    </w:p>
    <w:p>
      <w:pPr>
        <w:ind w:left="0" w:right="0" w:firstLine="4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  </w:t>
      </w:r>
      <w:r>
        <w:rPr>
          <w:rFonts w:ascii="SimHei" w:hAnsi="SimHei" w:eastAsia="SimHei" w:cs="SimHei"/>
          <w:color w:val="000000"/>
          <w:sz w:val="44"/>
          <w:u w:val="none"/>
        </w:rPr>
        <w:t xml:space="preserve">投标人须知</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4.1投标人应自行承担所有与参加投标有关的费用，无论投标过程中的做法和结果如何，采购人、采购代理机构在任何情况下均无义务和责任承担这些费用。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不收取招标文件工本费，中标服务费每个采购包均按苏招协【2022】002号文件服务类收费标准的60%计取，各供应商报价时需考虑该项费用，但不单列，自行分摊至投标报价中，结算时采购人不再另行增加任何费用给中标供应商。</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招标文件的约束力</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前按招标公告中的通讯地址，以书面形式通知采购人、采购代理机构。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8.1在投标截止时间前，采购人、采购代理机构可以对招标文件进行修改。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8.2采购人、采购代理机构有权按照法定的要求推迟投标截止日期和开标日期。</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w:t>
      </w:r>
      <w:r>
        <w:rPr>
          <w:rFonts w:ascii="SimSun" w:hAnsi="SimSun" w:eastAsia="SimSun" w:cs="SimSun"/>
          <w:color w:val="000000"/>
          <w:sz w:val="24"/>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7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三、投标文件的编制</w:t>
      </w:r>
      <w:r>
        <w:rPr>
          <w:rFonts w:ascii="SimSun" w:hAnsi="SimSun" w:eastAsia="SimSun" w:cs="SimSun"/>
          <w:b/>
          <w:color w:val="000000"/>
          <w:sz w:val="24"/>
        </w:rPr>
        <w:t xml:space="preserve">（二个标段均适用）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000000"/>
          <w:sz w:val="24"/>
          <w:highlight w:val="white"/>
        </w:rPr>
        <w:t xml:space="preserve">“</w:t>
      </w:r>
      <w:r>
        <w:rPr>
          <w:rFonts w:ascii="SimSun" w:hAnsi="SimSun" w:eastAsia="SimSun" w:cs="SimSun"/>
          <w:color w:val="000000"/>
          <w:sz w:val="24"/>
        </w:rPr>
        <w:t xml:space="preserve">中国政府采购网</w:t>
      </w:r>
      <w:r>
        <w:rPr>
          <w:rFonts w:ascii="SimSun" w:hAnsi="SimSun" w:eastAsia="SimSun" w:cs="SimSun"/>
          <w:color w:val="000000"/>
          <w:sz w:val="24"/>
          <w:highlight w:val="white"/>
        </w:rPr>
        <w:t xml:space="preserve">”、</w:t>
      </w:r>
      <w:r>
        <w:rPr>
          <w:rFonts w:ascii="SimSun" w:hAnsi="SimSun" w:eastAsia="SimSun" w:cs="SimSun"/>
          <w:color w:val="000000"/>
          <w:sz w:val="24"/>
        </w:rPr>
        <w:t xml:space="preserve">“江苏政府采购网”、“盐城市政府采购网”发布的招标文件不一致，请以</w:t>
      </w:r>
      <w:r>
        <w:rPr>
          <w:rFonts w:ascii="SimSun" w:hAnsi="SimSun" w:eastAsia="SimSun" w:cs="SimSun"/>
          <w:color w:val="000000"/>
          <w:sz w:val="24"/>
          <w:highlight w:val="white"/>
        </w:rPr>
        <w:t xml:space="preserve">“</w:t>
      </w:r>
      <w:r>
        <w:rPr>
          <w:rFonts w:ascii="SimSun" w:hAnsi="SimSun" w:eastAsia="SimSun" w:cs="SimSun"/>
          <w:color w:val="000000"/>
          <w:sz w:val="24"/>
        </w:rPr>
        <w:t xml:space="preserve">中国政府采购网</w:t>
      </w:r>
      <w:r>
        <w:rPr>
          <w:rFonts w:ascii="SimSun" w:hAnsi="SimSun" w:eastAsia="SimSun" w:cs="SimSun"/>
          <w:color w:val="000000"/>
          <w:sz w:val="24"/>
          <w:highlight w:val="white"/>
        </w:rPr>
        <w:t xml:space="preserve">”、</w:t>
      </w:r>
      <w:r>
        <w:rPr>
          <w:rFonts w:ascii="SimSun" w:hAnsi="SimSun" w:eastAsia="SimSun" w:cs="SimSun"/>
          <w:color w:val="000000"/>
          <w:sz w:val="24"/>
        </w:rPr>
        <w:t xml:space="preserve">“江苏政府采购网”、“盐城市政府采购网”发布的招标文件为准。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11.1投标人应按照法律、法规、规章和规范性文件以及招标文件要求提交证明文件，证明其及投标标的符合招标文件规定。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w:t>
      </w:r>
      <w:r>
        <w:rPr>
          <w:rFonts w:ascii="SimSun" w:hAnsi="SimSun" w:eastAsia="SimSun" w:cs="SimSun"/>
          <w:color w:val="000000"/>
          <w:sz w:val="24"/>
          <w:u w:val="none"/>
        </w:rPr>
        <w:t xml:space="preserve">表</w:t>
      </w:r>
      <w:r/>
    </w:p>
    <w:p>
      <w:pPr>
        <w:ind w:left="0" w:right="0" w:firstLine="480"/>
        <w:jc w:val="both"/>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w:t>
      </w:r>
      <w:r>
        <w:rPr>
          <w:rFonts w:ascii="SimSun" w:hAnsi="SimSun" w:eastAsia="SimSun" w:cs="SimSun"/>
          <w:color w:val="000000"/>
          <w:sz w:val="24"/>
          <w:u w:val="none"/>
        </w:rPr>
        <w:t xml:space="preserve">标人应按照招标文件规定格式填报投标分项报价表。</w:t>
      </w:r>
      <w:r/>
    </w:p>
    <w:p>
      <w:pPr>
        <w:ind w:left="0" w:right="0" w:firstLine="480"/>
        <w:jc w:val="both"/>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应包括投标人整个服务期内为完成本项工作所需的一切费用，包括但不限于提供完整的方案编制及后续服务所需的勘测费、调查费（含地籍调查）、人工费、各项福利费、加班费、劳务费、咨询费、会务费、办公费、管理费、资料收集、为本招标项目提供服务所需的仪器设备、各类耗材、公共耗能费、专家评审论证、成果验收、招标代理费等所有服务成本、经营成本、法定税费、管理费、利润、保险及合同包含的所有风险、责任等各项应有费用。投标报价为最终报价，除因特殊原因经双方协商同意外，投标人不得再要求追加任何费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13、技术要求响应及偏离表、商务要求响应及偏离表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439" w:lineRule="atLeast"/>
        <w:tabs>
          <w:tab w:val="left" w:pos="10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14、投标函和开标一览表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15、投标有效期</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15.1投标有效期为采购文件规定的开标之日后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17、投标文件</w:t>
      </w:r>
      <w:r>
        <w:rPr>
          <w:rFonts w:ascii="SimSun" w:hAnsi="SimSun" w:eastAsia="SimSun" w:cs="SimSun"/>
          <w:color w:val="000000"/>
          <w:sz w:val="24"/>
        </w:rPr>
        <w:t xml:space="preserve">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18.2采购人可以按照规定，通过修改招标文件酌情延长投标截止时间，在此情况下，投标人的所有权利和义务以及投标人受制的截止时间均应以延长后新的截止时间为准。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19、投标文件</w:t>
      </w:r>
      <w:r>
        <w:rPr>
          <w:rFonts w:ascii="SimSun" w:hAnsi="SimSun" w:eastAsia="SimSun" w:cs="SimSun"/>
          <w:color w:val="000000"/>
          <w:sz w:val="24"/>
        </w:rPr>
        <w:t xml:space="preserve">的拒收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19.1采购人拒绝接收在其规定的投标截止时间后上传的任何投标文件。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20、投标文件的撤回和修改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21、开标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21.2开标仪式由采购人或采购代理机构组织。苏采云系统将自动对项目进行开标，并宣布各投标人名称和投标价格。</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22、评标委员会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22.1开标后，采购人将立即组织评标委员会（以下简称评委会）进行评标。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23.1凡是与审查、澄清、评价和比较投标的有关资料以及授标建议等，采购人、采购代理机构、评委均不得向投标人或与评标无关的其他人员透露。</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23.3采购人、采购代理机构和评标委员会不向未中标的投标人解释未中标原因，也不公布评标过程中的相关细节。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24、投标文件的澄清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25、对投标文件的初审</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或采购代理机构将在苏采云系统中告知未通过资格审查或符合性审查的原因，评标结束后，采购人、采购代理机构将不再告知未通过资格审查和符合性审查的原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25.6投标人在开、评标全过程中应保持通讯畅通，及时登录苏采云系统查阅、答复相关信息，并安排专人与采购人、采购代理机构及评标委员会联系。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 的，即投标报价&lt;采购项目预算×50%；</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 的，即投标报价&lt;采购项目最高限价×45%；</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3.评标委员会认定的供应商报价过低、有可能影响产品质量或者不能诚信履约的其他情形。</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26.1.13投标文件未按照招标文件要求加盖CA电子公章的。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w:t>
      </w:r>
      <w:r>
        <w:rPr>
          <w:rFonts w:ascii="SimSun" w:hAnsi="SimSun" w:eastAsia="SimSun" w:cs="SimSun"/>
          <w:color w:val="000000"/>
          <w:sz w:val="24"/>
        </w:rPr>
        <w:t xml:space="preserve">确定中标单位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27.3采购人将在“中国政府采购网”、“江苏政府采购网”、“盐城市政府采购网”、</w:t>
      </w:r>
      <w:r>
        <w:rPr>
          <w:rFonts w:ascii="SimSun" w:hAnsi="SimSun" w:eastAsia="SimSun" w:cs="SimSun"/>
          <w:color w:val="000000"/>
          <w:sz w:val="24"/>
        </w:rPr>
        <w:t xml:space="preserve">“阜宁县公共资源电子化服务平台”</w:t>
      </w:r>
      <w:r>
        <w:rPr>
          <w:rFonts w:ascii="SimSun" w:hAnsi="SimSun" w:eastAsia="SimSun" w:cs="SimSun"/>
          <w:color w:val="000000"/>
          <w:sz w:val="21"/>
        </w:rPr>
        <w:t xml:space="preserve">发布中标公告，公告期限为1个工作日。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w:t>
      </w:r>
      <w:r>
        <w:rPr>
          <w:rFonts w:ascii="SimSun" w:hAnsi="SimSun" w:eastAsia="SimSun" w:cs="SimSun"/>
          <w:color w:val="000000"/>
          <w:sz w:val="24"/>
        </w:rPr>
        <w:t xml:space="preserve">内已从“苏采云”系统中进行了获取）。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right="0" w:firstLine="480"/>
        <w:spacing w:before="0" w:after="0" w:line="479"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采购人及采购代理机构只接收以纸质原件形式送达的质疑，采购人和采购代理机构不接受未填写快递运单的快件。质疑接收联系地址：盐城市阜宁县城南新区香港路549号、盐城市金融城10号楼805室，联系电话：</w:t>
      </w:r>
      <w:r>
        <w:rPr>
          <w:rFonts w:ascii="SimSun" w:hAnsi="SimSun" w:eastAsia="SimSun" w:cs="SimSun"/>
          <w:color w:val="000000"/>
          <w:sz w:val="24"/>
          <w:highlight w:val="white"/>
        </w:rPr>
        <w:t xml:space="preserve">15061640389、18932286392。</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中标人在中标结果公告届满之日起30日内,可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30.签订合同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 人（含10 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32.3.7本项目不专门面向中小企业预留采购份额。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32.8履约保证金政策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履约保证金金额为中标总价的10%，采购人对第三方信用服务机构依据标准规范评定为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33.预付款制度</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845"/>
        <w:jc w:val="center"/>
        <w:spacing w:before="120" w:after="12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white"/>
        </w:rPr>
        <w:t xml:space="preserve">阜宁县地籍调查和地籍图编制项目</w:t>
      </w:r>
      <w:r/>
    </w:p>
    <w:p>
      <w:pPr>
        <w:ind w:left="0" w:right="0" w:firstLine="768"/>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服</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务</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16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委托单位：</w:t>
      </w:r>
      <w:r>
        <w:rPr>
          <w:rFonts w:ascii="SimSun" w:hAnsi="SimSun" w:eastAsia="SimSun" w:cs="SimSun"/>
          <w:b/>
          <w:color w:val="000000"/>
          <w:sz w:val="32"/>
        </w:rPr>
        <w:t xml:space="preserve">阜宁县不动产登记中心</w:t>
      </w:r>
      <w:r/>
    </w:p>
    <w:p>
      <w:pPr>
        <w:ind w:left="0" w:right="0" w:firstLine="16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受托单位：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采购人（全称）：</w:t>
      </w:r>
      <w:r>
        <w:rPr>
          <w:rFonts w:ascii="SimSun" w:hAnsi="SimSun" w:eastAsia="SimSun" w:cs="SimSun"/>
          <w:color w:val="000000"/>
          <w:sz w:val="24"/>
          <w:u w:val="single"/>
        </w:rPr>
        <w:t xml:space="preserve">      阜宁县不动产登记中心      </w:t>
      </w:r>
      <w:r>
        <w:rPr>
          <w:rFonts w:ascii="SimSun" w:hAnsi="SimSun" w:eastAsia="SimSun" w:cs="SimSun"/>
          <w:color w:val="000000"/>
          <w:sz w:val="24"/>
        </w:rPr>
        <w:t xml:space="preserve">（以下简称甲方）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依照《中华人民共和国政府采购法》、《中华人民共和国民法典》及其他相关法律法规，遵循平等、自愿、公平和诚实信用原则，甲、乙双方就</w:t>
      </w:r>
      <w:r>
        <w:rPr>
          <w:rFonts w:ascii="SimSun" w:hAnsi="SimSun" w:eastAsia="SimSun" w:cs="SimSun"/>
          <w:color w:val="000000"/>
          <w:sz w:val="24"/>
          <w:u w:val="single"/>
        </w:rPr>
        <w:t xml:space="preserve">阜宁县地籍调查和地籍图编制项目</w:t>
      </w:r>
      <w:r>
        <w:rPr>
          <w:rFonts w:ascii="SimSun" w:hAnsi="SimSun" w:eastAsia="SimSun" w:cs="SimSun"/>
          <w:b/>
          <w:color w:val="000000"/>
          <w:sz w:val="24"/>
          <w:u w:val="single"/>
        </w:rPr>
        <w:t xml:space="preserve">（包）</w:t>
      </w:r>
      <w:r>
        <w:rPr>
          <w:rFonts w:ascii="SimSun" w:hAnsi="SimSun" w:eastAsia="SimSun" w:cs="SimSun"/>
          <w:color w:val="000000"/>
          <w:sz w:val="24"/>
        </w:rPr>
        <w:t xml:space="preserve">相关事项协商一致，达成如下合同条款：</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中标价即为合同价。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合同中合同总价应是招标文件所确定招标范围内全部工作内容的价格体现，以及为完成上述内容所必须的人工费、材料费、不可预见的费用、管理费、招标代理费、利润、税金和文件规定的其他各项应有的全部费用。对乙方认为没有考虑到的费用项目甲方将不予支付，并认为此项费用已包含在投标报价中。</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履约保证金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在签订合同时，须向甲方交纳项目中标价5%的履约保证金，于项目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3.2合同履行结束后，甲方应及时退还交纳的履约保证金。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3.3履约保证金的退还：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3.3.1方式：无息退还至投标人缴纳履约保证金的账户。如为保函，在到期时自行失效。</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3.3.2时间：项目服务期满后退还。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3.3.3条件：按合同要求全部履约完成并经甲方验收合格，且甲方收到乙方出具的发票。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3.3.4不予退还情形：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除不可抗力情况外，投标人出现下列情形之一的，其履约保证金，甲方将视情节决定不予退还或部分不予退还。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（1）乙方无正当理由拒绝签订合同的，或者在签订合同时向采购人提出附加条件或者更改合同实质性内容要求的；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（2）乙方不履行与采购人订立的合同的；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（3）乙方所供货物或服务不符合招标文件规定要求的；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（4）乙方采取欺骗、弄虚作假方式投标的或与其它投标人串通投标的；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（5）乙方将合同内容转包、违法分包的；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（6）乙方故意捏造事实或伪造证明材料，进行虚假恶意投诉或反映的。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3.3.5逾期退还的违约责任：采购人逾期无故未退还履约保证金的，按中国人民银行同期贷款基准利率上浮20%后的利率支付超期资金占用费，但因乙方自身原因导致无法及时退还的除外。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项目实施期间，乙方所有的工作人员的人身安全以及乙方在实施期间产生的各类安全责任事故均由乙方自行承担。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甲方或者采购代理机构应当按照政府采购合同规定的技术、服务、安全标准组织对乙方的履约情况进行验收，并出具验收书。验收书应当包括每一项技术、服务、安全标准的履约情况。</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二、项目基本情况</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服务内容：贯彻落实《民法典》《土地管理法实施条例》，根据《自然资源部关于进一步做好地籍调查工作的通知》（自然资发〔2023〕195号）、《自然资源部办公厅关于加快编制地籍图的通知》（自然资办函〔2024〕1481号）、《江苏省自然资源厅关于印发&lt;关于深化开展地籍调查和地籍图编制工作的实施方案&gt;的通知》（苏自然资函〔2024〕868号）工作要求，进一步健全完善地籍调查工作机制，加强地籍数据库建设，推动构建全域覆盖、要素齐全、现势有效、权威准确的地籍“一张图”，更好支撑确权登记、服务自然资源管理工作，结合</w:t>
      </w:r>
      <w:r>
        <w:rPr>
          <w:rFonts w:ascii="SimSun" w:hAnsi="SimSun" w:eastAsia="SimSun" w:cs="SimSun"/>
          <w:color w:val="000000"/>
          <w:sz w:val="24"/>
        </w:rPr>
        <w:t xml:space="preserve">我市实际，制定本实施方案。</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服务地点：采购人指定地点。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，乙方在服务期内不得更换，如遇特殊情况，须对项目经理更换，均应以书面材料征得招标人的同意后并按有关规定办理变更手续。</w:t>
      </w:r>
      <w:r/>
    </w:p>
    <w:p>
      <w:pPr>
        <w:ind w:left="0" w:right="0" w:firstLine="482"/>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三、实施要求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1</w:t>
      </w:r>
      <w:r>
        <w:rPr>
          <w:rFonts w:ascii="SimSun" w:hAnsi="SimSun" w:eastAsia="SimSun" w:cs="SimSun"/>
          <w:color w:val="000000"/>
          <w:sz w:val="24"/>
        </w:rPr>
        <w:t xml:space="preserve">工作内容：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）数据融合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将包</w:t>
      </w:r>
      <w:r>
        <w:rPr>
          <w:rFonts w:ascii="Calibri" w:hAnsi="Calibri" w:eastAsia="Calibri" w:cs="Calibri"/>
          <w:color w:val="000000"/>
          <w:sz w:val="24"/>
        </w:rPr>
        <w:t xml:space="preserve">2</w:t>
      </w:r>
      <w:r>
        <w:rPr>
          <w:rFonts w:ascii="SimSun" w:hAnsi="SimSun" w:eastAsia="SimSun" w:cs="SimSun"/>
          <w:color w:val="000000"/>
          <w:sz w:val="24"/>
        </w:rPr>
        <w:t xml:space="preserve">形成的地籍调查成果数据库与不动产登记系统内数据进行融合处理，满足各类地籍调查成果统一管理的需要。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）地籍图编制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以电子地图为主，利用地籍数据信息化系统，根据不同类型地籍图的编制要求和实际应用需求，选择合适比例尺、分幅方式，进行分类编制。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）成果汇交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全县地形图数据、地籍数据、影像数据融合、坐标一致性转换、入库，形成地籍一张图。生成符合部、省、市要求的汇交成果。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）地籍管理软件开发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在现有阜宁县不动产权籍管理系统中开发完善地籍图编制及管理功能，实现地籍数据库的统一管理。健全地籍数据库的动态更新机制，确保地籍数据的现势性和权威性。开展“一码</w:t>
      </w:r>
      <w:r>
        <w:rPr>
          <w:rFonts w:ascii="Calibri" w:hAnsi="Calibri" w:eastAsia="Calibri" w:cs="Calibri"/>
          <w:color w:val="000000"/>
          <w:sz w:val="24"/>
        </w:rPr>
        <w:t xml:space="preserve">+</w:t>
      </w:r>
      <w:r>
        <w:rPr>
          <w:rFonts w:ascii="SimSun" w:hAnsi="SimSun" w:eastAsia="SimSun" w:cs="SimSun"/>
          <w:color w:val="000000"/>
          <w:sz w:val="24"/>
        </w:rPr>
        <w:t xml:space="preserve">三维”在地籍系统建设的深化应用，运用实景三维中国建设成果，丰富完善三维地籍数据库，探索编制三维地籍图。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2</w:t>
      </w:r>
      <w:r>
        <w:rPr>
          <w:rFonts w:ascii="SimSun" w:hAnsi="SimSun" w:eastAsia="SimSun" w:cs="SimSun"/>
          <w:color w:val="000000"/>
          <w:sz w:val="24"/>
        </w:rPr>
        <w:t xml:space="preserve">工作内容：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（1）数据收集整合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不动产地籍数据库为基础，系统收集整理宅基地和集体建设用地地籍调查、城镇地籍调查、集体土地所有权确权登记、农村房地一体确权登记、国土变更调查成果等，认真梳理地籍区、地籍子区、宗地、房屋权属等要素数据，统一坐标系统和数据库建库技术要求，形成地籍调查数据底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（2）地籍补充调查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对已登记的要补充完善图形和属性数据；对已调查未登记的需整理汇交调查成果，对发生变化的开展变更调查，对未调查的开展地籍调查工作。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宅基地、集体建设用地未开展地籍调查或缺少宗地图形数据的，利用大比例尺地形图、高分辨率影像等资料，勾绘宗地，编制不动产单元代码以单独图层纳入数据库管理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按地籍调查数据库标准，开展国有建设用地补充调查，完善图形数据和属性数据。</w:t>
      </w:r>
      <w:r/>
    </w:p>
    <w:p>
      <w:pPr>
        <w:numPr>
          <w:ilvl w:val="0"/>
          <w:numId w:val="11"/>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数据建库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以整合和补充后的宅基地、集体建设用地、国有建设用地等地籍调查成果为基础，按照地籍数据库标准等要求，开展落宗入库、数据接边、成果完善，形成地籍数据库并通过质检软件质检。</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四、交付与验收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服务时间：（1）2026年10月底前完成宅基地和集体建设用地及国有建设用地地籍调查数据库和地籍图编制工作，并向省级提交汇交成果；（2）2026年12月底前完全全部工作内容并通过验收。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质量要求：符合现行有效的法律法规和政策文件并通过相关主管部门的验收。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3.其他要求：该项目完成后，采购包实施单位和甲方共同申请省级及以上奖项，在项目实施过程中，需至少提供项目技术方法或实施做法方面的理论成果一篇。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五、结算方式及期限</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w:t>
      </w:r>
      <w:r>
        <w:rPr>
          <w:rFonts w:ascii="SimSun" w:hAnsi="SimSun" w:eastAsia="SimSun" w:cs="SimSun"/>
          <w:color w:val="000000"/>
          <w:sz w:val="24"/>
        </w:rPr>
        <w:t xml:space="preserve">结付程序：乙方按本合同内容合格地履行供货义务后，凭验收报告、销售发票办理服务费用结算手续。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w:t>
      </w:r>
      <w:r>
        <w:rPr>
          <w:rFonts w:ascii="SimSun" w:hAnsi="SimSun" w:eastAsia="SimSun" w:cs="SimSun"/>
          <w:color w:val="000000"/>
          <w:sz w:val="24"/>
        </w:rPr>
        <w:t xml:space="preserve">结付方式及期限：</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2.按照省、市地籍数据库标准，完成地籍数据库建设，地籍图数据成果汇交报省后，支付中标价的35%；</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3.按期完成全部服务内容并经省级核查合格报部后，结清中标价的35%尾款；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注：以上付款按实际提交的编制成果结算，最终结算金额不超过中标金额，付款时结合县级财政年度预算支付。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（支付货款时须提供正式发票）。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六、安全问题</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 本项目中标人必须确保安全实施，若发生安全问题，由乙方自行负责处理并承担一切经济和法律责任，其与甲方一切无关。如发生安全质量事故或人身伤害事故，乙方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 乙方必须按照规定对项目实施人员进行人身意外伤害的相关保险。</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七、对乙方成果的所有权、使用权和著作权归属的约定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所有成果的所有权、使用权及著作权均归甲方拥有。乙方在成果资料提交后10日内移交并归还本次工作所得各种数据成果及全部原始资料。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合同一方不履行合同义务或者履行合同义务不符合约定的，应当承担继续履行、采取补救措施或者赔偿损失等违约责任。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甲方违约责任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甲方违反合同规定，拒绝接收乙方交付的技术成果，应当承担乙方由此造成的损失。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（1）乙方不能提交技术成果，或提交的技术成果不合格从而影响甲方正常使用的，甲方有权解除合同，乙方向甲方偿付合同总价款5%的违约金，违约金不足以补偿损失的甲方有权要求乙方补足。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担逾期交付成果的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不可抗力事件持续超过15日，任一方均有权解除本合同。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按本合同规定应该偿付的违约金、赔偿金、保管保养费和各种经济损失的，应当在明确责任后</w:t>
      </w:r>
      <w:r>
        <w:rPr>
          <w:rFonts w:ascii="SimSun" w:hAnsi="SimSun" w:eastAsia="SimSun" w:cs="SimSun"/>
          <w:color w:val="000000"/>
          <w:sz w:val="24"/>
          <w:u w:val="single"/>
        </w:rPr>
        <w:t xml:space="preserve"> 7 </w:t>
      </w:r>
      <w:r>
        <w:rPr>
          <w:rFonts w:ascii="SimSun" w:hAnsi="SimSun" w:eastAsia="SimSun" w:cs="SimSun"/>
          <w:color w:val="000000"/>
          <w:sz w:val="24"/>
        </w:rPr>
        <w:t xml:space="preserve">天内支付，否则应按未付金额的</w:t>
      </w:r>
      <w:r>
        <w:rPr>
          <w:rFonts w:ascii="SimSun" w:hAnsi="SimSun" w:eastAsia="SimSun" w:cs="SimSun"/>
          <w:color w:val="000000"/>
          <w:sz w:val="24"/>
          <w:u w:val="single"/>
        </w:rPr>
        <w:t xml:space="preserve"> 10% </w:t>
      </w:r>
      <w:r>
        <w:rPr>
          <w:rFonts w:ascii="SimSun" w:hAnsi="SimSun" w:eastAsia="SimSun" w:cs="SimSun"/>
          <w:color w:val="000000"/>
          <w:sz w:val="24"/>
        </w:rPr>
        <w:t xml:space="preserve">支付违约金。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十一、合同争议解决方式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合同执行期内，甲、乙双方均不得随意变更或解除合同。合同如有未尽事宜，须经双方共同协商，做出补充规定，补充规定与合同具有同等效力。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本合同有效期：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日（以下单日为准）。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任何一方无权在没有另一方事先书面同意的情况下，向第三方给予、授予和转让本合同所规定的任何权利和义务。</w:t>
      </w:r>
      <w:r/>
    </w:p>
    <w:p>
      <w:pPr>
        <w:ind w:left="0" w:right="0" w:firstLine="480"/>
        <w:jc w:val="both"/>
        <w:spacing w:before="0" w:after="0" w:line="439"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本合同自甲乙双方代表签字盖章之日起生效，一式陆份，甲乙双方各贰份，盐城嘉瑞兴项目管理有限公司贰份。</w:t>
      </w:r>
      <w:r/>
    </w:p>
    <w:p>
      <w:pPr>
        <w:ind w:left="0" w:right="0" w:firstLine="480"/>
        <w:jc w:val="both"/>
        <w:spacing w:before="0" w:after="0" w:line="439"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本合同附件包括：招标文件、中标通知书、投标文件。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该合同在签订之日起2个工作日内在江苏省政府采购网、盐城市政府采购网上予以公示。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或授权代表：或授权代表：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签订日期：年月日签订日期：年月日</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rPr>
          <w:rFonts w:ascii="SimHei" w:hAnsi="SimHei" w:eastAsia="SimHei" w:cs="SimHei"/>
          <w:color w:val="000000"/>
          <w:sz w:val="44"/>
          <w:szCs w:val="4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Calibri" w:hAnsi="Calibri" w:eastAsia="Calibri" w:cs="Calibri"/>
          <w:sz w:val="21"/>
        </w:rPr>
      </w:r>
      <w:r/>
    </w:p>
    <w:p>
      <w:pPr>
        <w:ind w:left="250" w:right="720" w:firstLine="845"/>
        <w:jc w:val="center"/>
        <w:spacing w:before="100" w:after="10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r>
      <w:r>
        <w:rPr>
          <w:rFonts w:ascii="SimHei" w:hAnsi="SimHei" w:eastAsia="SimHei" w:cs="SimHei"/>
          <w:color w:val="000000"/>
          <w:sz w:val="44"/>
        </w:rPr>
        <w:t xml:space="preserve">廉政合同</w:t>
      </w:r>
      <w:r>
        <w:rPr>
          <w:rFonts w:ascii="Calibri" w:hAnsi="Calibri" w:eastAsia="Calibri" w:cs="Calibri"/>
          <w:sz w:val="21"/>
        </w:rP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SimSun" w:hAnsi="SimSun" w:eastAsia="SimSun" w:cs="SimSun"/>
          <w:color w:val="000000"/>
          <w:sz w:val="24"/>
          <w:u w:val="single"/>
        </w:rPr>
        <w:t xml:space="preserve">阜宁县不动产登记中心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为强化抓源治本工作力度，从制度机制上进一步规范阜宁县地籍调查和地籍图编制项目实施行为，杜绝不廉洁行为，特制定本合同，双方遵照执行。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、甲、乙双方必须严格遵守国家法律、法规政策及各项廉政规定，恪守职业道德规范。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、甲、乙双方在具体工程建设行为中，必须严格遵守招投标法规定的原则、方式、程序，保证公平、公正、公开。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、甲、乙双方不得相互串通，损害国家利益、社会公共利益及其他当事人的合法权益。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、甲方工作人员及其配偶、子女不得以打“业务牌”等形式变相接受乙方的钱物；乙方不得以打“业务牌”的形式向甲方工作人员及其配偶、子女变相送钱物。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、甲方工作人员及其配偶、子女不得在乙方报销应由个人支付的费用或领取报酬；乙方不得为甲方工作人员及其配偶、子女报销应由个人支付的费用或发放报酬。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、甲方发生违约行为，一经查实将视情节轻重对直接责任人进行严肃处理并追究主管人员的责任。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、乙方发生违约行为，甲方有权解除合同，并将其列入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黑名单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在一定范围内公布，三年内不得参加辖区内的项目采购。　</w:t>
      </w:r>
      <w:r/>
    </w:p>
    <w:p>
      <w:pPr>
        <w:ind w:left="0" w:right="0" w:firstLine="4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法定代表人或授权委托人（签章）：法定代表人或授权委托人（签章）：</w:t>
      </w:r>
      <w:r/>
    </w:p>
    <w:p>
      <w:pPr>
        <w:ind w:left="0" w:right="0" w:firstLine="461"/>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845"/>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安全合同</w:t>
      </w:r>
      <w:r/>
    </w:p>
    <w:p>
      <w:pPr>
        <w:ind w:left="0" w:right="0" w:firstLine="480"/>
        <w:spacing w:before="0" w:after="0" w:line="559" w:lineRule="atLeast"/>
        <w:tabs>
          <w:tab w:val="left" w:pos="50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阜宁县地籍调查和地籍图编制项目</w:t>
      </w:r>
      <w:r>
        <w:rPr>
          <w:rFonts w:ascii="SimSun" w:hAnsi="SimSun" w:eastAsia="SimSun" w:cs="SimSun"/>
          <w:color w:val="000000"/>
          <w:sz w:val="24"/>
        </w:rPr>
        <w:t xml:space="preserve">合同的实施过程中创造安全、高效的环境，切实搞好本项目的安全管理工作，本项目</w:t>
      </w:r>
      <w:r>
        <w:rPr>
          <w:rFonts w:ascii="SimSun" w:hAnsi="SimSun" w:eastAsia="SimSun" w:cs="SimSun"/>
          <w:color w:val="000000"/>
          <w:sz w:val="24"/>
          <w:u w:val="single"/>
        </w:rPr>
        <w:t xml:space="preserve">阜宁县不动产登记中心（以下简称“甲方”）</w:t>
      </w:r>
      <w:r>
        <w:rPr>
          <w:rFonts w:ascii="SimSun" w:hAnsi="SimSun" w:eastAsia="SimSun" w:cs="SimSun"/>
          <w:color w:val="000000"/>
          <w:sz w:val="24"/>
        </w:rPr>
        <w:t xml:space="preserve">与</w:t>
      </w:r>
      <w:r>
        <w:rPr>
          <w:rFonts w:ascii="SimSun" w:hAnsi="SimSun" w:eastAsia="SimSun" w:cs="SimSun"/>
          <w:color w:val="000000"/>
          <w:sz w:val="24"/>
          <w:u w:val="single"/>
        </w:rPr>
        <w:t xml:space="preserve">               （以下简称“乙方”）</w:t>
      </w:r>
      <w:r>
        <w:rPr>
          <w:rFonts w:ascii="SimSun" w:hAnsi="SimSun" w:eastAsia="SimSun" w:cs="SimSun"/>
          <w:color w:val="000000"/>
          <w:sz w:val="24"/>
        </w:rPr>
        <w:t xml:space="preserve">特此签订安全合同：</w:t>
      </w:r>
      <w:r/>
    </w:p>
    <w:p>
      <w:pPr>
        <w:ind w:left="0" w:right="0" w:firstLine="482"/>
        <w:jc w:val="both"/>
        <w:spacing w:before="0" w:after="0" w:line="559" w:lineRule="atLeast"/>
        <w:tabs>
          <w:tab w:val="left" w:pos="5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一、甲方职责</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1、严格遵守国家有关安全生产的法律法规，认真执行合同中的有关安全要求。</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2、按照“安全第一、预防为主”的原则进行安全管理。</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3、组织对乙方项目服务现场安全检查，监督乙方及时发现并处理各种安全隐患。 </w:t>
      </w:r>
      <w:r/>
    </w:p>
    <w:p>
      <w:pPr>
        <w:ind w:left="0" w:right="0" w:firstLine="46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二、乙方职责</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1、严格遵守国家有关安全生产的法律法规、相关部门颁发的有关安全生产的规定，认真执行项目服务合同中的有关安全要求。</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2、坚持“安全第一、预防为主”的原则，加强安全宣传教育，增强全员安全意识，建立健全的安 全管理机构和安全管理制度，配备专职及兼职安全检查人员，有组织有领导地开展活动。各级领导和具体服务人员，必须熟悉和遵守本条款的各项规定，做到服务与安全工作同时计划、布置、检查、总结和评比。</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责任制。从派往项目实施的项目负责人、现场管理人员到安装技术人员的安全生产管理系统必须做到纵向到底，一环不漏；各职能部门、人员的安全生产责任制做到横向到边，人人有责。项目负责人是安全的第一责任人。</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4、乙方在任何时候都应采取各种合理的预防措施，防止其员工发生任何违法、违禁、暴力或防碍治安的行为。</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5、服务人员上岗，必须按规定穿戴防护用品。项目负责人和现场管理人员应随时检查防护用品的穿戴情况，不按规定穿戴防护用品的人员不得上岗。</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6、所有机具设备均应定期检查，并有签字记录，保证其经常处于完好状态；不合格的机具、设备和劳动保护用品严禁使用。</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7、乙方应对安全技术资料建立档案，安全技术资料应当真实、完整齐全。</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8、乙方应当接受甲方及政府安全监督机构对其安全生产的监督检查。对于检查单位下达的整改意见通知，乙方要立即予以整改，由此发生的费用乙方自负。</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9、乙方必须按照本项目特点，组织制定本项目实施中的安全事故应急救援预案；如果发生安全事故，应按照《国务院关于特大安全事故行政责任追究的规定》以及其它有关规定，及时上报有关部门， 并坚持“三不放过”的原则，严肃处理相关责任人。</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10、发生重大伤亡及其他安全事故，乙方应按有关规定立即上报有关部门并通知甲方，同时按政府有关部门要求处理。</w:t>
      </w:r>
      <w:r/>
    </w:p>
    <w:p>
      <w:pPr>
        <w:ind w:left="0" w:right="0" w:firstLine="46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1、乙方应对发生在本项目服务期间的交通安全、安全事故（包括人损）负全部法律责任，并承担由此而产生的一切经济损失。</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2、如乙方发生安全事故不及时妥善处理，引起纠纷或诉讼，甲方有权扣留其履约保证金和未付合同款用于支付事故处理费用。</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3、本合同一式肆份，甲、乙双方各执二份。由双方法定代表人或其授权的代理人签署与加盖公章后生效，甲、乙双方所签定的安全合同的时效与服务合同时效等同。</w:t>
      </w:r>
      <w:r/>
    </w:p>
    <w:p>
      <w:pPr>
        <w:ind w:left="-1"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或授权委托人（签章）：或授权委托人（签章）：</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6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6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60"/>
        <w:ind w:left="0" w:right="0" w:firstLine="0"/>
        <w:jc w:val="center"/>
        <w:spacing w:before="340" w:after="33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项目属性：服务类项目。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一、工作目标</w:t>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近年来，党中央、国务院多项重大改革对地籍调查支撑能力和服务水平提出了新要求，为了适应新时代的“互联网</w:t>
      </w:r>
      <w:r>
        <w:rPr>
          <w:rFonts w:ascii="Calibri" w:hAnsi="Calibri" w:eastAsia="Calibri" w:cs="Calibri"/>
          <w:color w:val="000000"/>
          <w:sz w:val="24"/>
        </w:rPr>
        <w:t xml:space="preserve">+</w:t>
      </w:r>
      <w:r>
        <w:rPr>
          <w:rFonts w:ascii="SimSun" w:hAnsi="SimSun" w:eastAsia="SimSun" w:cs="SimSun"/>
          <w:color w:val="000000"/>
          <w:sz w:val="24"/>
        </w:rPr>
        <w:t xml:space="preserve">不动产登记”、优化营商环境、数字中国建设，地籍调查需进一步完善地籍调查工作机制，强化数据的全面性和精准性，加强地籍数据共享应用。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根据《自然资源部关于进一步做好地籍调查工作的通知》（自然资发〔</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195</w:t>
      </w:r>
      <w:r>
        <w:rPr>
          <w:rFonts w:ascii="SimSun" w:hAnsi="SimSun" w:eastAsia="SimSun" w:cs="SimSun"/>
          <w:color w:val="000000"/>
          <w:sz w:val="24"/>
        </w:rPr>
        <w:t xml:space="preserve">号）、《自然资源部办公厅关于加快编制地籍图的通知》（自然资办函〔</w:t>
      </w:r>
      <w:r>
        <w:rPr>
          <w:rFonts w:ascii="Calibri" w:hAnsi="Calibri" w:eastAsia="Calibri" w:cs="Calibri"/>
          <w:color w:val="000000"/>
          <w:sz w:val="24"/>
        </w:rPr>
        <w:t xml:space="preserve">2024</w:t>
      </w:r>
      <w:r>
        <w:rPr>
          <w:rFonts w:ascii="SimSun" w:hAnsi="SimSun" w:eastAsia="SimSun" w:cs="SimSun"/>
          <w:color w:val="000000"/>
          <w:sz w:val="24"/>
        </w:rPr>
        <w:t xml:space="preserve">〕</w:t>
      </w:r>
      <w:r>
        <w:rPr>
          <w:rFonts w:ascii="Calibri" w:hAnsi="Calibri" w:eastAsia="Calibri" w:cs="Calibri"/>
          <w:color w:val="000000"/>
          <w:sz w:val="24"/>
        </w:rPr>
        <w:t xml:space="preserve">1481</w:t>
      </w:r>
      <w:r>
        <w:rPr>
          <w:rFonts w:ascii="SimSun" w:hAnsi="SimSun" w:eastAsia="SimSun" w:cs="SimSun"/>
          <w:color w:val="000000"/>
          <w:sz w:val="24"/>
        </w:rPr>
        <w:t xml:space="preserve">号）的工作要求及江苏省《关于深化开展地籍调查和地籍图编制工作的实施方案》（苏自然资函〔</w:t>
      </w:r>
      <w:r>
        <w:rPr>
          <w:rFonts w:ascii="Calibri" w:hAnsi="Calibri" w:eastAsia="Calibri" w:cs="Calibri"/>
          <w:color w:val="000000"/>
          <w:sz w:val="24"/>
        </w:rPr>
        <w:t xml:space="preserve">2024</w:t>
      </w:r>
      <w:r>
        <w:rPr>
          <w:rFonts w:ascii="SimSun" w:hAnsi="SimSun" w:eastAsia="SimSun" w:cs="SimSun"/>
          <w:color w:val="000000"/>
          <w:sz w:val="24"/>
        </w:rPr>
        <w:t xml:space="preserve">〕</w:t>
      </w:r>
      <w:r>
        <w:rPr>
          <w:rFonts w:ascii="Calibri" w:hAnsi="Calibri" w:eastAsia="Calibri" w:cs="Calibri"/>
          <w:color w:val="000000"/>
          <w:sz w:val="24"/>
        </w:rPr>
        <w:t xml:space="preserve">868</w:t>
      </w:r>
      <w:r>
        <w:rPr>
          <w:rFonts w:ascii="SimSun" w:hAnsi="SimSun" w:eastAsia="SimSun" w:cs="SimSun"/>
          <w:color w:val="000000"/>
          <w:sz w:val="24"/>
        </w:rPr>
        <w:t xml:space="preserve">号）的部署，阜宁县自然资源和规划局决定开展地籍调查和地籍图编制工作。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二、调查范围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本次调查范围涉及阜宁县全域。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1</w:t>
      </w:r>
      <w:r>
        <w:rPr>
          <w:rFonts w:ascii="SimSun" w:hAnsi="SimSun" w:eastAsia="SimSun" w:cs="SimSun"/>
          <w:color w:val="000000"/>
          <w:sz w:val="24"/>
        </w:rPr>
        <w:t xml:space="preserve">工作内容：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）数据融合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将包</w:t>
      </w:r>
      <w:r>
        <w:rPr>
          <w:rFonts w:ascii="Calibri" w:hAnsi="Calibri" w:eastAsia="Calibri" w:cs="Calibri"/>
          <w:color w:val="000000"/>
          <w:sz w:val="24"/>
        </w:rPr>
        <w:t xml:space="preserve">2</w:t>
      </w:r>
      <w:r>
        <w:rPr>
          <w:rFonts w:ascii="SimSun" w:hAnsi="SimSun" w:eastAsia="SimSun" w:cs="SimSun"/>
          <w:color w:val="000000"/>
          <w:sz w:val="24"/>
        </w:rPr>
        <w:t xml:space="preserve">形成的地籍调查成果数据库与不动产登记系统内数据进行融合处理，满足各类地籍调查成果统一管理的需要。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）地籍图编制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以电子地图为主，利用地籍数据信息化系统，根据不同类型地籍图的编制要求和实际应用需求，选择合适比例尺、分幅方式，进行分类编制。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）成果汇交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全县地形图数据、地籍数据、影像数据融合、坐标一致性转换、入库，形成地籍一张图。生成符合部、省、市要求的汇交成果。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）地籍管理软件开发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在现有阜宁县不动产权籍管理系统中开发完善地籍图编制及管理功能，实现地籍数据库的统一管理。健全地籍数据库的动态更新机制，确保地籍数据的现势性和权威性。开展“一码</w:t>
      </w:r>
      <w:r>
        <w:rPr>
          <w:rFonts w:ascii="Calibri" w:hAnsi="Calibri" w:eastAsia="Calibri" w:cs="Calibri"/>
          <w:color w:val="000000"/>
          <w:sz w:val="24"/>
        </w:rPr>
        <w:t xml:space="preserve">+</w:t>
      </w:r>
      <w:r>
        <w:rPr>
          <w:rFonts w:ascii="SimSun" w:hAnsi="SimSun" w:eastAsia="SimSun" w:cs="SimSun"/>
          <w:color w:val="000000"/>
          <w:sz w:val="24"/>
        </w:rPr>
        <w:t xml:space="preserve">三维”在地籍系统建设的深化应用，运用实景三维中国建设成果，丰富完善三维地籍数据库，探索编制三维地籍图。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2</w:t>
      </w:r>
      <w:r>
        <w:rPr>
          <w:rFonts w:ascii="SimSun" w:hAnsi="SimSun" w:eastAsia="SimSun" w:cs="SimSun"/>
          <w:color w:val="000000"/>
          <w:sz w:val="24"/>
        </w:rPr>
        <w:t xml:space="preserve">工作内容：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（1）数据收集整合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不动产地籍数据库为基础，系统收集整理宅基地和集体建设用地地籍调查、城镇地籍调查、集体土地所有权确权登记、农村房地一体确权登记、国土变更调查成果等，认真梳理地籍区、地籍子区、宗地、房屋权属等要素数据，统一坐标系统和数据库建库技术要求，形成地籍调查数据底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做好已登记、已调查未登记、未调查三种类型数据区分，其中不动产登记数据归类为已登记数据，审批及相关权属数据叠加去重不动产登记数据后归类为已调查未登记数据，其余未覆盖区域归类为未调查数据。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（2）地籍补充调查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对已登记的要补充完善图形和属性数据；对已调查未登记的需整理汇交调查成果，对发生变化的开展变更调查，对未调查的开展地籍调查工作。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宅基地、集体建设用地未开展地籍调查或缺少宗地图形数据的，利用大比例尺地形图、高分辨率影像等资料，勾绘宗地，编制不动产单元代码以单独图层纳入数据库管理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按地籍调查数据库标准，开展国有建设用地补充调查，完善图形数据和属性数据。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（3）数据库建设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以整合和补充后的宅基地、集体建设用地、国有建设用地等地籍调查成果为基础，按照地籍数据库标准等要求，开展落宗入库、数据接边、成果完善，形成地籍数据库并通过质检软件质检。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四、作业依据及工作方法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GB/T 20257.1-2017</w:t>
      </w:r>
      <w:r>
        <w:rPr>
          <w:rFonts w:ascii="SimSun" w:hAnsi="SimSun" w:eastAsia="SimSun" w:cs="SimSun"/>
          <w:color w:val="000000"/>
          <w:sz w:val="24"/>
        </w:rPr>
        <w:t xml:space="preserve">《国家基本比例尺地图图式第</w:t>
      </w:r>
      <w:r>
        <w:rPr>
          <w:rFonts w:ascii="Calibri" w:hAnsi="Calibri" w:eastAsia="Calibri" w:cs="Calibri"/>
          <w:color w:val="000000"/>
          <w:sz w:val="24"/>
        </w:rPr>
        <w:t xml:space="preserve">1</w:t>
      </w:r>
      <w:r>
        <w:rPr>
          <w:rFonts w:ascii="SimSun" w:hAnsi="SimSun" w:eastAsia="SimSun" w:cs="SimSun"/>
          <w:color w:val="000000"/>
          <w:sz w:val="24"/>
        </w:rPr>
        <w:t xml:space="preserve">部分：</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500 1</w:t>
      </w:r>
      <w:r>
        <w:rPr>
          <w:rFonts w:ascii="SimSun" w:hAnsi="SimSun" w:eastAsia="SimSun" w:cs="SimSun"/>
          <w:color w:val="000000"/>
          <w:sz w:val="24"/>
        </w:rPr>
        <w:t xml:space="preserve">：</w:t>
      </w:r>
      <w:r>
        <w:rPr>
          <w:rFonts w:ascii="Calibri" w:hAnsi="Calibri" w:eastAsia="Calibri" w:cs="Calibri"/>
          <w:color w:val="000000"/>
          <w:sz w:val="24"/>
        </w:rPr>
        <w:t xml:space="preserve">1000 1</w:t>
      </w:r>
      <w:r>
        <w:rPr>
          <w:rFonts w:ascii="SimSun" w:hAnsi="SimSun" w:eastAsia="SimSun" w:cs="SimSun"/>
          <w:color w:val="000000"/>
          <w:sz w:val="24"/>
        </w:rPr>
        <w:t xml:space="preserve">：</w:t>
      </w:r>
      <w:r>
        <w:rPr>
          <w:rFonts w:ascii="Calibri" w:hAnsi="Calibri" w:eastAsia="Calibri" w:cs="Calibri"/>
          <w:color w:val="000000"/>
          <w:sz w:val="24"/>
        </w:rPr>
        <w:t xml:space="preserve">2000</w:t>
      </w:r>
      <w:r>
        <w:rPr>
          <w:rFonts w:ascii="SimSun" w:hAnsi="SimSun" w:eastAsia="SimSun" w:cs="SimSun"/>
          <w:color w:val="000000"/>
          <w:sz w:val="24"/>
        </w:rPr>
        <w:t xml:space="preserve">地形图图式》；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GB_T42547-2023</w:t>
      </w:r>
      <w:r>
        <w:rPr>
          <w:rFonts w:ascii="SimSun" w:hAnsi="SimSun" w:eastAsia="SimSun" w:cs="SimSun"/>
          <w:color w:val="000000"/>
          <w:sz w:val="24"/>
        </w:rPr>
        <w:t xml:space="preserve">《地籍调查规程》；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TD/T 1055 </w:t>
      </w:r>
      <w:r>
        <w:rPr>
          <w:rFonts w:ascii="SimSun" w:hAnsi="SimSun" w:eastAsia="SimSun" w:cs="SimSun"/>
          <w:color w:val="000000"/>
          <w:sz w:val="24"/>
        </w:rPr>
        <w:t xml:space="preserve">《第三次全国国土调查技术规程》；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）《地籍图编制技术规范（试行）》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 </w:t>
      </w:r>
      <w:r>
        <w:rPr>
          <w:rFonts w:ascii="Calibri" w:hAnsi="Calibri" w:eastAsia="Calibri" w:cs="Calibri"/>
          <w:color w:val="000000"/>
          <w:sz w:val="24"/>
        </w:rPr>
        <w:t xml:space="preserve">TD/T 1095</w:t>
      </w:r>
      <w:r>
        <w:rPr>
          <w:rFonts w:ascii="SimSun" w:hAnsi="SimSun" w:eastAsia="SimSun" w:cs="SimSun"/>
          <w:color w:val="000000"/>
          <w:sz w:val="24"/>
        </w:rPr>
        <w:t xml:space="preserve">—</w:t>
      </w:r>
      <w:r>
        <w:rPr>
          <w:rFonts w:ascii="Calibri" w:hAnsi="Calibri" w:eastAsia="Calibri" w:cs="Calibri"/>
          <w:color w:val="000000"/>
          <w:sz w:val="24"/>
        </w:rPr>
        <w:t xml:space="preserve">2024</w:t>
      </w:r>
      <w:r>
        <w:rPr>
          <w:rFonts w:ascii="SimSun" w:hAnsi="SimSun" w:eastAsia="SimSun" w:cs="SimSun"/>
          <w:color w:val="000000"/>
          <w:sz w:val="24"/>
        </w:rPr>
        <w:t xml:space="preserve">《不动产登记规程》；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）《不动产登记数据库标准》；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w:t>
      </w:r>
      <w:r>
        <w:rPr>
          <w:rFonts w:ascii="Calibri" w:hAnsi="Calibri" w:eastAsia="Calibri" w:cs="Calibri"/>
          <w:color w:val="000000"/>
          <w:sz w:val="24"/>
        </w:rPr>
        <w:t xml:space="preserve">DB3206/T 1006</w:t>
      </w:r>
      <w:r>
        <w:rPr>
          <w:rFonts w:ascii="SimSun" w:hAnsi="SimSun" w:eastAsia="SimSun" w:cs="SimSun"/>
          <w:color w:val="000000"/>
          <w:sz w:val="24"/>
        </w:rPr>
        <w:t xml:space="preserve">—</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500 1</w:t>
      </w:r>
      <w:r>
        <w:rPr>
          <w:rFonts w:ascii="SimSun" w:hAnsi="SimSun" w:eastAsia="SimSun" w:cs="SimSun"/>
          <w:color w:val="000000"/>
          <w:sz w:val="24"/>
        </w:rPr>
        <w:t xml:space="preserve">：</w:t>
      </w:r>
      <w:r>
        <w:rPr>
          <w:rFonts w:ascii="Calibri" w:hAnsi="Calibri" w:eastAsia="Calibri" w:cs="Calibri"/>
          <w:color w:val="000000"/>
          <w:sz w:val="24"/>
        </w:rPr>
        <w:t xml:space="preserve">1000 1</w:t>
      </w:r>
      <w:r>
        <w:rPr>
          <w:rFonts w:ascii="SimSun" w:hAnsi="SimSun" w:eastAsia="SimSun" w:cs="SimSun"/>
          <w:color w:val="000000"/>
          <w:sz w:val="24"/>
        </w:rPr>
        <w:t xml:space="preserve">：</w:t>
      </w:r>
      <w:r>
        <w:rPr>
          <w:rFonts w:ascii="Calibri" w:hAnsi="Calibri" w:eastAsia="Calibri" w:cs="Calibri"/>
          <w:color w:val="000000"/>
          <w:sz w:val="24"/>
        </w:rPr>
        <w:t xml:space="preserve">2000</w:t>
      </w:r>
      <w:r>
        <w:rPr>
          <w:rFonts w:ascii="SimSun" w:hAnsi="SimSun" w:eastAsia="SimSun" w:cs="SimSun"/>
          <w:color w:val="000000"/>
          <w:sz w:val="24"/>
        </w:rPr>
        <w:t xml:space="preserve">自然资源和规划地形基础要素数据规范》；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）《自然资源部关于进一步做好地籍调查工作的通知》（自然资发〔</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195</w:t>
      </w:r>
      <w:r>
        <w:rPr>
          <w:rFonts w:ascii="SimSun" w:hAnsi="SimSun" w:eastAsia="SimSun" w:cs="SimSun"/>
          <w:color w:val="000000"/>
          <w:sz w:val="24"/>
        </w:rPr>
        <w:t xml:space="preserve">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）《自然资源部办公厅关于加快编制地籍图的通知》（自然资办函〔</w:t>
      </w:r>
      <w:r>
        <w:rPr>
          <w:rFonts w:ascii="Calibri" w:hAnsi="Calibri" w:eastAsia="Calibri" w:cs="Calibri"/>
          <w:color w:val="000000"/>
          <w:sz w:val="24"/>
        </w:rPr>
        <w:t xml:space="preserve">2024</w:t>
      </w:r>
      <w:r>
        <w:rPr>
          <w:rFonts w:ascii="SimSun" w:hAnsi="SimSun" w:eastAsia="SimSun" w:cs="SimSun"/>
          <w:color w:val="000000"/>
          <w:sz w:val="24"/>
        </w:rPr>
        <w:t xml:space="preserve">〕</w:t>
      </w:r>
      <w:r>
        <w:rPr>
          <w:rFonts w:ascii="Calibri" w:hAnsi="Calibri" w:eastAsia="Calibri" w:cs="Calibri"/>
          <w:color w:val="000000"/>
          <w:sz w:val="24"/>
        </w:rPr>
        <w:t xml:space="preserve">1481</w:t>
      </w:r>
      <w:r>
        <w:rPr>
          <w:rFonts w:ascii="SimSun" w:hAnsi="SimSun" w:eastAsia="SimSun" w:cs="SimSun"/>
          <w:color w:val="000000"/>
          <w:sz w:val="24"/>
        </w:rPr>
        <w:t xml:space="preserve">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）江苏省《关于深化开展地籍调查和地籍图编制工作的实施方案》（苏自然资函</w:t>
      </w:r>
      <w:r>
        <w:rPr>
          <w:rFonts w:ascii="Calibri" w:hAnsi="Calibri" w:eastAsia="Calibri" w:cs="Calibri"/>
          <w:color w:val="000000"/>
          <w:sz w:val="24"/>
        </w:rPr>
        <w:t xml:space="preserve">[2024]868</w:t>
      </w:r>
      <w:r>
        <w:rPr>
          <w:rFonts w:ascii="SimSun" w:hAnsi="SimSun" w:eastAsia="SimSun" w:cs="SimSun"/>
          <w:color w:val="000000"/>
          <w:sz w:val="24"/>
        </w:rPr>
        <w:t xml:space="preserve">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五、工作成果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）地籍数据库成果。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）地籍图电子图件成果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）阜宁县不动产权籍管理系统地籍图管理模块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）地籍调查资料。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）文字报告成果。技术方案、实施方案、工作总结报告。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2</w:t>
      </w:r>
      <w:r>
        <w:rPr>
          <w:rFonts w:ascii="SimSun" w:hAnsi="SimSun" w:eastAsia="SimSun" w:cs="SimSun"/>
          <w:color w:val="000000"/>
          <w:sz w:val="24"/>
        </w:rPr>
        <w:t xml:space="preserve">：</w:t>
      </w:r>
      <w:r/>
    </w:p>
    <w:p>
      <w:pPr>
        <w:numPr>
          <w:ilvl w:val="0"/>
          <w:numId w:val="1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地籍调查数据。</w:t>
      </w:r>
      <w:r/>
    </w:p>
    <w:p>
      <w:pPr>
        <w:numPr>
          <w:ilvl w:val="0"/>
          <w:numId w:val="1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通过质检的地籍调查数据库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六、工期要求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10</w:t>
      </w:r>
      <w:r>
        <w:rPr>
          <w:rFonts w:ascii="SimSun" w:hAnsi="SimSun" w:eastAsia="SimSun" w:cs="SimSun"/>
          <w:color w:val="000000"/>
          <w:sz w:val="24"/>
        </w:rPr>
        <w:t xml:space="preserve">月底前完成宅基地和集体建设用地及国有建设用地地籍调查数据库和地籍图编制工作，并向省级提交汇交成果；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11</w:t>
      </w:r>
      <w:r>
        <w:rPr>
          <w:rFonts w:ascii="SimSun" w:hAnsi="SimSun" w:eastAsia="SimSun" w:cs="SimSun"/>
          <w:color w:val="000000"/>
          <w:sz w:val="24"/>
        </w:rPr>
        <w:t xml:space="preserve">月底前完全全部工作内容并通过验收。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七、包</w:t>
      </w:r>
      <w:r>
        <w:rPr>
          <w:rFonts w:ascii="Calibri" w:hAnsi="Calibri" w:eastAsia="Calibri" w:cs="Calibri"/>
          <w:color w:val="000000"/>
          <w:sz w:val="24"/>
        </w:rPr>
        <w:t xml:space="preserve">1</w:t>
      </w:r>
      <w:r>
        <w:rPr>
          <w:rFonts w:ascii="SimSun" w:hAnsi="SimSun" w:eastAsia="SimSun" w:cs="SimSun"/>
          <w:color w:val="000000"/>
          <w:sz w:val="24"/>
        </w:rPr>
        <w:t xml:space="preserve">投标人投标时应提供以下内容：</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投标人应根据采购需求和本项目实际，制订相应的投标文件应包括以下内容：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、商务部分</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1.1业绩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Calibri" w:hAnsi="Calibri" w:eastAsia="Calibri" w:cs="Calibri"/>
          <w:color w:val="000000"/>
          <w:sz w:val="24"/>
        </w:rPr>
        <w:t xml:space="preserve">2022</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日以来，供应商承担过地籍调查和地籍图编制项目的优先。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Calibri" w:hAnsi="Calibri" w:eastAsia="Calibri" w:cs="Calibri"/>
          <w:color w:val="000000"/>
          <w:sz w:val="24"/>
        </w:rPr>
        <w:t xml:space="preserve">2022</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日以来，供应商承担过不动产登记信息系统项目的优先。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w:t>
      </w:r>
      <w:r>
        <w:rPr>
          <w:rFonts w:ascii="Calibri" w:hAnsi="Calibri" w:eastAsia="Calibri" w:cs="Calibri"/>
          <w:color w:val="000000"/>
          <w:sz w:val="24"/>
        </w:rPr>
        <w:t xml:space="preserve">2022</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日以来，供应商承担过三维地籍建设项目的优先。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企业实力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w:t>
      </w:r>
      <w:r>
        <w:rPr>
          <w:rFonts w:ascii="SimSun" w:hAnsi="SimSun" w:eastAsia="SimSun" w:cs="SimSun"/>
          <w:color w:val="000000"/>
          <w:sz w:val="24"/>
        </w:rPr>
        <w:t xml:space="preserve">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①投标人具有省级及以上保密局颁发的保密资格证书的优先。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②投标人具有</w:t>
      </w:r>
      <w:r>
        <w:rPr>
          <w:rFonts w:ascii="Calibri" w:hAnsi="Calibri" w:eastAsia="Calibri" w:cs="Calibri"/>
          <w:color w:val="000000"/>
          <w:sz w:val="24"/>
        </w:rPr>
        <w:t xml:space="preserve">CMmI5</w:t>
      </w:r>
      <w:r>
        <w:rPr>
          <w:rFonts w:ascii="SimSun" w:hAnsi="SimSun" w:eastAsia="SimSun" w:cs="SimSun"/>
          <w:color w:val="000000"/>
          <w:sz w:val="24"/>
        </w:rPr>
        <w:t xml:space="preserve">级认证、具有</w:t>
      </w:r>
      <w:r>
        <w:rPr>
          <w:rFonts w:ascii="Calibri" w:hAnsi="Calibri" w:eastAsia="Calibri" w:cs="Calibri"/>
          <w:color w:val="000000"/>
          <w:sz w:val="24"/>
        </w:rPr>
        <w:t xml:space="preserve">cmI4</w:t>
      </w:r>
      <w:r>
        <w:rPr>
          <w:rFonts w:ascii="SimSun" w:hAnsi="SimSun" w:eastAsia="SimSun" w:cs="SimSun"/>
          <w:color w:val="000000"/>
          <w:sz w:val="24"/>
        </w:rPr>
        <w:t xml:space="preserve">级的、具有</w:t>
      </w:r>
      <w:r>
        <w:rPr>
          <w:rFonts w:ascii="Calibri" w:hAnsi="Calibri" w:eastAsia="Calibri" w:cs="Calibri"/>
          <w:color w:val="000000"/>
          <w:sz w:val="24"/>
        </w:rPr>
        <w:t xml:space="preserve">CmmI3</w:t>
      </w:r>
      <w:r>
        <w:rPr>
          <w:rFonts w:ascii="SimSun" w:hAnsi="SimSun" w:eastAsia="SimSun" w:cs="SimSun"/>
          <w:color w:val="000000"/>
          <w:sz w:val="24"/>
        </w:rPr>
        <w:t xml:space="preserve">级及以下的优先。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w:t>
      </w:r>
      <w:r>
        <w:rPr>
          <w:rFonts w:ascii="SimSun" w:hAnsi="SimSun" w:eastAsia="SimSun" w:cs="SimSun"/>
          <w:color w:val="000000"/>
          <w:sz w:val="24"/>
        </w:rPr>
        <w:t xml:space="preserve">项目组人员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①拟派项目负责人具有测绘类高级工程师职称证书、具有不动产登记代理人资格证书、具有注册测绘师证书的优先。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②拟派技术负责人具有测绘类高级工程师职称证书、具有信息系统项目管理师证书、具有注册测绘师证书的优先。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③拟派项目质量负责人具有测绘类高级工程师职称证书、具有不动产登记代理人资格证书、具有测绘地理信息技术质量培训结业证书的优先。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④投入其他项目组人员中具有注册测绘师证书或不动产登记代理人资格证书的优先。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w:t>
      </w:r>
      <w:r>
        <w:rPr>
          <w:rFonts w:ascii="SimSun" w:hAnsi="SimSun" w:eastAsia="SimSun" w:cs="SimSun"/>
          <w:color w:val="000000"/>
          <w:sz w:val="24"/>
        </w:rPr>
        <w:t xml:space="preserve">获奖荣誉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①投标人承担的地籍相关项目获得过县级、市级、省级、国家级奖项的优先。。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②投标人获得过县级及以上行政主管部门颁发的“测绘质量优秀单位”或“测绘质量表彰单位”荣誉的优先。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2、技术部分</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投标人应根据采购需求和本项目实际，制订相应的方案</w:t>
      </w:r>
      <w:r>
        <w:rPr>
          <w:rFonts w:ascii="Calibri" w:hAnsi="Calibri" w:eastAsia="Calibri" w:cs="Calibri"/>
          <w:color w:val="000000"/>
          <w:sz w:val="24"/>
          <w:highlight w:val="white"/>
        </w:rPr>
        <w:t xml:space="preserve">,</w:t>
      </w:r>
      <w:r>
        <w:rPr>
          <w:rFonts w:ascii="SimSun" w:hAnsi="SimSun" w:eastAsia="SimSun" w:cs="SimSun"/>
          <w:color w:val="000000"/>
          <w:sz w:val="24"/>
          <w:highlight w:val="white"/>
        </w:rPr>
        <w:t xml:space="preserve">至少包含以下内容：</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2.1技术方案至少包括：项目的技术先进性，方案周密性、可操作性、项目理解、工作方法、工作措施、成果要求、项目重难点分析及合理化建议等。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2.2组织管理至少包括：组织管理情况，机构是否齐全，各项制度是否健全，责任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分工是否明确等。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2.3进度安排至少包括：进度计划、进度保障措施等方面。</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2.4质量保证措施至少包括：质量保证体系、质量保证措施、质量保证重点等。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2.5安全保密措施至少包括：安全保密措施的严密性、可靠性、可操作性，人员、设备、数据资料安全管理措施等。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2.6售后服务措施至少包括：售后承诺、售后服务响应时间、售后服务方案等。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八、包</w:t>
      </w:r>
      <w:r>
        <w:rPr>
          <w:rFonts w:ascii="Calibri" w:hAnsi="Calibri" w:eastAsia="Calibri" w:cs="Calibri"/>
          <w:color w:val="000000"/>
          <w:sz w:val="24"/>
        </w:rPr>
        <w:t xml:space="preserve">2</w:t>
      </w:r>
      <w:r>
        <w:rPr>
          <w:rFonts w:ascii="SimSun" w:hAnsi="SimSun" w:eastAsia="SimSun" w:cs="SimSun"/>
          <w:color w:val="000000"/>
          <w:sz w:val="24"/>
        </w:rPr>
        <w:t xml:space="preserve">投标人投标时应提供以下内容：</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投标人应根据采购需求和本项目实际，制订相应的投标文件应包括以下内容：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、商务部分</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1.1业绩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Calibri" w:hAnsi="Calibri" w:eastAsia="Calibri" w:cs="Calibri"/>
          <w:color w:val="000000"/>
          <w:sz w:val="24"/>
        </w:rPr>
        <w:t xml:space="preserve">2022</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日以来，供应商承担过地籍调查和地籍图编制项目的优先。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Calibri" w:hAnsi="Calibri" w:eastAsia="Calibri" w:cs="Calibri"/>
          <w:color w:val="000000"/>
          <w:sz w:val="24"/>
        </w:rPr>
        <w:t xml:space="preserve">2022</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日以来，供应商承担过不动产登记信息系统项目的优先。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企业实力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w:t>
      </w:r>
      <w:r>
        <w:rPr>
          <w:rFonts w:ascii="SimSun" w:hAnsi="SimSun" w:eastAsia="SimSun" w:cs="SimSun"/>
          <w:color w:val="000000"/>
          <w:sz w:val="24"/>
        </w:rPr>
        <w:t xml:space="preserve">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①投标人具有民用无人驾驶航空器运营合格证证书的优先。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②拟投入的</w:t>
      </w:r>
      <w:r>
        <w:rPr>
          <w:rFonts w:ascii="Calibri" w:hAnsi="Calibri" w:eastAsia="Calibri" w:cs="Calibri"/>
          <w:color w:val="000000"/>
          <w:sz w:val="24"/>
        </w:rPr>
        <w:t xml:space="preserve">GNSS</w:t>
      </w:r>
      <w:r>
        <w:rPr>
          <w:rFonts w:ascii="SimSun" w:hAnsi="SimSun" w:eastAsia="SimSun" w:cs="SimSun"/>
          <w:color w:val="000000"/>
          <w:sz w:val="24"/>
        </w:rPr>
        <w:t xml:space="preserve">设备、全站仪设备、无人机设备的优先。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w:t>
      </w:r>
      <w:r>
        <w:rPr>
          <w:rFonts w:ascii="SimSun" w:hAnsi="SimSun" w:eastAsia="SimSun" w:cs="SimSun"/>
          <w:color w:val="000000"/>
          <w:sz w:val="24"/>
        </w:rPr>
        <w:t xml:space="preserve">项目组人员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①投标人拟派项目负责人具有测绘类高级工程师职称证书、具有注册测绘师证书、具有信息系统项目高级管理师证书的优先。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②投标人拟派技术负责人具有测绘类高级工程师职称证书、具有注册测绘师证书、具有信息系统项目高级管理师证书的优先。</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③投标人拟派技术负责人具有测绘类高级工程师职称证书、具有注册测绘师证书、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具有测绘地理信息技术质量培训结业证书的优先。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④投入其他项目组人员中具有注册测绘师证书的优先。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w:t>
      </w:r>
      <w:r>
        <w:rPr>
          <w:rFonts w:ascii="SimSun" w:hAnsi="SimSun" w:eastAsia="SimSun" w:cs="SimSun"/>
          <w:color w:val="000000"/>
          <w:sz w:val="24"/>
        </w:rPr>
        <w:t xml:space="preserve">获奖荣誉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①投标人承担的地籍相关项目获得过县级、市级、省级、国家级奖项的优先。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②投标人获得过县级及以上测绘地理信息行业"诚信单位"荣誉证书的优先。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③投标人具有高新技术企业证书的优先。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2、技术部分</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投标人应根据采购需求和本项目实际，制订相应的方案</w:t>
      </w:r>
      <w:r>
        <w:rPr>
          <w:rFonts w:ascii="Calibri" w:hAnsi="Calibri" w:eastAsia="Calibri" w:cs="Calibri"/>
          <w:color w:val="000000"/>
          <w:sz w:val="24"/>
          <w:highlight w:val="white"/>
        </w:rPr>
        <w:t xml:space="preserve">,</w:t>
      </w:r>
      <w:r>
        <w:rPr>
          <w:rFonts w:ascii="SimSun" w:hAnsi="SimSun" w:eastAsia="SimSun" w:cs="SimSun"/>
          <w:color w:val="000000"/>
          <w:sz w:val="24"/>
          <w:highlight w:val="white"/>
        </w:rPr>
        <w:t xml:space="preserve">至少包含以下内容：</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2.1技术方案至少包括：项目的技术先进性，方案周密性、可操作性、项目理解、工作方法、工作措施、成果要求、项目重难点分析及合理化建议等。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2.2组织管理至少包括：组织管理情况，机构是否齐全，各项制度是否健全，责任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分工是否明确等。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2.3进度安排至少包括：进度计划、进度保障措施等方面。</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2.4质量保证措施至少包括：质量保证体系、质量保证措施、质量保证重点等。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2.5安全保密措施至少包括：安全保密措施的严密性、可靠性、可操作性，人员、设备、数据资料安全管理措施等。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2.6售后服务措施至少包括：售后承诺、售后服务响应时间、售后服务方案等。</w:t>
      </w:r>
      <w:r/>
    </w:p>
    <w:p>
      <w:pPr>
        <w:ind w:left="0" w:right="0" w:firstLine="48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九、采购标的对应的中小企业划分标准所属行业一览表</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9"/>
        <w:gridCol w:w="3627"/>
        <w:gridCol w:w="4065"/>
      </w:tblGrid>
      <w:tr>
        <w:trPr>
          <w:trHeight w:val="4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阜宁县地籍调查和地籍图编制项目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65" w:type="dxa"/>
            <w:vAlign w:val="center"/>
            <w:textDirection w:val="lrTb"/>
            <w:noWrap w:val="false"/>
          </w:tcPr>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0"/>
        <w:jc w:val="both"/>
        <w:spacing w:before="240" w:after="240" w:line="43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（备注：所属行业按《工业和信息化部、国家统计局、国家发展和改革委员会、财政部关于印发中小企业划型标准规定的通知》(工信部联企业[2011]300号)规定填写。）</w:t>
      </w:r>
      <w:r>
        <w:rPr>
          <w:rFonts w:ascii="SimSun" w:hAnsi="SimSun" w:eastAsia="SimSun" w:cs="SimSun"/>
          <w:color w:val="000000"/>
          <w:sz w:val="24"/>
          <w:szCs w:val="24"/>
        </w:rPr>
      </w:r>
      <w:r/>
    </w:p>
    <w:p>
      <w:pPr>
        <w:ind w:left="0" w:right="0" w:firstLine="480"/>
        <w:jc w:val="both"/>
        <w:spacing w:before="240" w:after="240" w:line="43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br w:type="page" w:clear="all"/>
      </w:r>
      <w:r>
        <w:rPr>
          <w:rFonts w:ascii="Calibri" w:hAnsi="Calibri" w:eastAsia="Calibri" w:cs="Calibri"/>
          <w:sz w:val="24"/>
        </w:rPr>
      </w:r>
      <w:r/>
    </w:p>
    <w:p>
      <w:pPr>
        <w:ind w:left="0" w:right="0" w:firstLine="0"/>
        <w:jc w:val="center"/>
        <w:spacing w:before="240" w:after="240" w:line="43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r>
      <w:r>
        <w:rPr>
          <w:rFonts w:ascii="SimSun" w:hAnsi="SimSun" w:eastAsia="SimSun" w:cs="SimSun"/>
          <w:color w:val="000000"/>
          <w:sz w:val="44"/>
        </w:rPr>
        <w:t xml:space="preserve">第五章  评标方法与评标标准</w:t>
      </w:r>
      <w:r>
        <w:rPr>
          <w:rFonts w:ascii="SimSun" w:hAnsi="SimSun" w:eastAsia="SimSun" w:cs="SimSun"/>
          <w:color w:val="000000"/>
          <w:sz w:val="24"/>
          <w:szCs w:val="24"/>
        </w:rPr>
      </w:r>
      <w:r/>
    </w:p>
    <w:p>
      <w:pPr>
        <w:ind w:left="0" w:right="0" w:firstLine="461"/>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一、定标原则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color w:val="000000"/>
          <w:sz w:val="21"/>
          <w:u w:val="single"/>
        </w:rPr>
        <w:t xml:space="preserve"> 综合评分 </w:t>
      </w:r>
      <w:r>
        <w:rPr>
          <w:rFonts w:ascii="SimSun" w:hAnsi="SimSun" w:eastAsia="SimSun" w:cs="SimSun"/>
          <w:color w:val="000000"/>
          <w:sz w:val="21"/>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评标委员会按照最终得分由高至低的次序排列，每个采购包推荐1-3名中标候选人，采购人根据评标委员会的评标报告依法确定中标人。按照评审因素的量化指标评审得分最高的投标人为排名第一的中标候选人。</w:t>
      </w:r>
      <w:r/>
    </w:p>
    <w:p>
      <w:pPr>
        <w:ind w:left="0" w:right="0" w:firstLine="42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开标、评标、定标顺序为采购包1 →采购包2，在前一个采购包评标过程中被推荐为第一中标候选人的投标人将不作为后续采购包中标候选人的推荐，但其有效投标报价仍参与后续采购包的评审，以此类推</w:t>
      </w:r>
      <w:r>
        <w:rPr>
          <w:rFonts w:ascii="SimSun" w:hAnsi="SimSun" w:eastAsia="SimSun" w:cs="SimSun"/>
          <w:color w:val="000000"/>
          <w:sz w:val="21"/>
        </w:rPr>
        <w:t xml:space="preserve">。</w:t>
      </w:r>
      <w:r/>
    </w:p>
    <w:p>
      <w:pPr>
        <w:ind w:left="0" w:right="0" w:firstLine="42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政府采购政策功能落实</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1、小微型企业价格扣除</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（1）本项目对符合规定的小型和微型企业报价给予20%的扣除价格，用扣除后的价格参与评审。</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（2）供应商需按照采购文件的要求提供相应的《中小企业声明函》。</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2、残疾人福利单位价格扣除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（1）本项目对残疾人福利性单位视同小型、微型企业，给予</w:t>
      </w:r>
      <w:r>
        <w:rPr>
          <w:rFonts w:ascii="SimSun" w:hAnsi="SimSun" w:eastAsia="SimSun" w:cs="SimSun"/>
          <w:color w:val="000000"/>
          <w:sz w:val="21"/>
          <w:u w:val="single"/>
        </w:rPr>
        <w:t xml:space="preserve">20%的价格扣除。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3、监狱和戒毒企业价格扣除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（1）本项目对监狱和戒毒企业（简称监狱企业）视同小型、微型企业，给予20%的价格扣除。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4、残疾人福利单位、监狱企业属于小型、微型企业的，不重复享受政策。</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二、评标标准（100分）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采购包一评分标准</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0"/>
        <w:gridCol w:w="788"/>
        <w:gridCol w:w="530"/>
        <w:gridCol w:w="750"/>
        <w:gridCol w:w="487"/>
        <w:gridCol w:w="6149"/>
      </w:tblGrid>
      <w:tr>
        <w:trPr>
          <w:trHeight w:val="45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评分准则</w:t>
            </w:r>
            <w:r/>
          </w:p>
        </w:tc>
      </w:tr>
      <w:tr>
        <w:trPr>
          <w:trHeight w:val="131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的有效投标报价为评标基准价，其价格分为满分10分。其他投标人的价格分统一按照下列公式计算：投标报价得分=（评标基准价/投标报价）×10，结果保留两位小数，第三位四舍五入。（有效投标文件是指未被评标委员会判定为无效标的投标文件）。</w:t>
            </w:r>
            <w:r/>
          </w:p>
        </w:tc>
      </w:tr>
      <w:tr>
        <w:trPr>
          <w:trHeight w:val="23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8"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商务部分（37分）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    绩</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1、2022年1月1日以来，供应商承担过地籍调查和地籍图编制项目的，有1个得2分，本项最高得4分。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2、2022年1月1日以来，供应商承担过不动产登记信息系统项目的，有1个得2分，本项最高得4分。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3、2022年1月1日以来，供应商承担过三维地籍建设项目的，有1个得2分，本项最高得4分。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注：上述业绩证明材料以甲乙双方合同签订时间为准（需体现甲乙双方名称），包括中标通知书和合同原件扫描件，加盖供应商电子签章，未提供的不得分。</w:t>
            </w:r>
            <w:r/>
          </w:p>
        </w:tc>
      </w:tr>
      <w:tr>
        <w:trPr>
          <w:trHeight w:val="9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1、投标人具有省级及以上保密局颁发的保密资格证书的得2分。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2、投标人具有CMMI5级认证的得3分，具有CMMI4级的得2分，具有CMMI3级及以下的得1分，没有不得分。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注：须提供相关有效期内的证书或相关证明文件原件扫描件加盖供应商电子签章，未提供的不得分。</w:t>
            </w:r>
            <w:r/>
          </w:p>
        </w:tc>
      </w:tr>
      <w:tr>
        <w:trPr>
          <w:trHeight w:val="38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1、拟派项目负责人具有测绘类高级工程师职称证书的得1分，具有不动产登记代理人资格证书的得1分，具有注册测绘师证书的得1分，本项最高得3分；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2、拟派技术负责人具有测绘类高级工程师职称证书的得1分，具有信息系统项目管理师证书的1分，具有注册测绘师证书的得1分，本项最高得3分；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3、拟派项目质量负责人具有测绘类高级工程师职称证书的得1分，具有不动产登记代理人资格证书的得1分，具有测绘地理信息技术质量培训结业证书的得1分，本项最高得3分；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4、除上述人员以外，投入其他项目组人员中具有注册测绘师证书或不动产登记代理人资格证书的每有1人得1分，最高得2分。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注：(注:以上人员均不重复计分。投标人须提供以上所有人员证书原件扫描加盖供应商电子签章。)</w:t>
            </w:r>
            <w:r/>
          </w:p>
        </w:tc>
      </w:tr>
      <w:tr>
        <w:trPr>
          <w:trHeight w:val="21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获奖、荣誉</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1、投标人承担的地籍相关项目获得过国家级奖项的有一个得2.5分，省级奖项的有一个得2分，市级奖项的有一个得1.5分，县级奖项的有一个的1分。 本项最高得6分。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2、投标人获得过县级及以上行政主管部门颁发的“测绘质量优秀单位”或“测绘质量表彰单位”荣誉的得3分。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由行政部门或行政部门授权的协会（学会）颁发的奖项均可计算。同一项目获多项奖的按最高奖计分，不重复累计。上述材料均须提供有效的证书或相关证明文件原件扫描件，加盖供应商电子签章，未提供的不得分。</w:t>
            </w:r>
            <w:r/>
          </w:p>
        </w:tc>
      </w:tr>
      <w:tr>
        <w:trPr>
          <w:trHeight w:val="41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8"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技术部分（53分）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根据供应商提供的技术方案的技术先进性,方案周密性、可操作性进行综合比较；在项目理解、工作方法、工作措施、成果要求、项目重难点分析及合理化建议等方面进行评审。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（1）技术方案优于项目需求的得10分；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（2）技术方案符合项目需求的得9分；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（3）技术方案内容有缺陷的得8分；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220"/>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技术部分-组织管理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根据投标文件的组织管理情况，机构是否齐全，各项制度是否健全，责任分工是否明确等方面进行评审。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（1）组织管理方案优于项目需求的得10分；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（2）组织管理方案符合项目需求的得9分；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（3）组织管理方案内容有缺陷的得8分；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220"/>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技术部分-进度安排</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根据投标文件的进度计划、进度保障措施等方面进行评审。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（1）组织管理方案优于项目需求的得10分；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（2）组织管理方案符合项目需求的得9分；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（3）组织管理方案内容有缺陷的得8分；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635"/>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技术部分-质量保证措施</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根据供应商提供的为确保项目完成制定的质量保证措施方案（包括但不限于质量保证体系、质量保证措施、质量保证重点）进行评审。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（1）质量保证措施优于项目需求的得10分；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（2）质量保证措施符合项目需求的得9分；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（3）质量保证措施内容有缺陷的得8分；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635"/>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技术部分-安全保密措施</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根据供应商提供的项目安全保密措施的严密性、可靠性、可操作性，从制度、措施（包括但不限于人员、设备、数据资料安全管理措施）等方面进行评审。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（1）安全保密措施优于项目需求的得10分；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（2）安全保密措施符合项目需求的得9分；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（3）安全保密措施内容有缺陷的得8分；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635"/>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技术部分-售后服务</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根据供应商对本项目制定的售后服务（售后承诺、售后服务响应时间、售后服务方案等）进行评审：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（1）售后服务方案优于项目需求的得3分；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（2）售后服务方案符合项目需求的得2分；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（3）售后服务方案内容有缺陷的得1分；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采购包二评分标准</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787"/>
        <w:gridCol w:w="529"/>
        <w:gridCol w:w="749"/>
        <w:gridCol w:w="486"/>
        <w:gridCol w:w="6155"/>
      </w:tblGrid>
      <w:tr>
        <w:trPr>
          <w:trHeight w:val="45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评分准则</w:t>
            </w:r>
            <w:r/>
          </w:p>
        </w:tc>
      </w:tr>
      <w:tr>
        <w:trPr>
          <w:trHeight w:val="118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的有效投标报价为评标基准价，其价格分为满分10分。其他投标人的价格分统一按照下列公式计算：投标报价得分=（评标基准价/投标报价）×10，结果保留两位小数。（有效投标文件是指未被评标委员会判定为无效标的投标文件）。</w:t>
            </w:r>
            <w:r/>
          </w:p>
        </w:tc>
      </w:tr>
      <w:tr>
        <w:trPr>
          <w:trHeight w:val="14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商务部分（36分）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    绩</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1、2022年1月1日以来，供应商承担过地籍调查和地籍图编制项目的，有1个得2分，本项最高得4分。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2、2022年1月1日以来，供应商承担过不动产登记信息系统项目的，有1个得2分，本项最高得4分。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注：上述业绩证明材料以甲乙双方合同签订时间为准（需体现甲乙双方名称），包括中标通知书和合同原件扫描件，加盖供应商电子签章，未提供的不得分。</w:t>
            </w:r>
            <w:r/>
          </w:p>
        </w:tc>
      </w:tr>
      <w:tr>
        <w:trPr>
          <w:trHeight w:val="16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1、投标人具有民用无人驾驶航空器运营合格证证书的得2分。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2、拟投入的GNSS设备不少于5台的得1分；拟投入的全站仪设备不少于5台的得1分；拟投入的无人机设备不少于2台的得1分.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注：须提供相关有效期内的证书原件扫描件加盖供应商电子签章、供应商购买仪器设备的发票（发票时间必须是发布公告日期之前）原件扫描件加盖供应商电子签章，未提供的不得分。</w:t>
            </w:r>
            <w:r/>
          </w:p>
        </w:tc>
      </w:tr>
      <w:tr>
        <w:trPr>
          <w:trHeight w:val="364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1、投标人拟派项目负责人具有测绘类高级工程师职称证书的得2分，具有注册测绘师证书的得1分、具有信息系统项目高级管理师证书的得1分，本项最高得4分；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2、投标人拟派技术负责人具有测绘类高级工程师职称证书的得2分，具有注册测绘师证书的得1分、具有信息系统项目高级管理师证书的得1分，本项最高得4分；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3、投标人拟派技术负责人具有测绘类高级工程师职称证书的得2分，具有注册测绘师证书的得1分、具有测绘地理信息技术质量培训结业证书的得1分，本项最高得4分；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4、除上述人员以外，投入其他项目组人员中具有注册测绘师证书的每有1人得1分，最高得3分。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(注:以上人员均不重复计分。投标人须提供以上所有人员证书原件扫描件加盖供应商电子签章。)</w:t>
            </w:r>
            <w:r/>
          </w:p>
        </w:tc>
      </w:tr>
      <w:tr>
        <w:trPr>
          <w:trHeight w:val="249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获奖、荣誉</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1、投标人承担的地籍相关项目获得过国家级奖项的有一个得2.5分，省级奖项的有一个得2分，市级奖项的有一个得1.5分，县级奖项的有一个得1分，本项最高得6分。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2、投标人获得过县级及以上测绘地理信息行业"诚信单位"荣誉证书的得2分。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3、投标人具有高新技术企业证书的得2分。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由行政部门或行政部门授权的协会（学会）颁发的奖项均可计算。同一项目获多项奖的按最高奖计分，不重复累计。上述材料均须提供有效的证书或相关证明文件原件扫描件加盖供应商电子签章，未提供的不得分。</w:t>
            </w:r>
            <w:r/>
          </w:p>
        </w:tc>
      </w:tr>
      <w:tr>
        <w:trPr>
          <w:trHeight w:val="41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技术部分（54分）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根据供应商提供的技术方案的技术先进性,方案周密性、可操作性进行综合比较；在项目理解、工作方法、工作措施、成果要求、项目重难点分析及合理化建议等方面进行评审。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（2）技术方案符合项目需求的得8分；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（3）技术方案内容有缺陷的得6分；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220"/>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组织管理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根据投标文件的组织管理情况，机构是否齐全，各项制度是否健全，责任分工是否明确等方面进行评审。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（1）组织管理方案优于项目需求的得10分；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（2）组织管理方案符合项目需求的得8分；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（3）组织管理方案内容有缺陷的得6分；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220"/>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根据投标文件的进度计划、进度保障措施等方面进行评审。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（1）组织管理方案优于项目需求的得10分；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（2）组织管理方案符合项目需求的得8分；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（3）组织管理方案内容有缺陷的得6分；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635"/>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根据供应商提供的为确保项目完成制定的质量保证措施方案（包括但不限于质量保证体系、质量保证措施、质量保证重点）进行评审。 </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（1）质量保证措施优于项目需求的得10分；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（2）质量保证措施符合项目需求的得8分；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（3）质量保证措施内容有缺陷的得6分；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635"/>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安全保密措施</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根据供应商提供的项目安全保密措施的严密性、可靠性、可操作性，从制度、措施（包括但不限于人员、设备、数据资料安全管理措施）等方面进行评审。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（1）安全保密措施优于项目需求的得10分；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（2）安全保密措施符合项目需求的得8分；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（3）安全保密措施内容有缺陷的得6分；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635"/>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5"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根据供应商对本项目制定的售后服务（售后承诺、售后服务响应时间、售后服务方案等）进行评审：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（1）售后服务方案优于项目需求的得4分；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（2）售后服务方案符合项目需求的得3分；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（3）售后服务方案内容有缺陷的得2分；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w:t>
      </w:r>
      <w:r/>
    </w:p>
    <w:p>
      <w:pPr>
        <w:ind w:left="0" w:right="0" w:firstLine="845"/>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45"/>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45"/>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  标  文  件</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9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69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69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        </w:t>
      </w:r>
      <w:r/>
    </w:p>
    <w:p>
      <w:pPr>
        <w:ind w:left="0" w:right="0" w:firstLine="69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rPr>
          <w:rFonts w:ascii="Calibri" w:hAnsi="Calibri" w:eastAsia="Calibri" w:cs="Calibri"/>
          <w:color w:val="000000"/>
          <w:sz w:val="24"/>
        </w:rPr>
        <w:t xml:space="preserve"> </w:t>
      </w:r>
      <w:r>
        <w:rPr>
          <w:rFonts w:ascii="Calibri" w:hAnsi="Calibri" w:eastAsia="Calibri" w:cs="Calibri"/>
          <w:sz w:val="24"/>
        </w:rPr>
      </w:r>
      <w:r/>
    </w:p>
    <w:p>
      <w:pPr>
        <w:ind w:left="-808" w:right="0" w:firstLine="2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
        </w:rPr>
        <w:t xml:space="preserve">                       </w:t>
      </w:r>
      <w:r>
        <w:rPr>
          <w:rFonts w:ascii="SimSun" w:hAnsi="SimSun" w:eastAsia="SimSun" w:cs="SimSun"/>
          <w:color w:val="000000"/>
          <w:sz w:val="24"/>
        </w:rPr>
        <w:t xml:space="preserve">一、法人或者其他组织的营业执照等证明文件</w:t>
      </w:r>
      <w:r>
        <w:rPr>
          <w:rFonts w:ascii="Calibri" w:hAnsi="Calibri" w:eastAsia="Calibri" w:cs="Calibri"/>
          <w:sz w:val="24"/>
        </w:rPr>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二、上一年度(2024年度或2025年度)的财务状报表(至少提供资产负债表、</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利润表、现金流量表，投标人成立不满一年无需提供)</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0"/>
        <w:jc w:val="both"/>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十五、技术方案、服务承诺等</w:t>
      </w:r>
      <w:r/>
    </w:p>
    <w:p>
      <w:pPr>
        <w:ind w:left="0" w:right="0" w:firstLine="480"/>
        <w:jc w:val="both"/>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十六、盐城市阜宁县政府招标采购供应商承诺书</w:t>
      </w:r>
      <w:r/>
    </w:p>
    <w:p>
      <w:pPr>
        <w:ind w:left="0" w:right="0" w:firstLine="405"/>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二、上一年度（2024年度或2025年度）的财务状况报表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8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按招标公告要求提供。</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1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61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61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61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61"/>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61"/>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61"/>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61"/>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61"/>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3"/>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463"/>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八、投标函</w:t>
      </w:r>
      <w:r/>
    </w:p>
    <w:p>
      <w:pPr>
        <w:ind w:left="0" w:right="0" w:firstLine="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致：阜宁县不动产登记中心</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（项目编号、项目名称） </w:t>
      </w:r>
      <w:r>
        <w:rPr>
          <w:rFonts w:ascii="SimSun" w:hAnsi="SimSun" w:eastAsia="SimSun" w:cs="SimSun"/>
          <w:color w:val="000000"/>
          <w:sz w:val="24"/>
        </w:rPr>
        <w:t xml:space="preserve">招标文件，正式授权下述签字人______(姓名)代表我方______________（投标人的名称），全权处理本次项目投标的有关事宜。</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808" w:right="0" w:firstLine="144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808" w:right="0" w:firstLine="144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808" w:right="0" w:firstLine="144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808" w:right="0" w:firstLine="144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808" w:right="0" w:firstLine="144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808" w:right="0" w:firstLine="144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808" w:right="0" w:firstLine="144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24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line="240" w:lineRule="auto"/>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line="24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jc w:val="left"/>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九、中小企业声明函（服务）（分包号：**）</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号）的规定，本公司（联合体）参加阜宁县不动产登记中心组织的采购编号为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的采购活动，服务全部由符合政策要求的中小企业承接。相关企业的具体情况如下：</w:t>
      </w:r>
      <w:r/>
    </w:p>
    <w:p>
      <w:pPr>
        <w:numPr>
          <w:ilvl w:val="0"/>
          <w:numId w:val="13"/>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3"/>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6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1"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461"/>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181" w:firstLine="74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181" w:firstLine="74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br w:type="page" w:clear="all"/>
      </w:r>
      <w:r>
        <w:rPr>
          <w:rFonts w:ascii="Calibri" w:hAnsi="Calibri" w:eastAsia="Calibri" w:cs="Calibri"/>
          <w:sz w:val="24"/>
        </w:rPr>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十、残疾人福利性单位声明函（分包号：**）</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141号）的规定，本单位为符合条件的残疾人福利性单位，且本单位参加阜宁县不动产登记中心的采购文件编号为______的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576"/>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sz w:val="24"/>
        </w:rPr>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b/>
          <w:color w:val="000000"/>
          <w:sz w:val="32"/>
        </w:rPr>
        <w:t xml:space="preserve">十一、投标分项报价表（分包号：**）</w:t>
      </w:r>
      <w:r>
        <w:rPr>
          <w:rFonts w:ascii="Calibri" w:hAnsi="Calibri" w:eastAsia="Calibri" w:cs="Calibri"/>
          <w:sz w:val="24"/>
        </w:rPr>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
        <w:gridCol w:w="1044"/>
        <w:gridCol w:w="1189"/>
        <w:gridCol w:w="1033"/>
        <w:gridCol w:w="924"/>
        <w:gridCol w:w="1467"/>
        <w:gridCol w:w="164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7"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0" w:type="dxa"/>
            <w:vAlign w:val="center"/>
            <w:textDirection w:val="lrTb"/>
            <w:noWrap w:val="false"/>
          </w:tcPr>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验收所需费用和所有相关税金费用及为完成整个项目所产生的其它所有费用，招标文件另有规定的除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“投标分项报价表”中“投标总报价”数额应当与“开标一览表”中“投标总报价”数额一致。</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十二、技术要求响应及偏离表（分包号：**）</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4"/>
        <w:gridCol w:w="2665"/>
        <w:gridCol w:w="2246"/>
        <w:gridCol w:w="1522"/>
        <w:gridCol w:w="16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供应商全称（加盖CA电子公章）：</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461"/>
        <w:jc w:val="center"/>
        <w:spacing w:before="240" w:after="24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十三、商务要求响应及偏离表（分包号：**）</w:t>
      </w:r>
      <w:r>
        <w:rPr>
          <w:rFonts w:ascii="Calibri" w:hAnsi="Calibri" w:eastAsia="Calibri" w:cs="Calibri"/>
          <w:sz w:val="24"/>
        </w:rPr>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2"/>
        <w:gridCol w:w="2155"/>
        <w:gridCol w:w="2307"/>
        <w:gridCol w:w="1898"/>
        <w:gridCol w:w="161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61"/>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供应商全称（加盖CA电子公章）：</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2"/>
        <w:gridCol w:w="2700"/>
        <w:gridCol w:w="340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9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0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40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0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40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9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10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Calibri" w:hAnsi="Calibri" w:eastAsia="Calibri" w:cs="Calibri"/>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ab/>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6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17"/>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rPr>
        <w:t xml:space="preserve"> </w:t>
      </w:r>
      <w:r>
        <w:rPr>
          <w:rFonts w:ascii="Calibri" w:hAnsi="Calibri" w:eastAsia="Calibri" w:cs="Calibri"/>
          <w:sz w:val="21"/>
        </w:rPr>
      </w:r>
      <w:r/>
    </w:p>
    <w:p>
      <w:pPr>
        <w:ind w:left="0" w:right="0" w:firstLine="617"/>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17"/>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17"/>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17"/>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十五、技术方案等</w:t>
      </w:r>
      <w:r/>
    </w:p>
    <w:p>
      <w:pPr>
        <w:ind w:left="0" w:right="0" w:firstLine="461"/>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shd w:val="nil" w:color="auto"/>
        <w:rPr>
          <w:rFonts w:ascii="Calibri" w:hAnsi="Calibri" w:eastAsia="Calibri" w:cs="Calibri"/>
          <w:sz w:val="21"/>
          <w:szCs w:val="21"/>
        </w:rPr>
      </w:pPr>
      <w:r>
        <w:rPr>
          <w:rFonts w:ascii="SimSun" w:hAnsi="SimSun" w:eastAsia="SimSun" w:cs="SimSun"/>
          <w:b/>
          <w:color w:val="000000"/>
          <w:sz w:val="32"/>
          <w:highlight w:val="none"/>
        </w:rPr>
        <w:br w:type="page" w:clear="all"/>
      </w:r>
      <w:r>
        <w:rPr>
          <w:rFonts w:ascii="Calibri" w:hAnsi="Calibri" w:eastAsia="Calibri" w:cs="Calibri"/>
          <w:sz w:val="21"/>
          <w:szCs w:val="21"/>
        </w:rPr>
      </w:r>
      <w:r/>
    </w:p>
    <w:p>
      <w:pPr>
        <w:ind w:left="0" w:right="0" w:firstLine="0"/>
        <w:jc w:val="center"/>
        <w:spacing w:before="0" w:after="0"/>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32"/>
          <w:szCs w:val="32"/>
          <w:highlight w:val="none"/>
        </w:rPr>
      </w:r>
      <w:r>
        <w:rPr>
          <w:rFonts w:ascii="SimSun" w:hAnsi="SimSun" w:eastAsia="SimSun" w:cs="SimSun"/>
          <w:b/>
          <w:color w:val="000000"/>
          <w:sz w:val="32"/>
        </w:rPr>
        <w:t xml:space="preserve">十六、盐城市阜宁县政府招标采购供应商承诺书</w:t>
      </w:r>
      <w:r>
        <w:rPr>
          <w:rFonts w:ascii="SimSun" w:hAnsi="SimSun" w:eastAsia="SimSun" w:cs="SimSun"/>
          <w:b/>
          <w:bCs/>
          <w:color w:val="000000"/>
          <w:sz w:val="32"/>
          <w:szCs w:val="32"/>
        </w:rPr>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为营造公开、公平、公正、诚实守信的政府招标采购交易环境，树立诚信守法的供应商形象，本单位参加政府招标采购项目</w:t>
      </w:r>
      <w:r>
        <w:rPr>
          <w:rFonts w:ascii="SimSun" w:hAnsi="SimSun" w:eastAsia="SimSun" w:cs="SimSun"/>
          <w:color w:val="000000"/>
          <w:sz w:val="24"/>
          <w:u w:val="single"/>
        </w:rPr>
        <w:t xml:space="preserve">：</w:t>
      </w:r>
      <w:r>
        <w:rPr>
          <w:rFonts w:ascii="SimSun" w:hAnsi="SimSun" w:eastAsia="SimSun" w:cs="SimSun"/>
          <w:color w:val="000000"/>
          <w:sz w:val="24"/>
        </w:rPr>
        <w:t xml:space="preserve">的招标采购活动，本人代表本单位作出以下承诺：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 </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（四）严格遵守即时信息公示规定，及时维护和更新盐城市政府采购网、苏采云交易平台中与本单位相关的信息；</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340"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法定代表人（签名或盖章）：           </w:t>
      </w:r>
      <w:r>
        <w:rPr>
          <w:rFonts w:ascii="Calibri" w:hAnsi="Calibri" w:eastAsia="Calibri" w:cs="Calibri"/>
          <w:sz w:val="21"/>
        </w:rPr>
      </w:r>
      <w:r/>
    </w:p>
    <w:p>
      <w:pPr>
        <w:ind w:left="0" w:right="0" w:firstLine="480"/>
        <w:jc w:val="both"/>
        <w:spacing w:before="0" w:after="0" w:line="340"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rPr>
          <w:rFonts w:ascii="Calibri" w:hAnsi="Calibri" w:eastAsia="Calibri" w:cs="Calibri"/>
          <w:sz w:val="21"/>
          <w:szCs w:val="21"/>
        </w:rPr>
      </w:r>
      <w:r/>
    </w:p>
    <w:p>
      <w:pPr>
        <w:ind w:left="0" w:right="0" w:firstLine="0"/>
        <w:jc w:val="lef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17"/>
        <w:jc w:val="center"/>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17"/>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一、质疑供应商基本信息</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质疑供应商：</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地址：</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邮编：</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联系人：</w:t>
      </w:r>
      <w:r>
        <w:rPr>
          <w:rFonts w:ascii="SimSun" w:hAnsi="SimSun" w:eastAsia="SimSun" w:cs="SimSun"/>
          <w:color w:val="000000"/>
          <w:sz w:val="20"/>
          <w:szCs w:val="16"/>
          <w:u w:val="single"/>
        </w:rPr>
        <w:t xml:space="preserve">               </w:t>
        <w:tab/>
        <w:tab/>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联系电话：</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授权代表：</w:t>
      </w:r>
      <w:r>
        <w:rPr>
          <w:rFonts w:ascii="SimSun" w:hAnsi="SimSun" w:eastAsia="SimSun" w:cs="SimSun"/>
          <w:color w:val="000000"/>
          <w:sz w:val="20"/>
          <w:szCs w:val="16"/>
          <w:u w:val="single"/>
        </w:rPr>
        <w:t xml:space="preserve">                 </w:t>
        <w:tab/>
        <w:tab/>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联系电话：</w:t>
      </w:r>
      <w:r>
        <w:rPr>
          <w:rFonts w:ascii="SimSun" w:hAnsi="SimSun" w:eastAsia="SimSun" w:cs="SimSun"/>
          <w:color w:val="000000"/>
          <w:sz w:val="20"/>
          <w:szCs w:val="16"/>
          <w:u w:val="single"/>
        </w:rPr>
        <w:t xml:space="preserve">                  </w:t>
        <w:tab/>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地址： </w:t>
      </w:r>
      <w:r>
        <w:rPr>
          <w:rFonts w:ascii="SimSun" w:hAnsi="SimSun" w:eastAsia="SimSun" w:cs="SimSun"/>
          <w:color w:val="000000"/>
          <w:sz w:val="20"/>
          <w:szCs w:val="16"/>
          <w:u w:val="single"/>
        </w:rPr>
        <w:t xml:space="preserve">                  </w:t>
        <w:tab/>
        <w:tab/>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邮编：</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二、质疑项目基本情况</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质疑项目的名称：</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质疑项目的编号：</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包号：</w:t>
      </w:r>
      <w:r>
        <w:rPr>
          <w:rFonts w:ascii="SimSun" w:hAnsi="SimSun" w:eastAsia="SimSun" w:cs="SimSun"/>
          <w:color w:val="000000"/>
          <w:sz w:val="20"/>
          <w:szCs w:val="16"/>
          <w:u w:val="single"/>
        </w:rPr>
        <w:t xml:space="preserve">                       </w:t>
        <w:tab/>
        <w:tab/>
        <w:tab/>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采购人名称：</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采购文件获取日期：</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三、质疑事项具体内容</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质疑事项1：</w:t>
      </w:r>
      <w:r>
        <w:rPr>
          <w:rFonts w:ascii="SimSun" w:hAnsi="SimSun" w:eastAsia="SimSun" w:cs="SimSun"/>
          <w:color w:val="000000"/>
          <w:sz w:val="20"/>
          <w:szCs w:val="16"/>
          <w:u w:val="single"/>
        </w:rPr>
        <w:t xml:space="preserve">                     </w:t>
      </w:r>
      <w:r>
        <w:rPr>
          <w:sz w:val="16"/>
          <w:szCs w:val="16"/>
        </w:rPr>
      </w:r>
      <w:r/>
    </w:p>
    <w:p>
      <w:pPr>
        <w:ind w:left="0" w:right="0" w:firstLine="480"/>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事实依据：</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法律依据：</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质疑事项2</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四、与质疑事项相关的质疑请求</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请求：</w:t>
      </w:r>
      <w:r>
        <w:rPr>
          <w:rFonts w:ascii="SimSun" w:hAnsi="SimSun" w:eastAsia="SimSun" w:cs="SimSun"/>
          <w:color w:val="000000"/>
          <w:sz w:val="20"/>
          <w:szCs w:val="16"/>
          <w:u w:val="single"/>
        </w:rPr>
        <w:t xml:space="preserve">                                                          </w:t>
      </w:r>
      <w:r>
        <w:rPr>
          <w:sz w:val="16"/>
          <w:szCs w:val="16"/>
        </w:rPr>
      </w:r>
      <w:r/>
    </w:p>
    <w:p>
      <w:pPr>
        <w:ind w:left="0" w:right="0" w:firstLine="480"/>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签字(签章)：                 公章：               日期：    </w:t>
      </w:r>
      <w:r>
        <w:rPr>
          <w:sz w:val="16"/>
          <w:szCs w:val="16"/>
        </w:rPr>
      </w:r>
      <w:r/>
    </w:p>
    <w:p>
      <w:pPr>
        <w:ind w:left="0" w:right="0" w:firstLine="482"/>
        <w:jc w:val="both"/>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szCs w:val="16"/>
        </w:rPr>
        <w:t xml:space="preserve">质疑函制作说明：</w:t>
      </w:r>
      <w:r>
        <w:rPr>
          <w:sz w:val="16"/>
          <w:szCs w:val="16"/>
        </w:rPr>
      </w:r>
      <w:r/>
    </w:p>
    <w:p>
      <w:pPr>
        <w:ind w:left="0" w:right="0" w:firstLine="480"/>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1.供应商提出质疑时，应提交质疑函和必要的证明材料。</w:t>
      </w:r>
      <w:r>
        <w:rPr>
          <w:sz w:val="16"/>
          <w:szCs w:val="16"/>
        </w:rPr>
      </w:r>
      <w:r/>
    </w:p>
    <w:p>
      <w:pPr>
        <w:ind w:left="0" w:right="0" w:firstLine="480"/>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sz w:val="16"/>
          <w:szCs w:val="16"/>
        </w:rPr>
      </w:r>
      <w:r/>
    </w:p>
    <w:p>
      <w:pPr>
        <w:ind w:left="0" w:right="0" w:firstLine="480"/>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3.质疑供应商若对项目的某一分包进行质疑，质疑函中应列明具体分包号。</w:t>
      </w:r>
      <w:r>
        <w:rPr>
          <w:sz w:val="16"/>
          <w:szCs w:val="16"/>
        </w:rPr>
      </w:r>
      <w:r/>
    </w:p>
    <w:p>
      <w:pPr>
        <w:ind w:left="0" w:right="0" w:firstLine="480"/>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4.质疑函的质疑事项应具体、明确，并有必要的事实依据和法律依据。</w:t>
      </w:r>
      <w:r>
        <w:rPr>
          <w:sz w:val="16"/>
          <w:szCs w:val="16"/>
        </w:rPr>
      </w:r>
      <w:r/>
    </w:p>
    <w:p>
      <w:pPr>
        <w:ind w:left="0" w:right="0" w:firstLine="480"/>
        <w:spacing w:before="240" w:after="240" w:line="240" w:lineRule="auto"/>
        <w:rPr>
          <w:sz w:val="20"/>
          <w:szCs w:val="1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5.质疑函的质疑请求应与质疑事项相关。</w:t>
      </w:r>
      <w:r>
        <w:rPr>
          <w:sz w:val="16"/>
          <w:szCs w:val="16"/>
        </w:rPr>
      </w:r>
      <w:r/>
    </w:p>
    <w:p>
      <w:pPr>
        <w:ind w:left="0" w:right="0" w:firstLine="480"/>
        <w:spacing w:before="240" w:after="24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16"/>
        </w:rPr>
        <w:t xml:space="preserve">6.质疑供应商为自然人的，质疑函应由本人签字；质疑供应商为法人或者其他组织的，质疑函应由法定代表人、主要负责人，或者其授权代表签字或者盖章，并加盖公章。</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417" w:right="1417" w:bottom="1417" w:left="141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Calibri Light">
    <w:panose1 w:val="020F0302020204030204"/>
  </w:font>
  <w:font w:name="Times New Roman">
    <w:panose1 w:val="02020603050405020304"/>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link w:val="661"/>
    <w:uiPriority w:val="9"/>
    <w:qFormat/>
    <w:pPr>
      <w:keepLines/>
      <w:keepNext/>
      <w:spacing w:before="480" w:after="200"/>
      <w:outlineLvl w:val="0"/>
    </w:pPr>
    <w:rPr>
      <w:rFonts w:ascii="Arial" w:hAnsi="Arial" w:eastAsia="Arial" w:cs="Arial"/>
      <w:sz w:val="40"/>
      <w:szCs w:val="40"/>
    </w:rPr>
  </w:style>
  <w:style w:type="character" w:styleId="661">
    <w:name w:val="Heading 1 Char"/>
    <w:link w:val="660"/>
    <w:uiPriority w:val="9"/>
    <w:rPr>
      <w:rFonts w:ascii="Arial" w:hAnsi="Arial" w:eastAsia="Arial" w:cs="Arial"/>
      <w:sz w:val="40"/>
      <w:szCs w:val="40"/>
    </w:rPr>
  </w:style>
  <w:style w:type="paragraph" w:styleId="662">
    <w:name w:val="Heading 2"/>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link w:val="662"/>
    <w:uiPriority w:val="9"/>
    <w:rPr>
      <w:rFonts w:ascii="Arial" w:hAnsi="Arial" w:eastAsia="Arial" w:cs="Arial"/>
      <w:sz w:val="34"/>
    </w:rPr>
  </w:style>
  <w:style w:type="paragraph" w:styleId="664">
    <w:name w:val="Heading 3"/>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link w:val="664"/>
    <w:uiPriority w:val="9"/>
    <w:rPr>
      <w:rFonts w:ascii="Arial" w:hAnsi="Arial" w:eastAsia="Arial" w:cs="Arial"/>
      <w:sz w:val="30"/>
      <w:szCs w:val="30"/>
    </w:rPr>
  </w:style>
  <w:style w:type="paragraph" w:styleId="666">
    <w:name w:val="Heading 4"/>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link w:val="666"/>
    <w:uiPriority w:val="9"/>
    <w:rPr>
      <w:rFonts w:ascii="Arial" w:hAnsi="Arial" w:eastAsia="Arial" w:cs="Arial"/>
      <w:b/>
      <w:bCs/>
      <w:sz w:val="26"/>
      <w:szCs w:val="26"/>
    </w:rPr>
  </w:style>
  <w:style w:type="paragraph" w:styleId="668">
    <w:name w:val="Heading 5"/>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link w:val="668"/>
    <w:uiPriority w:val="9"/>
    <w:rPr>
      <w:rFonts w:ascii="Arial" w:hAnsi="Arial" w:eastAsia="Arial" w:cs="Arial"/>
      <w:b/>
      <w:bCs/>
      <w:sz w:val="24"/>
      <w:szCs w:val="24"/>
    </w:rPr>
  </w:style>
  <w:style w:type="paragraph" w:styleId="670">
    <w:name w:val="Heading 6"/>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link w:val="670"/>
    <w:uiPriority w:val="9"/>
    <w:rPr>
      <w:rFonts w:ascii="Arial" w:hAnsi="Arial" w:eastAsia="Arial" w:cs="Arial"/>
      <w:b/>
      <w:bCs/>
      <w:sz w:val="22"/>
      <w:szCs w:val="22"/>
    </w:rPr>
  </w:style>
  <w:style w:type="paragraph" w:styleId="672">
    <w:name w:val="Heading 7"/>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link w:val="672"/>
    <w:uiPriority w:val="9"/>
    <w:rPr>
      <w:rFonts w:ascii="Arial" w:hAnsi="Arial" w:eastAsia="Arial" w:cs="Arial"/>
      <w:b/>
      <w:bCs/>
      <w:i/>
      <w:iCs/>
      <w:sz w:val="22"/>
      <w:szCs w:val="22"/>
    </w:rPr>
  </w:style>
  <w:style w:type="paragraph" w:styleId="674">
    <w:name w:val="Heading 8"/>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link w:val="674"/>
    <w:uiPriority w:val="9"/>
    <w:rPr>
      <w:rFonts w:ascii="Arial" w:hAnsi="Arial" w:eastAsia="Arial" w:cs="Arial"/>
      <w:i/>
      <w:iCs/>
      <w:sz w:val="22"/>
      <w:szCs w:val="22"/>
    </w:rPr>
  </w:style>
  <w:style w:type="paragraph" w:styleId="676">
    <w:name w:val="Heading 9"/>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link w:val="676"/>
    <w:uiPriority w:val="9"/>
    <w:rPr>
      <w:rFonts w:ascii="Arial" w:hAnsi="Arial" w:eastAsia="Arial" w:cs="Arial"/>
      <w:i/>
      <w:iCs/>
      <w:sz w:val="21"/>
      <w:szCs w:val="21"/>
    </w:rPr>
  </w:style>
  <w:style w:type="paragraph" w:styleId="678">
    <w:name w:val="List Paragraph"/>
    <w:uiPriority w:val="34"/>
    <w:qFormat/>
    <w:pPr>
      <w:contextualSpacing/>
      <w:ind w:left="720"/>
    </w:pPr>
  </w:style>
  <w:style w:type="paragraph" w:styleId="679">
    <w:name w:val="No Spacing"/>
    <w:uiPriority w:val="1"/>
    <w:qFormat/>
    <w:pPr>
      <w:spacing w:before="0" w:after="0" w:line="240" w:lineRule="auto"/>
    </w:pPr>
  </w:style>
  <w:style w:type="paragraph" w:styleId="680">
    <w:name w:val="Title"/>
    <w:link w:val="681"/>
    <w:uiPriority w:val="10"/>
    <w:qFormat/>
    <w:pPr>
      <w:contextualSpacing/>
      <w:spacing w:before="300" w:after="200"/>
    </w:pPr>
    <w:rPr>
      <w:sz w:val="48"/>
      <w:szCs w:val="48"/>
    </w:rPr>
  </w:style>
  <w:style w:type="character" w:styleId="681">
    <w:name w:val="Title Char"/>
    <w:link w:val="680"/>
    <w:uiPriority w:val="10"/>
    <w:rPr>
      <w:sz w:val="48"/>
      <w:szCs w:val="48"/>
    </w:rPr>
  </w:style>
  <w:style w:type="paragraph" w:styleId="682">
    <w:name w:val="Subtitle"/>
    <w:link w:val="683"/>
    <w:uiPriority w:val="11"/>
    <w:qFormat/>
    <w:pPr>
      <w:spacing w:before="200" w:after="200"/>
    </w:pPr>
    <w:rPr>
      <w:sz w:val="24"/>
      <w:szCs w:val="24"/>
    </w:rPr>
  </w:style>
  <w:style w:type="character" w:styleId="683">
    <w:name w:val="Subtitle Char"/>
    <w:link w:val="682"/>
    <w:uiPriority w:val="11"/>
    <w:rPr>
      <w:sz w:val="24"/>
      <w:szCs w:val="24"/>
    </w:rPr>
  </w:style>
  <w:style w:type="paragraph" w:styleId="684">
    <w:name w:val="Quote"/>
    <w:link w:val="685"/>
    <w:uiPriority w:val="29"/>
    <w:qFormat/>
    <w:pPr>
      <w:ind w:left="720" w:right="720"/>
    </w:pPr>
    <w:rPr>
      <w:i/>
    </w:rPr>
  </w:style>
  <w:style w:type="character" w:styleId="685">
    <w:name w:val="Quote Char"/>
    <w:link w:val="684"/>
    <w:uiPriority w:val="29"/>
    <w:rPr>
      <w:i/>
    </w:rPr>
  </w:style>
  <w:style w:type="paragraph" w:styleId="686">
    <w:name w:val="Intense Quote"/>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paragraph" w:styleId="688">
    <w:name w:val="Header"/>
    <w:link w:val="689"/>
    <w:uiPriority w:val="99"/>
    <w:unhideWhenUsed/>
    <w:pPr>
      <w:spacing w:after="0" w:line="240" w:lineRule="auto"/>
      <w:tabs>
        <w:tab w:val="center" w:pos="7143" w:leader="none"/>
        <w:tab w:val="right" w:pos="14287" w:leader="none"/>
      </w:tabs>
    </w:pPr>
  </w:style>
  <w:style w:type="character" w:styleId="689">
    <w:name w:val="Header Char"/>
    <w:link w:val="688"/>
    <w:uiPriority w:val="99"/>
  </w:style>
  <w:style w:type="paragraph" w:styleId="690">
    <w:name w:val="Footer"/>
    <w:link w:val="693"/>
    <w:uiPriority w:val="99"/>
    <w:unhideWhenUsed/>
    <w:pPr>
      <w:spacing w:after="0" w:line="240" w:lineRule="auto"/>
      <w:tabs>
        <w:tab w:val="center" w:pos="7143" w:leader="none"/>
        <w:tab w:val="right" w:pos="14287" w:leader="none"/>
      </w:tabs>
    </w:pPr>
  </w:style>
  <w:style w:type="character" w:styleId="691">
    <w:name w:val="Footer Char"/>
    <w:link w:val="690"/>
    <w:uiPriority w:val="99"/>
  </w:style>
  <w:style w:type="paragraph" w:styleId="692">
    <w:name w:val="Caption"/>
    <w:uiPriority w:val="35"/>
    <w:semiHidden/>
    <w:unhideWhenUsed/>
    <w:qFormat/>
    <w:pPr>
      <w:spacing w:line="276" w:lineRule="auto"/>
    </w:pPr>
    <w:rPr>
      <w:b/>
      <w:bCs/>
      <w:color w:val="4f81bd" w:themeColor="accent1"/>
      <w:sz w:val="18"/>
      <w:szCs w:val="18"/>
    </w:rPr>
  </w:style>
  <w:style w:type="character" w:styleId="693">
    <w:name w:val="Caption Char"/>
    <w:basedOn w:val="692"/>
    <w:link w:val="690"/>
    <w:uiPriority w:val="99"/>
  </w:style>
  <w:style w:type="table" w:styleId="6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uiPriority w:val="99"/>
    <w:unhideWhenUsed/>
    <w:rPr>
      <w:vertAlign w:val="superscript"/>
    </w:rPr>
  </w:style>
  <w:style w:type="paragraph" w:styleId="824">
    <w:name w:val="endnote text"/>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uiPriority w:val="99"/>
    <w:semiHidden/>
    <w:unhideWhenUsed/>
    <w:rPr>
      <w:vertAlign w:val="superscript"/>
    </w:rPr>
  </w:style>
  <w:style w:type="paragraph" w:styleId="827">
    <w:name w:val="toc 1"/>
    <w:uiPriority w:val="39"/>
    <w:unhideWhenUsed/>
    <w:pPr>
      <w:ind w:left="0" w:right="0" w:firstLine="0"/>
      <w:spacing w:after="57"/>
    </w:pPr>
  </w:style>
  <w:style w:type="paragraph" w:styleId="828">
    <w:name w:val="toc 2"/>
    <w:uiPriority w:val="39"/>
    <w:unhideWhenUsed/>
    <w:pPr>
      <w:ind w:left="283" w:right="0" w:firstLine="0"/>
      <w:spacing w:after="57"/>
    </w:pPr>
  </w:style>
  <w:style w:type="paragraph" w:styleId="829">
    <w:name w:val="toc 3"/>
    <w:uiPriority w:val="39"/>
    <w:unhideWhenUsed/>
    <w:pPr>
      <w:ind w:left="567" w:right="0" w:firstLine="0"/>
      <w:spacing w:after="57"/>
    </w:pPr>
  </w:style>
  <w:style w:type="paragraph" w:styleId="830">
    <w:name w:val="toc 4"/>
    <w:uiPriority w:val="39"/>
    <w:unhideWhenUsed/>
    <w:pPr>
      <w:ind w:left="850" w:right="0" w:firstLine="0"/>
      <w:spacing w:after="57"/>
    </w:pPr>
  </w:style>
  <w:style w:type="paragraph" w:styleId="831">
    <w:name w:val="toc 5"/>
    <w:uiPriority w:val="39"/>
    <w:unhideWhenUsed/>
    <w:pPr>
      <w:ind w:left="1134" w:right="0" w:firstLine="0"/>
      <w:spacing w:after="57"/>
    </w:pPr>
  </w:style>
  <w:style w:type="paragraph" w:styleId="832">
    <w:name w:val="toc 6"/>
    <w:uiPriority w:val="39"/>
    <w:unhideWhenUsed/>
    <w:pPr>
      <w:ind w:left="1417" w:right="0" w:firstLine="0"/>
      <w:spacing w:after="57"/>
    </w:pPr>
  </w:style>
  <w:style w:type="paragraph" w:styleId="833">
    <w:name w:val="toc 7"/>
    <w:uiPriority w:val="39"/>
    <w:unhideWhenUsed/>
    <w:pPr>
      <w:ind w:left="1701" w:right="0" w:firstLine="0"/>
      <w:spacing w:after="57"/>
    </w:pPr>
  </w:style>
  <w:style w:type="paragraph" w:styleId="834">
    <w:name w:val="toc 8"/>
    <w:uiPriority w:val="39"/>
    <w:unhideWhenUsed/>
    <w:pPr>
      <w:ind w:left="1984" w:right="0" w:firstLine="0"/>
      <w:spacing w:after="57"/>
    </w:pPr>
  </w:style>
  <w:style w:type="paragraph" w:styleId="835">
    <w:name w:val="toc 9"/>
    <w:uiPriority w:val="39"/>
    <w:unhideWhenUsed/>
    <w:pPr>
      <w:ind w:left="2268" w:right="0" w:firstLine="0"/>
      <w:spacing w:after="57"/>
    </w:pPr>
  </w:style>
  <w:style w:type="paragraph" w:styleId="836">
    <w:name w:val="TOC Heading"/>
    <w:uiPriority w:val="39"/>
    <w:unhideWhenUsed/>
  </w:style>
  <w:style w:type="paragraph" w:styleId="837">
    <w:name w:val="table of figures"/>
    <w:uiPriority w:val="99"/>
    <w:unhideWhenUsed/>
    <w:pPr>
      <w:spacing w:after="0" w:afterAutospacing="0"/>
    </w:pPr>
  </w:style>
  <w:style w:type="character" w:styleId="838" w:default="1">
    <w:name w:val="Default Paragraph Font"/>
    <w:uiPriority w:val="1"/>
    <w:semiHidden/>
    <w:unhideWhenUsed/>
  </w:style>
  <w:style w:type="numbering" w:styleId="839" w:default="1">
    <w:name w:val="No List"/>
    <w:uiPriority w:val="99"/>
    <w:semiHidden/>
    <w:unhideWhenUsed/>
  </w:style>
  <w:style w:type="paragraph" w:styleId="840" w:default="1">
    <w:name w:val="Normal"/>
    <w:qFormat/>
  </w:style>
  <w:style w:type="table" w:styleId="8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0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0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05"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1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1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陆群</cp:lastModifiedBy>
  <cp:revision>5</cp:revision>
  <dcterms:created xsi:type="dcterms:W3CDTF">2026-04-23T02:22:49Z</dcterms:created>
  <dcterms:modified xsi:type="dcterms:W3CDTF">2026-04-23T12:52:53Z</dcterms:modified>
</cp:coreProperties>
</file>