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760" w:lineRule="exact"/>
        <w:rPr>
          <w:rFonts w:hint="default"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 xml:space="preserve">项目名称: </w:t>
      </w:r>
      <w:r>
        <w:rPr>
          <w:rFonts w:hint="eastAsia" w:ascii="仿宋" w:hAnsi="仿宋" w:eastAsia="仿宋" w:cs="仿宋"/>
          <w:b/>
          <w:color w:val="auto"/>
          <w:spacing w:val="-6"/>
          <w:sz w:val="36"/>
          <w:szCs w:val="36"/>
          <w:highlight w:val="none"/>
          <w:lang w:val="en-US" w:eastAsia="zh-CN" w:bidi="ar-SA"/>
        </w:rPr>
        <w:t xml:space="preserve">淮安市清江浦区城南街道社区卫生服务中心 医疗设备采购项目</w:t>
      </w:r>
      <w:r/>
    </w:p>
    <w:p>
      <w:pPr>
        <w:ind w:firstLine="354"/>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76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265"/>
        <w:spacing w:line="760" w:lineRule="exact"/>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lang w:eastAsia="zh-CN"/>
        </w:rPr>
        <w:t xml:space="preserve">项目编号:JSZC-320812-HAWS-G2026-0004</w:t>
      </w:r>
      <w:r/>
    </w:p>
    <w:p>
      <w:pPr>
        <w:ind w:left="-359" w:firstLine="360"/>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600" w:lineRule="exact"/>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eastAsia="zh-CN"/>
        </w:rPr>
        <w:t xml:space="preserve">淮安万顺工程项目咨询管理有限公司</w:t>
      </w:r>
      <w:r/>
    </w:p>
    <w:p>
      <w:pPr>
        <w:jc w:val="center"/>
        <w:spacing w:line="6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600" w:lineRule="exact"/>
        <w:tabs>
          <w:tab w:val="center" w:pos="5215" w:leader="none"/>
        </w:tabs>
        <w:rPr>
          <w:rFonts w:hint="eastAsia" w:ascii="仿宋" w:hAnsi="仿宋" w:eastAsia="仿宋" w:cs="仿宋"/>
          <w:b/>
          <w:color w:val="auto"/>
          <w:sz w:val="36"/>
          <w:szCs w:val="36"/>
          <w:highlight w:val="none"/>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color w:val="auto"/>
          <w:sz w:val="36"/>
          <w:szCs w:val="36"/>
          <w:highlight w:val="none"/>
        </w:rPr>
        <w:t xml:space="preserve">二0二</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四</w:t>
      </w:r>
      <w:r>
        <w:rPr>
          <w:rFonts w:hint="eastAsia" w:ascii="仿宋" w:hAnsi="仿宋" w:eastAsia="仿宋" w:cs="仿宋"/>
          <w:b/>
          <w:color w:val="auto"/>
          <w:sz w:val="36"/>
          <w:szCs w:val="36"/>
          <w:highlight w:val="none"/>
        </w:rPr>
        <w:t xml:space="preserve">月</w:t>
      </w:r>
      <w:r/>
    </w:p>
    <w:p>
      <w:pPr>
        <w:jc w:val="center"/>
        <w:spacing w:line="520" w:lineRule="exact"/>
        <w:rPr>
          <w:rFonts w:hint="eastAsia" w:ascii="仿宋" w:hAnsi="仿宋" w:eastAsia="仿宋" w:cs="仿宋"/>
          <w:b/>
          <w:bCs/>
          <w:color w:val="auto"/>
          <w:sz w:val="48"/>
          <w:szCs w:val="48"/>
          <w:highlight w:val="none"/>
        </w:rPr>
      </w:pPr>
      <w:r>
        <w:rPr>
          <w:rFonts w:hint="eastAsia" w:ascii="仿宋" w:hAnsi="仿宋" w:eastAsia="仿宋" w:cs="仿宋"/>
          <w:b/>
          <w:bCs/>
          <w:color w:val="auto"/>
          <w:spacing w:val="-6"/>
          <w:sz w:val="48"/>
          <w:szCs w:val="48"/>
          <w:highlight w:val="none"/>
        </w:rPr>
        <w:t xml:space="preserve">总  目  </w:t>
      </w:r>
      <w:r>
        <w:rPr>
          <w:rFonts w:hint="eastAsia" w:ascii="仿宋" w:hAnsi="仿宋" w:eastAsia="仿宋" w:cs="仿宋"/>
          <w:b/>
          <w:bCs/>
          <w:color w:val="auto"/>
          <w:spacing w:val="-3"/>
          <w:sz w:val="48"/>
          <w:szCs w:val="48"/>
          <w:highlight w:val="none"/>
        </w:rPr>
        <w:t xml:space="preserve">录</w:t>
      </w:r>
      <w:r/>
    </w:p>
    <w:p>
      <w:pPr>
        <w:pStyle w:val="691"/>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249"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6"/>
        <w:tabs>
          <w:tab w:val="right" w:pos="8442"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"1-1" \h \u </w:instrText>
      </w:r>
      <w:r>
        <w:rPr>
          <w:rFonts w:hint="eastAsia" w:ascii="仿宋" w:hAnsi="仿宋" w:eastAsia="仿宋" w:cs="仿宋"/>
          <w:color w:val="auto"/>
          <w:highlight w:val="none"/>
        </w:rPr>
        <w:fldChar w:fldCharType="separate"/>
      </w:r>
      <w:r/>
    </w:p>
    <w:p>
      <w:pPr>
        <w:ind w:firstLine="1807"/>
        <w:spacing w:line="9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6"/>
          <w:highlight w:val="none"/>
        </w:rPr>
        <w:t xml:space="preserve">第一章  投标邀请 </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第二章  </w:t>
      </w:r>
      <w:r>
        <w:rPr>
          <w:rFonts w:hint="eastAsia" w:ascii="仿宋" w:hAnsi="仿宋" w:eastAsia="仿宋" w:cs="仿宋"/>
          <w:b/>
          <w:bCs/>
          <w:color w:val="auto"/>
          <w:sz w:val="36"/>
          <w:szCs w:val="36"/>
          <w:highlight w:val="none"/>
        </w:rPr>
        <w:t xml:space="preserve">投标人须知</w:t>
      </w:r>
      <w:r>
        <w:rPr>
          <w:rFonts w:hint="eastAsia" w:ascii="仿宋" w:hAnsi="仿宋" w:eastAsia="仿宋" w:cs="仿宋"/>
          <w:b/>
          <w:bCs/>
          <w:color w:val="auto"/>
          <w:sz w:val="36"/>
          <w:highlight w:val="none"/>
        </w:rPr>
        <w:t xml:space="preserve">  </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第三章  </w:t>
      </w:r>
      <w:r>
        <w:rPr>
          <w:rFonts w:hint="eastAsia" w:ascii="仿宋" w:hAnsi="仿宋" w:eastAsia="仿宋" w:cs="仿宋"/>
          <w:b/>
          <w:color w:val="auto"/>
          <w:sz w:val="36"/>
          <w:szCs w:val="36"/>
          <w:highlight w:val="none"/>
        </w:rPr>
        <w:t xml:space="preserve">评标标准</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第四章  </w:t>
      </w:r>
      <w:r>
        <w:rPr>
          <w:rFonts w:hint="eastAsia" w:ascii="仿宋" w:hAnsi="仿宋" w:eastAsia="仿宋" w:cs="仿宋"/>
          <w:b/>
          <w:color w:val="auto"/>
          <w:sz w:val="36"/>
          <w:szCs w:val="36"/>
          <w:highlight w:val="none"/>
        </w:rPr>
        <w:t xml:space="preserve">合同格式及条款</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第五章  </w:t>
      </w:r>
      <w:r>
        <w:rPr>
          <w:rFonts w:hint="eastAsia" w:ascii="仿宋" w:hAnsi="仿宋" w:eastAsia="仿宋" w:cs="仿宋"/>
          <w:b/>
          <w:bCs/>
          <w:color w:val="auto"/>
          <w:sz w:val="36"/>
          <w:szCs w:val="36"/>
          <w:highlight w:val="none"/>
        </w:rPr>
        <w:t xml:space="preserve">项目采购需求</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第六章  投标文件格式</w:t>
      </w:r>
      <w:r/>
    </w:p>
    <w:p>
      <w:pPr>
        <w:pStyle w:val="976"/>
        <w:tabs>
          <w:tab w:val="right" w:pos="8442" w:leader="dot"/>
        </w:tabs>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520" w:lineRule="exact"/>
        <w:rPr>
          <w:rFonts w:hint="eastAsia" w:ascii="仿宋" w:hAnsi="仿宋" w:eastAsia="仿宋" w:cs="仿宋"/>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highlight w:val="none"/>
        </w:rPr>
        <w:fldChar w:fldCharType="end"/>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第一章  投标邀请</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w:t>
      </w:r>
      <w:r>
        <w:rPr>
          <w:rFonts w:hint="eastAsia" w:ascii="仿宋" w:hAnsi="仿宋" w:eastAsia="仿宋" w:cs="仿宋"/>
          <w:b/>
          <w:bCs/>
          <w:color w:val="auto"/>
          <w:sz w:val="28"/>
          <w:highlight w:val="none"/>
          <w:lang w:eastAsia="zh-CN"/>
        </w:rPr>
        <w:t xml:space="preserve">淮安市清江浦区城南街道社区卫生服务中心</w:t>
      </w:r>
      <w:r>
        <w:rPr>
          <w:rFonts w:hint="eastAsia" w:ascii="仿宋" w:hAnsi="仿宋" w:eastAsia="仿宋" w:cs="仿宋"/>
          <w:color w:val="auto"/>
          <w:sz w:val="28"/>
          <w:highlight w:val="none"/>
        </w:rPr>
        <w:t xml:space="preserve">的委托，</w:t>
      </w:r>
      <w:r>
        <w:rPr>
          <w:rFonts w:hint="eastAsia" w:ascii="仿宋" w:hAnsi="仿宋" w:eastAsia="仿宋" w:cs="仿宋"/>
          <w:b/>
          <w:bCs/>
          <w:color w:val="auto"/>
          <w:sz w:val="28"/>
          <w:highlight w:val="none"/>
          <w:lang w:eastAsia="zh-CN"/>
        </w:rPr>
        <w:t xml:space="preserve">淮安万顺工程项目咨询管理有限公司</w:t>
      </w:r>
      <w:r>
        <w:rPr>
          <w:rFonts w:hint="eastAsia" w:ascii="仿宋" w:hAnsi="仿宋" w:eastAsia="仿宋" w:cs="仿宋"/>
          <w:color w:val="auto"/>
          <w:sz w:val="28"/>
          <w:highlight w:val="none"/>
        </w:rPr>
        <w:t xml:space="preserve">就</w:t>
      </w:r>
      <w:r>
        <w:rPr>
          <w:rFonts w:hint="eastAsia" w:ascii="仿宋" w:hAnsi="仿宋" w:eastAsia="仿宋" w:cs="仿宋"/>
          <w:b/>
          <w:bCs/>
          <w:color w:val="auto"/>
          <w:sz w:val="28"/>
          <w:highlight w:val="none"/>
          <w:lang w:eastAsia="zh-CN"/>
        </w:rPr>
        <w:t xml:space="preserve">淮安市清江浦区城南街道社区卫生服务中心医疗设备采购项目</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-33655</wp:posOffset>
                </wp:positionH>
                <wp:positionV relativeFrom="paragraph">
                  <wp:posOffset>38100</wp:posOffset>
                </wp:positionV>
                <wp:extent cx="5831205" cy="1642110"/>
                <wp:effectExtent l="4445" t="4445" r="12700" b="10795"/>
                <wp:wrapNone/>
                <wp:docPr id="2" name="矩形 1"/>
                <wp:cNvGraphicFramePr/>
                <a:graphic xmlns:a="http://schemas.openxmlformats.org/drawingml/2006/main">
                  <a:graphicData uri="http://schemas.microsoft.com/office/word/2010/wordprocessingShape">
                    <wps:wsp>
                      <wps:cNvPr id="0" name=""/>
                      <wps:cNvSpPr/>
                      <wps:spPr bwMode="auto">
                        <a:xfrm>
                          <a:off x="0" y="0"/>
                          <a:ext cx="5831205" cy="1642110"/>
                        </a:xfrm>
                        <a:prstGeom prst="rect">
                          <a:avLst/>
                        </a:prstGeom>
                        <a:solidFill>
                          <a:srgbClr val="FFFFFF"/>
                        </a:solidFill>
                        <a:ln>
                          <a:solidFill>
                            <a:srgbClr val="000000"/>
                          </a:solidFill>
                        </a:ln>
                      </wps:spPr>
                      <wps:txbx>
                        <w:txbxContent>
                          <w:p>
                            <w:pPr>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u w:val="single"/>
                                <w:lang w:eastAsia="zh-CN"/>
                              </w:rPr>
                              <w:t xml:space="preserve">淮安市清江浦区城南街道社区卫生服务中心医疗设备采购项目</w:t>
                            </w:r>
                            <w:r>
                              <w:rPr>
                                <w:rFonts w:hint="eastAsia" w:ascii="仿宋" w:hAnsi="仿宋" w:eastAsia="仿宋"/>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 xml:space="preserve">http://czj.huaian.gov.cn/col/13924_326175/index.html</w:t>
                            </w:r>
                            <w:r>
                              <w:rPr>
                                <w:rFonts w:hint="eastAsia" w:ascii="仿宋" w:hAnsi="仿宋" w:eastAsia="仿宋"/>
                                <w:sz w:val="28"/>
                                <w:szCs w:val="28"/>
                              </w:rPr>
                              <w:t xml:space="preserve">）</w:t>
                            </w:r>
                            <w:r>
                              <w:rPr>
                                <w:rStyle w:val="731"/>
                                <w:rFonts w:hint="eastAsia" w:ascii="仿宋" w:hAnsi="仿宋" w:eastAsia="仿宋"/>
                                <w:color w:val="auto"/>
                                <w:sz w:val="28"/>
                                <w:szCs w:val="28"/>
                              </w:rPr>
                              <w:t xml:space="preserve">自行免费下载招标文件，并于202</w:t>
                            </w:r>
                            <w:r>
                              <w:rPr>
                                <w:rStyle w:val="731"/>
                                <w:rFonts w:hint="eastAsia" w:ascii="仿宋" w:hAnsi="仿宋" w:eastAsia="仿宋"/>
                                <w:color w:val="auto"/>
                                <w:sz w:val="28"/>
                                <w:szCs w:val="28"/>
                                <w:lang w:val="en-US" w:eastAsia="zh-CN"/>
                              </w:rPr>
                              <w:t xml:space="preserve">6</w:t>
                            </w:r>
                            <w:r>
                              <w:rPr>
                                <w:rStyle w:val="731"/>
                                <w:rFonts w:hint="eastAsia" w:ascii="仿宋" w:hAnsi="仿宋" w:eastAsia="仿宋"/>
                                <w:color w:val="auto"/>
                                <w:sz w:val="28"/>
                                <w:szCs w:val="28"/>
                              </w:rPr>
                              <w:t xml:space="preserve">年</w:t>
                            </w:r>
                            <w:r>
                              <w:rPr>
                                <w:rStyle w:val="731"/>
                                <w:rFonts w:hint="eastAsia" w:ascii="仿宋" w:hAnsi="仿宋" w:eastAsia="仿宋"/>
                                <w:color w:val="auto"/>
                                <w:sz w:val="28"/>
                                <w:szCs w:val="28"/>
                              </w:rPr>
                              <w:fldChar w:fldCharType="end"/>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上午9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2.6pt;mso-position-horizontal:absolute;mso-position-vertical-relative:text;margin-top:3.0pt;mso-position-vertical:absolute;width:459.1pt;height:129.3pt;mso-wrap-distance-left:9.0pt;mso-wrap-distance-top:0.0pt;mso-wrap-distance-right:9.0pt;mso-wrap-distance-bottom:0.0pt;visibility:visible;" fillcolor="#FFFFFF" strokecolor="#000000">
                <v:textbox inset="0,0,0,0">
                  <w:txbxContent>
                    <w:p>
                      <w:pPr>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u w:val="single"/>
                          <w:lang w:eastAsia="zh-CN"/>
                        </w:rPr>
                        <w:t xml:space="preserve">淮安市清江浦区城南街道社区卫生服务中心医疗设备采购项目</w:t>
                      </w:r>
                      <w:r>
                        <w:rPr>
                          <w:rFonts w:hint="eastAsia" w:ascii="仿宋" w:hAnsi="仿宋" w:eastAsia="仿宋"/>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 xml:space="preserve">http://czj.huaian.gov.cn/col/13924_326175/index.html</w:t>
                      </w:r>
                      <w:r>
                        <w:rPr>
                          <w:rFonts w:hint="eastAsia" w:ascii="仿宋" w:hAnsi="仿宋" w:eastAsia="仿宋"/>
                          <w:sz w:val="28"/>
                          <w:szCs w:val="28"/>
                        </w:rPr>
                        <w:t xml:space="preserve">）</w:t>
                      </w:r>
                      <w:r>
                        <w:rPr>
                          <w:rStyle w:val="731"/>
                          <w:rFonts w:hint="eastAsia" w:ascii="仿宋" w:hAnsi="仿宋" w:eastAsia="仿宋"/>
                          <w:color w:val="auto"/>
                          <w:sz w:val="28"/>
                          <w:szCs w:val="28"/>
                        </w:rPr>
                        <w:t xml:space="preserve">自行免费下载招标文件，并于202</w:t>
                      </w:r>
                      <w:r>
                        <w:rPr>
                          <w:rStyle w:val="731"/>
                          <w:rFonts w:hint="eastAsia" w:ascii="仿宋" w:hAnsi="仿宋" w:eastAsia="仿宋"/>
                          <w:color w:val="auto"/>
                          <w:sz w:val="28"/>
                          <w:szCs w:val="28"/>
                          <w:lang w:val="en-US" w:eastAsia="zh-CN"/>
                        </w:rPr>
                        <w:t xml:space="preserve">6</w:t>
                      </w:r>
                      <w:r>
                        <w:rPr>
                          <w:rStyle w:val="731"/>
                          <w:rFonts w:hint="eastAsia" w:ascii="仿宋" w:hAnsi="仿宋" w:eastAsia="仿宋"/>
                          <w:color w:val="auto"/>
                          <w:sz w:val="28"/>
                          <w:szCs w:val="28"/>
                        </w:rPr>
                        <w:t xml:space="preserve">年</w:t>
                      </w:r>
                      <w:r>
                        <w:rPr>
                          <w:rStyle w:val="731"/>
                          <w:rFonts w:hint="eastAsia" w:ascii="仿宋" w:hAnsi="仿宋" w:eastAsia="仿宋"/>
                          <w:color w:val="auto"/>
                          <w:sz w:val="28"/>
                          <w:szCs w:val="28"/>
                        </w:rPr>
                        <w:fldChar w:fldCharType="end"/>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上午9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一、项目基本情况</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szCs w:val="28"/>
          <w:highlight w:val="none"/>
          <w:lang w:eastAsia="zh-CN"/>
        </w:rPr>
        <w:t xml:space="preserve">项目编号:JSZC-320812-HAWS-G2026-0004</w:t>
      </w:r>
      <w:r/>
    </w:p>
    <w:p>
      <w:pPr>
        <w:ind w:firstLine="565"/>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color w:val="auto"/>
          <w:sz w:val="28"/>
          <w:szCs w:val="28"/>
          <w:highlight w:val="none"/>
          <w:lang w:eastAsia="zh-CN"/>
        </w:rPr>
        <w:t xml:space="preserve">淮安市清江浦区城南街道社区卫生服务中心医疗设备采购项目</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（三）预算金额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271.8万元（其中包一：慢病筛防中心设备采购 76万元；包二：眼科设备采购80.9万元；包三：口腔颌面锥形束计算机体层摄影设备(口腔CT)采购35万元；包四：乳腺钼靶(DR)采购79.9万元）。</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（四）最高限价:</w:t>
      </w:r>
      <w:r>
        <w:rPr>
          <w:rFonts w:hint="eastAsia" w:ascii="仿宋" w:hAnsi="仿宋" w:eastAsia="仿宋" w:cs="仿宋"/>
          <w:color w:val="auto"/>
          <w:sz w:val="28"/>
          <w:szCs w:val="28"/>
          <w:highlight w:val="none"/>
          <w:lang w:val="en-US" w:eastAsia="zh-CN"/>
        </w:rPr>
        <w:t xml:space="preserve">271.8万元（其中包一：慢病筛防中心设备采购 76万元；包二：眼科设备采购80.9万元；包三：口腔颌面锥形束计算机体层摄影设备(口腔CT)采购35万元；包四：乳腺钼靶(DR)采购79.9万元）。</w:t>
      </w:r>
      <w:r/>
    </w:p>
    <w:p>
      <w:pPr>
        <w:ind w:firstLine="565"/>
        <w:spacing w:line="50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eastAsia="zh-CN"/>
        </w:rPr>
        <w:t xml:space="preserve">（五）采购需求:</w:t>
      </w:r>
      <w:r>
        <w:rPr>
          <w:rFonts w:hint="eastAsia" w:ascii="仿宋" w:hAnsi="仿宋" w:eastAsia="仿宋" w:cs="仿宋"/>
          <w:color w:val="auto"/>
          <w:sz w:val="28"/>
          <w:szCs w:val="28"/>
          <w:highlight w:val="none"/>
          <w:lang w:val="en-US" w:eastAsia="zh-CN"/>
        </w:rPr>
        <w:t xml:space="preserve">淮安市清江浦区城南街道社区卫生服务中心医疗设备采购项目。</w:t>
      </w:r>
      <w:r>
        <w:rPr>
          <w:rFonts w:hint="default" w:ascii="仿宋" w:hAnsi="仿宋" w:eastAsia="仿宋" w:cs="仿宋"/>
          <w:b/>
          <w:bCs/>
          <w:color w:val="auto"/>
          <w:sz w:val="28"/>
          <w:szCs w:val="28"/>
          <w:highlight w:val="none"/>
          <w:lang w:val="en-US" w:eastAsia="zh-CN"/>
        </w:rPr>
        <w:t xml:space="preserve">投标人</w:t>
      </w:r>
      <w:r>
        <w:rPr>
          <w:rFonts w:hint="eastAsia" w:ascii="仿宋" w:hAnsi="仿宋" w:eastAsia="仿宋" w:cs="仿宋"/>
          <w:b/>
          <w:bCs/>
          <w:color w:val="auto"/>
          <w:sz w:val="28"/>
          <w:szCs w:val="28"/>
          <w:highlight w:val="none"/>
          <w:lang w:val="en-US" w:eastAsia="zh-CN"/>
        </w:rPr>
        <w:t xml:space="preserve">可以</w:t>
      </w:r>
      <w:r>
        <w:rPr>
          <w:rFonts w:hint="default" w:ascii="仿宋" w:hAnsi="仿宋" w:eastAsia="仿宋" w:cs="仿宋"/>
          <w:b/>
          <w:bCs/>
          <w:color w:val="auto"/>
          <w:sz w:val="28"/>
          <w:szCs w:val="28"/>
          <w:highlight w:val="none"/>
          <w:lang w:val="en-US" w:eastAsia="zh-CN"/>
        </w:rPr>
        <w:t xml:space="preserve">兼投多个包，</w:t>
      </w:r>
      <w:r>
        <w:rPr>
          <w:rFonts w:hint="eastAsia" w:ascii="仿宋" w:hAnsi="仿宋" w:eastAsia="仿宋" w:cs="仿宋"/>
          <w:b/>
          <w:bCs/>
          <w:color w:val="auto"/>
          <w:sz w:val="28"/>
          <w:szCs w:val="28"/>
          <w:highlight w:val="none"/>
          <w:lang w:val="en-US" w:eastAsia="zh-CN"/>
        </w:rPr>
        <w:t xml:space="preserve">但每个</w:t>
      </w:r>
      <w:r>
        <w:rPr>
          <w:rFonts w:hint="default" w:ascii="仿宋" w:hAnsi="仿宋" w:eastAsia="仿宋" w:cs="仿宋"/>
          <w:b/>
          <w:bCs/>
          <w:color w:val="auto"/>
          <w:sz w:val="28"/>
          <w:szCs w:val="28"/>
          <w:highlight w:val="none"/>
          <w:lang w:val="en-US" w:eastAsia="zh-CN"/>
        </w:rPr>
        <w:t xml:space="preserve">投标人</w:t>
      </w:r>
      <w:r>
        <w:rPr>
          <w:rFonts w:hint="eastAsia" w:ascii="仿宋" w:hAnsi="仿宋" w:eastAsia="仿宋" w:cs="仿宋"/>
          <w:b/>
          <w:bCs/>
          <w:color w:val="auto"/>
          <w:sz w:val="28"/>
          <w:szCs w:val="28"/>
          <w:highlight w:val="none"/>
          <w:lang w:val="en-US" w:eastAsia="zh-CN"/>
        </w:rPr>
        <w:t xml:space="preserve">只能中标一个采购包。</w:t>
      </w:r>
      <w:r>
        <w:rPr>
          <w:rFonts w:hint="default" w:ascii="仿宋" w:hAnsi="仿宋" w:eastAsia="仿宋" w:cs="仿宋"/>
          <w:b/>
          <w:bCs/>
          <w:color w:val="auto"/>
          <w:sz w:val="28"/>
          <w:szCs w:val="28"/>
          <w:highlight w:val="none"/>
          <w:lang w:val="en-US" w:eastAsia="zh-CN"/>
        </w:rPr>
        <w:t xml:space="preserve">投标人兼投多个包</w:t>
      </w:r>
      <w:r>
        <w:rPr>
          <w:rFonts w:hint="eastAsia" w:ascii="仿宋" w:hAnsi="仿宋" w:eastAsia="仿宋" w:cs="仿宋"/>
          <w:b/>
          <w:bCs/>
          <w:color w:val="auto"/>
          <w:sz w:val="28"/>
          <w:szCs w:val="28"/>
          <w:highlight w:val="none"/>
          <w:lang w:val="en-US" w:eastAsia="zh-CN"/>
        </w:rPr>
        <w:t xml:space="preserve">，</w:t>
      </w:r>
      <w:r>
        <w:rPr>
          <w:rFonts w:hint="default" w:ascii="仿宋" w:hAnsi="仿宋" w:eastAsia="仿宋" w:cs="仿宋"/>
          <w:b/>
          <w:bCs/>
          <w:color w:val="auto"/>
          <w:sz w:val="28"/>
          <w:szCs w:val="28"/>
          <w:highlight w:val="none"/>
          <w:lang w:val="en-US" w:eastAsia="zh-CN"/>
        </w:rPr>
        <w:t xml:space="preserve">投标人</w:t>
      </w:r>
      <w:r>
        <w:rPr>
          <w:rFonts w:hint="eastAsia" w:ascii="仿宋" w:hAnsi="仿宋" w:eastAsia="仿宋" w:cs="仿宋"/>
          <w:b/>
          <w:bCs/>
          <w:color w:val="auto"/>
          <w:sz w:val="28"/>
          <w:szCs w:val="28"/>
          <w:highlight w:val="none"/>
          <w:lang w:val="en-US" w:eastAsia="zh-CN"/>
        </w:rPr>
        <w:t xml:space="preserve">应按包上传电子投标文件，</w:t>
      </w:r>
      <w:r>
        <w:rPr>
          <w:rFonts w:hint="default" w:ascii="仿宋" w:hAnsi="仿宋" w:eastAsia="仿宋" w:cs="仿宋"/>
          <w:b/>
          <w:bCs/>
          <w:color w:val="auto"/>
          <w:sz w:val="28"/>
          <w:szCs w:val="28"/>
          <w:highlight w:val="none"/>
          <w:lang w:val="en-US" w:eastAsia="zh-CN"/>
        </w:rPr>
        <w:t xml:space="preserve">不得将两个</w:t>
      </w:r>
      <w:r>
        <w:rPr>
          <w:rFonts w:hint="eastAsia" w:ascii="仿宋" w:hAnsi="仿宋" w:eastAsia="仿宋" w:cs="仿宋"/>
          <w:b/>
          <w:bCs/>
          <w:color w:val="auto"/>
          <w:sz w:val="28"/>
          <w:szCs w:val="28"/>
          <w:highlight w:val="none"/>
          <w:lang w:val="en-US" w:eastAsia="zh-CN"/>
        </w:rPr>
        <w:t xml:space="preserve">或多个</w:t>
      </w:r>
      <w:r>
        <w:rPr>
          <w:rFonts w:hint="default" w:ascii="仿宋" w:hAnsi="仿宋" w:eastAsia="仿宋" w:cs="仿宋"/>
          <w:b/>
          <w:bCs/>
          <w:color w:val="auto"/>
          <w:sz w:val="28"/>
          <w:szCs w:val="28"/>
          <w:highlight w:val="none"/>
          <w:lang w:val="en-US" w:eastAsia="zh-CN"/>
        </w:rPr>
        <w:t xml:space="preserve">包的投标文件上传在同一个电子投标文件中</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具体内容见招标文件第四章“项目采购需求”。</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（六）合同履行期限: </w:t>
      </w:r>
      <w:r>
        <w:rPr>
          <w:rFonts w:hint="eastAsia" w:ascii="仿宋" w:hAnsi="仿宋" w:eastAsia="仿宋" w:cs="仿宋"/>
          <w:color w:val="auto"/>
          <w:sz w:val="28"/>
          <w:szCs w:val="28"/>
          <w:highlight w:val="none"/>
          <w:lang w:val="en-US" w:eastAsia="zh-CN"/>
        </w:rPr>
        <w:t xml:space="preserve">合同签订之日起30天内完成供货并安装调试到位。</w:t>
      </w:r>
      <w:r>
        <w:rPr>
          <w:rFonts w:hint="eastAsia" w:ascii="仿宋" w:hAnsi="仿宋" w:eastAsia="仿宋" w:cs="仿宋"/>
          <w:color w:val="auto"/>
          <w:sz w:val="28"/>
          <w:szCs w:val="28"/>
          <w:highlight w:val="none"/>
          <w:lang w:eastAsia="zh-CN"/>
        </w:rPr>
        <w:t xml:space="preserve">  </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（七）本项目（□是☑否）接受联合体投标。</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（八）本项目采购标的对应的中小企业划分标准所属行业为</w:t>
      </w:r>
      <w:r>
        <w:rPr>
          <w:rFonts w:hint="eastAsia" w:ascii="仿宋" w:hAnsi="仿宋" w:eastAsia="仿宋" w:cs="仿宋"/>
          <w:color w:val="auto"/>
          <w:sz w:val="28"/>
          <w:szCs w:val="28"/>
          <w:highlight w:val="none"/>
          <w:u w:val="single"/>
          <w:lang w:eastAsia="zh-CN"/>
        </w:rPr>
        <w:t xml:space="preserve">工业</w:t>
      </w:r>
      <w:r>
        <w:rPr>
          <w:rFonts w:hint="eastAsia" w:ascii="仿宋" w:hAnsi="仿宋" w:eastAsia="仿宋" w:cs="仿宋"/>
          <w:color w:val="auto"/>
          <w:sz w:val="28"/>
          <w:szCs w:val="28"/>
          <w:highlight w:val="none"/>
          <w:lang w:eastAsia="zh-CN"/>
        </w:rPr>
        <w:t xml:space="preserve">。</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二、申请人的资格要求:</w:t>
      </w:r>
      <w:r>
        <w:rPr>
          <w:rFonts w:hint="eastAsia" w:ascii="仿宋" w:hAnsi="仿宋" w:eastAsia="仿宋" w:cs="仿宋"/>
          <w:b/>
          <w:bCs/>
          <w:color w:val="auto"/>
          <w:sz w:val="28"/>
          <w:szCs w:val="28"/>
          <w:highlight w:val="none"/>
        </w:rPr>
        <w:t xml:space="preserve">(各采购包均适用）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left="559"/>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1、本项目为专门面向中小企业采购的项目。</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 xml:space="preserve">。</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firstLine="56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（三）</w:t>
      </w:r>
      <w:r>
        <w:rPr>
          <w:rFonts w:hint="eastAsia" w:ascii="仿宋" w:hAnsi="仿宋" w:eastAsia="仿宋" w:cs="仿宋"/>
          <w:b/>
          <w:bCs/>
          <w:color w:val="auto"/>
          <w:sz w:val="28"/>
          <w:szCs w:val="28"/>
          <w:highlight w:val="none"/>
        </w:rPr>
        <w:t xml:space="preserve">本项目的特定资格要求:</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1.投标人</w:t>
      </w:r>
      <w:r>
        <w:rPr>
          <w:rFonts w:hint="eastAsia" w:ascii="仿宋" w:hAnsi="仿宋" w:eastAsia="仿宋" w:cs="仿宋"/>
          <w:color w:val="auto"/>
          <w:sz w:val="28"/>
          <w:szCs w:val="28"/>
          <w:highlight w:val="none"/>
          <w:lang w:val="zh-CN"/>
        </w:rPr>
        <w:t xml:space="preserve">所投医疗器械产品必须要有有效期内的</w:t>
      </w:r>
      <w:r>
        <w:rPr>
          <w:rFonts w:hint="eastAsia" w:ascii="仿宋" w:hAnsi="仿宋" w:eastAsia="仿宋" w:cs="Times New Roman"/>
          <w:color w:val="auto"/>
          <w:sz w:val="28"/>
          <w:szCs w:val="28"/>
          <w:highlight w:val="none"/>
          <w:lang w:val="zh-CN"/>
        </w:rPr>
        <w:t xml:space="preserve">《医疗器械产品注册证》</w:t>
      </w:r>
      <w:r>
        <w:rPr>
          <w:rFonts w:hint="eastAsia" w:ascii="仿宋" w:hAnsi="仿宋" w:eastAsia="仿宋" w:cs="仿宋"/>
          <w:color w:val="auto"/>
          <w:sz w:val="28"/>
          <w:szCs w:val="28"/>
          <w:highlight w:val="none"/>
          <w:lang w:val="zh-CN"/>
        </w:rPr>
        <w:t xml:space="preserve">；</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2.投标人若为医疗器械设备制造商须提供有效期内的</w:t>
      </w:r>
      <w:r>
        <w:rPr>
          <w:rFonts w:hint="eastAsia" w:ascii="仿宋" w:hAnsi="仿宋" w:eastAsia="仿宋" w:cs="Times New Roman"/>
          <w:color w:val="auto"/>
          <w:sz w:val="28"/>
          <w:szCs w:val="28"/>
          <w:highlight w:val="none"/>
        </w:rPr>
        <w:t xml:space="preserve">《医疗器械生产许可证》</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zh-CN"/>
        </w:rPr>
        <w:t xml:space="preserve">如所投医疗器械产品非自己制造，</w:t>
      </w:r>
      <w:r>
        <w:rPr>
          <w:rFonts w:hint="eastAsia" w:ascii="仿宋" w:hAnsi="仿宋" w:eastAsia="仿宋" w:cs="Times New Roman"/>
          <w:color w:val="auto"/>
          <w:sz w:val="28"/>
          <w:szCs w:val="28"/>
          <w:highlight w:val="none"/>
        </w:rPr>
        <w:t xml:space="preserve">须提供食品药品监督管理部门核发的</w:t>
      </w:r>
      <w:r>
        <w:rPr>
          <w:rFonts w:hint="eastAsia" w:ascii="仿宋" w:hAnsi="仿宋" w:eastAsia="仿宋" w:cs="仿宋"/>
          <w:color w:val="auto"/>
          <w:sz w:val="28"/>
          <w:szCs w:val="28"/>
          <w:highlight w:val="none"/>
          <w:lang w:val="zh-CN"/>
        </w:rPr>
        <w:t xml:space="preserve">有效期内的</w:t>
      </w:r>
      <w:r>
        <w:rPr>
          <w:rFonts w:hint="eastAsia" w:ascii="仿宋" w:hAnsi="仿宋" w:eastAsia="仿宋" w:cs="Times New Roman"/>
          <w:color w:val="auto"/>
          <w:sz w:val="28"/>
          <w:szCs w:val="28"/>
          <w:highlight w:val="none"/>
        </w:rPr>
        <w:t xml:space="preserve">《医疗器械经营许可证》或《医疗器械经营备案凭证》</w:t>
      </w:r>
      <w:r>
        <w:rPr>
          <w:rFonts w:hint="eastAsia" w:ascii="仿宋" w:hAnsi="仿宋" w:eastAsia="仿宋" w:cs="仿宋"/>
          <w:color w:val="auto"/>
          <w:sz w:val="28"/>
          <w:szCs w:val="28"/>
          <w:highlight w:val="none"/>
          <w:lang w:val="en-US" w:eastAsia="zh-CN"/>
        </w:rPr>
        <w:t xml:space="preserve">；</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三、获取招标文件</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（一）时间:自本招标公告发布之日起五个工作日。</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（二）方式：在“淮安市政府采购网”自行免费下载招标文件。</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四、提交投标文件截止时间、开标时间和地点</w:t>
      </w:r>
      <w:r/>
    </w:p>
    <w:p>
      <w:pPr>
        <w:ind w:firstLine="56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（一）投标文件提交截止时间及开标时间:202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上午9</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30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（二）投标文件上传地址：“苏采云”政府采购交易系统网上开标大厅。</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五、公告期限</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六、其他补充事宜</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七、对本次采购提出询问，请按以下方式联系。</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1、采购人联系方式</w:t>
      </w:r>
      <w:r/>
    </w:p>
    <w:p>
      <w:pPr>
        <w:ind w:firstLine="560"/>
        <w:spacing w:line="5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名称:</w:t>
      </w:r>
      <w:r>
        <w:rPr>
          <w:rFonts w:hint="eastAsia" w:ascii="仿宋" w:hAnsi="仿宋" w:eastAsia="仿宋" w:cs="仿宋"/>
          <w:bCs/>
          <w:color w:val="auto"/>
          <w:sz w:val="28"/>
          <w:szCs w:val="28"/>
          <w:highlight w:val="none"/>
          <w:lang w:eastAsia="zh-CN"/>
        </w:rPr>
        <w:t xml:space="preserve">淮安市清江浦区城南街道社区卫生服务中心</w:t>
      </w:r>
      <w:r/>
    </w:p>
    <w:p>
      <w:pPr>
        <w:ind w:firstLine="565"/>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地址：清江浦区城南街道关城社区服务中心北侧（枚乘路）</w:t>
      </w:r>
      <w:r/>
    </w:p>
    <w:p>
      <w:pPr>
        <w:ind w:firstLine="565"/>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联系人：吕主任       联系电话：0517-89221201 </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淮安万顺工程项目咨询管理有限公司</w:t>
      </w:r>
      <w:r/>
    </w:p>
    <w:p>
      <w:pPr>
        <w:ind w:firstLine="565"/>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地址：淮安市淮阴区淮海北路668号曼度广场B座7楼</w:t>
      </w:r>
      <w:r/>
    </w:p>
    <w:p>
      <w:pPr>
        <w:ind w:firstLine="565"/>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联系方式：葛工</w:t>
      </w:r>
      <w:r/>
    </w:p>
    <w:p>
      <w:pPr>
        <w:ind w:firstLine="565"/>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联系电话：15861726668</w:t>
      </w:r>
      <w:r/>
    </w:p>
    <w:p>
      <w:pPr>
        <w:ind w:firstLine="565"/>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八、其他</w:t>
      </w:r>
      <w:r/>
    </w:p>
    <w:p>
      <w:pPr>
        <w:ind w:firstLine="56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有关本次招标的事项若存在变动或修改，敬请及时关注</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在“淮安市政府采购网”发布的更正公告。</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本次招标不收取投标保证金。</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 投标人应自行承担所有与参加投标有关的费用。不论投标的结果如何，</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在任何情况下均无义务和责任承担这些费用。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代理费计取标准：按苏招协〔2022〕002号江苏省招标代理服务收费的指导意见计取。因此各供应商在报价时必须将咨询费用包含在磋商报价中，不需单独列项计取。</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 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 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评标方法与评标标准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 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 任何要求对招标文件进行澄清的投标人，均应在投标截止时间十日前通过以书面形式并加盖公章通知采购人，采购人对投标截止时间前十日收到的任何澄清要求将以书面形式予以答复。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在投标截止时间十五日前，采购人可主动或在解答投标人提出的澄清问题时对招标文件用更正公告的方式进行修正。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 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7.3为使投标人有足够的时间按招标文件的更正要求修正投标文件，采购人有权按照相关法定的要求推迟投标截止时间和开标日期。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513029214"/>
      <w:r/>
      <w:bookmarkStart w:id="1" w:name="_Toc20823286"/>
      <w:r/>
      <w:bookmarkStart w:id="2" w:name="_Toc16938530"/>
      <w:r/>
      <w:bookmarkStart w:id="3" w:name="_Toc462564073"/>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投标人提交的投标文件以及投标人与采购人或</w:t>
      </w:r>
      <w:r>
        <w:rPr>
          <w:rFonts w:hint="eastAsia" w:ascii="仿宋" w:hAnsi="仿宋" w:eastAsia="仿宋" w:cs="仿宋"/>
          <w:color w:val="auto"/>
          <w:sz w:val="28"/>
          <w:szCs w:val="28"/>
          <w:highlight w:val="none"/>
          <w:lang w:val="en-US" w:eastAsia="zh-CN"/>
        </w:rPr>
        <w:t xml:space="preserve">采购代理机构</w:t>
      </w:r>
      <w:r>
        <w:rPr>
          <w:rFonts w:hint="eastAsia" w:ascii="仿宋" w:hAnsi="仿宋" w:eastAsia="仿宋" w:cs="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firstLine="560"/>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11.1</w:t>
      </w:r>
      <w:r>
        <w:rPr>
          <w:rFonts w:hint="eastAsia" w:ascii="仿宋" w:hAnsi="仿宋" w:eastAsia="仿宋" w:cs="仿宋"/>
          <w:b/>
          <w:bCs/>
          <w:color w:val="auto"/>
          <w:sz w:val="28"/>
          <w:szCs w:val="28"/>
          <w:highlight w:val="none"/>
          <w:lang w:val="en-US" w:eastAsia="zh-CN"/>
        </w:rPr>
        <w:t xml:space="preserve">（包一、二适用）本项目采用总承包方式，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等，以及与本项目有关的所有费用。</w:t>
      </w:r>
      <w:r>
        <w:rPr>
          <w:rFonts w:hint="eastAsia" w:ascii="仿宋" w:hAnsi="仿宋" w:eastAsia="仿宋" w:cs="仿宋"/>
          <w:b/>
          <w:bCs/>
          <w:color w:val="auto"/>
          <w:sz w:val="28"/>
          <w:szCs w:val="28"/>
          <w:highlight w:val="none"/>
          <w:lang w:val="zh-CN" w:eastAsia="zh-CN"/>
        </w:rPr>
        <w:t xml:space="preserve">投标人所报总价</w:t>
      </w:r>
      <w:r>
        <w:rPr>
          <w:rFonts w:hint="eastAsia" w:ascii="仿宋" w:hAnsi="仿宋" w:eastAsia="仿宋" w:cs="仿宋"/>
          <w:b/>
          <w:bCs/>
          <w:color w:val="auto"/>
          <w:sz w:val="28"/>
          <w:szCs w:val="28"/>
          <w:highlight w:val="none"/>
          <w:lang w:val="en-US" w:eastAsia="zh-CN"/>
        </w:rPr>
        <w:t xml:space="preserve">不得超过本项目的最高限价，超过最高限价的作为无效投标文件处理。</w:t>
      </w:r>
      <w:r/>
    </w:p>
    <w:p>
      <w:pPr>
        <w:ind w:firstLine="560"/>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包三适用）本项目采用总承包方式，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机房防护改造、辐射检测等，以及与本项目有关的所有费用。</w:t>
      </w:r>
      <w:r>
        <w:rPr>
          <w:rFonts w:hint="eastAsia" w:ascii="仿宋" w:hAnsi="仿宋" w:eastAsia="仿宋" w:cs="仿宋"/>
          <w:b/>
          <w:bCs/>
          <w:color w:val="auto"/>
          <w:sz w:val="28"/>
          <w:szCs w:val="28"/>
          <w:highlight w:val="none"/>
          <w:lang w:val="zh-CN" w:eastAsia="zh-CN"/>
        </w:rPr>
        <w:t xml:space="preserve">投标人所报总价</w:t>
      </w:r>
      <w:r>
        <w:rPr>
          <w:rFonts w:hint="eastAsia" w:ascii="仿宋" w:hAnsi="仿宋" w:eastAsia="仿宋" w:cs="仿宋"/>
          <w:b/>
          <w:bCs/>
          <w:color w:val="auto"/>
          <w:sz w:val="28"/>
          <w:szCs w:val="28"/>
          <w:highlight w:val="none"/>
          <w:lang w:val="en-US" w:eastAsia="zh-CN"/>
        </w:rPr>
        <w:t xml:space="preserve">不得超过本项目的最高限价，超过最高限价的作为无效投标文件处理。</w:t>
      </w:r>
      <w:r/>
    </w:p>
    <w:p>
      <w:pPr>
        <w:ind w:firstLine="560"/>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8"/>
          <w:szCs w:val="28"/>
          <w:highlight w:val="none"/>
          <w:lang w:val="en-US" w:eastAsia="zh-CN"/>
        </w:rPr>
        <w:t xml:space="preserve">（包四适用）本项目采用总承包方式，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机房防护改造、PACS接口、辐射检测等，以及与本项目有关的所有费用。投标人所报总价不得超过本项目的最高限价，超过最高限价的作为无效投标文件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投标人应按照招标文件规定格式填报投标分项报价表。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w:t>
      </w:r>
      <w:r>
        <w:rPr>
          <w:rFonts w:hint="eastAsia" w:ascii="仿宋" w:hAnsi="仿宋" w:eastAsia="仿宋"/>
          <w:color w:val="auto"/>
          <w:sz w:val="28"/>
          <w:szCs w:val="28"/>
          <w:highlight w:val="none"/>
        </w:rPr>
        <w:t xml:space="preserve">（如有）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w:t>
      </w:r>
      <w:r>
        <w:rPr>
          <w:rFonts w:hint="eastAsia" w:ascii="仿宋" w:hAnsi="仿宋" w:eastAsia="仿宋"/>
          <w:color w:val="auto"/>
          <w:sz w:val="28"/>
          <w:szCs w:val="28"/>
          <w:highlight w:val="none"/>
        </w:rPr>
        <w:t xml:space="preserve">（如有）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 投标人需根据招标文件要求提供所投标的的主要组成部分、功能设计、实现思路及关键技术等。</w:t>
      </w:r>
      <w:r/>
    </w:p>
    <w:p>
      <w:pPr>
        <w:spacing w:line="520" w:lineRule="exact"/>
        <w:rPr>
          <w:rFonts w:hint="eastAsia" w:ascii="仿宋" w:hAnsi="仿宋" w:eastAsia="仿宋" w:cs="仿宋"/>
          <w:color w:val="auto"/>
          <w:sz w:val="28"/>
          <w:szCs w:val="28"/>
          <w:highlight w:val="none"/>
        </w:rPr>
      </w:pPr>
      <w:r/>
      <w:bookmarkStart w:id="4" w:name="_Toc14577359"/>
      <w:r/>
      <w:bookmarkStart w:id="5" w:name="_Toc49090510"/>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color w:val="auto"/>
          <w:sz w:val="28"/>
          <w:szCs w:val="28"/>
          <w:highlight w:val="none"/>
        </w:rPr>
      </w:pPr>
      <w:r/>
      <w:bookmarkStart w:id="6" w:name="_Toc14577360"/>
      <w:r/>
      <w:bookmarkStart w:id="7" w:name="_Toc49090511"/>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w:t>
      </w:r>
      <w:r>
        <w:rPr>
          <w:rFonts w:hint="eastAsia" w:ascii="仿宋" w:hAnsi="仿宋" w:eastAsia="仿宋"/>
          <w:bCs/>
          <w:color w:val="auto"/>
          <w:sz w:val="28"/>
          <w:szCs w:val="28"/>
          <w:highlight w:val="none"/>
        </w:rPr>
        <w:t xml:space="preserve">本项目评标标准中的方案部分采用</w:t>
      </w:r>
      <w:r>
        <w:rPr>
          <w:rFonts w:hint="eastAsia" w:ascii="仿宋" w:hAnsi="仿宋" w:eastAsia="仿宋"/>
          <w:bCs/>
          <w:color w:val="auto"/>
          <w:sz w:val="28"/>
          <w:szCs w:val="28"/>
          <w:highlight w:val="none"/>
          <w:lang w:eastAsia="zh-CN"/>
        </w:rPr>
        <w:t xml:space="preserve">明</w:t>
      </w:r>
      <w:r>
        <w:rPr>
          <w:rFonts w:hint="eastAsia" w:ascii="仿宋" w:hAnsi="仿宋" w:eastAsia="仿宋"/>
          <w:bCs/>
          <w:color w:val="auto"/>
          <w:sz w:val="28"/>
          <w:szCs w:val="28"/>
          <w:highlight w:val="none"/>
        </w:rPr>
        <w:t xml:space="preserve">标方式进行评审。</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 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 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 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 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 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 投标人不得在提交电子投标文件截止时间起至投标有效期满前撤回电子投标文件。</w:t>
      </w:r>
      <w:r/>
    </w:p>
    <w:p>
      <w:p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五、开标及评标</w:t>
      </w:r>
      <w:bookmarkEnd w:id="8"/>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 </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 开标仪式由</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513029231"/>
      <w:r/>
      <w:bookmarkStart w:id="10" w:name="_Toc16938547"/>
      <w:r/>
      <w:bookmarkStart w:id="11" w:name="_Toc20823303"/>
      <w:r>
        <w:rPr>
          <w:rFonts w:hint="eastAsia" w:ascii="仿宋" w:hAnsi="仿宋" w:eastAsia="仿宋" w:cs="仿宋"/>
          <w:color w:val="auto"/>
          <w:sz w:val="28"/>
          <w:szCs w:val="28"/>
          <w:highlight w:val="none"/>
        </w:rPr>
        <w:t xml:space="preserve">22.评标委员会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 开标后，采购人将立即组织评标委员会（以下简称评委会）进行评标。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 评委会独立工作，负责评审所有投标文件并确定中标候选人。</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 凡是与审查、澄清、评价和比较投标的有关资料以及授标建议等，采购人、评委</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采购代理</w:t>
      </w:r>
      <w:r>
        <w:rPr>
          <w:rFonts w:hint="eastAsia" w:ascii="仿宋" w:hAnsi="仿宋" w:eastAsia="仿宋" w:cs="仿宋"/>
          <w:color w:val="auto"/>
          <w:sz w:val="28"/>
          <w:szCs w:val="28"/>
          <w:highlight w:val="none"/>
        </w:rPr>
        <w:t xml:space="preserve">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采购人和评标委员会不向未中标的投标人解释未中标原因，也不公布评标过程中的相关细节。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2" w:name="_Toc20823304"/>
      <w:r/>
      <w:bookmarkStart w:id="13" w:name="_Toc513029232"/>
      <w:r/>
      <w:bookmarkStart w:id="14" w:name="_Toc16938548"/>
      <w:r>
        <w:rPr>
          <w:rFonts w:hint="eastAsia" w:ascii="仿宋" w:hAnsi="仿宋" w:eastAsia="仿宋" w:cs="仿宋"/>
          <w:color w:val="auto"/>
          <w:sz w:val="28"/>
          <w:szCs w:val="28"/>
          <w:highlight w:val="none"/>
        </w:rPr>
        <w:t xml:space="preserve">24．投标文件的澄清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20823305"/>
      <w:r/>
      <w:bookmarkStart w:id="16" w:name="_Toc513029233"/>
      <w:r/>
      <w:bookmarkStart w:id="17" w:name="_Toc16938549"/>
      <w:r>
        <w:rPr>
          <w:rFonts w:hint="eastAsia" w:ascii="仿宋" w:hAnsi="仿宋" w:eastAsia="仿宋" w:cs="仿宋"/>
          <w:color w:val="auto"/>
          <w:sz w:val="28"/>
          <w:szCs w:val="28"/>
          <w:highlight w:val="none"/>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 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 未通过资格审查或符合性审查的投标人，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将在苏采云系统中告知未通过资格审查或符合性审查的原因，评审结束后，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513029234"/>
      <w:r/>
      <w:bookmarkStart w:id="19" w:name="_Toc20823306"/>
      <w:r/>
      <w:bookmarkStart w:id="20" w:name="_Toc16938550"/>
      <w:r>
        <w:rPr>
          <w:rFonts w:hint="eastAsia" w:ascii="仿宋" w:hAnsi="仿宋" w:eastAsia="仿宋" w:cs="仿宋"/>
          <w:color w:val="auto"/>
          <w:sz w:val="28"/>
          <w:szCs w:val="28"/>
          <w:highlight w:val="none"/>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25.7 投标人在开、评标全过程中应保持通讯畅通，及时登录苏采云系统查阅、答复相关信息，并安排专人与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及评标委员会保持联系（如需）。</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6.无效投标条款和废标条款</w:t>
      </w:r>
      <w:r/>
    </w:p>
    <w:p>
      <w:pPr>
        <w:ind w:firstLine="560"/>
        <w:spacing w:line="520" w:lineRule="exact"/>
        <w:rPr>
          <w:rFonts w:hint="eastAsia" w:ascii="仿宋" w:hAnsi="仿宋" w:eastAsia="仿宋" w:cs="仿宋"/>
          <w:color w:val="auto"/>
          <w:sz w:val="28"/>
          <w:szCs w:val="28"/>
          <w:highlight w:val="none"/>
        </w:rPr>
        <w:outlineLvl w:val="0"/>
      </w:pPr>
      <w:r/>
      <w:bookmarkStart w:id="21" w:name="_Toc16938551"/>
      <w:r/>
      <w:bookmarkStart w:id="22" w:name="_Toc513029235"/>
      <w:r/>
      <w:bookmarkStart w:id="23" w:name="_Toc20823307"/>
      <w:r>
        <w:rPr>
          <w:rFonts w:hint="eastAsia" w:ascii="仿宋" w:hAnsi="仿宋" w:eastAsia="仿宋" w:cs="仿宋"/>
          <w:color w:val="auto"/>
          <w:sz w:val="28"/>
          <w:szCs w:val="28"/>
          <w:highlight w:val="none"/>
        </w:rPr>
        <w:t xml:space="preserve">26.1无效投标条款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 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26.1.4 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26.1.5 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26.1.6 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 </w:t>
      </w:r>
      <w:r>
        <w:rPr>
          <w:rFonts w:hint="eastAsia" w:ascii="仿宋" w:hAnsi="仿宋" w:eastAsia="仿宋"/>
          <w:b/>
          <w:bCs/>
          <w:color w:val="auto"/>
          <w:sz w:val="28"/>
          <w:szCs w:val="28"/>
          <w:highlight w:val="none"/>
        </w:rPr>
        <w:t xml:space="preserve">评标委员会认为投标人的报价</w:t>
      </w:r>
      <w:r>
        <w:rPr>
          <w:rFonts w:hint="eastAsia" w:ascii="仿宋" w:hAnsi="仿宋" w:eastAsia="仿宋"/>
          <w:b/>
          <w:bCs/>
          <w:color w:val="auto"/>
          <w:sz w:val="28"/>
          <w:szCs w:val="28"/>
          <w:highlight w:val="none"/>
          <w:lang w:eastAsia="zh-CN"/>
        </w:rPr>
        <w:t xml:space="preserve">属于《关于推动解决政府采购异常低价问题的通知》（财库〔2026〕2号）</w:t>
      </w:r>
      <w:r>
        <w:rPr>
          <w:rFonts w:hint="eastAsia" w:ascii="仿宋" w:hAnsi="仿宋" w:eastAsia="仿宋"/>
          <w:b/>
          <w:bCs/>
          <w:color w:val="auto"/>
          <w:sz w:val="28"/>
          <w:szCs w:val="28"/>
          <w:highlight w:val="none"/>
          <w:lang w:val="en-US" w:eastAsia="zh-CN"/>
        </w:rPr>
        <w:t xml:space="preserve">异常低价情形的，</w:t>
      </w:r>
      <w:r>
        <w:rPr>
          <w:rFonts w:hint="eastAsia" w:ascii="仿宋" w:hAnsi="仿宋" w:eastAsia="仿宋"/>
          <w:b/>
          <w:bCs/>
          <w:color w:val="auto"/>
          <w:sz w:val="28"/>
          <w:szCs w:val="28"/>
          <w:highlight w:val="none"/>
        </w:rPr>
        <w:t xml:space="preserve">将通过苏采云系统</w:t>
      </w:r>
      <w:r>
        <w:rPr>
          <w:rFonts w:hint="eastAsia" w:ascii="仿宋" w:hAnsi="仿宋" w:eastAsia="仿宋"/>
          <w:b/>
          <w:bCs/>
          <w:color w:val="auto"/>
          <w:sz w:val="28"/>
          <w:szCs w:val="28"/>
          <w:highlight w:val="none"/>
          <w:lang w:eastAsia="zh-CN"/>
        </w:rPr>
        <w:t xml:space="preserve">，按照财库〔2026〕2号文件要求启动异常低价投标审查程序，</w:t>
      </w:r>
      <w:r>
        <w:rPr>
          <w:rFonts w:hint="eastAsia" w:ascii="仿宋" w:hAnsi="仿宋" w:eastAsia="仿宋"/>
          <w:b/>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 按照第 33.4的要求本项目中具有“强制采购”产品，但未提供经国家确定的认证机构出具的、处于有效期之内该节能产品认证证书图片的；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26.1.11不符合招标文件中规定的其他实质性要求和条件的【本招标文件中用带星号（“★”）的商务和技术要求】</w:t>
      </w:r>
      <w:r/>
    </w:p>
    <w:p>
      <w:pPr>
        <w:ind w:firstLine="560"/>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26.1.12</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3 </w:t>
      </w:r>
      <w:r>
        <w:rPr>
          <w:rFonts w:hint="eastAsia" w:ascii="仿宋" w:hAnsi="仿宋" w:eastAsia="仿宋" w:cs="仿宋"/>
          <w:color w:val="auto"/>
          <w:sz w:val="28"/>
          <w:szCs w:val="28"/>
          <w:highlight w:val="none"/>
        </w:rPr>
        <w:t xml:space="preserve">其他法律、法规及本招标文件规定的属无效投标的情形。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废标条款</w:t>
      </w:r>
      <w:r>
        <w:rPr>
          <w:rFonts w:hint="eastAsia" w:ascii="仿宋" w:hAnsi="仿宋" w:eastAsia="仿宋" w:cs="仿宋"/>
          <w:b/>
          <w:bCs/>
          <w:color w:val="auto"/>
          <w:sz w:val="28"/>
          <w:szCs w:val="28"/>
          <w:highlight w:val="none"/>
        </w:rPr>
        <w:t xml:space="preserve">（适用于各个采购包）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26.2.1 符合专业条件的供应商或者对招标文件作实质响应的供应商不足三家的。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26.2.2 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26.2.3 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26.2.4 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26.2.5 因苏采云系统系统故障原因造成开标不成功的。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投标截止时间结束后参加投标的供应商不足三家的处理：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六、定标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16938554"/>
      <w:r/>
      <w:bookmarkStart w:id="27" w:name="_Toc20823310"/>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7.确定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27.1 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27.3采购人必须在5个工作日内确定中标或成交供应商。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 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 向采购人、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 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27.4.4 与采购人或者其他供应商恶意串通的。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27.4.5 采取不正当手段诋毁、排挤其他供应商的。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27.5.有下列情形之一的，视为投标人串通投标，投标无效：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28.1投标人认为采购文件、采购过程和中标结果使自己的权益受到损害的，可以在知道或者应知其权益受到损害之日起七个工作日内，以书面形式提出质疑。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28.2上述应知其权益受到损害之日是指: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28.4质疑投标人在法定质疑期内应当一次性针对同一采购环节提出质疑。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28.5质疑函应当包括以下主要内容，附上相关证明材料。否则，</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2"/>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28.7对于内容、格式符合规定的质疑函，采购人</w:t>
      </w:r>
      <w:r>
        <w:rPr>
          <w:rFonts w:hint="eastAsia" w:ascii="仿宋" w:hAnsi="仿宋" w:eastAsia="仿宋" w:cs="仿宋"/>
          <w:b/>
          <w:bCs/>
          <w:color w:val="auto"/>
          <w:sz w:val="28"/>
          <w:szCs w:val="28"/>
          <w:highlight w:val="none"/>
        </w:rPr>
        <w:t xml:space="preserve">在五个工作日</w:t>
      </w:r>
      <w:r>
        <w:rPr>
          <w:rFonts w:hint="eastAsia" w:ascii="仿宋" w:hAnsi="仿宋" w:eastAsia="仿宋" w:cs="仿宋"/>
          <w:color w:val="auto"/>
          <w:sz w:val="28"/>
          <w:szCs w:val="28"/>
          <w:highlight w:val="none"/>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28.8投标人提出的质疑必须有理、有据，不得恶意质疑或提交虚假质疑。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否则，一经查实，</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29.中标通知书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 中标通知书将是合同的一个组成部分。对采购人和中标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color w:val="auto"/>
          <w:sz w:val="28"/>
          <w:szCs w:val="28"/>
          <w:highlight w:val="none"/>
        </w:rPr>
        <w:t xml:space="preserve">均具有法律效力。中标通知书发出后，采购人改变中标结果的，或者中标供应商放弃中标项目的，应当依法承担法律责任。</w:t>
      </w:r>
      <w:r/>
    </w:p>
    <w:p>
      <w:pPr>
        <w:spacing w:line="520" w:lineRule="exact"/>
        <w:rPr>
          <w:rFonts w:hint="eastAsia" w:ascii="仿宋" w:hAnsi="仿宋" w:eastAsia="仿宋" w:cs="仿宋"/>
          <w:b/>
          <w:color w:val="auto"/>
          <w:sz w:val="32"/>
          <w:szCs w:val="32"/>
          <w:highlight w:val="none"/>
        </w:rPr>
      </w:pPr>
      <w:r/>
      <w:bookmarkStart w:id="29" w:name="_Toc120614220"/>
      <w:r/>
      <w:bookmarkStart w:id="30" w:name="_Toc20823308"/>
      <w:r/>
      <w:bookmarkStart w:id="31" w:name="_Toc513029236"/>
      <w:r/>
      <w:bookmarkStart w:id="32" w:name="_Toc16938552"/>
      <w:r>
        <w:rPr>
          <w:rFonts w:hint="eastAsia" w:ascii="仿宋" w:hAnsi="仿宋" w:eastAsia="仿宋" w:cs="仿宋"/>
          <w:b/>
          <w:color w:val="auto"/>
          <w:sz w:val="32"/>
          <w:szCs w:val="32"/>
          <w:highlight w:val="none"/>
        </w:rPr>
        <w:t xml:space="preserve">七、授予合同</w:t>
      </w:r>
      <w:bookmarkEnd w:id="29"/>
      <w:r/>
      <w:bookmarkEnd w:id="30"/>
      <w:r/>
      <w:bookmarkEnd w:id="31"/>
      <w:r/>
      <w:bookmarkEnd w:id="32"/>
      <w:r/>
      <w:r/>
    </w:p>
    <w:p>
      <w:pPr>
        <w:spacing w:line="520" w:lineRule="exact"/>
        <w:rPr>
          <w:rFonts w:hint="eastAsia" w:ascii="仿宋" w:hAnsi="仿宋" w:eastAsia="仿宋" w:cs="仿宋"/>
          <w:color w:val="auto"/>
          <w:sz w:val="28"/>
          <w:szCs w:val="28"/>
          <w:highlight w:val="none"/>
        </w:rPr>
        <w:outlineLvl w:val="0"/>
      </w:pPr>
      <w:r/>
      <w:bookmarkStart w:id="33" w:name="_Toc513029237"/>
      <w:r/>
      <w:bookmarkStart w:id="34" w:name="_Toc16938553"/>
      <w:r/>
      <w:bookmarkStart w:id="35" w:name="_Toc20823309"/>
      <w:r>
        <w:rPr>
          <w:rFonts w:hint="eastAsia" w:ascii="仿宋" w:hAnsi="仿宋" w:eastAsia="仿宋" w:cs="仿宋"/>
          <w:color w:val="auto"/>
          <w:sz w:val="28"/>
          <w:szCs w:val="28"/>
          <w:highlight w:val="none"/>
        </w:rPr>
        <w:t xml:space="preserve">30.签订合同</w:t>
      </w:r>
      <w:r>
        <w:rPr>
          <w:rFonts w:hint="eastAsia" w:ascii="仿宋" w:hAnsi="仿宋" w:eastAsia="仿宋" w:cs="仿宋"/>
          <w:color w:val="auto"/>
          <w:sz w:val="28"/>
          <w:szCs w:val="28"/>
          <w:highlight w:val="none"/>
        </w:rPr>
        <w:tab/>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30.1中标或者成交供应商拒绝与采购人签订合同的，采购人可按评审报告推荐的中标候选人名单排序，确定下一候选人为中标人，也可自主选择重新开展政府采购活动。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中标人应当在中标通知书发出之日起</w:t>
      </w:r>
      <w:r>
        <w:rPr>
          <w:rFonts w:hint="eastAsia" w:ascii="仿宋" w:hAnsi="仿宋" w:eastAsia="仿宋" w:cs="仿宋"/>
          <w:b/>
          <w:bCs/>
          <w:color w:val="auto"/>
          <w:sz w:val="28"/>
          <w:szCs w:val="28"/>
          <w:highlight w:val="none"/>
          <w:lang w:val="en-US" w:eastAsia="zh-CN"/>
        </w:rPr>
        <w:t xml:space="preserve">30</w:t>
      </w:r>
      <w:r>
        <w:rPr>
          <w:rFonts w:hint="eastAsia" w:ascii="仿宋" w:hAnsi="仿宋" w:eastAsia="仿宋" w:cs="仿宋"/>
          <w:b/>
          <w:bCs/>
          <w:color w:val="auto"/>
          <w:sz w:val="28"/>
          <w:szCs w:val="28"/>
          <w:highlight w:val="none"/>
        </w:rPr>
        <w:t xml:space="preserve">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31.货物（包含与货物相关的服务）的追加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2"/>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32.履约保证金</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本项目无需履约保证金</w:t>
      </w:r>
      <w:r>
        <w:rPr>
          <w:rFonts w:hint="eastAsia" w:ascii="仿宋" w:hAnsi="仿宋" w:eastAsia="仿宋" w:cs="仿宋"/>
          <w:b/>
          <w:bCs/>
          <w:color w:val="auto"/>
          <w:sz w:val="28"/>
          <w:szCs w:val="28"/>
          <w:highlight w:val="none"/>
        </w:rPr>
        <w:t xml:space="preserve">）</w:t>
      </w:r>
      <w:bookmarkEnd w:id="33"/>
      <w:r/>
      <w:bookmarkEnd w:id="34"/>
      <w:r/>
      <w:bookmarkEnd w:id="35"/>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lang w:val="zh-CN"/>
        </w:rPr>
        <w:t xml:space="preserve">促进中小企业发展</w:t>
      </w:r>
      <w:r>
        <w:rPr>
          <w:rFonts w:hint="eastAsia" w:ascii="仿宋" w:hAnsi="仿宋" w:eastAsia="仿宋" w:cs="仿宋"/>
          <w:color w:val="auto"/>
          <w:sz w:val="28"/>
          <w:szCs w:val="28"/>
          <w:highlight w:val="none"/>
        </w:rPr>
        <w:t xml:space="preserve">政策</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33.1 小微型企业价格扣除</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33.1.1 </w:t>
      </w:r>
      <w:r>
        <w:rPr>
          <w:rFonts w:hint="eastAsia" w:ascii="仿宋" w:hAnsi="仿宋" w:eastAsia="仿宋" w:cs="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 联合体及分包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33.3小微型企业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33.4残疾人福利单位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33.5监狱和戒毒企业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34.节能、环保政策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34.2 节能产品</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被列入“节能产品品目清单”的，实行</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34.3 环保产品</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34.4 本项目中实行“强制采购”的，需</w:t>
      </w:r>
      <w:r>
        <w:rPr>
          <w:rFonts w:hint="eastAsia" w:ascii="仿宋" w:hAnsi="仿宋" w:eastAsia="仿宋" w:cs="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政府绿色采购</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35.3 本项目中涉及胶黏剂、清洗剂等挥发性有机物产品的，要执行国家和江苏省VOCs含量限制标准，优先使用低挥发性原辅材料，使用低VOCs含量的涂料、胶黏剂等。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t xml:space="preserve">36.履约资金扶持政策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37.采购本国产品的支持政策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为该采购项目或者采购包提供的符合本国产品标准的产品成本之和占该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提供的全部产品成本之和的比例达到80%以上时（</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需在“第六章投标文件格式”的“</w:t>
      </w:r>
      <w:r>
        <w:rPr>
          <w:rFonts w:hint="eastAsia" w:ascii="仿宋" w:hAnsi="仿宋" w:eastAsia="仿宋" w:cs="仿宋"/>
          <w:color w:val="auto"/>
          <w:sz w:val="28"/>
          <w:szCs w:val="28"/>
          <w:highlight w:val="none"/>
          <w:lang w:val="en-US" w:eastAsia="zh-CN"/>
        </w:rPr>
        <w:t xml:space="preserve">投标报价明细表</w:t>
      </w:r>
      <w:r>
        <w:rPr>
          <w:rFonts w:hint="eastAsia" w:ascii="仿宋" w:hAnsi="仿宋" w:eastAsia="仿宋" w:cs="仿宋"/>
          <w:color w:val="auto"/>
          <w:sz w:val="28"/>
          <w:szCs w:val="28"/>
          <w:highlight w:val="none"/>
        </w:rPr>
        <w:t xml:space="preserve">”中填写比例数值），依法对该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提供的全部产品给予价格评审优惠，即对该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提供的全部产品的总报价给予20%的价格扣除，用扣除后的价格参与评审。</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未填写比例数值，或比例数值未达到80%的，将不享受本国产品价格评审优惠。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37.3</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5评标过程中，如发现</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提供的相关产品视为不符合本国产品标准。</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九、异常低价审查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(一)评审过程中出现下列情形之一的，评审委员会应当启动异常低价投标(响应)审查程序: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%的，即投标（响应）报价&lt;全部通过符合性审查供应商投标（响应）报价平均值×</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%的，即投标（响应）报价&lt;通过符合性审查的次低报价供应商投标（响应）报价×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3.投标（响应）报价低于采购项目最高限价</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5%的，即投标（响应）报价&lt;采购项目最高限价×</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5%；</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spacing w:line="520" w:lineRule="exact"/>
        <w:rPr>
          <w:rFonts w:hint="eastAsia" w:ascii="仿宋" w:hAnsi="仿宋" w:eastAsia="仿宋"/>
          <w:b/>
          <w:bCs/>
          <w:color w:val="auto"/>
          <w:sz w:val="32"/>
          <w:szCs w:val="28"/>
          <w:highlight w:val="none"/>
        </w:rPr>
      </w:pPr>
      <w:r>
        <w:rPr>
          <w:rFonts w:hint="eastAsia" w:ascii="仿宋" w:hAnsi="仿宋" w:eastAsia="仿宋" w:cs="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520" w:lineRule="exact"/>
        <w:rPr>
          <w:rFonts w:ascii="仿宋" w:hAnsi="仿宋" w:eastAsia="仿宋" w:cs="仿宋"/>
          <w:color w:val="auto"/>
          <w:szCs w:val="28"/>
          <w:highlight w:val="none"/>
        </w:rPr>
      </w:pPr>
      <w:r>
        <w:rPr>
          <w:rFonts w:hint="eastAsia" w:ascii="仿宋" w:hAnsi="仿宋" w:eastAsia="仿宋" w:cs="仿宋"/>
          <w:b/>
          <w:color w:val="auto"/>
          <w:sz w:val="36"/>
          <w:szCs w:val="36"/>
          <w:highlight w:val="none"/>
        </w:rPr>
        <w:t xml:space="preserve">第三章  </w:t>
      </w:r>
      <w:r>
        <w:rPr>
          <w:rFonts w:hint="eastAsia" w:ascii="仿宋" w:hAnsi="仿宋" w:eastAsia="仿宋" w:cs="仿宋"/>
          <w:b/>
          <w:bCs/>
          <w:color w:val="auto"/>
          <w:sz w:val="36"/>
          <w:szCs w:val="36"/>
          <w:highlight w:val="none"/>
        </w:rPr>
        <w:t xml:space="preserve">评标方法与评标标准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keepLines w:val="0"/>
        <w:keepNext w:val="0"/>
        <w:pageBreakBefore w:val="0"/>
        <w:spacing w:line="312" w:lineRule="auto"/>
        <w:widowControl w:val="off"/>
        <w:rPr>
          <w:rFonts w:hint="eastAsia" w:ascii="仿宋" w:hAnsi="仿宋" w:eastAsia="仿宋" w:cs="宋体"/>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三、评委会将依据下列评标标准进行评标，各个采购包的评标标准的总分均为100分。</w:t>
      </w:r>
      <w:r>
        <w:rPr>
          <w:rFonts w:hint="default" w:ascii="仿宋" w:hAnsi="仿宋" w:eastAsia="仿宋" w:cs="仿宋"/>
          <w:color w:val="auto"/>
          <w:sz w:val="28"/>
          <w:szCs w:val="28"/>
          <w:highlight w:val="none"/>
          <w:lang w:val="en-US" w:eastAsia="zh-CN"/>
        </w:rPr>
        <w:t xml:space="preserve">投标人兼投多个包，投标人</w:t>
      </w:r>
      <w:r>
        <w:rPr>
          <w:rFonts w:hint="eastAsia" w:ascii="仿宋" w:hAnsi="仿宋" w:eastAsia="仿宋" w:cs="仿宋"/>
          <w:color w:val="auto"/>
          <w:sz w:val="28"/>
          <w:szCs w:val="28"/>
          <w:highlight w:val="none"/>
          <w:lang w:val="en-US" w:eastAsia="zh-CN"/>
        </w:rPr>
        <w:t xml:space="preserve">应按包上传电子投标文件，</w:t>
      </w:r>
      <w:r>
        <w:rPr>
          <w:rFonts w:hint="default" w:ascii="仿宋" w:hAnsi="仿宋" w:eastAsia="仿宋" w:cs="仿宋"/>
          <w:color w:val="auto"/>
          <w:sz w:val="28"/>
          <w:szCs w:val="28"/>
          <w:highlight w:val="none"/>
          <w:lang w:val="en-US" w:eastAsia="zh-CN"/>
        </w:rPr>
        <w:t xml:space="preserve">不得将两个</w:t>
      </w:r>
      <w:r>
        <w:rPr>
          <w:rFonts w:hint="eastAsia" w:ascii="仿宋" w:hAnsi="仿宋" w:eastAsia="仿宋" w:cs="仿宋"/>
          <w:color w:val="auto"/>
          <w:sz w:val="28"/>
          <w:szCs w:val="28"/>
          <w:highlight w:val="none"/>
          <w:lang w:val="en-US" w:eastAsia="zh-CN"/>
        </w:rPr>
        <w:t xml:space="preserve">或多个</w:t>
      </w:r>
      <w:r>
        <w:rPr>
          <w:rFonts w:hint="default" w:ascii="仿宋" w:hAnsi="仿宋" w:eastAsia="仿宋" w:cs="仿宋"/>
          <w:color w:val="auto"/>
          <w:sz w:val="28"/>
          <w:szCs w:val="28"/>
          <w:highlight w:val="none"/>
          <w:lang w:val="en-US" w:eastAsia="zh-CN"/>
        </w:rPr>
        <w:t xml:space="preserve">包的投标文件上传在同一个电子投标文件中</w:t>
      </w:r>
      <w:r>
        <w:rPr>
          <w:rFonts w:hint="eastAsia" w:ascii="仿宋" w:hAnsi="仿宋" w:eastAsia="仿宋" w:cs="仿宋"/>
          <w:color w:val="auto"/>
          <w:sz w:val="28"/>
          <w:szCs w:val="28"/>
          <w:highlight w:val="none"/>
          <w:lang w:val="en-US" w:eastAsia="zh-CN"/>
        </w:rPr>
        <w:t xml:space="preserve">。按评审后得分由高到低顺序排列（保留两位小数）</w:t>
      </w:r>
      <w:r>
        <w:rPr>
          <w:rFonts w:hint="eastAsia" w:ascii="仿宋" w:hAnsi="仿宋" w:eastAsia="仿宋" w:cs="宋体"/>
          <w:color w:val="auto"/>
          <w:sz w:val="28"/>
          <w:szCs w:val="28"/>
          <w:highlight w:val="none"/>
          <w:lang w:val="en-US" w:eastAsia="zh-CN"/>
        </w:rPr>
        <w:t xml:space="preserve">，</w:t>
      </w:r>
      <w:r>
        <w:rPr>
          <w:rFonts w:hint="eastAsia" w:ascii="仿宋" w:hAnsi="仿宋" w:eastAsia="仿宋" w:cs="宋体"/>
          <w:color w:val="auto"/>
          <w:sz w:val="28"/>
          <w:szCs w:val="28"/>
          <w:highlight w:val="none"/>
        </w:rPr>
        <w:t xml:space="preserve">得分相同的，按投标报价由低到高顺序排列。得分且投标报价相同的并列, 由评标委员会通过随机抽取的方式确定中标候选人。</w:t>
      </w:r>
      <w:r/>
    </w:p>
    <w:p>
      <w:pPr>
        <w:ind w:firstLine="700"/>
        <w:keepLines w:val="0"/>
        <w:keepNext w:val="0"/>
        <w:pageBreakBefore w:val="0"/>
        <w:spacing w:line="288" w:lineRule="auto"/>
        <w:widowControl w:val="off"/>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四</w:t>
      </w:r>
      <w:r>
        <w:rPr>
          <w:rFonts w:hint="eastAsia" w:ascii="仿宋" w:hAnsi="仿宋" w:eastAsia="仿宋" w:cs="宋体"/>
          <w:color w:val="auto"/>
          <w:sz w:val="28"/>
          <w:szCs w:val="28"/>
          <w:highlight w:val="none"/>
        </w:rPr>
        <w:t xml:space="preserve">、评标标准</w:t>
      </w:r>
      <w:r>
        <w:rPr>
          <w:rFonts w:hint="eastAsia" w:ascii="仿宋" w:hAnsi="仿宋" w:eastAsia="仿宋" w:cs="宋体"/>
          <w:b/>
          <w:bCs/>
          <w:color w:val="auto"/>
          <w:sz w:val="28"/>
          <w:szCs w:val="28"/>
          <w:highlight w:val="none"/>
          <w:lang w:val="en-US" w:eastAsia="zh-CN"/>
        </w:rPr>
        <w:t xml:space="preserve">（包一、包二适用）</w:t>
      </w:r>
      <w:r/>
    </w:p>
    <w:p>
      <w:pPr>
        <w:jc w:val="center"/>
        <w:keepLines w:val="0"/>
        <w:keepNext w:val="0"/>
        <w:pageBreakBefore w:val="0"/>
        <w:spacing w:line="324" w:lineRule="auto"/>
        <w:widowControl w:val="off"/>
        <w:rPr>
          <w:rFonts w:hint="default"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评分标准</w:t>
      </w:r>
      <w:r/>
    </w:p>
    <w:tbl>
      <w:tblPr>
        <w:tblStyle w:val="686"/>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bottom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tc>
        <w:tc>
          <w:tcPr>
            <w:tcBorders>
              <w:bottom w:val="single" w:color="auto" w:sz="4" w:space="0"/>
            </w:tcBorders>
            <w:tcW w:w="6588"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c>
          <w:tcPr>
            <w:tcBorders>
              <w:bottom w:val="single" w:color="auto" w:sz="4" w:space="0"/>
            </w:tcBorders>
            <w:tcW w:w="73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jc w:val="center"/>
          <w:trHeight w:val="472"/>
        </w:trPr>
        <w:tc>
          <w:tcPr>
            <w:tcBorders>
              <w:top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价格评分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30分）</w:t>
            </w:r>
            <w:r/>
          </w:p>
        </w:tc>
        <w:tc>
          <w:tcPr>
            <w:tcBorders>
              <w:top w:val="single" w:color="auto" w:sz="4" w:space="0"/>
            </w:tcBorders>
            <w:tcW w:w="6588"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满足招标文件设备性能要求且投标价格最低的投标报价为评标基准价，其价格分为满分。其他投标人的价格分统一按照下列公式计算：</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投标报价得分=(评标基准价／投标报价)×价格分值，小数点保留2位</w:t>
            </w:r>
            <w:r/>
          </w:p>
        </w:tc>
        <w:tc>
          <w:tcPr>
            <w:tcBorders>
              <w:top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r>
      <w:tr>
        <w:trPr>
          <w:jc w:val="center"/>
          <w:trHeight w:val="1408"/>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技术参数（2</w:t>
            </w:r>
            <w:r>
              <w:rPr>
                <w:rFonts w:hint="eastAsia" w:ascii="仿宋" w:hAnsi="仿宋" w:eastAsia="仿宋" w:cs="仿宋"/>
                <w:color w:val="auto"/>
                <w:sz w:val="24"/>
                <w:szCs w:val="24"/>
                <w:highlight w:val="none"/>
              </w:rPr>
              <w:t xml:space="preserve">0分</w:t>
            </w:r>
            <w:r>
              <w:rPr>
                <w:rFonts w:hint="eastAsia" w:ascii="仿宋" w:hAnsi="仿宋" w:eastAsia="仿宋" w:cs="仿宋"/>
                <w:color w:val="auto"/>
                <w:sz w:val="24"/>
                <w:szCs w:val="24"/>
                <w:highlight w:val="none"/>
                <w:lang w:val="en-US" w:eastAsia="zh-CN"/>
              </w:rPr>
              <w:t xml:space="preserve">）</w:t>
            </w:r>
            <w:r/>
          </w:p>
        </w:tc>
        <w:tc>
          <w:tcPr>
            <w:tcBorders>
              <w:top w:val="single" w:color="auto" w:sz="4" w:space="0"/>
            </w:tcBorders>
            <w:tcW w:w="6588"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投标人所投产品技术参数完全满足招标文件第五章“二、产品清单及技术参数”中标注“★”技术参数要求，未完全满足作无效投标处理。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投标人所投产品的技术参数与招标文件第五章“二、产品清单及技术参数”中标注“▲”要求相比较，以</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0分为基数，有1项负偏离扣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超10项负偏离此项得0分；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与</w:t>
            </w:r>
            <w:r>
              <w:rPr>
                <w:rFonts w:hint="eastAsia" w:ascii="仿宋" w:hAnsi="仿宋" w:eastAsia="仿宋" w:cs="仿宋"/>
                <w:color w:val="auto"/>
                <w:sz w:val="24"/>
                <w:szCs w:val="24"/>
                <w:highlight w:val="none"/>
                <w:lang w:eastAsia="zh-CN"/>
              </w:rPr>
              <w:t xml:space="preserve">未标注“▲”要求相比较，有1项负偏离扣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负偏离超过20项得0分</w:t>
            </w:r>
            <w:r>
              <w:rPr>
                <w:rFonts w:hint="eastAsia" w:ascii="仿宋" w:hAnsi="仿宋" w:eastAsia="仿宋" w:cs="仿宋"/>
                <w:color w:val="auto"/>
                <w:sz w:val="24"/>
                <w:szCs w:val="24"/>
                <w:highlight w:val="none"/>
                <w:lang w:eastAsia="zh-CN"/>
              </w:rPr>
              <w:t xml:space="preserve">。</w:t>
            </w:r>
            <w:r/>
          </w:p>
        </w:tc>
        <w:tc>
          <w:tcPr>
            <w:tcBorders>
              <w:top w:val="single" w:color="auto" w:sz="4" w:space="0"/>
              <w:bottom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r>
      <w:tr>
        <w:trPr>
          <w:jc w:val="center"/>
          <w:trHeight w:val="824"/>
        </w:trPr>
        <w:tc>
          <w:tcPr>
            <w:tcBorders>
              <w:top w:val="single" w:color="auto" w:sz="4" w:space="0"/>
              <w:bottom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auto" w:sz="4" w:space="0"/>
              <w:bottom w:val="single" w:color="auto" w:sz="4" w:space="0"/>
            </w:tcBorders>
            <w:tcW w:w="6588"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提供的项目实施方案内容的完整性及进度计划安排的合理性进行打分，包括但不限于投标人如何在成交后有效地组织技术和人员力量，按时保质地完成供货、安装、验收等。</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实施方案内容完整、进度计划安排合理、优于采购人需求的得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w:t>
            </w:r>
            <w:r>
              <w:rPr>
                <w:rFonts w:hint="eastAsia" w:ascii="仿宋" w:hAnsi="仿宋" w:eastAsia="仿宋" w:cs="仿宋"/>
                <w:color w:val="auto"/>
                <w:sz w:val="24"/>
                <w:szCs w:val="24"/>
                <w:highlight w:val="none"/>
                <w:lang w:val="en-US" w:eastAsia="zh-CN"/>
              </w:rPr>
              <w:t xml:space="preserve">完整</w:t>
            </w:r>
            <w:r>
              <w:rPr>
                <w:rFonts w:hint="eastAsia" w:ascii="仿宋" w:hAnsi="仿宋" w:eastAsia="仿宋" w:cs="仿宋"/>
                <w:color w:val="auto"/>
                <w:sz w:val="24"/>
                <w:szCs w:val="24"/>
                <w:highlight w:val="none"/>
              </w:rPr>
              <w:t xml:space="preserve">、进度计划安排</w:t>
            </w:r>
            <w:r>
              <w:rPr>
                <w:rFonts w:hint="eastAsia" w:ascii="仿宋" w:hAnsi="仿宋" w:eastAsia="仿宋" w:cs="仿宋"/>
                <w:color w:val="auto"/>
                <w:sz w:val="24"/>
                <w:szCs w:val="24"/>
                <w:highlight w:val="none"/>
                <w:lang w:val="en-US" w:eastAsia="zh-CN"/>
              </w:rPr>
              <w:t xml:space="preserve">合理、</w:t>
            </w:r>
            <w:r>
              <w:rPr>
                <w:rFonts w:hint="eastAsia" w:ascii="仿宋" w:hAnsi="仿宋" w:eastAsia="仿宋" w:cs="仿宋"/>
                <w:color w:val="auto"/>
                <w:sz w:val="24"/>
                <w:szCs w:val="24"/>
                <w:highlight w:val="none"/>
              </w:rPr>
              <w:t xml:space="preserve">较好满足采购人需求的得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实施方案内容较</w:t>
            </w:r>
            <w:r>
              <w:rPr>
                <w:rFonts w:hint="eastAsia" w:ascii="仿宋" w:hAnsi="仿宋" w:eastAsia="仿宋" w:cs="仿宋"/>
                <w:color w:val="auto"/>
                <w:sz w:val="24"/>
                <w:szCs w:val="24"/>
                <w:highlight w:val="none"/>
                <w:lang w:val="en-US" w:eastAsia="zh-CN"/>
              </w:rPr>
              <w:t xml:space="preserve">完整</w:t>
            </w:r>
            <w:r>
              <w:rPr>
                <w:rFonts w:hint="eastAsia" w:ascii="仿宋" w:hAnsi="仿宋" w:eastAsia="仿宋" w:cs="仿宋"/>
                <w:color w:val="auto"/>
                <w:sz w:val="24"/>
                <w:szCs w:val="24"/>
                <w:highlight w:val="none"/>
              </w:rPr>
              <w:t xml:space="preserve">、进度计划安排</w:t>
            </w:r>
            <w:r>
              <w:rPr>
                <w:rFonts w:hint="eastAsia" w:ascii="仿宋" w:hAnsi="仿宋" w:eastAsia="仿宋" w:cs="仿宋"/>
                <w:color w:val="auto"/>
                <w:sz w:val="24"/>
                <w:szCs w:val="24"/>
                <w:highlight w:val="none"/>
                <w:lang w:val="en-US" w:eastAsia="zh-CN"/>
              </w:rPr>
              <w:t xml:space="preserve">较合理</w:t>
            </w:r>
            <w:r>
              <w:rPr>
                <w:rFonts w:hint="eastAsia" w:ascii="仿宋" w:hAnsi="仿宋" w:eastAsia="仿宋" w:cs="仿宋"/>
                <w:color w:val="auto"/>
                <w:sz w:val="24"/>
                <w:szCs w:val="24"/>
                <w:highlight w:val="none"/>
              </w:rPr>
              <w:t xml:space="preserve">、满足采购人需求的得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实施方案内容一般、进度计划安排一般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满足采购人一般需求的得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p>
        </w:tc>
        <w:tc>
          <w:tcPr>
            <w:tcBorders>
              <w:top w:val="single" w:color="auto" w:sz="4" w:space="0"/>
              <w:bottom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3204"/>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培训方案情况比较：包括培训步骤、培训计划、培训记录表等。</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培训方案详细具体，可行性高，优于项目需求的得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培训方案详细具体，可行性高，</w:t>
            </w:r>
            <w:r>
              <w:rPr>
                <w:rFonts w:hint="eastAsia" w:ascii="仿宋" w:hAnsi="仿宋" w:eastAsia="仿宋" w:cs="仿宋"/>
                <w:color w:val="auto"/>
                <w:sz w:val="24"/>
                <w:szCs w:val="24"/>
                <w:highlight w:val="none"/>
                <w:lang w:val="en-US" w:eastAsia="zh-CN"/>
              </w:rPr>
              <w:t xml:space="preserve">较好满足</w:t>
            </w:r>
            <w:r>
              <w:rPr>
                <w:rFonts w:hint="eastAsia" w:ascii="仿宋" w:hAnsi="仿宋" w:eastAsia="仿宋" w:cs="仿宋"/>
                <w:color w:val="auto"/>
                <w:sz w:val="24"/>
                <w:szCs w:val="24"/>
                <w:highlight w:val="none"/>
              </w:rPr>
              <w:t xml:space="preserve">项目需求的得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培训方案较为详细具体，可行性较高，满足项目需求的得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培训方案一般，可行性一般，有所欠缺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满足项目一般需求的得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r>
      <w:tr>
        <w:trPr>
          <w:jc w:val="center"/>
          <w:trHeight w:val="3925"/>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售后服务管理体系方案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针对本项目制定的售后服务管理体系方案，包括售后服务人员、服务机制、响应时间、故障解决等内容的合理性和可行性。</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售后服务方案完整合理，可行性高，优于项目需求的得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售后服务方案完整合理，可行性高，</w:t>
            </w:r>
            <w:r>
              <w:rPr>
                <w:rFonts w:hint="eastAsia" w:ascii="仿宋" w:hAnsi="仿宋" w:eastAsia="仿宋" w:cs="仿宋"/>
                <w:color w:val="auto"/>
                <w:sz w:val="24"/>
                <w:szCs w:val="24"/>
                <w:highlight w:val="none"/>
                <w:lang w:val="en-US" w:eastAsia="zh-CN"/>
              </w:rPr>
              <w:t xml:space="preserve">较好满足</w:t>
            </w:r>
            <w:r>
              <w:rPr>
                <w:rFonts w:hint="eastAsia" w:ascii="仿宋" w:hAnsi="仿宋" w:eastAsia="仿宋" w:cs="仿宋"/>
                <w:color w:val="auto"/>
                <w:sz w:val="24"/>
                <w:szCs w:val="24"/>
                <w:highlight w:val="none"/>
              </w:rPr>
              <w:t xml:space="preserve">项目需求的得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售后服务方案较为完整合理，可行性较高，满足项目需求的得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售后服务方案一般，可行性一般，有所欠缺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满足项目一般需求的得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3311"/>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质保期满后维保</w:t>
            </w:r>
            <w:r>
              <w:rPr>
                <w:rFonts w:hint="eastAsia" w:ascii="仿宋" w:hAnsi="仿宋" w:eastAsia="仿宋" w:cs="仿宋"/>
                <w:color w:val="auto"/>
                <w:sz w:val="24"/>
                <w:szCs w:val="24"/>
                <w:highlight w:val="none"/>
                <w:lang w:eastAsia="zh-CN"/>
              </w:rPr>
              <w:t xml:space="preserve">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质保期满后维保</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提供零配件和维修备品备件的供应保障和维保期满后维保收费及维保方案内容完整清晰，优于项目需求的得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提供零配件和维修备品备件的供应保障和维保期满后维保收费及维保方案内容完整清晰，</w:t>
            </w:r>
            <w:r>
              <w:rPr>
                <w:rFonts w:hint="eastAsia" w:ascii="仿宋" w:hAnsi="仿宋" w:eastAsia="仿宋" w:cs="仿宋"/>
                <w:color w:val="auto"/>
                <w:sz w:val="24"/>
                <w:szCs w:val="24"/>
                <w:highlight w:val="none"/>
                <w:lang w:val="en-US" w:eastAsia="zh-CN"/>
              </w:rPr>
              <w:t xml:space="preserve">较好满足</w:t>
            </w:r>
            <w:r>
              <w:rPr>
                <w:rFonts w:hint="eastAsia" w:ascii="仿宋" w:hAnsi="仿宋" w:eastAsia="仿宋" w:cs="仿宋"/>
                <w:color w:val="auto"/>
                <w:sz w:val="24"/>
                <w:szCs w:val="24"/>
                <w:highlight w:val="none"/>
              </w:rPr>
              <w:t xml:space="preserve">项目需求的得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零配件和维修备品备件的供应保障和维保期满后维保收费及维保方案内容较完整，满足项目需求的得4分；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零配件和维修备品备件的供应保障和维保期满后维保收费及维保方案内容介绍</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90"/>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投标人自2023年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月以来（时间以合同签订时间为准）承接过</w:t>
            </w:r>
            <w:r>
              <w:rPr>
                <w:rFonts w:hint="eastAsia" w:ascii="仿宋" w:hAnsi="仿宋" w:eastAsia="仿宋" w:cs="仿宋"/>
                <w:color w:val="auto"/>
                <w:sz w:val="24"/>
                <w:szCs w:val="24"/>
                <w:highlight w:val="none"/>
                <w:lang w:val="en-US" w:eastAsia="zh-CN"/>
              </w:rPr>
              <w:t xml:space="preserve">所投产品</w:t>
            </w:r>
            <w:r>
              <w:rPr>
                <w:rFonts w:hint="eastAsia" w:ascii="仿宋" w:hAnsi="仿宋" w:eastAsia="仿宋" w:cs="仿宋"/>
                <w:color w:val="auto"/>
                <w:sz w:val="24"/>
                <w:szCs w:val="24"/>
                <w:highlight w:val="none"/>
              </w:rPr>
              <w:t xml:space="preserve">类似项目成功案例的，每提供一个得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分，本项最多得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分，没有不得分。</w:t>
            </w:r>
            <w:r>
              <w:rPr>
                <w:rFonts w:hint="eastAsia" w:ascii="仿宋" w:hAnsi="仿宋" w:eastAsia="仿宋" w:cs="仿宋"/>
                <w:b/>
                <w:bCs/>
                <w:color w:val="auto"/>
                <w:sz w:val="24"/>
                <w:szCs w:val="24"/>
                <w:highlight w:val="none"/>
              </w:rPr>
              <w:t xml:space="preserve">（提供合同扫描件加盖投标人电子签章，合同须能反映采购人单位、项目名称、设备品牌型号、配置清单、签订时间、签章等所有要素清晰可见，提供不全或者不清晰不得分）</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r>
      <w:tr>
        <w:trPr>
          <w:jc w:val="center"/>
          <w:trHeight w:val="90"/>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售后</w:t>
            </w:r>
            <w:r>
              <w:rPr>
                <w:rFonts w:hint="eastAsia" w:ascii="仿宋" w:hAnsi="仿宋" w:eastAsia="仿宋" w:cs="仿宋"/>
                <w:color w:val="auto"/>
                <w:sz w:val="24"/>
                <w:highlight w:val="none"/>
                <w:lang w:val="en-US" w:eastAsia="zh-CN"/>
              </w:rPr>
              <w:t xml:space="preserve">响应时间</w:t>
            </w:r>
            <w:r/>
          </w:p>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（2分）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olor w:val="auto"/>
                <w:sz w:val="24"/>
                <w:highlight w:val="none"/>
              </w:rPr>
              <w:t xml:space="preserve">如发生故障，投标方接到故障报修后，2小时内响应，12小时内到位维修得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分；1小时内响应，6小时内到位维修得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分；最高得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rPr>
                <w:rFonts w:hint="eastAsia" w:ascii="仿宋" w:hAnsi="仿宋" w:eastAsia="仿宋"/>
                <w:b/>
                <w:bCs/>
                <w:color w:val="auto"/>
                <w:sz w:val="24"/>
                <w:highlight w:val="none"/>
              </w:rPr>
              <w:t xml:space="preserve">（提供承诺书原件</w:t>
            </w:r>
            <w:r>
              <w:rPr>
                <w:rFonts w:hint="eastAsia" w:ascii="仿宋" w:hAnsi="仿宋" w:eastAsia="仿宋" w:cs="仿宋"/>
                <w:b/>
                <w:bCs/>
                <w:color w:val="auto"/>
                <w:sz w:val="24"/>
                <w:szCs w:val="24"/>
                <w:highlight w:val="none"/>
              </w:rPr>
              <w:t xml:space="preserve">加盖投标人电子签章</w:t>
            </w:r>
            <w:r>
              <w:rPr>
                <w:rFonts w:hint="eastAsia" w:ascii="仿宋" w:hAnsi="仿宋" w:eastAsia="仿宋"/>
                <w:b/>
                <w:bCs/>
                <w:color w:val="auto"/>
                <w:sz w:val="24"/>
                <w:highlight w:val="none"/>
              </w:rPr>
              <w:t xml:space="preserve">，格式自拟）</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00"/>
        <w:keepLines w:val="0"/>
        <w:keepNext w:val="0"/>
        <w:pageBreakBefore w:val="0"/>
        <w:spacing w:line="288" w:lineRule="auto"/>
        <w:widowControl w:val="off"/>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评标标准</w:t>
      </w:r>
      <w:r>
        <w:rPr>
          <w:rFonts w:hint="eastAsia" w:ascii="仿宋" w:hAnsi="仿宋" w:eastAsia="仿宋" w:cs="宋体"/>
          <w:b/>
          <w:bCs/>
          <w:color w:val="auto"/>
          <w:sz w:val="28"/>
          <w:szCs w:val="28"/>
          <w:highlight w:val="none"/>
          <w:lang w:val="en-US" w:eastAsia="zh-CN"/>
        </w:rPr>
        <w:t xml:space="preserve">（包三、包四适用）</w:t>
      </w:r>
      <w:r/>
    </w:p>
    <w:p>
      <w:pPr>
        <w:jc w:val="center"/>
        <w:keepLines w:val="0"/>
        <w:keepNext w:val="0"/>
        <w:pageBreakBefore w:val="0"/>
        <w:spacing w:line="324" w:lineRule="auto"/>
        <w:widowControl w:val="off"/>
        <w:rPr>
          <w:rFonts w:hint="default"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评分标准</w:t>
      </w:r>
      <w:r/>
    </w:p>
    <w:tbl>
      <w:tblPr>
        <w:tblStyle w:val="686"/>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bottom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tc>
        <w:tc>
          <w:tcPr>
            <w:tcBorders>
              <w:bottom w:val="single" w:color="auto" w:sz="4" w:space="0"/>
            </w:tcBorders>
            <w:tcW w:w="6588"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c>
          <w:tcPr>
            <w:tcBorders>
              <w:bottom w:val="single" w:color="auto" w:sz="4" w:space="0"/>
            </w:tcBorders>
            <w:tcW w:w="73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jc w:val="center"/>
          <w:trHeight w:val="472"/>
        </w:trPr>
        <w:tc>
          <w:tcPr>
            <w:tcBorders>
              <w:top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价格评分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30分）</w:t>
            </w:r>
            <w:r/>
          </w:p>
        </w:tc>
        <w:tc>
          <w:tcPr>
            <w:tcBorders>
              <w:top w:val="single" w:color="auto" w:sz="4" w:space="0"/>
            </w:tcBorders>
            <w:tcW w:w="6588"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满足招标文件设备性能要求且投标价格最低的投标报价为评标基准价，其价格分为满分。其他投标人的价格分统一按照下列公式计算：</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投标报价得分=(评标基准价／投标报价)×价格分值，小数点保留2位</w:t>
            </w:r>
            <w:r/>
          </w:p>
        </w:tc>
        <w:tc>
          <w:tcPr>
            <w:tcBorders>
              <w:top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r>
      <w:tr>
        <w:trPr>
          <w:jc w:val="center"/>
          <w:trHeight w:val="1408"/>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技术参数（2</w:t>
            </w:r>
            <w:r>
              <w:rPr>
                <w:rFonts w:hint="eastAsia" w:ascii="仿宋" w:hAnsi="仿宋" w:eastAsia="仿宋" w:cs="仿宋"/>
                <w:color w:val="auto"/>
                <w:sz w:val="24"/>
                <w:szCs w:val="24"/>
                <w:highlight w:val="none"/>
              </w:rPr>
              <w:t xml:space="preserve">0分</w:t>
            </w:r>
            <w:r>
              <w:rPr>
                <w:rFonts w:hint="eastAsia" w:ascii="仿宋" w:hAnsi="仿宋" w:eastAsia="仿宋" w:cs="仿宋"/>
                <w:color w:val="auto"/>
                <w:sz w:val="24"/>
                <w:szCs w:val="24"/>
                <w:highlight w:val="none"/>
                <w:lang w:val="en-US" w:eastAsia="zh-CN"/>
              </w:rPr>
              <w:t xml:space="preserve">）</w:t>
            </w:r>
            <w:r/>
          </w:p>
        </w:tc>
        <w:tc>
          <w:tcPr>
            <w:tcBorders>
              <w:top w:val="single" w:color="auto" w:sz="4" w:space="0"/>
            </w:tcBorders>
            <w:tcW w:w="6588"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投标人所投产品的技术参数与招标文件第五章“二、产品清单及技术参数”中标注“▲”要求相比较，以</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0分为基数，有1项负偏离扣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超10项负偏离此项得0分；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与</w:t>
            </w:r>
            <w:r>
              <w:rPr>
                <w:rFonts w:hint="eastAsia" w:ascii="仿宋" w:hAnsi="仿宋" w:eastAsia="仿宋" w:cs="仿宋"/>
                <w:color w:val="auto"/>
                <w:sz w:val="24"/>
                <w:szCs w:val="24"/>
                <w:highlight w:val="none"/>
                <w:lang w:eastAsia="zh-CN"/>
              </w:rPr>
              <w:t xml:space="preserve">未标注“▲”要求相比较，有1项负偏离扣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负偏离超过20项得0分</w:t>
            </w:r>
            <w:r>
              <w:rPr>
                <w:rFonts w:hint="eastAsia" w:ascii="仿宋" w:hAnsi="仿宋" w:eastAsia="仿宋" w:cs="仿宋"/>
                <w:color w:val="auto"/>
                <w:sz w:val="24"/>
                <w:szCs w:val="24"/>
                <w:highlight w:val="none"/>
                <w:lang w:eastAsia="zh-CN"/>
              </w:rPr>
              <w:t xml:space="preserve">。</w:t>
            </w:r>
            <w:r/>
          </w:p>
        </w:tc>
        <w:tc>
          <w:tcPr>
            <w:tcBorders>
              <w:top w:val="single" w:color="auto" w:sz="4" w:space="0"/>
              <w:bottom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r>
      <w:tr>
        <w:trPr>
          <w:jc w:val="center"/>
          <w:trHeight w:val="824"/>
        </w:trPr>
        <w:tc>
          <w:tcPr>
            <w:tcBorders>
              <w:top w:val="single" w:color="auto" w:sz="4" w:space="0"/>
              <w:bottom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auto" w:sz="4" w:space="0"/>
              <w:bottom w:val="single" w:color="auto" w:sz="4" w:space="0"/>
            </w:tcBorders>
            <w:tcW w:w="6588"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提供的项目实施方案内容的完整性及进度计划安排的合理性进行打分，包括但不限于投标人如何在成交后有效地组织技术和人员力量，按时保质地完成供货、安装、验收等。</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实施方案内容完整、进度计划安排合理、优于采购人需求的得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w:t>
            </w:r>
            <w:r>
              <w:rPr>
                <w:rFonts w:hint="eastAsia" w:ascii="仿宋" w:hAnsi="仿宋" w:eastAsia="仿宋" w:cs="仿宋"/>
                <w:color w:val="auto"/>
                <w:sz w:val="24"/>
                <w:szCs w:val="24"/>
                <w:highlight w:val="none"/>
                <w:lang w:val="en-US" w:eastAsia="zh-CN"/>
              </w:rPr>
              <w:t xml:space="preserve">完整</w:t>
            </w:r>
            <w:r>
              <w:rPr>
                <w:rFonts w:hint="eastAsia" w:ascii="仿宋" w:hAnsi="仿宋" w:eastAsia="仿宋" w:cs="仿宋"/>
                <w:color w:val="auto"/>
                <w:sz w:val="24"/>
                <w:szCs w:val="24"/>
                <w:highlight w:val="none"/>
              </w:rPr>
              <w:t xml:space="preserve">、进度计划安排</w:t>
            </w:r>
            <w:r>
              <w:rPr>
                <w:rFonts w:hint="eastAsia" w:ascii="仿宋" w:hAnsi="仿宋" w:eastAsia="仿宋" w:cs="仿宋"/>
                <w:color w:val="auto"/>
                <w:sz w:val="24"/>
                <w:szCs w:val="24"/>
                <w:highlight w:val="none"/>
                <w:lang w:val="en-US" w:eastAsia="zh-CN"/>
              </w:rPr>
              <w:t xml:space="preserve">合理、</w:t>
            </w:r>
            <w:r>
              <w:rPr>
                <w:rFonts w:hint="eastAsia" w:ascii="仿宋" w:hAnsi="仿宋" w:eastAsia="仿宋" w:cs="仿宋"/>
                <w:color w:val="auto"/>
                <w:sz w:val="24"/>
                <w:szCs w:val="24"/>
                <w:highlight w:val="none"/>
              </w:rPr>
              <w:t xml:space="preserve">较好满足采购人需求的得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实施方案内容较</w:t>
            </w:r>
            <w:r>
              <w:rPr>
                <w:rFonts w:hint="eastAsia" w:ascii="仿宋" w:hAnsi="仿宋" w:eastAsia="仿宋" w:cs="仿宋"/>
                <w:color w:val="auto"/>
                <w:sz w:val="24"/>
                <w:szCs w:val="24"/>
                <w:highlight w:val="none"/>
                <w:lang w:val="en-US" w:eastAsia="zh-CN"/>
              </w:rPr>
              <w:t xml:space="preserve">完整</w:t>
            </w:r>
            <w:r>
              <w:rPr>
                <w:rFonts w:hint="eastAsia" w:ascii="仿宋" w:hAnsi="仿宋" w:eastAsia="仿宋" w:cs="仿宋"/>
                <w:color w:val="auto"/>
                <w:sz w:val="24"/>
                <w:szCs w:val="24"/>
                <w:highlight w:val="none"/>
              </w:rPr>
              <w:t xml:space="preserve">、进度计划安排</w:t>
            </w:r>
            <w:r>
              <w:rPr>
                <w:rFonts w:hint="eastAsia" w:ascii="仿宋" w:hAnsi="仿宋" w:eastAsia="仿宋" w:cs="仿宋"/>
                <w:color w:val="auto"/>
                <w:sz w:val="24"/>
                <w:szCs w:val="24"/>
                <w:highlight w:val="none"/>
                <w:lang w:val="en-US" w:eastAsia="zh-CN"/>
              </w:rPr>
              <w:t xml:space="preserve">较合理</w:t>
            </w:r>
            <w:r>
              <w:rPr>
                <w:rFonts w:hint="eastAsia" w:ascii="仿宋" w:hAnsi="仿宋" w:eastAsia="仿宋" w:cs="仿宋"/>
                <w:color w:val="auto"/>
                <w:sz w:val="24"/>
                <w:szCs w:val="24"/>
                <w:highlight w:val="none"/>
              </w:rPr>
              <w:t xml:space="preserve">、满足采购人需求的得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实施方案内容一般、进度计划安排一般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满足采购人一般需求的得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p>
        </w:tc>
        <w:tc>
          <w:tcPr>
            <w:tcBorders>
              <w:top w:val="single" w:color="auto" w:sz="4" w:space="0"/>
              <w:bottom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3204"/>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培训方案情况比较：包括培训步骤、培训计划、培训记录表等。</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培训方案详细具体，可行性高，优于项目需求的得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培训方案详细具体，可行性高，</w:t>
            </w:r>
            <w:r>
              <w:rPr>
                <w:rFonts w:hint="eastAsia" w:ascii="仿宋" w:hAnsi="仿宋" w:eastAsia="仿宋" w:cs="仿宋"/>
                <w:color w:val="auto"/>
                <w:sz w:val="24"/>
                <w:szCs w:val="24"/>
                <w:highlight w:val="none"/>
                <w:lang w:val="en-US" w:eastAsia="zh-CN"/>
              </w:rPr>
              <w:t xml:space="preserve">较好满足</w:t>
            </w:r>
            <w:r>
              <w:rPr>
                <w:rFonts w:hint="eastAsia" w:ascii="仿宋" w:hAnsi="仿宋" w:eastAsia="仿宋" w:cs="仿宋"/>
                <w:color w:val="auto"/>
                <w:sz w:val="24"/>
                <w:szCs w:val="24"/>
                <w:highlight w:val="none"/>
              </w:rPr>
              <w:t xml:space="preserve">项目需求的得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培训方案较为详细具体，可行性较高，满足项目需求的得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培训方案一般，可行性一般，有所欠缺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满足项目一般需求的得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r>
      <w:tr>
        <w:trPr>
          <w:jc w:val="center"/>
          <w:trHeight w:val="3925"/>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售后服务管理体系方案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针对本项目制定的售后服务管理体系方案，包括售后服务人员、服务机制、响应时间、故障解决等内容的合理性和可行性。</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售后服务方案完整合理，可行性高，优于项目需求的得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售后服务方案完整合理，可行性高，</w:t>
            </w:r>
            <w:r>
              <w:rPr>
                <w:rFonts w:hint="eastAsia" w:ascii="仿宋" w:hAnsi="仿宋" w:eastAsia="仿宋" w:cs="仿宋"/>
                <w:color w:val="auto"/>
                <w:sz w:val="24"/>
                <w:szCs w:val="24"/>
                <w:highlight w:val="none"/>
                <w:lang w:val="en-US" w:eastAsia="zh-CN"/>
              </w:rPr>
              <w:t xml:space="preserve">较好满足</w:t>
            </w:r>
            <w:r>
              <w:rPr>
                <w:rFonts w:hint="eastAsia" w:ascii="仿宋" w:hAnsi="仿宋" w:eastAsia="仿宋" w:cs="仿宋"/>
                <w:color w:val="auto"/>
                <w:sz w:val="24"/>
                <w:szCs w:val="24"/>
                <w:highlight w:val="none"/>
              </w:rPr>
              <w:t xml:space="preserve">项目需求的得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售后服务方案较为完整合理，可行性较高，满足项目需求的得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售后服务方案一般，可行性一般，有所欠缺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满足项目一般需求的得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3311"/>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质保期满后维保</w:t>
            </w:r>
            <w:r>
              <w:rPr>
                <w:rFonts w:hint="eastAsia" w:ascii="仿宋" w:hAnsi="仿宋" w:eastAsia="仿宋" w:cs="仿宋"/>
                <w:color w:val="auto"/>
                <w:sz w:val="24"/>
                <w:szCs w:val="24"/>
                <w:highlight w:val="none"/>
                <w:lang w:eastAsia="zh-CN"/>
              </w:rPr>
              <w:t xml:space="preserve">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质保期满后维保</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提供零配件和维修备品备件的供应保障和维保期满后维保收费及维保方案内容完整清晰，优于项目需求的得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提供零配件和维修备品备件的供应保障和维保期满后维保收费及维保方案内容完整清晰，</w:t>
            </w:r>
            <w:r>
              <w:rPr>
                <w:rFonts w:hint="eastAsia" w:ascii="仿宋" w:hAnsi="仿宋" w:eastAsia="仿宋" w:cs="仿宋"/>
                <w:color w:val="auto"/>
                <w:sz w:val="24"/>
                <w:szCs w:val="24"/>
                <w:highlight w:val="none"/>
                <w:lang w:val="en-US" w:eastAsia="zh-CN"/>
              </w:rPr>
              <w:t xml:space="preserve">较好满足</w:t>
            </w:r>
            <w:r>
              <w:rPr>
                <w:rFonts w:hint="eastAsia" w:ascii="仿宋" w:hAnsi="仿宋" w:eastAsia="仿宋" w:cs="仿宋"/>
                <w:color w:val="auto"/>
                <w:sz w:val="24"/>
                <w:szCs w:val="24"/>
                <w:highlight w:val="none"/>
              </w:rPr>
              <w:t xml:space="preserve">项目需求的得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零配件和维修备品备件的供应保障和维保期满后维保收费及维保方案内容较完整，满足项目需求的得4分；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零配件和维修备品备件的供应保障和维保期满后维保收费及维保方案内容介绍</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90"/>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投标人自2023年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月以来（时间以合同签订时间为准）承接过</w:t>
            </w:r>
            <w:r>
              <w:rPr>
                <w:rFonts w:hint="eastAsia" w:ascii="仿宋" w:hAnsi="仿宋" w:eastAsia="仿宋" w:cs="仿宋"/>
                <w:color w:val="auto"/>
                <w:sz w:val="24"/>
                <w:szCs w:val="24"/>
                <w:highlight w:val="none"/>
                <w:lang w:val="en-US" w:eastAsia="zh-CN"/>
              </w:rPr>
              <w:t xml:space="preserve">所投产品</w:t>
            </w:r>
            <w:r>
              <w:rPr>
                <w:rFonts w:hint="eastAsia" w:ascii="仿宋" w:hAnsi="仿宋" w:eastAsia="仿宋" w:cs="仿宋"/>
                <w:color w:val="auto"/>
                <w:sz w:val="24"/>
                <w:szCs w:val="24"/>
                <w:highlight w:val="none"/>
              </w:rPr>
              <w:t xml:space="preserve">类似项目成功案例的，每提供一个得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分，本项最多得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分，没有不得分。</w:t>
            </w:r>
            <w:r>
              <w:rPr>
                <w:rFonts w:hint="eastAsia" w:ascii="仿宋" w:hAnsi="仿宋" w:eastAsia="仿宋" w:cs="仿宋"/>
                <w:b/>
                <w:bCs/>
                <w:color w:val="auto"/>
                <w:sz w:val="24"/>
                <w:szCs w:val="24"/>
                <w:highlight w:val="none"/>
              </w:rPr>
              <w:t xml:space="preserve">（提供合同扫描件加盖投标人电子签章，合同须能反映采购人单位、项目名称、设备品牌型号、配置清单、签订时间、签章等所有要素清晰可见，提供不全或者不清晰不得分）</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r>
      <w:tr>
        <w:trPr>
          <w:jc w:val="center"/>
          <w:trHeight w:val="90"/>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售后</w:t>
            </w:r>
            <w:r>
              <w:rPr>
                <w:rFonts w:hint="eastAsia" w:ascii="仿宋" w:hAnsi="仿宋" w:eastAsia="仿宋" w:cs="仿宋"/>
                <w:color w:val="auto"/>
                <w:sz w:val="24"/>
                <w:highlight w:val="none"/>
                <w:lang w:val="en-US" w:eastAsia="zh-CN"/>
              </w:rPr>
              <w:t xml:space="preserve">响应时间</w:t>
            </w:r>
            <w:r/>
          </w:p>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（2分）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olor w:val="auto"/>
                <w:sz w:val="24"/>
                <w:highlight w:val="none"/>
              </w:rPr>
              <w:t xml:space="preserve">如发生故障，投标方接到故障报修后，2小时内响应，12小时内到位维修得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分；1小时内响应，6小时内到位维修得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分；最高得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rPr>
                <w:rFonts w:hint="eastAsia" w:ascii="仿宋" w:hAnsi="仿宋" w:eastAsia="仿宋"/>
                <w:b/>
                <w:bCs/>
                <w:color w:val="auto"/>
                <w:sz w:val="24"/>
                <w:highlight w:val="none"/>
              </w:rPr>
              <w:t xml:space="preserve">（提供承诺书原件</w:t>
            </w:r>
            <w:r>
              <w:rPr>
                <w:rFonts w:hint="eastAsia" w:ascii="仿宋" w:hAnsi="仿宋" w:eastAsia="仿宋" w:cs="仿宋"/>
                <w:b/>
                <w:bCs/>
                <w:color w:val="auto"/>
                <w:sz w:val="24"/>
                <w:szCs w:val="24"/>
                <w:highlight w:val="none"/>
              </w:rPr>
              <w:t xml:space="preserve">加盖投标人电子签章</w:t>
            </w:r>
            <w:r>
              <w:rPr>
                <w:rFonts w:hint="eastAsia" w:ascii="仿宋" w:hAnsi="仿宋" w:eastAsia="仿宋"/>
                <w:b/>
                <w:bCs/>
                <w:color w:val="auto"/>
                <w:sz w:val="24"/>
                <w:highlight w:val="none"/>
              </w:rPr>
              <w:t xml:space="preserve">，格式自拟）</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第四章  合同格式及条款</w:t>
      </w:r>
      <w:r/>
    </w:p>
    <w:p>
      <w:pPr>
        <w:ind w:firstLine="560"/>
        <w:spacing w:line="520" w:lineRule="exact"/>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注:以下为采购人提出中标后签订本项目合同的条款，投标人必须实质性响应，中标人不得提出实质性的修改，关于专用条款将由采购人与中标投标人结合本项目具体情况协商后签订。</w:t>
      </w:r>
      <w:r/>
    </w:p>
    <w:p>
      <w:pPr>
        <w:pStyle w:val="702"/>
        <w:jc w:val="cente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一、合同格式</w:t>
      </w:r>
      <w:r/>
    </w:p>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pStyle w:val="70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pStyle w:val="702"/>
        <w:ind w:firstLine="63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采购项目公开招标采购结果及招标文件的要求,经协商一致,达成如下购销合同:</w:t>
      </w:r>
      <w:r/>
    </w:p>
    <w:p>
      <w:pPr>
        <w:pStyle w:val="702"/>
        <w:ind w:left="-359"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highlight w:val="none"/>
        </w:rPr>
        <w:t xml:space="preserve">、货物及数量</w:t>
      </w:r>
      <w:r/>
    </w:p>
    <w:p>
      <w:pPr>
        <w:pStyle w:val="702"/>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本合同所提供的货物及数量详见“项目</w:t>
      </w:r>
      <w:r>
        <w:rPr>
          <w:rFonts w:hint="eastAsia" w:ascii="仿宋" w:hAnsi="仿宋" w:eastAsia="仿宋" w:cs="仿宋"/>
          <w:color w:val="auto"/>
          <w:sz w:val="28"/>
          <w:highlight w:val="none"/>
        </w:rPr>
        <w:t xml:space="preserve">采购需求</w:t>
      </w:r>
      <w:r>
        <w:rPr>
          <w:rFonts w:hint="eastAsia" w:ascii="仿宋" w:hAnsi="仿宋" w:eastAsia="仿宋" w:cs="仿宋"/>
          <w:color w:val="auto"/>
          <w:sz w:val="28"/>
          <w:szCs w:val="24"/>
          <w:highlight w:val="none"/>
        </w:rPr>
        <w:t xml:space="preserve">”。</w:t>
      </w:r>
      <w:r/>
    </w:p>
    <w:p>
      <w:pPr>
        <w:pStyle w:val="702"/>
        <w:ind w:left="-359"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二、合同金额</w:t>
      </w:r>
      <w:r/>
    </w:p>
    <w:p>
      <w:pPr>
        <w:pStyle w:val="702"/>
        <w:ind w:firstLine="495"/>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本合同的总金额(大写)为___________元人民币，分项价格详见乙方提交的投标报价明细表。</w:t>
      </w:r>
      <w:r/>
    </w:p>
    <w:p>
      <w:pPr>
        <w:pStyle w:val="702"/>
        <w:ind w:left="-359" w:firstLine="963"/>
        <w:spacing w:line="520" w:lineRule="exact"/>
        <w:rPr>
          <w:rFonts w:hint="eastAsia"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 xml:space="preserve">三、</w:t>
      </w:r>
      <w:r>
        <w:rPr>
          <w:rFonts w:hint="eastAsia" w:ascii="仿宋" w:hAnsi="仿宋" w:eastAsia="仿宋" w:cs="仿宋"/>
          <w:color w:val="auto"/>
          <w:sz w:val="28"/>
          <w:highlight w:val="none"/>
        </w:rPr>
        <w:t xml:space="preserve">供货时间和地点</w:t>
      </w:r>
      <w:r/>
    </w:p>
    <w:p>
      <w:pPr>
        <w:pStyle w:val="702"/>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本合同供货时间和地点在招标文件中有明确规定。</w:t>
      </w:r>
      <w:r/>
    </w:p>
    <w:p>
      <w:pPr>
        <w:pStyle w:val="702"/>
        <w:ind w:left="-357"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四、付款</w:t>
      </w:r>
      <w:r/>
    </w:p>
    <w:p>
      <w:pPr>
        <w:pStyle w:val="702"/>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本合同的付款条件在</w:t>
      </w:r>
      <w:r>
        <w:rPr>
          <w:rFonts w:hint="eastAsia" w:ascii="仿宋" w:hAnsi="仿宋" w:eastAsia="仿宋" w:cs="仿宋"/>
          <w:color w:val="auto"/>
          <w:sz w:val="28"/>
          <w:szCs w:val="28"/>
          <w:highlight w:val="none"/>
        </w:rPr>
        <w:t xml:space="preserve">招标文件</w:t>
      </w:r>
      <w:r>
        <w:rPr>
          <w:rFonts w:hint="eastAsia" w:ascii="仿宋" w:hAnsi="仿宋" w:eastAsia="仿宋" w:cs="仿宋"/>
          <w:color w:val="auto"/>
          <w:sz w:val="28"/>
          <w:szCs w:val="24"/>
          <w:highlight w:val="none"/>
        </w:rPr>
        <w:t xml:space="preserve">中有明确规定。</w:t>
      </w:r>
      <w:r/>
    </w:p>
    <w:p>
      <w:pPr>
        <w:pStyle w:val="702"/>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pStyle w:val="702"/>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六、履约保证金</w:t>
      </w:r>
      <w:r/>
    </w:p>
    <w:p>
      <w:pPr>
        <w:pStyle w:val="702"/>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本项目无需履约保证金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七、合同纠纷处理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处理: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八、合同生效及其它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本合同经甲、乙双方加盖电子签章后生效。如有变动，必须经甲方、乙方协商一致后，方可更改。</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九、组成本合同的文件包括</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pStyle w:val="70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2"/>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 xml:space="preserve">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 xml:space="preserve">乙</w:t>
      </w:r>
      <w:r>
        <w:rPr>
          <w:rFonts w:hint="eastAsia" w:ascii="仿宋" w:hAnsi="仿宋" w:eastAsia="仿宋" w:cs="仿宋"/>
          <w:color w:val="auto"/>
          <w:sz w:val="28"/>
          <w:szCs w:val="24"/>
          <w:highlight w:val="none"/>
        </w:rPr>
        <w:t xml:space="preserve">    方:</w:t>
      </w:r>
      <w:r/>
    </w:p>
    <w:p>
      <w:pPr>
        <w:pStyle w:val="702"/>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单位盖章:（电子签章）              单位盖章:（电子签章）</w:t>
      </w:r>
      <w:r/>
    </w:p>
    <w:p>
      <w:pPr>
        <w:pStyle w:val="702"/>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代表签字:                          代表签字:</w:t>
      </w:r>
      <w:r/>
    </w:p>
    <w:p>
      <w:pPr>
        <w:pStyle w:val="702"/>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签定日期:                          签定日期:</w:t>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both"/>
        <w:spacing w:line="520" w:lineRule="exact"/>
        <w:tabs>
          <w:tab w:val="left" w:pos="18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pStyle w:val="687"/>
        <w:rPr>
          <w:rFonts w:hint="eastAsia"/>
          <w:color w:val="auto"/>
          <w:highlight w:val="none"/>
        </w:rPr>
      </w:pPr>
      <w:r>
        <w:rPr>
          <w:rFonts w:hint="eastAsia"/>
          <w:color w:val="auto"/>
          <w:highlight w:val="none"/>
        </w:rPr>
      </w:r>
      <w:r/>
    </w:p>
    <w:p>
      <w:pPr>
        <w:ind w:left="0"/>
        <w:jc w:val="center"/>
        <w:keepLines w:val="0"/>
        <w:keepNext w:val="0"/>
        <w:pageBreakBefore w:val="0"/>
        <w:spacing w:line="324" w:lineRule="auto"/>
        <w:widowControl w:val="off"/>
        <w:tabs>
          <w:tab w:val="left" w:pos="180" w:leader="none"/>
        </w:tabs>
        <w:rPr>
          <w:rFonts w:hint="eastAsia" w:ascii="仿宋" w:hAnsi="仿宋" w:eastAsia="仿宋" w:cs="仿宋"/>
          <w:b/>
          <w:color w:val="auto"/>
          <w:sz w:val="36"/>
          <w:szCs w:val="36"/>
          <w:highlight w:val="none"/>
        </w:rPr>
      </w:pPr>
      <w:r>
        <w:rPr>
          <w:rFonts w:hint="eastAsia" w:ascii="仿宋" w:hAnsi="仿宋" w:eastAsia="仿宋" w:cs="仿宋"/>
          <w:b/>
          <w:bCs/>
          <w:color w:val="auto"/>
          <w:sz w:val="32"/>
          <w:szCs w:val="32"/>
          <w:highlight w:val="none"/>
        </w:rPr>
        <w:t xml:space="preserve">合同格式及条款</w:t>
      </w:r>
      <w:r/>
    </w:p>
    <w:p>
      <w:pPr>
        <w:ind w:left="0"/>
        <w:jc w:val="center"/>
        <w:keepLines w:val="0"/>
        <w:keepNext w:val="0"/>
        <w:pageBreakBefore w:val="0"/>
        <w:spacing w:line="324" w:lineRule="auto"/>
        <w:widowControl w:val="off"/>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bookmarkStart w:id="36" w:name="_Toc20823315"/>
      <w:r/>
      <w:bookmarkStart w:id="37" w:name="_Toc513029243"/>
      <w:r/>
      <w:bookmarkStart w:id="38" w:name="_Toc16938559"/>
      <w:r>
        <w:rPr>
          <w:rFonts w:hint="eastAsia" w:ascii="仿宋" w:hAnsi="仿宋" w:eastAsia="仿宋" w:cs="仿宋"/>
          <w:b/>
          <w:color w:val="auto"/>
          <w:sz w:val="28"/>
          <w:szCs w:val="28"/>
          <w:highlight w:val="none"/>
        </w:rPr>
        <w:t xml:space="preserve">淮安市政府采购合同（</w:t>
      </w:r>
      <w:r>
        <w:rPr>
          <w:rFonts w:hint="eastAsia" w:ascii="仿宋" w:hAnsi="仿宋" w:eastAsia="仿宋" w:cs="仿宋"/>
          <w:b/>
          <w:color w:val="auto"/>
          <w:sz w:val="28"/>
          <w:szCs w:val="28"/>
          <w:highlight w:val="none"/>
          <w:lang w:val="en-US" w:eastAsia="zh-CN"/>
        </w:rPr>
        <w:t xml:space="preserve">货物</w:t>
      </w:r>
      <w:r>
        <w:rPr>
          <w:rFonts w:hint="eastAsia" w:ascii="仿宋" w:hAnsi="仿宋" w:eastAsia="仿宋" w:cs="仿宋"/>
          <w:b/>
          <w:color w:val="auto"/>
          <w:sz w:val="28"/>
          <w:szCs w:val="28"/>
          <w:highlight w:val="none"/>
        </w:rPr>
        <w:t xml:space="preserve">）（合同编号：    ）</w:t>
      </w:r>
      <w:r/>
    </w:p>
    <w:p>
      <w:pPr>
        <w:ind w:left="0"/>
        <w:jc w:val="left"/>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甲方：_________</w:t>
      </w:r>
      <w:r/>
    </w:p>
    <w:p>
      <w:pPr>
        <w:ind w:left="0"/>
        <w:jc w:val="left"/>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乙方：_________</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淮安市清江浦区城南街道社区卫生服务中心医疗设备采购项目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项目公开招标的结果，签署本合同。</w:t>
      </w:r>
      <w:bookmarkEnd w:id="36"/>
      <w:r/>
      <w:bookmarkEnd w:id="37"/>
      <w:r/>
      <w:bookmarkEnd w:id="38"/>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en-US" w:eastAsia="zh-CN"/>
        </w:rPr>
        <w:t xml:space="preserve">淮安市清江浦区城南街道社区卫生服务中心</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left="0" w:firstLine="560"/>
        <w:keepLines w:val="0"/>
        <w:keepNext w:val="0"/>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甲、乙双方秉持公平、公正、自愿原则就</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淮安市清江浦区城南街道社区卫生服务中心医疗设备采购项目</w:t>
      </w:r>
      <w:r>
        <w:rPr>
          <w:rFonts w:hint="eastAsia" w:ascii="仿宋" w:hAnsi="仿宋" w:eastAsia="仿宋" w:cs="仿宋"/>
          <w:color w:val="auto"/>
          <w:sz w:val="28"/>
          <w:szCs w:val="28"/>
          <w:highlight w:val="none"/>
        </w:rPr>
        <w:t xml:space="preserve">的招标采购结果，根据《中华人民共和国民法典》的规定，签订本合同。</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一、设备名称、型号、数量和价格。</w:t>
      </w:r>
      <w:r/>
    </w:p>
    <w:tbl>
      <w:tblPr>
        <w:tblStyle w:val="984"/>
        <w:tblW w:w="9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3"/>
        <w:gridCol w:w="1396"/>
        <w:gridCol w:w="1200"/>
        <w:gridCol w:w="1220"/>
        <w:gridCol w:w="580"/>
        <w:gridCol w:w="620"/>
        <w:gridCol w:w="1420"/>
        <w:gridCol w:w="1434"/>
        <w:gridCol w:w="1000"/>
      </w:tblGrid>
      <w:tr>
        <w:trPr>
          <w:jc w:val="center"/>
          <w:trHeight w:val="340" w:hRule="exact"/>
        </w:trPr>
        <w:tc>
          <w:tcPr>
            <w:tcW w:w="453"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序号</w:t>
            </w:r>
            <w:r/>
          </w:p>
        </w:tc>
        <w:tc>
          <w:tcPr>
            <w:tcW w:w="1396"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设备名称</w:t>
            </w:r>
            <w:r/>
          </w:p>
        </w:tc>
        <w:tc>
          <w:tcPr>
            <w:tcW w:w="120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品牌型号</w:t>
            </w:r>
            <w:r/>
          </w:p>
        </w:tc>
        <w:tc>
          <w:tcPr>
            <w:tcW w:w="122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规格参数</w:t>
            </w:r>
            <w:r/>
          </w:p>
        </w:tc>
        <w:tc>
          <w:tcPr>
            <w:tcW w:w="58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单位</w:t>
            </w:r>
            <w:r/>
          </w:p>
        </w:tc>
        <w:tc>
          <w:tcPr>
            <w:tcW w:w="62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数量</w:t>
            </w:r>
            <w:r/>
          </w:p>
        </w:tc>
        <w:tc>
          <w:tcPr>
            <w:tcW w:w="142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投标单价(元）</w:t>
            </w:r>
            <w:r/>
          </w:p>
        </w:tc>
        <w:tc>
          <w:tcPr>
            <w:tcW w:w="1434"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小计</w:t>
            </w:r>
            <w:r/>
          </w:p>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(元)</w:t>
            </w:r>
            <w:r/>
          </w:p>
        </w:tc>
        <w:tc>
          <w:tcPr>
            <w:tcW w:w="100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备注</w:t>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1</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3</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4</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34"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00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5</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6</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7</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8</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9</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10</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11</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12</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13</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r>
      <w:tr>
        <w:trPr>
          <w:jc w:val="center"/>
          <w:trHeight w:val="340" w:hRule="exact"/>
        </w:trPr>
        <w:tc>
          <w:tcPr>
            <w:gridSpan w:val="9"/>
            <w:tcW w:w="932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合计：大写人民币</w:t>
            </w:r>
            <w:r>
              <w:rPr>
                <w:rFonts w:hint="eastAsia" w:ascii="仿宋" w:hAnsi="仿宋" w:eastAsia="仿宋" w:cs="仿宋"/>
                <w:color w:val="auto"/>
                <w:spacing w:val="-2"/>
                <w:sz w:val="24"/>
                <w:szCs w:val="24"/>
                <w:highlight w:val="none"/>
                <w:lang w:val="en-US" w:eastAsia="zh-CN"/>
              </w:rPr>
              <w:t xml:space="preserve">     </w:t>
            </w:r>
            <w:r>
              <w:rPr>
                <w:rFonts w:hint="eastAsia" w:ascii="仿宋" w:hAnsi="仿宋" w:eastAsia="仿宋" w:cs="仿宋"/>
                <w:color w:val="auto"/>
                <w:spacing w:val="-2"/>
                <w:sz w:val="24"/>
                <w:szCs w:val="24"/>
                <w:highlight w:val="none"/>
              </w:rPr>
              <w:t xml:space="preserve">小写</w:t>
            </w:r>
            <w:r>
              <w:rPr>
                <w:rFonts w:hint="eastAsia" w:ascii="仿宋" w:hAnsi="仿宋" w:eastAsia="仿宋" w:cs="仿宋"/>
                <w:color w:val="auto"/>
                <w:spacing w:val="-2"/>
                <w:sz w:val="24"/>
                <w:szCs w:val="24"/>
                <w:highlight w:val="none"/>
                <w:lang w:val="en-US" w:eastAsia="zh-CN"/>
              </w:rPr>
              <w:t xml:space="preserve">     </w:t>
            </w:r>
            <w:r>
              <w:rPr>
                <w:rFonts w:hint="eastAsia" w:ascii="仿宋" w:hAnsi="仿宋" w:eastAsia="仿宋" w:cs="仿宋"/>
                <w:color w:val="auto"/>
                <w:spacing w:val="-2"/>
                <w:sz w:val="24"/>
                <w:szCs w:val="24"/>
                <w:highlight w:val="none"/>
              </w:rPr>
              <w:t xml:space="preserve">(¥)</w:t>
            </w:r>
            <w:r/>
          </w:p>
        </w:tc>
      </w:tr>
    </w:tbl>
    <w:p>
      <w:pPr>
        <w:ind w:left="0" w:firstLine="560"/>
        <w:keepLines w:val="0"/>
        <w:keepNext w:val="0"/>
        <w:pageBreakBefore w:val="0"/>
        <w:spacing w:line="324"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二、交货日期及地点：合同签订后，乙方接到甲方发货通知之日起</w:t>
      </w:r>
      <w:r>
        <w:rPr>
          <w:rFonts w:hint="eastAsia" w:ascii="仿宋" w:hAnsi="仿宋" w:eastAsia="仿宋" w:cs="仿宋"/>
          <w:bCs/>
          <w:color w:val="auto"/>
          <w:sz w:val="28"/>
          <w:szCs w:val="28"/>
          <w:highlight w:val="none"/>
          <w:u w:val="single"/>
          <w:lang w:val="en-US" w:eastAsia="zh-CN"/>
        </w:rPr>
        <w:t xml:space="preserve">30</w:t>
      </w:r>
      <w:r>
        <w:rPr>
          <w:rFonts w:hint="eastAsia" w:ascii="仿宋" w:hAnsi="仿宋" w:eastAsia="仿宋" w:cs="仿宋"/>
          <w:bCs/>
          <w:color w:val="auto"/>
          <w:sz w:val="28"/>
          <w:szCs w:val="28"/>
          <w:highlight w:val="none"/>
        </w:rPr>
        <w:t xml:space="preserve">天之内安装调试培训完毕，乙方负责将货物运抵</w:t>
      </w:r>
      <w:r>
        <w:rPr>
          <w:rFonts w:hint="eastAsia" w:ascii="仿宋" w:hAnsi="仿宋" w:eastAsia="仿宋" w:cs="仿宋"/>
          <w:bCs/>
          <w:color w:val="auto"/>
          <w:sz w:val="28"/>
          <w:szCs w:val="28"/>
          <w:highlight w:val="none"/>
          <w:lang w:val="en-US" w:eastAsia="zh-CN"/>
        </w:rPr>
        <w:t xml:space="preserve">甲方</w:t>
      </w:r>
      <w:r>
        <w:rPr>
          <w:rFonts w:hint="eastAsia" w:ascii="仿宋" w:hAnsi="仿宋" w:eastAsia="仿宋" w:cs="仿宋"/>
          <w:bCs/>
          <w:color w:val="auto"/>
          <w:sz w:val="28"/>
          <w:szCs w:val="28"/>
          <w:highlight w:val="none"/>
        </w:rPr>
        <w:t xml:space="preserve">指定地点。如乙方逾期交货，则每日按合同总额0.5%承担违约金</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最高不超过</w:t>
      </w:r>
      <w:r>
        <w:rPr>
          <w:rFonts w:hint="eastAsia" w:ascii="仿宋" w:hAnsi="仿宋" w:eastAsia="仿宋" w:cs="仿宋"/>
          <w:bCs/>
          <w:color w:val="auto"/>
          <w:sz w:val="28"/>
          <w:szCs w:val="28"/>
          <w:highlight w:val="none"/>
        </w:rPr>
        <w:t xml:space="preserve">合同总额</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，违约金、应退差价等金钱债务甲方均可以在每次应付款中直接扣除</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期间产生的所有相关费用由乙方承担。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三、设备保修期：</w:t>
      </w:r>
      <w:r>
        <w:rPr>
          <w:rFonts w:hint="eastAsia" w:ascii="仿宋" w:hAnsi="仿宋" w:eastAsia="仿宋" w:cs="仿宋"/>
          <w:b/>
          <w:bCs w:val="0"/>
          <w:color w:val="auto"/>
          <w:sz w:val="28"/>
          <w:szCs w:val="28"/>
          <w:highlight w:val="none"/>
        </w:rPr>
        <w:t xml:space="preserve">自设备验收合格之日起</w:t>
      </w:r>
      <w:r>
        <w:rPr>
          <w:rFonts w:hint="eastAsia" w:ascii="仿宋" w:hAnsi="仿宋" w:eastAsia="仿宋" w:cs="仿宋"/>
          <w:b/>
          <w:bCs w:val="0"/>
          <w:color w:val="auto"/>
          <w:sz w:val="28"/>
          <w:szCs w:val="28"/>
          <w:highlight w:val="none"/>
          <w:lang w:val="en-US" w:eastAsia="zh-CN"/>
        </w:rPr>
        <w:t xml:space="preserve">三年</w:t>
      </w:r>
      <w:r>
        <w:rPr>
          <w:rFonts w:hint="eastAsia" w:ascii="仿宋" w:hAnsi="仿宋" w:eastAsia="仿宋" w:cs="仿宋"/>
          <w:bCs/>
          <w:color w:val="auto"/>
          <w:sz w:val="28"/>
          <w:szCs w:val="28"/>
          <w:highlight w:val="none"/>
        </w:rPr>
        <w:t xml:space="preserve">（以甲方验收单双方签字日期为准），乙方承诺提供免费保修，保修期外乙方负责对本设备维护免人工服务费，只收取配件费，软件终生免费升级。</w:t>
      </w:r>
      <w:r/>
    </w:p>
    <w:p>
      <w:pPr>
        <w:ind w:left="0" w:firstLine="562"/>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
          <w:bCs/>
          <w:color w:val="auto"/>
          <w:sz w:val="28"/>
          <w:szCs w:val="28"/>
          <w:highlight w:val="none"/>
        </w:rPr>
        <w:t xml:space="preserve">四、</w:t>
      </w:r>
      <w:r>
        <w:rPr>
          <w:rFonts w:hint="eastAsia" w:ascii="仿宋" w:hAnsi="仿宋" w:eastAsia="仿宋" w:cs="仿宋"/>
          <w:bCs/>
          <w:color w:val="auto"/>
          <w:sz w:val="28"/>
          <w:szCs w:val="28"/>
          <w:highlight w:val="none"/>
        </w:rPr>
        <w:t xml:space="preserve">付款方法：</w:t>
      </w:r>
      <w:r>
        <w:rPr>
          <w:rFonts w:hint="eastAsia" w:ascii="仿宋" w:hAnsi="仿宋" w:eastAsia="仿宋" w:cs="仿宋"/>
          <w:bCs/>
          <w:color w:val="auto"/>
          <w:sz w:val="28"/>
          <w:szCs w:val="28"/>
          <w:highlight w:val="none"/>
          <w:lang w:val="en-US" w:eastAsia="zh-CN"/>
        </w:rPr>
        <w:t xml:space="preserve">合同签订后15日内预付合同款项的40%，货到安装、验收合格，设备正常使用，采购人自验收合格之日起15日内一次性付清剩余货款。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五</w:t>
      </w:r>
      <w:r>
        <w:rPr>
          <w:rFonts w:hint="eastAsia" w:ascii="仿宋" w:hAnsi="仿宋" w:eastAsia="仿宋" w:cs="仿宋"/>
          <w:bCs/>
          <w:color w:val="auto"/>
          <w:sz w:val="28"/>
          <w:szCs w:val="28"/>
          <w:highlight w:val="none"/>
        </w:rPr>
        <w:t xml:space="preserve">、乙方必须提供和达到的资质、质量要求及技术标准</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1.特别提醒条款：</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⑴发票所列品名和型号必须与合同所列品名和型号完全一致；</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⑵</w:t>
      </w:r>
      <w:r>
        <w:rPr>
          <w:rFonts w:hint="eastAsia" w:ascii="仿宋" w:hAnsi="仿宋" w:eastAsia="仿宋" w:cs="仿宋"/>
          <w:color w:val="auto"/>
          <w:sz w:val="28"/>
          <w:szCs w:val="28"/>
          <w:highlight w:val="none"/>
          <w:lang w:eastAsia="zh-CN"/>
        </w:rPr>
        <w:t xml:space="preserve">其他未</w:t>
      </w:r>
      <w:r>
        <w:rPr>
          <w:rFonts w:hint="eastAsia" w:ascii="仿宋" w:hAnsi="仿宋" w:eastAsia="仿宋" w:cs="仿宋"/>
          <w:bCs/>
          <w:color w:val="auto"/>
          <w:sz w:val="28"/>
          <w:szCs w:val="28"/>
          <w:highlight w:val="none"/>
        </w:rPr>
        <w:t xml:space="preserve">提及事项必须符合市场监督管理局的相关规定，未满足以上条款引起的一切责任由乙方承担。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2.乙方保证向甲方提供的设备满足中国国家标准或相关行业标准（以较严格标准为准）。根据国家规定，如需要提供3C认证证书和标记的设备及有关配置，乙方必须提供上述证书和标记。</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3.乙方保证所提供设备型号是最新款，且</w:t>
      </w:r>
      <w:r>
        <w:rPr>
          <w:rFonts w:hint="eastAsia" w:ascii="仿宋" w:hAnsi="仿宋" w:eastAsia="仿宋" w:cs="仿宋"/>
          <w:bCs/>
          <w:color w:val="auto"/>
          <w:sz w:val="28"/>
          <w:szCs w:val="28"/>
          <w:highlight w:val="none"/>
          <w:lang w:eastAsia="zh-CN"/>
        </w:rPr>
        <w:t xml:space="preserve">使用</w:t>
      </w:r>
      <w:r>
        <w:rPr>
          <w:rFonts w:hint="eastAsia" w:ascii="仿宋" w:hAnsi="仿宋" w:eastAsia="仿宋" w:cs="仿宋"/>
          <w:bCs/>
          <w:color w:val="auto"/>
          <w:sz w:val="28"/>
          <w:szCs w:val="28"/>
          <w:highlight w:val="none"/>
        </w:rPr>
        <w:t xml:space="preserve">优质材料和工艺制成、全新、并严格保持原包装，否则造成的一切损失由乙方承担。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4.乙方提供的设备如验收不合格，乙方必须无条件换货或退货，由此引起的一切损失由乙方承担。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六</w:t>
      </w:r>
      <w:r>
        <w:rPr>
          <w:rFonts w:hint="eastAsia" w:ascii="仿宋" w:hAnsi="仿宋" w:eastAsia="仿宋" w:cs="仿宋"/>
          <w:bCs/>
          <w:color w:val="auto"/>
          <w:sz w:val="28"/>
          <w:szCs w:val="28"/>
          <w:highlight w:val="none"/>
        </w:rPr>
        <w:t xml:space="preserve">、设备到货安装和验收要求：</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1.设备</w:t>
      </w:r>
      <w:r>
        <w:rPr>
          <w:rFonts w:hint="eastAsia" w:ascii="仿宋" w:hAnsi="仿宋" w:eastAsia="仿宋" w:cs="仿宋"/>
          <w:bCs/>
          <w:color w:val="auto"/>
          <w:sz w:val="28"/>
          <w:szCs w:val="28"/>
          <w:highlight w:val="none"/>
          <w:lang w:val="en-US" w:eastAsia="zh-CN"/>
        </w:rPr>
        <w:t xml:space="preserve">发货、运输、接收均由乙方负责，甲方不负责接收和保管。</w:t>
      </w:r>
      <w:r>
        <w:rPr>
          <w:rFonts w:hint="eastAsia" w:ascii="仿宋" w:hAnsi="仿宋" w:eastAsia="仿宋" w:cs="仿宋"/>
          <w:bCs/>
          <w:color w:val="auto"/>
          <w:sz w:val="28"/>
          <w:szCs w:val="28"/>
          <w:highlight w:val="none"/>
        </w:rPr>
        <w:t xml:space="preserve">设备到货后，乙方负责设备的免费安装和调试。设备安装时，乙方必须和甲方的设备科联系，在设备科的共同参与下对设备进行安装和调试，否则引起的一切责任由乙方承担。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安装验收时，双方需一起现场开箱验货，按招标技术参数要求和响应文件及其承诺内容，验收合格后，填写医疗设备验收报告单，双方签字确认，使用科室办理入库手续，如发现货物短缺、质次、损坏和规格不符等问题，应作详细记录，由乙方立即无条件调换或补齐，同时由乙方承担因此而造成的一切损失。</w:t>
      </w:r>
      <w:bookmarkStart w:id="43" w:name="_GoBack"/>
      <w:r/>
      <w:bookmarkEnd w:id="43"/>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3.乙方所提供的设备如设有维修软件密码，乙方保证无条件为甲方永久免费开放及升级。</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4.设备安装、调试结束后，甲方对设备试用后进行验收（时间由双方共同商定），乙方须派工程师到现场协助验收、培训工作，确保设备安全有效运行。</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5.乙方提供的包内所有产品均须验收合格，如包内任一产品验收不合格视同于整包验收不合格。</w:t>
      </w:r>
      <w:r/>
    </w:p>
    <w:p>
      <w:pPr>
        <w:ind w:left="0" w:firstLine="560"/>
        <w:keepLines w:val="0"/>
        <w:keepNext w:val="0"/>
        <w:pageBreakBefore w:val="0"/>
        <w:spacing w:line="312" w:lineRule="auto"/>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注：采购人在收到投标人申请后3个工作日内组织履约验收。采购人在验收后2个工作日内出具验收书。</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七</w:t>
      </w:r>
      <w:r>
        <w:rPr>
          <w:rFonts w:hint="eastAsia" w:ascii="仿宋" w:hAnsi="仿宋" w:eastAsia="仿宋" w:cs="仿宋"/>
          <w:bCs/>
          <w:color w:val="auto"/>
          <w:sz w:val="28"/>
          <w:szCs w:val="28"/>
          <w:highlight w:val="none"/>
        </w:rPr>
        <w:t xml:space="preserve">、售后服务要求：</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1.保修期内乙方应保证设备开机率达到95%。如设备故障或停机率超过5%（一年365天，累计故障时间天数达18天），每超过一天，保修期延长14个工作日。</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如设备发生故障，乙方在接到甲方报修电话后24小时内未予以实质性响应，甲方可自行采取必要的措施，由此产生的风险和费用由乙方承担。如有特殊情况，乙方应立即电话通知甲方，说明不能响应的原因，在获甲方同意后，才可延迟响应时间，但最长不得超过48小时。</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3.无论保修期内还是保修期外，乙方必须上门维修，乙方工程师来院维修设备，必须先与甲方医疗设备科联系，与甲方工程师共同完成维修工作，否则引起的一切责任由乙方承担。</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4.乙方免费提供全套技术资料，如资料不全，甲方有权延迟付款。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乙方未按本合同约定履行义务，每次违约行为应当按合同价的千分之五承担违约金；延迟履行相应义务的，每延迟一日按合同总价的千分之五承担违约金。如果造成甲方其他损失的，甲方有权向乙方要求赔偿，包括但不限于甲方因乙方违约而支出的维修费、诉讼费、律师费、甲方因设备问题而导致无法正常使用设备所损失的相关收入等全部费用，甲方可扣除履约保证金以及有权解除合同，并要求乙方赔偿损失。</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八</w:t>
      </w:r>
      <w:r>
        <w:rPr>
          <w:rFonts w:hint="eastAsia" w:ascii="仿宋" w:hAnsi="仿宋" w:eastAsia="仿宋" w:cs="仿宋"/>
          <w:bCs/>
          <w:color w:val="auto"/>
          <w:sz w:val="28"/>
          <w:szCs w:val="28"/>
          <w:highlight w:val="none"/>
        </w:rPr>
        <w:t xml:space="preserve">、特约条款：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乙方保证所交货物的规格、品质及正式开机后所表示的性能参数，要与投标时的技术规格相符，如有不符乙方应无条件更换。更换后的货物仍不符合标准的，甲方有权单方面解除合同并要求乙方赔偿相应的损失。</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2.乙方有义务培训医院工作人员熟悉设备的操作及设备保养技术，如遇因培训不到位而产生的设备问题，一切后果由乙方承担。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3.付款前乙方应当提供合法、足额的发票，否则甲方有权暂时不予支付货款。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九</w:t>
      </w:r>
      <w:r>
        <w:rPr>
          <w:rFonts w:hint="eastAsia" w:ascii="仿宋" w:hAnsi="仿宋" w:eastAsia="仿宋" w:cs="仿宋"/>
          <w:bCs/>
          <w:color w:val="auto"/>
          <w:sz w:val="28"/>
          <w:szCs w:val="28"/>
          <w:highlight w:val="none"/>
        </w:rPr>
        <w:t xml:space="preserve">、合同解除及违约责任：合同生效后，如因预供货物物品、设备、辅材出现品质缺陷或因第三人的不当处分等原因导致乙方不能履行合同义务或者乙方非因不可抗力要求解除合同的，乙方构成违约，应当向甲方支付合同总价款10%的违约金；乙方支付的违约金不足以弥补全部损失的，甲方有权要求乙方除承担违约责任外对造成损失部分予以赔偿。</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十、投标文件作为本合同不可分割的部分。</w:t>
      </w:r>
      <w:r>
        <w:rPr>
          <w:rFonts w:hint="eastAsia" w:ascii="仿宋" w:hAnsi="仿宋" w:eastAsia="仿宋" w:cs="仿宋"/>
          <w:bCs/>
          <w:color w:val="auto"/>
          <w:sz w:val="28"/>
          <w:szCs w:val="28"/>
          <w:highlight w:val="none"/>
          <w:lang w:val="en-US" w:eastAsia="zh-CN"/>
        </w:rPr>
        <w:t xml:space="preserve">组成本合同文件包括但不限于以下：</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1.合同主要条款；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2.招标文件和乙方的投标文件； </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 </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4.甲乙双方商定的其他必要文件。</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公立医院货物、服务购销廉洁协议</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上述合同文件内容互为补充，如有不明确，由甲方负责解释。</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十</w:t>
      </w: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本合同一式陆份，每份内容一致，具有同等法律效力。甲方执伍份，乙方执一份，作为履行合同之依据。需经双方代表签字并盖章后方能生效，如本合同有未尽事宜经双方协商一致后可达成补充合同，补充合同为本合同的组成部分具有同等法律效力。如因本合同发生争议且不能达成一致意见的，双方均可诉至甲方所在地人民法院。</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甲方（盖章）：                            乙方（盖章）：</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                    法定代表人或授权代表：</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                签订日期：  年  月  </w:t>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w:t>
      </w:r>
      <w:r/>
    </w:p>
    <w:p>
      <w:pPr>
        <w:jc w:val="center"/>
        <w:keepLines w:val="0"/>
        <w:keepNext w:val="0"/>
        <w:pageBreakBefore w:val="0"/>
        <w:spacing w:line="324" w:lineRule="auto"/>
        <w:widowControl w:val="off"/>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公立医院货物、服务购销廉洁协议</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为进一步加强党风廉政建设，预防业务活动中不规范和违纪违法行为的发生，根据有关法律法规和单位行风建设规章制度，甲方（公立医院）、乙方（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）特订立如下协议：</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一、甲乙双方的权利和义务</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双方严格遵守国家有关法律法规及党风廉政的规定。</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双方的业务活动坚持公开、公正、诚信、透明的原则，不得损害国家、集体和服务对象的利益，违反行业管理的各项规章制度。</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发现对方在业务活动中有违反廉政规定的行为，有及时提醒对方纠正的权利和义务。</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双方承诺严格遵守本协议，自觉接受纪检监察、财政、审计等部门的监督。</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二、甲方的承诺</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甲方及其工作人员不得索要或接受乙方的钱物。</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甲方工作人员不得私自接受乙方承担费用的旅游、参观、学习培训活动。</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甲方工作人员要秉公办事，不得营私舞弊，不得以权谋私，获得非法利益。</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甲方工作人员有义务宣传、告知本单位已建立的行风建设制度和规定。</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三、乙方的承诺</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不以现金、有价证券、实物或变相组织旅游和娱乐活动等形式贿赂甲方管理人员和医务人员。</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不以任何名义为甲方工作人员报销应由个人支付的任何费用。</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不以任何理由安排甲方工作人员参加高消费宴请及娱乐活动。</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不为甲方工作人员及其家属购置或</w:t>
      </w:r>
      <w:r>
        <w:rPr>
          <w:rFonts w:hint="eastAsia" w:ascii="仿宋" w:hAnsi="仿宋" w:eastAsia="仿宋" w:cs="仿宋"/>
          <w:color w:val="auto"/>
          <w:sz w:val="28"/>
          <w:szCs w:val="28"/>
          <w:highlight w:val="none"/>
          <w:lang w:eastAsia="zh-CN"/>
        </w:rPr>
        <w:t xml:space="preserve">提供通信</w:t>
      </w:r>
      <w:r>
        <w:rPr>
          <w:rFonts w:hint="eastAsia" w:ascii="仿宋" w:hAnsi="仿宋" w:eastAsia="仿宋" w:cs="仿宋"/>
          <w:color w:val="auto"/>
          <w:sz w:val="28"/>
          <w:szCs w:val="28"/>
          <w:highlight w:val="none"/>
        </w:rPr>
        <w:t xml:space="preserve">工具、交通工具、高档办公用品和其他服务。</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不得要求甲方任何部门、任何个人对设备的使用情况进行统计。</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四、违约责任</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甲方及其工作人员违反本协议，按管理权限，依据有关规定给予党纪、政纪或组织处理；涉嫌犯罪的，移交司法机关追究刑事责任。</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乙方及其工作人员违反本协议，按管理权限，依据有关规定，给予相应处分。实施商业贿赂行为的，将列入商业贿赂不良记录；涉嫌犯罪的，移交司法机关追究刑事责任。同时，甲方有权终止其业务往来。</w:t>
      </w:r>
      <w:r/>
    </w:p>
    <w:p>
      <w:pPr>
        <w:ind w:firstLine="560"/>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560"/>
        <w:jc w:val="left"/>
        <w:keepLines w:val="0"/>
        <w:keepNext w:val="0"/>
        <w:pageBreakBefore w:val="0"/>
        <w:spacing w:line="324" w:lineRule="auto"/>
        <w:widowControl w:val="off"/>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日 期：                         日 期：</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02"/>
        <w:jc w:val="center"/>
        <w:spacing w:line="520" w:lineRule="exact"/>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 xml:space="preserve">第五章  项目采购需求</w:t>
      </w:r>
      <w:r/>
    </w:p>
    <w:p>
      <w:pPr>
        <w:pStyle w:val="717"/>
        <w:ind w:left="0" w:firstLine="0"/>
        <w:keepLines w:val="0"/>
        <w:keepNext w:val="0"/>
        <w:pageBreakBefore w:val="0"/>
        <w:spacing w:before="0" w:beforeAutospacing="0" w:after="0" w:afterAutospacing="0" w:line="360" w:lineRule="auto"/>
        <w:widowControl w:val="off"/>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rPr>
        <w:t xml:space="preserve">一、项目概况</w:t>
      </w:r>
      <w:r/>
    </w:p>
    <w:p>
      <w:pPr>
        <w:ind w:firstLine="560"/>
        <w:keepLines w:val="0"/>
        <w:keepNext w:val="0"/>
        <w:pageBreakBefore w:val="0"/>
        <w:spacing w:line="360" w:lineRule="auto"/>
        <w:widowControl w:val="off"/>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sz w:val="28"/>
          <w:szCs w:val="28"/>
          <w:highlight w:val="none"/>
        </w:rPr>
        <w:t xml:space="preserve">本</w:t>
      </w:r>
      <w:r>
        <w:rPr>
          <w:rFonts w:hint="eastAsia" w:ascii="仿宋" w:hAnsi="仿宋" w:eastAsia="仿宋" w:cs="仿宋"/>
          <w:i w:val="0"/>
          <w:iCs w:val="0"/>
          <w:caps w:val="0"/>
          <w:color w:val="auto"/>
          <w:spacing w:val="0"/>
          <w:sz w:val="28"/>
          <w:szCs w:val="28"/>
          <w:highlight w:val="none"/>
          <w:lang w:val="en-US" w:eastAsia="zh-CN"/>
        </w:rPr>
        <w:t xml:space="preserve">项目为淮安市清江浦区城南街道社区卫生服务中心医疗设备采购项目，本次</w:t>
      </w:r>
      <w:r>
        <w:rPr>
          <w:rFonts w:hint="eastAsia" w:ascii="仿宋" w:hAnsi="仿宋" w:eastAsia="仿宋" w:cs="仿宋"/>
          <w:i w:val="0"/>
          <w:iCs w:val="0"/>
          <w:caps w:val="0"/>
          <w:color w:val="auto"/>
          <w:spacing w:val="0"/>
          <w:sz w:val="28"/>
          <w:szCs w:val="28"/>
          <w:highlight w:val="none"/>
        </w:rPr>
        <w:t xml:space="preserve">共分为</w:t>
      </w:r>
      <w:r>
        <w:rPr>
          <w:rFonts w:hint="eastAsia" w:ascii="仿宋" w:hAnsi="仿宋" w:eastAsia="仿宋" w:cs="仿宋"/>
          <w:i w:val="0"/>
          <w:iCs w:val="0"/>
          <w:caps w:val="0"/>
          <w:color w:val="auto"/>
          <w:spacing w:val="0"/>
          <w:sz w:val="28"/>
          <w:szCs w:val="28"/>
          <w:highlight w:val="none"/>
          <w:lang w:val="en-US" w:eastAsia="zh-CN"/>
        </w:rPr>
        <w:t xml:space="preserve">4</w:t>
      </w:r>
      <w:r>
        <w:rPr>
          <w:rFonts w:hint="eastAsia" w:ascii="仿宋" w:hAnsi="仿宋" w:eastAsia="仿宋" w:cs="仿宋"/>
          <w:i w:val="0"/>
          <w:iCs w:val="0"/>
          <w:caps w:val="0"/>
          <w:color w:val="auto"/>
          <w:spacing w:val="0"/>
          <w:sz w:val="28"/>
          <w:szCs w:val="28"/>
          <w:highlight w:val="none"/>
        </w:rPr>
        <w:t xml:space="preserve">个采购包，</w:t>
      </w:r>
      <w:r>
        <w:rPr>
          <w:rFonts w:hint="eastAsia" w:ascii="仿宋" w:hAnsi="仿宋" w:eastAsia="仿宋" w:cs="仿宋"/>
          <w:color w:val="auto"/>
          <w:spacing w:val="-6"/>
          <w:sz w:val="28"/>
          <w:szCs w:val="28"/>
          <w:highlight w:val="none"/>
          <w:lang w:val="en-US" w:eastAsia="zh-CN"/>
        </w:rPr>
        <w:t xml:space="preserve">其中包一：慢病筛防中心设备采购 76万元；包二：眼科设备采购80.9万元；包三：口腔颌面锥形束计算机体层摄影设备(口腔CT)采购35万元；包四：乳腺钼靶(DR)采购79.9万元。</w:t>
      </w:r>
      <w:r/>
    </w:p>
    <w:p>
      <w:pPr>
        <w:pStyle w:val="717"/>
        <w:keepLines w:val="0"/>
        <w:keepNext w:val="0"/>
        <w:pageBreakBefore w:val="0"/>
        <w:spacing w:before="0" w:beforeAutospacing="0" w:after="0" w:afterAutospacing="0" w:line="360" w:lineRule="auto"/>
        <w:widowControl w:val="off"/>
        <w:rPr>
          <w:rFonts w:hint="default" w:ascii="仿宋" w:hAnsi="仿宋" w:eastAsia="仿宋" w:cs="仿宋"/>
          <w:i w:val="0"/>
          <w:iCs w:val="0"/>
          <w:caps w:val="0"/>
          <w:color w:val="auto"/>
          <w:spacing w:val="0"/>
          <w:sz w:val="28"/>
          <w:szCs w:val="28"/>
          <w:highlight w:val="none"/>
          <w:lang w:val="en-US" w:eastAsia="zh-CN"/>
        </w:rPr>
        <w:suppressLineNumbers w:val="0"/>
      </w:pPr>
      <w:r>
        <w:rPr>
          <w:rFonts w:hint="eastAsia" w:ascii="仿宋" w:hAnsi="仿宋" w:eastAsia="仿宋" w:cs="仿宋"/>
          <w:i w:val="0"/>
          <w:iCs w:val="0"/>
          <w:caps w:val="0"/>
          <w:color w:val="auto"/>
          <w:spacing w:val="0"/>
          <w:sz w:val="28"/>
          <w:szCs w:val="28"/>
          <w:highlight w:val="none"/>
          <w:lang w:val="en-US" w:eastAsia="zh-CN"/>
        </w:rPr>
        <w:t xml:space="preserve">二、</w:t>
      </w:r>
      <w:r>
        <w:rPr>
          <w:rFonts w:hint="eastAsia" w:ascii="仿宋" w:hAnsi="仿宋" w:eastAsia="仿宋" w:cs="仿宋"/>
          <w:i w:val="0"/>
          <w:iCs w:val="0"/>
          <w:caps w:val="0"/>
          <w:color w:val="auto"/>
          <w:spacing w:val="0"/>
          <w:sz w:val="28"/>
          <w:szCs w:val="28"/>
          <w:highlight w:val="none"/>
        </w:rPr>
        <w:t xml:space="preserve">产品清单及技术参数：</w:t>
      </w:r>
      <w:r/>
    </w:p>
    <w:p>
      <w:pPr>
        <w:keepLines w:val="0"/>
        <w:keepNext w:val="0"/>
        <w:pageBreakBefore w:val="0"/>
        <w:spacing w:line="40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包1：慢病筛防中心设备</w:t>
      </w:r>
      <w:r/>
    </w:p>
    <w:tbl>
      <w:tblPr>
        <w:tblStyle w:val="686"/>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174"/>
        <w:gridCol w:w="6831"/>
        <w:gridCol w:w="638"/>
      </w:tblGrid>
      <w:tr>
        <w:trPr>
          <w:jc w:val="center"/>
          <w:trHeight w:val="0"/>
          <w:tblHeader/>
        </w:trPr>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序号</w:t>
            </w:r>
            <w:r/>
          </w:p>
        </w:tc>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设备名称</w:t>
            </w:r>
            <w:r/>
          </w:p>
        </w:tc>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技术参数</w:t>
            </w:r>
            <w:r/>
          </w:p>
        </w:tc>
        <w:tc>
          <w:tcPr>
            <w:shd w:val="clear" w:color="auto" w:fill="auto"/>
            <w:tcW w:w="638" w:type="dxa"/>
            <w:vAlign w:val="center"/>
            <w:textDirection w:val="lrTb"/>
            <w:noWrap/>
          </w:tcPr>
          <w:p>
            <w:pPr>
              <w:ind w:left="0" w:right="0" w:firstLine="0"/>
              <w:jc w:val="center"/>
              <w:keepLines w:val="0"/>
              <w:keepNext/>
              <w:pageBreakBefore w:val="0"/>
              <w:spacing w:line="240" w:lineRule="auto"/>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超声骨密度检测仪</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★1、测量部位：桡骨、胫骨</w:t>
            </w:r>
            <w:r>
              <w:rPr>
                <w:rFonts w:hint="eastAsia" w:ascii="仿宋" w:hAnsi="仿宋" w:eastAsia="仿宋" w:cs="仿宋"/>
                <w:b/>
                <w:bCs/>
                <w:i w:val="0"/>
                <w:iCs w:val="0"/>
                <w:color w:val="auto"/>
                <w:sz w:val="21"/>
                <w:szCs w:val="21"/>
                <w:highlight w:val="none"/>
                <w:u w:val="none"/>
                <w:lang w:val="en-US" w:eastAsia="zh-CN" w:bidi="ar"/>
              </w:rPr>
              <w:t xml:space="preserve">（需提供检测报告或说明书证明材料并加盖投标人电子签章）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2、测量方式：双发双收</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3、测量参数：轴向骨传播声速(SOS)M/S</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4、分析数据： T值、Z值、同龄百分比、成人百分比、骨强度指数、骨龄、预期发生骨质疏松的年龄（EOA）、相对骨折风险（RRF）、BMI指数、预测儿童身高。</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5、测量精度误差：≤0.3%</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6、测量重复性误差：≤0.3%</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▲7、测量时间：单点＜1秒，单次＜8秒，重复＜25秒</w:t>
            </w:r>
            <w:r>
              <w:rPr>
                <w:rFonts w:hint="eastAsia" w:ascii="仿宋" w:hAnsi="仿宋" w:eastAsia="仿宋" w:cs="仿宋"/>
                <w:b/>
                <w:bCs/>
                <w:i w:val="0"/>
                <w:iCs w:val="0"/>
                <w:color w:val="auto"/>
                <w:sz w:val="21"/>
                <w:szCs w:val="21"/>
                <w:highlight w:val="none"/>
                <w:u w:val="none"/>
                <w:lang w:val="en-US" w:eastAsia="zh-CN" w:bidi="ar"/>
              </w:rPr>
              <w:t xml:space="preserve">（需提供第三方检测机构出具的检测报告复印件加盖投标人电子签章）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8、测量结果自动判断</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9、文字模板具有自动寻址功能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10、可以直接进行数据统计，提供病例数量统计结果</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11、具有病历姓名纠错功能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12、具有一键中英文转换功能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13、具有HIS、DICOM 数据接口功能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▲14、配置双屏（支持视频动画播放功能），双探头（PM、PV）</w:t>
            </w:r>
            <w:r>
              <w:rPr>
                <w:rFonts w:hint="eastAsia" w:ascii="仿宋" w:hAnsi="仿宋" w:eastAsia="仿宋" w:cs="仿宋"/>
                <w:b/>
                <w:bCs/>
                <w:i w:val="0"/>
                <w:iCs w:val="0"/>
                <w:color w:val="auto"/>
                <w:sz w:val="21"/>
                <w:szCs w:val="21"/>
                <w:highlight w:val="none"/>
                <w:u w:val="none"/>
                <w:lang w:val="en-US" w:eastAsia="zh-CN" w:bidi="ar"/>
              </w:rPr>
              <w:t xml:space="preserve">（提供证明材料加盖投标人电子签章）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▲15、探头频率：1.20MHz，工作频率的偏离应不大于±15%</w:t>
            </w:r>
            <w:r>
              <w:rPr>
                <w:rFonts w:hint="eastAsia" w:ascii="仿宋" w:hAnsi="仿宋" w:eastAsia="仿宋" w:cs="仿宋"/>
                <w:b/>
                <w:bCs/>
                <w:i w:val="0"/>
                <w:iCs w:val="0"/>
                <w:color w:val="auto"/>
                <w:sz w:val="21"/>
                <w:szCs w:val="21"/>
                <w:highlight w:val="none"/>
                <w:u w:val="none"/>
                <w:lang w:val="en-US" w:eastAsia="zh-CN" w:bidi="ar"/>
              </w:rPr>
              <w:t xml:space="preserve">（提供证明材料加盖投标人电子签章）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▲16、通过欧盟CE认证产品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17、探头测量导航：能够实时显示探头与骨骼平面轴向夹角、水平角度、方向角度，实时显示角度数值的变化。</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18、晶体状态显示：测量时，能够显示探头四个晶体工作状态、超声波接收信号强度。</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19、具有身份证读取功能；外接扫码枪扫码功能，具有云数据功能、可以将数据传输至云端。</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20、默认中国人群，可测量0-100岁人群（婴幼年龄段：0-3岁，少年年龄段3-20岁，成人年龄段20--80岁，老年人年龄段80-100岁，只要输入年龄自动识别）</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21、温度显示校准块:具有红铜、紫铜、有机玻璃三重校准，校验器可显示当前温度以及当前温度下标准声速值，出厂标准配备有机玻璃模块</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22、报告样式：可提供A4,16K,B5等多种尺寸报告单</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23、报告版式：能够提供A4、16K、B5等多种尺寸报告单及横竖合理排版方式。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24、骨密度主机：拉丝铝模具制造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▲25、MDI数据模块 优化数据传输和数据保密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26、具有复查功能栏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27、两种测量模式 快速模式 普通模式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28、骨密度主机（带探头）：重量大于3.5公斤</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29、系统运行平台：原装商务计算机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30、标配喷墨打印机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▲31、双屏双探头专用推车</w:t>
            </w:r>
            <w:r>
              <w:rPr>
                <w:rFonts w:hint="eastAsia" w:ascii="仿宋" w:hAnsi="仿宋" w:eastAsia="仿宋" w:cs="仿宋"/>
                <w:b/>
                <w:bCs/>
                <w:i w:val="0"/>
                <w:iCs w:val="0"/>
                <w:color w:val="auto"/>
                <w:sz w:val="21"/>
                <w:szCs w:val="21"/>
                <w:highlight w:val="none"/>
                <w:u w:val="none"/>
                <w:lang w:val="en-US" w:eastAsia="zh-CN" w:bidi="ar"/>
              </w:rPr>
              <w:t xml:space="preserve">（提供证明材料加盖投标人电子签章）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32、进液防护：整机防水等级IPX0，探头防水等级IPX7</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33、环境试验符合：GB/T14710-2009要求</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34、电磁兼容试验符合：YY9706.102-2021要求</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35、行业标准符合：YY/T0774-2019要求</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36、电源电压：AC220V±10%,50Hz±1Hz</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37、输入功率：≤200VA</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动态血压监测仪</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一、采集盒：</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▲1.全玻璃面板，重量＜160g</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2.OLED彩色屏幕显示，显示时间、电池电量、血压测量结果</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3.袖带延长管连接处采用自锁结构，</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4.支持type C或无线蓝牙的方式进行数据传输、读取</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5.防水等级：支持≥IP22防水等级</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6.供电要求：直流电源，2节AA电池供电</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7.电池仓拉绳设计；</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8.支持事件记录功能，结合事件记录对血压数据进行分析</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9.支持体位记录功能，辅助临床判断患者血压测量时的体位情况</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10.数据存储器：闪存储存，存储≥300组数据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二、测量范围</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1.测量方法：示波法</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2.量程：≥0 mmHg~300 mmHg，精度：±3 mmHg (±0.4kPa)</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3.压力测量范围：10 mmHg~290 mmHg，最大平均误差：±5 mmHg（0.67kPa），最大标准偏差：8 mmHg（1.07kPa）</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▲4.脉率测量范围：≥40 bpm~240 bpm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5.过压保护：当血压测量压力值超过297mmHg±3mmHg时，开启过压保护 </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6.监测时长：24小时</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▲7.监测间隔：5分钟、10分钟、15分钟、20分钟、30分钟、45分钟、60分钟、90分钟、120分钟</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8.安全系统：最大充气气压为≥300 mmHg，最大测量时常为≥120s</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三、分析软件</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1.能够自动生成解释性总结，提供诊断术语库</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2.具有智能检索功能，支持对病例进行快速查找</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3.可自动删除已读取数据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4.具有数据表、统计表、直方图、饼图、昼夜节律图等分析工具</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5.支持平均压、测量比较功能、脉压分析、动态动脉硬化指数分析、晨峰血压分析、白大衣分析，多种分析功能辅助医生分析诊断</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6.相关图分析：可查看收缩压和舒张压相关性，查看全部和部分相关图，数据范围可支持总体、白天、夜间</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7.提供病人信息、管理列表、报告内容自定义配置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8.数据管理和报告打印：用户可以编辑、存储、打印病人的血压、数据表、直方图、饼图、昼夜节律图等信息</w:t>
            </w:r>
            <w:r/>
          </w:p>
          <w:p>
            <w:pPr>
              <w:ind w:left="0" w:right="0" w:firstLine="0"/>
              <w:jc w:val="left"/>
              <w:keepLines w:val="0"/>
              <w:keepNext/>
              <w:pageBreakBefore w:val="0"/>
              <w:spacing w:line="240" w:lineRule="auto"/>
              <w:widowControl/>
              <w:rPr>
                <w:rFonts w:hint="default" w:ascii="仿宋" w:hAnsi="仿宋" w:eastAsia="仿宋" w:cs="仿宋"/>
                <w:b/>
                <w:bCs/>
                <w:i w:val="0"/>
                <w:iCs w:val="0"/>
                <w:color w:val="auto"/>
                <w:sz w:val="21"/>
                <w:szCs w:val="21"/>
                <w:highlight w:val="none"/>
                <w:u w:val="none"/>
                <w:lang w:val="en-US"/>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9.支持与同品牌信息化系统集成，可实现数据传输功能</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多导睡眠呼吸初筛仪</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1.设备满足科室睡眠呼吸暂停、低通气综合征诊断和分型需要；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2.设备监测参数应包括：气流、鼾声、胸/腹式呼吸、脉搏、血氧饱和度、CPAP压力滴定、数据良好标识等；</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▲3.设备监测参数应包括：不少于四种体位、腕动觉醒；</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4.主机腕式设计（电池重量≤80g），内置LCD液晶屏；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5.满电量时可连续记录≥10小时，电池采用干电池；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▲6.呼吸事件可监测：陈施式呼吸呼吸事件，并在监测报告中可体现；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7.内置液晶屏，记录过程中实时显示数据应包含：气流、鼾声、胸/腹式呼吸运动、体位、脉搏、血氧饱和度、CPAP压力滴定、记录时长；</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▲8.具备导联阻抗提醒功能，在佩戴过程中可图形化显示传感器连接状态；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9.呼吸运动应采用呼吸感应式胸腹运动体积描记传感器；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10.睡眠呼吸初筛仪具有数据记录、数据抹除、状态查询等功能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11.数据传输传输应具备数据线、无线蓝牙、TF卡等方式，≥16GB内存卡，可同时存储500小时以上多段数据。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12.存储数据采用循环记录，无需手动删除原有记录，在存储卡存满后自动循环覆盖最早的数据。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13.设备具备定时记录功能，提前设置好当晚记录开始时间，倒计时进入记录状态。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具备CPAP压力监测技术，可连接不同品牌任意型号的呼吸机，通过压力监测，出具整晚的压力滴定报告，和佩戴呼吸机时的睡眠监测报告，提供不同大小压力整夜时间占比，辅助临床出具呼吸机压力治疗参数建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15.全中文界面和打印报告，可选配英文、法文等其他语种的用户界面模块；</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16.分析软件应符合AASM2.6标准，同时集成数据共享和分级诊疗平台，实现监测数据上、下级双向无线传输的教学目的；平台免费开放，可根据教学、科研需求进行平台模块化或自定义搭建。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17.应具备数据分割和重整功能，可以将一个数据按不同时段分割为多个数据。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18.内置候选诊断词条，协助医生快速生成报告</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19.可生成PDF和word版本报告，报告模板可修改，可导入导出EDF数据包。</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健康管理一体机</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一、系统功能</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健康管理一体机系统采用计算机、互联网及物联</w:t>
            </w:r>
            <w:r>
              <w:rPr>
                <w:rFonts w:hint="eastAsia" w:ascii="仿宋" w:hAnsi="仿宋" w:eastAsia="仿宋" w:cs="仿宋"/>
                <w:b w:val="0"/>
                <w:bCs w:val="0"/>
                <w:i w:val="0"/>
                <w:iCs w:val="0"/>
                <w:color w:val="auto"/>
                <w:sz w:val="21"/>
                <w:szCs w:val="21"/>
                <w:highlight w:val="none"/>
                <w:u w:val="none"/>
                <w:lang w:val="en-US" w:eastAsia="zh-CN" w:bidi="ar"/>
              </w:rPr>
              <w:t xml:space="preserve">网技术，通过采集受测人员的身高、体重、BMI,总水分、蛋白质、内脏脂肪、肥胖分析、体脂肪量、水分、肌肉量、骨骼量、内脏脂肪、蛋白质率、脂肪率、水分率、基础代谢量、身体年龄、血压、脉率、体温、血氧、中医体质、心理评测、视力、心电、血糖、尿酸、总胆固醇等体征数据，进行信息收集、分类、储存和分析，融合人脸识别、身份信息识别技术，以及wifi、3G/4G、USB、以太网等信息传输功能，将个人信息及健康档案实时上传至管理工作站，实现慢性病人群的分类与持续管理，并支持上传至公共卫生管理服务平台和HIS等医疗信息化平台。</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1.1工作原理：各个仪器通过有线、无线模式，通过数据传输协议将数据传输到管理工作站电脑，工作站系统对数据进行处理、分析与存储。</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▲1.2采集方式：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支持键盘、身份证、人脸识别、二维码和游客等模式进行个人信息采集；支持扩展医保卡、社保卡、自制智能卡、条码体检卡等多种个人信息采集方式（提供对接协议即可接入）。</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1.3档案管理：</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依据录入数据，形成健康档案。支持实时上传更新；断网情况下，可实现健康档案本地保存。</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1.4数据统计：</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支持用户通过时序（年、季、月、周、日等）进行数据统计展现；支持对不同慢病的人次进行统计，并按照性别进行区分；支持对不同设备的使用人次进行统计；支持对不同的ID、姓名和检查时间段进行信息查询。</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▲1.5结果输出：</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输出报告：输出基础报告和趋势报告。基础报告展示完整的个人健康检查情况；趋势报告通过历史检测记录，展现近5次、近10次和近15次的数据走向示意图。</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二、系统配置：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2.1主体设备为一体化设计。</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★2.2显示屏幕可上下、左右进行升降和旋转。</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2.3配置的检测模块通过有线连接的方式进行通讯，支持无线连接。</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2.4具备健康管理一体机系统V2.0的软件著作权证。</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2.5主机配置：CPU不低于Intel i5 4200U；存储：内存≥8G，硬盘≥128G固态硬盘；系统自带摄像头装置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2.6屏幕尺寸：≥18.5寸，分辨率：≥1920x1080</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2.7身份证阅读器：射频技术符合ISO14443  Type  B标准；读卡距离0-5CM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2.8打印机：支持打印幅面：A4</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三、检测功能模块</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3.1身高体重BMI、人体成分</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1.体重测量方式 高精度、高灵敏、高性能精密平衡梁电阻应变式压力传感器称重；</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2.身高测量方式 采用毫米波传感器，高频毫米波信号测距，并通过球型天线对信号角度进行约束，约束角度小于10°；</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3.身高测量范围 ≥20-200cm,鉴定精度:≥±0.5cm  分度值：0.5cm或0.1cm可调；</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4.体重测量范围 ≥2.0-500KG，鉴定精度:≥±0.1kg  分度值：0.1kg或0.01kg可调；</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5.BMI体型测量 正常范围19-25，自动计算BMI体质指数，</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6.脂肪测量 测量方式：4电极人体生物电阻抗法(BIA)；</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7.测量范围：≥5.0%~75.0%；</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8.正常模式：测量身高体重BMI。</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9.人体成分模式：测量人体成分需正常测量身高体重，根据语音提示进行操作。</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10.测量项目：身高、体重、BMI,总水分、蛋白质、内脏脂肪、肥胖分析、体脂肪量、水分、肌肉量、骨骼量、内脏脂肪、蛋白质率、脂肪率、水分率、基础代谢量、身体年龄等；</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11.LED显示≥ 4.3寸高清VA显示屏，待机显示时间日期温度；</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12.平衡调节 底座自带水平仪，并可通过四角校正水平面；</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3.2血压仪</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1.测量原理：示波法</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▲2.测量方式：升压型测量，在压力上升过程中测量血压，压力值上升到收缩压位置测量结束，无需加压到峰值再降压检测。</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 测量部位：左右臂均可测量，右侧另设置开关键。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 显示屏：≥7.0寸显示屏。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 规格：袖筒为隧道式，整机为医用台式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 输出值：收缩压、舒张压、脉搏。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 血压测量范围：≥0～300mmHg</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8. 脉搏数测定范围：≥30～200bpm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9. 语音：语音提示，可调节6档语音大小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10. 测量时间：≤40秒 </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11. 适用臂围：16-43cm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▲12. 精确度：≤血压±2mmH g，脉搏：±2%</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在量程任何测量点上，静态压力和动态压力测量的最大误差应是±0.3Kpa（±2mmHg）</w:t>
            </w:r>
            <w:r>
              <w:rPr>
                <w:rFonts w:hint="eastAsia" w:ascii="仿宋" w:hAnsi="仿宋" w:eastAsia="仿宋" w:cs="仿宋"/>
                <w:b/>
                <w:bCs/>
                <w:i w:val="0"/>
                <w:iCs w:val="0"/>
                <w:color w:val="auto"/>
                <w:sz w:val="21"/>
                <w:szCs w:val="21"/>
                <w:highlight w:val="none"/>
                <w:u w:val="none"/>
                <w:lang w:val="en-US" w:eastAsia="zh-CN" w:bidi="ar"/>
              </w:rPr>
              <w:t xml:space="preserve">（提供相关检验报告证明材料加盖投标人电子签章）</w:t>
            </w:r>
            <w:r>
              <w:rPr>
                <w:rFonts w:hint="eastAsia" w:ascii="仿宋" w:hAnsi="仿宋" w:eastAsia="仿宋" w:cs="仿宋"/>
                <w:b w:val="0"/>
                <w:bCs w:val="0"/>
                <w:i w:val="0"/>
                <w:iCs w:val="0"/>
                <w:color w:val="auto"/>
                <w:sz w:val="21"/>
                <w:szCs w:val="21"/>
                <w:highlight w:val="none"/>
                <w:u w:val="none"/>
                <w:lang w:val="en-US" w:eastAsia="zh-CN" w:bidi="ar"/>
              </w:rPr>
              <w:t xml:space="preserve">。</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▲13. 通讯功能：支持连接电脑（选择RS-232）</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14. 安全装置：双重安全装置，过压、停电自动放气、紧急停止双重保护措施。</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15.设备尺寸：472×400×300 mm ±20 mm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16.具备医疗器械注册证，国产医疗器械，保证数据安全与适用于国人体质。</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3.3体温计</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1、测量方式：非接触式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2、测量范围：≥32.0℃-42.9℃</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▲3、精准度：±0.2℃ (35.0℃-42.0℃)；土0.3℃（低于35.0℃或高于42.0℃）</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4、测量距离：≥1-5cm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5、显示精度：0.1℃</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6、具备医疗器械注册证</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3.4血氧检测模块</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1、血氧饱和度：≥测量范围：35%～100%；测量精度：≥70%～100%。</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2、脉率：测量范围：≥30bpm～250bpm ；测量精度，±2%或±2BPM，取大值。</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3、具有测量时间提示和数据存储功能。</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4、测量数据实时上传。</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3.5中医体质辨识：</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1、采用问卷答题式检测方法。</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▲2、多题库模式：内置两种题库类型，36道题目适用于老年人群，63道题目适用于其他人群。后台模式可选。</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▲3、通过对受测者面型特征、体型特征、饮食嗜好选定，综合进行体质分析判断，能够提供截图。</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4、提供营养方案、药物调理方案、饮食调理方案等。</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5、具备软件著作权证。</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3.6心理评测：</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题库类型：包含13项心理评测量表，自测健康评定量表（SRHMS）、焦虑自评量表（SAS）、女性更年期综合征自我诊断评定表、抑郁自评量表（SDS）、老年抑郁量表、儿童孤独量表、匹兹堡睡眠质量测试、自尊调查表、糖尿病患者自我管理行为量表（SDSCA）、包括UCLA孤独量表、心理年龄测试、COPD患者生活质量评估问卷、成人心理压力量表。</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2、测评报告：报告单有测评得分和测评结果，测量者可以根据具体情况给予受测者以相应的建议。</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3、根据检测结果，支持单独每个量表的打印，也可进行综合报告打印。</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4、具备软件著作权证书。</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3.7视力检测</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1、可视面积：≥18寸显示屏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2、视标类型：采用标准E字图视力表</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3、使用距离：≥2M</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4、操作要求：支持遥控器操作</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▲5、支持色觉测试，色觉测试图≥12幅彩色视图</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6、具备软件著作权证书。</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3.8血糖尿酸总胆固醇三合一检测</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1、电化学生物感应法原理检测。</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2、血糖为1.1-33.3毫莫耳/升；总胆固醇为2.59-10.35毫莫耳/升；尿酸为0.18-1.19毫莫耳/升。</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3、血糖采血量≥0.7μl，测量时间为5秒。</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总胆固醇采血量 ≥10.0μl，测量时间为26秒。</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尿酸采血量≥1.5μl，测量时间为15秒。</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4、记忆360组血糖测试结果，以及50租总胆固醇测试结果和50组血尿酸测试结果。</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5、具备医疗器械注册证</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3.9心电检测：</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1、检测通道数：1 个（心电信号）</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2、测量电极：≥3个一体化金属电极或外接导联线</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3、心率测量范围：≥30bpm-240bpm </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4、心率测量精度：±2bpm 或±2%两者取最大值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5、具备医疗器械注册证</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2</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经颅磁刺激仪</w:t>
            </w:r>
            <w:r/>
          </w:p>
        </w:tc>
        <w:tc>
          <w:tcPr>
            <w:shd w:val="clear" w:color="auto" w:fill="auto"/>
            <w:tcW w:w="0" w:type="auto"/>
            <w:vAlign w:val="center"/>
            <w:textDirection w:val="lrTb"/>
            <w:noWrap w:val="false"/>
          </w:tcPr>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1、适用范围：刺激人体中枢神经和外周神经，用于神经电生理检查、康复科神经功能评定和神经科运动功能评定、治疗及研究；配合药物，进行神经疾病引起的失眠的辅助治疗。</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2、经颅磁刺激仪主机</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2.1外观结构：一体式主机，脉冲源，冷却系统高度集成，非堆叠结构。</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2.2操作系统：笔记本电脑承载管理软件，非一体机或触摸屏。</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2.3操作设备需提供中国质量认证中心签发的3C及节能认证报告。</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2.4★最大磁感应强度：≥8T；</w:t>
            </w:r>
            <w:r>
              <w:rPr>
                <w:rFonts w:hint="eastAsia" w:ascii="仿宋" w:hAnsi="仿宋" w:eastAsia="仿宋" w:cs="仿宋"/>
                <w:b/>
                <w:bCs/>
                <w:i w:val="0"/>
                <w:iCs w:val="0"/>
                <w:color w:val="auto"/>
                <w:sz w:val="21"/>
                <w:szCs w:val="21"/>
                <w:lang w:val="en-US" w:eastAsia="zh-CN" w:bidi="ar"/>
              </w:rPr>
              <w:t xml:space="preserve">（需提供第三方检测机构出具的检测报告复印件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2.5★最大刺激频率：110Hz，0Hz～110Hz可调；</w:t>
            </w:r>
            <w:r>
              <w:rPr>
                <w:rFonts w:hint="eastAsia" w:ascii="仿宋" w:hAnsi="仿宋" w:eastAsia="仿宋" w:cs="仿宋"/>
                <w:b/>
                <w:bCs/>
                <w:i w:val="0"/>
                <w:iCs w:val="0"/>
                <w:color w:val="auto"/>
                <w:sz w:val="21"/>
                <w:szCs w:val="21"/>
                <w:lang w:val="en-US" w:eastAsia="zh-CN" w:bidi="ar"/>
              </w:rPr>
              <w:t xml:space="preserve">（需提供检测报告或说明书证明材料</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2.6▲刺激频率调节：脉冲频率在1Hz以下时调节步长为0.01Hz，超过1Hz时步长为1Hz；</w:t>
            </w:r>
            <w:r>
              <w:rPr>
                <w:rFonts w:hint="eastAsia" w:ascii="仿宋" w:hAnsi="仿宋" w:eastAsia="仿宋" w:cs="仿宋"/>
                <w:b/>
                <w:bCs/>
                <w:i w:val="0"/>
                <w:iCs w:val="0"/>
                <w:color w:val="auto"/>
                <w:sz w:val="21"/>
                <w:szCs w:val="21"/>
                <w:lang w:val="en-US" w:eastAsia="zh-CN" w:bidi="ar"/>
              </w:rPr>
              <w:t xml:space="preserve">（需提供第三方检测机构出具的检测报告复印件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2.7磁感应强度最大变化率：10kT/s-80kT/s；</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2.8脉冲上升时间：35～65μs；</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2.9▲输出频率允差值：±3%</w:t>
            </w:r>
            <w:r>
              <w:rPr>
                <w:rFonts w:hint="eastAsia" w:ascii="仿宋" w:hAnsi="仿宋" w:eastAsia="仿宋" w:cs="仿宋"/>
                <w:b/>
                <w:bCs/>
                <w:i w:val="0"/>
                <w:iCs w:val="0"/>
                <w:color w:val="auto"/>
                <w:sz w:val="21"/>
                <w:szCs w:val="21"/>
                <w:lang w:val="en-US" w:eastAsia="zh-CN" w:bidi="ar"/>
              </w:rPr>
              <w:t xml:space="preserve">（需提供第三方检测机构出具的检测报告复印件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2.10单个脉冲持续时间：340μs±20μs；</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2.11在工作条件下，设备支持100%强度进行刺激，可以连续24h工作。</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2.12使用磁场力线控制技术分为靶肌聚焦区及非靶肌刺激区，刺激线圈磁场分布均匀</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2.13线圈类型：标配圆型及八字形线圈，能实现双面双向刺激。</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2.14▲可拓展儿童、深部双锥及盆底磁线圈，拓展临床应用场景；</w:t>
            </w:r>
            <w:r>
              <w:rPr>
                <w:rFonts w:hint="eastAsia" w:ascii="仿宋" w:hAnsi="仿宋" w:eastAsia="仿宋" w:cs="仿宋"/>
                <w:b/>
                <w:bCs/>
                <w:i w:val="0"/>
                <w:iCs w:val="0"/>
                <w:color w:val="auto"/>
                <w:sz w:val="21"/>
                <w:szCs w:val="21"/>
                <w:lang w:val="en-US" w:eastAsia="zh-CN" w:bidi="ar"/>
              </w:rPr>
              <w:t xml:space="preserve">（提供说明书或检测报告证明文件并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2.15提供触发脉冲刺激输入输出接口，可用于连接其他设备；</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2.16▲高压储能电容放电次数≥100,000,000 次，当电容放电次数达到上限时提供电容维护。</w:t>
            </w:r>
            <w:r>
              <w:rPr>
                <w:rFonts w:hint="eastAsia" w:ascii="仿宋" w:hAnsi="仿宋" w:eastAsia="仿宋" w:cs="仿宋"/>
                <w:b/>
                <w:bCs/>
                <w:i w:val="0"/>
                <w:iCs w:val="0"/>
                <w:color w:val="auto"/>
                <w:sz w:val="21"/>
                <w:szCs w:val="21"/>
                <w:lang w:val="en-US" w:eastAsia="zh-CN" w:bidi="ar"/>
              </w:rPr>
              <w:t xml:space="preserve">（提供说明书或检测报告证明文件并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3.运动诱发电位监测（MEP）模块</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3.1MEP通道数：≥2通道；</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3.2传输方式：有线传输；</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3.3运动诱发电位测量灵敏度范围：1～3000μV，最小分辨率≤0.2μV，检查频率范围：20Hz～550Hz。</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3.4配置原厂双通道运动诱发电位检测模块，集成于主机内部，检测模块与主机之间无需有线或无线通讯，数据传输稳定性强。</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3.5可捕捉肌电信号（EMG），并自动计算得到潜伏期和峰值；</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3.6▲点击MEP触发按钮可以触发一次或连续多次脉冲刺激、满足运动阈值测试需求；</w:t>
            </w:r>
            <w:r>
              <w:rPr>
                <w:rFonts w:hint="eastAsia" w:ascii="仿宋" w:hAnsi="仿宋" w:eastAsia="仿宋" w:cs="仿宋"/>
                <w:b/>
                <w:bCs/>
                <w:i w:val="0"/>
                <w:iCs w:val="0"/>
                <w:color w:val="auto"/>
                <w:sz w:val="21"/>
                <w:szCs w:val="21"/>
                <w:lang w:val="en-US" w:eastAsia="zh-CN" w:bidi="ar"/>
              </w:rPr>
              <w:t xml:space="preserve">（提供说明书或检测报告证明文件并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3.7治疗时可进行生理安全监测，实时监测运动诱发电位波形，当出现痉挛信号时会播放警告声音进行癫痫预警安全提示。</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4.冷却系统和保护系统</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4.1冷却系统：采用液态循环冷却系统，散热效率高，保证设备长时间运行；</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4.2▲可在高散热需求场景下，启动风冷液冷一体化散热模式，保证设备高性能运行，满足临床长时间治疗需求；</w:t>
            </w:r>
            <w:r>
              <w:rPr>
                <w:rFonts w:hint="eastAsia" w:ascii="仿宋" w:hAnsi="仿宋" w:eastAsia="仿宋" w:cs="仿宋"/>
                <w:b/>
                <w:bCs/>
                <w:i w:val="0"/>
                <w:iCs w:val="0"/>
                <w:color w:val="auto"/>
                <w:sz w:val="21"/>
                <w:szCs w:val="21"/>
                <w:lang w:val="en-US" w:eastAsia="zh-CN" w:bidi="ar"/>
              </w:rPr>
              <w:t xml:space="preserve">（需提供第三方检测机构出具的检测报告复印件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4.3安全工作温度预警功能，当刺激线圈温度超过40℃，磁刺激仪应自动停止刺激输出，保证安全使用。</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4.4当冷却系统发生故障时，应有提示或停止磁场输出；</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4.5可以实时显示冷却液温度；</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4.6 ▲惰性冷却液：冷却液直流电阻率≥10MΩ•cm。</w:t>
            </w:r>
            <w:r>
              <w:rPr>
                <w:rFonts w:hint="eastAsia" w:ascii="仿宋" w:hAnsi="仿宋" w:eastAsia="仿宋" w:cs="仿宋"/>
                <w:b/>
                <w:bCs/>
                <w:i w:val="0"/>
                <w:iCs w:val="0"/>
                <w:color w:val="auto"/>
                <w:sz w:val="21"/>
                <w:szCs w:val="21"/>
                <w:lang w:val="en-US" w:eastAsia="zh-CN" w:bidi="ar"/>
              </w:rPr>
              <w:t xml:space="preserve">（需提供第三方检测机构出具的检测报告复印件</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4.7 变频风冷：主机散热风扇的转速可改变。</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4.8磁感应线圈应具有独立的保护装置，当线圈发生故障时，应停止磁场输出并有视觉或听觉提示。</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5、软件参数</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5.1人机交互管理软件，包含治疗处方管理，治疗记录管理，并可快速调取历史刺激记录，不受记录次数限制，直接启动刺激；</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5.2内置MEP模式、标准模式、TBS模式，可实现单脉冲刺激、重复脉冲刺激、TBS爆发序列刺激，并且提供多种临床治疗方案供医生选择，且所有内置方案参数可查看及编辑。</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5.3▲具有一键快速启动历史方案功能，可在治疗记录界面一件快速启动历史治疗方案。</w:t>
            </w:r>
            <w:r>
              <w:rPr>
                <w:rFonts w:hint="eastAsia" w:ascii="仿宋" w:hAnsi="仿宋" w:eastAsia="仿宋" w:cs="仿宋"/>
                <w:b/>
                <w:bCs/>
                <w:i w:val="0"/>
                <w:iCs w:val="0"/>
                <w:color w:val="auto"/>
                <w:sz w:val="21"/>
                <w:szCs w:val="21"/>
                <w:lang w:val="en-US" w:eastAsia="zh-CN" w:bidi="ar"/>
              </w:rPr>
              <w:t xml:space="preserve">（提供软件截图</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5.4刺激方案具有患者体位示意图或人体大脑解剖定位图，提示患者磁刺激刺激部位或摆放姿势体位，更有效的指导患者配合治疗。</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5.5可进行刺激参数的设置，包括刺激模式、刺激频率、刺激强度、刺激时间、间歇时间及工作时间等；</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5.6▲刺激强度从运动阈值(MT)的0-250%可调，使病人能更快的适应治疗；</w:t>
            </w:r>
            <w:r>
              <w:rPr>
                <w:rFonts w:hint="eastAsia" w:ascii="仿宋" w:hAnsi="仿宋" w:eastAsia="仿宋" w:cs="仿宋"/>
                <w:b/>
                <w:bCs/>
                <w:i w:val="0"/>
                <w:iCs w:val="0"/>
                <w:color w:val="auto"/>
                <w:sz w:val="21"/>
                <w:szCs w:val="21"/>
                <w:lang w:val="en-US" w:eastAsia="zh-CN" w:bidi="ar"/>
              </w:rPr>
              <w:t xml:space="preserve">（提供软件截图</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5.7刺激开始及结束有语音提醒，便于医生和病人做好刺激准备，缓解病人紧张情绪；</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5.8▲rTMS与TBS治疗模式下，单次治疗方案至少可设置5种不同的刺激频率.</w:t>
            </w:r>
            <w:r>
              <w:rPr>
                <w:rFonts w:hint="eastAsia" w:ascii="仿宋" w:hAnsi="仿宋" w:eastAsia="仿宋" w:cs="仿宋"/>
                <w:b/>
                <w:bCs/>
                <w:i w:val="0"/>
                <w:iCs w:val="0"/>
                <w:color w:val="auto"/>
                <w:sz w:val="21"/>
                <w:szCs w:val="21"/>
                <w:lang w:val="en-US" w:eastAsia="zh-CN" w:bidi="ar"/>
              </w:rPr>
              <w:t xml:space="preserve">（提供软件截图</w:t>
            </w:r>
            <w:r>
              <w:rPr>
                <w:rFonts w:hint="eastAsia" w:ascii="仿宋" w:hAnsi="仿宋" w:eastAsia="仿宋" w:cs="仿宋"/>
                <w:b/>
                <w:bCs/>
                <w:i w:val="0"/>
                <w:iCs w:val="0"/>
                <w:color w:val="auto"/>
                <w:sz w:val="21"/>
                <w:szCs w:val="21"/>
                <w:highlight w:val="none"/>
                <w:u w:val="none"/>
                <w:lang w:val="en-US" w:eastAsia="zh-CN" w:bidi="ar"/>
              </w:rPr>
              <w:t xml:space="preserve">加盖投标人电子签章</w:t>
            </w:r>
            <w:r>
              <w:rPr>
                <w:rFonts w:hint="eastAsia" w:ascii="仿宋" w:hAnsi="仿宋" w:eastAsia="仿宋" w:cs="仿宋"/>
                <w:b/>
                <w:bCs/>
                <w:i w:val="0"/>
                <w:iCs w:val="0"/>
                <w:color w:val="auto"/>
                <w:sz w:val="21"/>
                <w:szCs w:val="21"/>
                <w:lang w:val="en-US" w:eastAsia="zh-CN" w:bidi="ar"/>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6.其他要求</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6.1上位机软件通过GB/T25000.51软件产品质量要求与评价；</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6.2整机通过YY/T0994-2015《磁刺激设备》规定行业标准；</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lang w:val="en-US" w:eastAsia="zh-CN" w:bidi="ar"/>
              </w:rPr>
              <w:suppressLineNumbers w:val="0"/>
            </w:pPr>
            <w:r>
              <w:rPr>
                <w:rFonts w:hint="eastAsia" w:ascii="仿宋" w:hAnsi="仿宋" w:eastAsia="仿宋" w:cs="仿宋"/>
                <w:b w:val="0"/>
                <w:bCs w:val="0"/>
                <w:i w:val="0"/>
                <w:iCs w:val="0"/>
                <w:color w:val="auto"/>
                <w:sz w:val="21"/>
                <w:szCs w:val="21"/>
                <w:lang w:val="en-US" w:eastAsia="zh-CN" w:bidi="ar"/>
              </w:rPr>
              <w:t xml:space="preserve">6.3整机符合GB9706.1-2020《医用电气设备第1部分：基本安全和基本性能通用要求》的规定。</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b w:val="0"/>
                <w:bCs w:val="0"/>
                <w:i w:val="0"/>
                <w:iCs w:val="0"/>
                <w:color w:val="auto"/>
                <w:sz w:val="21"/>
                <w:szCs w:val="21"/>
                <w:lang w:val="en-US" w:eastAsia="zh-CN" w:bidi="ar"/>
              </w:rPr>
              <w:t xml:space="preserve">6.4符合YY9706.102-2021《医用电气设备第1-2部分：安全通过要求并列标准：电磁兼容要求和试验》的规定。</w:t>
            </w:r>
            <w:r/>
          </w:p>
        </w:tc>
        <w:tc>
          <w:tcPr>
            <w:shd w:val="clear" w:color="auto" w:fill="auto"/>
            <w:tcW w:w="638" w:type="dxa"/>
            <w:vAlign w:val="center"/>
            <w:textDirection w:val="lrTb"/>
            <w:noWrap w:val="false"/>
          </w:tcPr>
          <w:p>
            <w:pPr>
              <w:numPr>
                <w:ilvl w:val="0"/>
                <w:numId w:val="0"/>
              </w:num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人体成分分析</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1、测试频率：≥4频率，（需包含1kHz、5kHz、50kHz、250kHz)</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▲2、检测电流≤80uA。</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3、阻抗测量性能：阻抗测量范围：10Ω-1250Ω;阻抗测量误差：躯干误差≤±3%、肢体误差≤±1%</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4、可测量的主要参数覆盖以下指标：</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4.1人体成分参数：身高、体重、生物电阻抗、全身相位角、身体总水分、蛋白质、体脂肪、无机盐；</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4.2肌肉参数：肌肉量、骨骼肌含量、肌肉均衡分析；</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4.3脂肪参数：BMI、去脂体重、体脂百分比、节段脂肪分析、内脏脂肪面积、内脏脂肪等级、肥胖度；</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4.4无机盐参数：骨矿物质含量；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4.5体围度参数：颈围、臂围、胸围、腰围、臀围、大腿围、腰臀比；</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4.6综合评估：人体成分总评分、基础代谢率、身体细胞量、历史记录、生长图表、体重控制、体型评估、肥胖评估、身体均衡评估、营养建议、运动建议。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5、使用限制年龄：3岁-100岁。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6、触摸屏：主机采用10点触控电容屏。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7、内置报告单解读页、个性化运动营养建议页，支持用户根据需求设置是否打印。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▲8、产品质量：产品使用期限≥8年，使用过程中支持软件在线升级。</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双能X射线骨密度仪</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1、采用双能量x射线吸收测量法；</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2、成像方式：锥形束，面成像；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3、全数字扫描成像技术，可以显示灰阶值；</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4、X射线源:高频，小焦点；</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5、操作方式：远台操作，电脑工作站和射线机大于两米以上的距离；</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▲6、测量位置:左/右前臂桡骨远端1/3处，1/6处（ud1）,1/10处（ud2）</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▲7、脉冲式高低双能X线，高能:≤70kV，低能：≥55kV；</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8、管电流:高能≤0.25mA，低能≤0.45mA；</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★9、加载时间:≤4秒；</w:t>
            </w:r>
            <w:r>
              <w:rPr>
                <w:rFonts w:hint="eastAsia" w:ascii="仿宋" w:hAnsi="仿宋" w:eastAsia="仿宋" w:cs="仿宋"/>
                <w:b/>
                <w:bCs/>
                <w:i w:val="0"/>
                <w:iCs w:val="0"/>
                <w:color w:val="auto"/>
                <w:sz w:val="21"/>
                <w:szCs w:val="21"/>
                <w:highlight w:val="none"/>
                <w:u w:val="none"/>
                <w:lang w:val="en-US" w:eastAsia="zh-CN" w:bidi="ar"/>
              </w:rPr>
              <w:t xml:space="preserve">（需提供第三方检测机构出具的检测报告复印件加盖投标人电子签章）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▲10、准确度(误差)：低密度≤0.4%；中密度≤0.1%；高密度≤0.3% ；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11、重复性变异系数：低密度≤0.5%；中密度≤0.3%；高密度≤0.4%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12、线性：骨密度测定线性相关系数实测值R=1；</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13、射线管总过滤≥4.8mmAL；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14、探测器：采用动态数字平板探测器；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15、像素尺寸≤100μm；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16、检测窗口采用防护罩方式，射线得到有效防护，医生操作更安全；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▲17、测量参数:T-值、Z-值、BMD、BMC、面积、成人百分比、同龄百分比、骨质指数、预计发生骨质疏松年龄、FRAX、BMI指数；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18、拥有多人种数据库:中国人数据，WHO国际兼容；</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▲19、附加功能：FRAX评估、BMI评估、RRF评估、骨龄评估功能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▲20、具有MDI设置功能：具有MDI设置功能，通过MDI模组进行图片患者信息的管理交互。</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21、勾边功能：自动描边、一点定位、人工描边；</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★22、测量面积≥133mm*118mm</w:t>
            </w:r>
            <w:r>
              <w:rPr>
                <w:rFonts w:hint="eastAsia" w:ascii="仿宋" w:hAnsi="仿宋" w:eastAsia="仿宋" w:cs="仿宋"/>
                <w:b/>
                <w:bCs/>
                <w:i w:val="0"/>
                <w:iCs w:val="0"/>
                <w:color w:val="auto"/>
                <w:sz w:val="21"/>
                <w:szCs w:val="21"/>
                <w:highlight w:val="none"/>
                <w:u w:val="none"/>
                <w:lang w:val="en-US" w:eastAsia="zh-CN" w:bidi="ar"/>
              </w:rPr>
              <w:t xml:space="preserve">（需提供第三方检测机构出具的检测报告复印件加盖投标人电子签章）</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▲23、焦点与皮肤距离大于260mm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▲24、射线管焦点到影像接收面距离，管屏距SID≥335mm；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25、符合GBZ 130-2020《医用X射线诊断放射防护要求》机器表面1m处辐射泄露剂量率≤2.5μsv/h，免铅房使用；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26、具有儿童临床协议功能：操作人员可以针对不同测量人群，调整不同曝光参数，用更小的剂量，满足儿童骨龄拍摄条件。</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27、Z-值趋势图，T-值趋势图功能；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28、可选配骨龄功能模块，测量部位：指骨、腕骨、掌骨；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▲29、骨龄评价标准：TW3-RUS、TW3-C RUS、中华05（RUS-CHN）、TW3-C Carpal、CHN，包含中华05法R系列、C系列，TW3法R系列、C系列；</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▲30、身高预测方法：中华05法、TW3（Tanner and Whitehouse）法。</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31、身高、体重和BMI标准：依据《中国7岁以下儿童生长标准》《中国0-18岁儿童青少年身高、体重标准化生长曲线》评测。</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32、统计具有饼状统计与表格统计功能，数据分析处理及维护:骨密度相关数据分析，骨密度报告打印和系统数据远程交换；</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33、数据管理：满足His系统链接，符合DICOM3.0标准，具有管理病人数据、导入、导出、批量存档、病例管理功能。</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心电图机</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一、工作条件：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1.1产品可在电源交流100V~240V，50/60Hz，室温5—40℃和相对湿度25%RH~80%RH的环境下正常工作</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1.2产品的电源插头符合中国标准，无需适配器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二、 ECG输入</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2.1ECG输入通道：标准12导联心电信号同步采集</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2.2导联选择：手动/自动可选,（支持Nehb、Cabrera导联体系）</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2.3输入阻抗：≥100MΩ（10Hz）</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2.4频率响应：0.01-450 Hz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2.5定标电压：1mV±1%</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2.6耐极化电压：±880 mV（±5%）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2.7内部噪声：≤12.5µVp-p</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2.8时间常数：≥5s</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2.9共模抑制比：≥140dB（AC滤波开启）；≥123dB（AC滤波关闭）</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▲2.10输入电流：≤0.01μA</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2.11除颤保护：具有抗除颤电击保护功能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2.12导联线：导联线内附抗除颤电击保护功能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2.13中文输入及中文操作提示和中文报告语言</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三、波形处理：</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▲3.1A/D转换：24bit</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3.2采样率：40kHz *灵敏度选择：1.25、2.5、5、10、20、10/5、自动（AGC）mm/mV ±5%</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3.3抗干扰滤波：具有交流滤波、肌电滤波、基线漂移滤波、低通滤波功能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3.4自动分析功能：具有12导联同步自动分析以及RR分析功能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3.5自诊断功能：具有设备自诊断及故障提示功能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四、存储器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4.1设备内置存储器，存储病历800例</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4.2数据可通过SD卡、USB口导入导出,外接U盘和SD卡可扩展存储空间</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五、显示器：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▲5.1≥7英寸彩色液晶显示屏（可选配触摸屏），倾斜角设计，支持显示背景网格</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5.2显示信息：同屏显示12导同步心电波形</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5.3显示内容应包含波形、心率、导联、走纸速度、增益、滤波器、时间、电池电量指示、输入法、文件、信息提示区、中文患者信息等</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六、记录器：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6.1热敏式点阵打印机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6.2走纸速度：5、6.25、10、12.5、25、50 mm/s （±3%）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6.3记录通道：3×4、3×4+1R、3×4+3R、6×2、6×2+1R、12×1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6.4记录纸规格：支持折叠纸打印，打印纸宽度为：210mm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6.5打印方式：实时同步或连续12道心电波形，分段打印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6.6记录内容：心电波形、分析结果、明尼苏达码、平均模板以及导联名称、走纸速度、增益、滤波器、日期、中文患者信息、标记等</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6.7可直接外接打印机，通过A4纸打印12道心电波形和报告</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6.8具备在无网格纸上打印网格功能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七、功能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7.1直接功能键和标准键盘，直观、易用，具有性别、年龄组快速切换键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7.2可选配心电向量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7.3可准确判定接触不良的电极并予以指示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7.4拥有自动测量功能和自动诊断功能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7.5手动、自动、节律、R-R四种工作模式可供选择。</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7.6R-R间期检测，并将R-R趋势测量报告连同心电波形一并给出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7.7自动模式下可以支持10-60s时间的采集，记录，存储，传输。</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7.8支持实时采样、触发采样、周期采样模式，支持心律失常检测延时打印报告</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7.9周期记录模式,记录时间间隔最长可设置为60分钟</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7.10长时间波形冻结功能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7.11具有病历管理功能，可进行病历查询、预览、修改、传输、打印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7.12可以通过使用有线、无线方式和心电网络相连</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八、外部输入接口：</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8.1USB接口，网络接口功能，外部输入输出端口，SD卡接口</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8.2支持内置WIFI（选配），支持使用有线、无线的方式进行联网</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638" w:type="dxa"/>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W w:w="1174" w:type="dxa"/>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血气分析仪</w:t>
            </w:r>
            <w:r/>
          </w:p>
        </w:tc>
        <w:tc>
          <w:tcPr>
            <w:shd w:val="clear" w:color="auto" w:fill="auto"/>
            <w:tcW w:w="6831" w:type="dxa"/>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1.▲测试参数：至少包含PH、PO2、PCO2、Na+、K+，CL-,Ca++, Hct，Glu，Lac等10项参数。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2.计算参数：至少包含Hb、tCO2、HCO3-、BE、sO2、SBC、SBE、BB、tO2、H+、AG、mOsm、RI等≥20项参数。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3.★方法学原理：干式电化学原理。</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4.标本类型：可适用于动脉血、静脉血、毛细血管血等检测。</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5.▲进样方式：自动水平进样。</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6.▲用血量：最低用血量≤80ul。</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7.检测时间：≤60s。</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8.检测耗材：试剂单人份设计，独立包装，常温或冷藏保存，即取即用。</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9.试剂效期：常温≥210天，冷藏存储≥360天。</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10.质量控制：提供原厂配套三级液体质控品。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11.▲操作界面：≥7英寸彩色触摸屏。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12.内置充电电池，断电后仍可连续测量≥50个样本。</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13.仪器须内置热敏打印机，具备单机版软件，可打印A5报告单。</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14.数据接口与管理：串口、网络接口、USB口，支持直接连接LIS、HIS系统；仪器可存储≥10000个病人结果，可导出，可连接数据管理系统。</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15.仪器升级：系统自动升级软件，无需增加模块。</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16.★证书：获得13485认证、9001认证、CE认证、FDA认证。</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17.★具备江苏省临检中心室间质评独立分组。</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bl>
    <w:p>
      <w:pPr>
        <w:keepLines w:val="0"/>
        <w:keepNext w:val="0"/>
        <w:pageBreakBefore w:val="0"/>
        <w:spacing w:line="40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包2：眼科设备</w:t>
      </w:r>
      <w:r/>
    </w:p>
    <w:tbl>
      <w:tblPr>
        <w:tblStyle w:val="686"/>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481"/>
        <w:gridCol w:w="6524"/>
        <w:gridCol w:w="638"/>
      </w:tblGrid>
      <w:tr>
        <w:trPr>
          <w:jc w:val="center"/>
          <w:trHeight w:val="0"/>
          <w:tblHeader/>
        </w:trPr>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序号</w:t>
            </w:r>
            <w:r/>
          </w:p>
        </w:tc>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设备名称</w:t>
            </w:r>
            <w:r/>
          </w:p>
        </w:tc>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技术参数</w:t>
            </w:r>
            <w:r/>
          </w:p>
        </w:tc>
        <w:tc>
          <w:tcPr>
            <w:shd w:val="clear" w:color="auto" w:fill="auto"/>
            <w:tcW w:w="638" w:type="dxa"/>
            <w:vAlign w:val="center"/>
            <w:textDirection w:val="lrTb"/>
            <w:noWrap/>
          </w:tcPr>
          <w:p>
            <w:pPr>
              <w:ind w:left="0" w:right="0" w:firstLine="0"/>
              <w:jc w:val="center"/>
              <w:keepLines w:val="0"/>
              <w:keepNext/>
              <w:pageBreakBefore w:val="0"/>
              <w:spacing w:line="240" w:lineRule="auto"/>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r>
      <w:tr>
        <w:trPr>
          <w:jc w:val="center"/>
          <w:trHeight w:val="0"/>
        </w:trPr>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白内障超声乳化仪</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一、主机： </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▲1.用户界面：≥15”交互式LCD触摸屏幕，图标指示</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2.程序储存：可记忆储存参数，最多可存储30个不同的用户，每个用户最多可存储40个程序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▲3.脚踏：个性化编程，通过编程可控制设备所有的功能；可设定为单线性和双线性</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★4.灌注系统：具有眼内压动态控制系统（主动加压灌注功能）和重力灌注系统；眼内压动态控制功能，可选用任何品牌灌注液；</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5.泵系统：蠕动泵设计；</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6.电凝：双极电凝；工作频率：≥2MHZ；功率：≥9W；可选的电凝镊，电凝笔；</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▲7.集液盒及管路：积液盒一体化设计；标配可重复管路系统，也可配备一次性管路系统。           </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二、超声乳化：  </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1.手柄：可选的四晶片手柄及六晶片手柄。频率：≥40KHZ，针头冲程：≥5um-100um可调；</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内设手柄老化曲线，及时提醒因使用过多而引起的能量衰减或需更换手柄</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2.超乳针头：多种超乳针头可选：</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≥20G及≥21G针头及相应套管适配2.2-3.0mm切口；</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可选的30°喇叭口直型及弯型针头</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▲3.具备微雕技术：针头的振幅与设置能量保持一致，优化能量传输</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▲4.能量模式：连续超声、脉冲（三种预设脉冲模式，最小脉冲为10ms）、爆破（单爆破、多爆破、连续爆破）；</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高级功能：</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4-1.脉冲模式具有冷超声、冰冷超声功能；</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4-2.脉冲模式下的HD模式自动切换能量输出形式；</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4-3.Autolimit：在针头堵塞时，冲程小于低于50微米；</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5.负压范围：≥5～650mmHg，可设置负压上升时间，蠕动泵：≥0.5s-12s 25级可调</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6.流量范围：≥1～65cc/min</w:t>
            </w:r>
            <w:r/>
          </w:p>
          <w:p>
            <w:pPr>
              <w:ind w:left="0" w:right="0" w:firstLine="0"/>
              <w:jc w:val="left"/>
              <w:keepLines w:val="0"/>
              <w:keepNext/>
              <w:pageBreakBefore w:val="0"/>
              <w:spacing w:line="240" w:lineRule="auto"/>
              <w:widowControl/>
              <w:rPr>
                <w:rFonts w:hint="eastAsia" w:ascii="仿宋" w:hAnsi="仿宋" w:eastAsia="仿宋" w:cs="仿宋"/>
                <w:b w:val="0"/>
                <w:bCs w:val="0"/>
                <w:i w:val="0"/>
                <w:iCs w:val="0"/>
                <w:color w:val="auto"/>
                <w:sz w:val="21"/>
                <w:szCs w:val="21"/>
                <w:highlight w:val="none"/>
                <w:u w:val="none"/>
                <w:lang w:val="en-US" w:eastAsia="zh-CN" w:bidi="ar"/>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▲7.眼内压控制：≥15-135mmHg</w:t>
            </w:r>
            <w:r/>
          </w:p>
          <w:p>
            <w:pPr>
              <w:ind w:left="0" w:right="0" w:firstLine="0"/>
              <w:jc w:val="left"/>
              <w:keepLines w:val="0"/>
              <w:keepNext/>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8.前玻切：气动玻切；单刃60 - 1,000 cuts/min；双刃120 - 2,000 cuts/min</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Style w:val="987"/>
                <w:rFonts w:hint="default" w:ascii="仿宋" w:hAnsi="仿宋" w:eastAsia="仿宋" w:cs="仿宋"/>
                <w:color w:val="auto"/>
                <w:sz w:val="21"/>
                <w:szCs w:val="21"/>
                <w:highlight w:val="none"/>
                <w:lang w:val="en-US" w:eastAsia="zh-CN" w:bidi="ar"/>
              </w:rPr>
              <w:suppressLineNumbers w:val="0"/>
            </w:pPr>
            <w:r>
              <w:rPr>
                <w:rStyle w:val="987"/>
                <w:rFonts w:hint="eastAsia" w:ascii="仿宋" w:hAnsi="仿宋" w:eastAsia="仿宋" w:cs="仿宋"/>
                <w:color w:val="auto"/>
                <w:sz w:val="21"/>
                <w:szCs w:val="21"/>
                <w:highlight w:val="none"/>
                <w:lang w:val="en-US" w:eastAsia="zh-CN" w:bidi="ar"/>
              </w:rPr>
              <w:t xml:space="preserve">1</w:t>
            </w:r>
            <w:r/>
          </w:p>
        </w:tc>
      </w:tr>
      <w:tr>
        <w:trPr>
          <w:jc w:val="center"/>
          <w:trHeight w:val="0"/>
        </w:trPr>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W w:w="0" w:type="auto"/>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生物测量仪</w:t>
            </w:r>
            <w:r/>
          </w:p>
        </w:tc>
        <w:tc>
          <w:tcPr>
            <w:shd w:val="clear" w:color="auto" w:fill="auto"/>
            <w:tcW w:w="0" w:type="auto"/>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1、▲原理：光干涉式测量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眼轴长度  测量范围：≥14至40mm ，精确度≤0.01mm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2、测量曲率和散光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 角膜曲率半径（R1，R2平均值）测量范围：≥5.00至12.00mm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 角膜屈光度（K1，K2平均值） 测量范围：≥28.00至67.50D</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 角膜散光度数（CYL） 测量范围：≥0至±12.00D</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 角膜散光轴度（AXIS）测量范围：0至180°</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3、前房深度和角膜厚度测量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 前房深度（ACD）测量范围：≥1.5至6.5mm，精确度：0.01mm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 中心角膜厚度    测量范围：≥250至1200μm，精确度：1μm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4、角膜直径测量（WTW）测量范围：≥7至14mm，精确度：1mm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5、瞳孔尺寸测量（PS） 测量范围：≥1至10mm，显示增量：0.1mm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★6、人工晶体度数公式计算至少满足六种，SRK,SRK II,SRK/T,Binkhorst,HoffreQ,Holladay, Haigis，Camellin-Calossi，Barrett，必须包含Barrett公式。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7、3D自动追踪、自动对焦、自动测量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8、打印机：便捷热敏行式打印机，自动装纸切纸功能，打印纸无需穿过打印机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9、观察/显示类型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9.1▲ 显示可倾斜的彩色LCD触屏，≥5°倾动装置；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9.2 显示项目测量值，设置，按钮图标，对齐标志，眼前节图像，测量环图像；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10、▲可测量Kappa角，Alpha角</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11、▲具备轴率比显示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12、▲具备近视防控软件，可根据不同控制方法预测眼轴和近视情况</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13、接口功能：USB、 LAN</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14、配主机，图文工作站</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jc w:val="center"/>
          <w:trHeight w:val="0"/>
        </w:trPr>
        <w:tc>
          <w:tcPr>
            <w:shd w:val="clear" w:color="auto" w:fill="auto"/>
            <w:tcW w:w="638" w:type="dxa"/>
            <w:vAlign w:val="center"/>
            <w:textDirection w:val="lrTb"/>
            <w:noWrap/>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W w:w="1481" w:type="dxa"/>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眼科A/B超声诊断仪</w:t>
            </w:r>
            <w:r/>
          </w:p>
        </w:tc>
        <w:tc>
          <w:tcPr>
            <w:shd w:val="clear" w:color="auto" w:fill="auto"/>
            <w:tcW w:w="6524" w:type="dxa"/>
            <w:vAlign w:val="center"/>
            <w:textDirection w:val="lrTb"/>
            <w:noWrap w:val="false"/>
          </w:tcPr>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（一）、主要参数要求</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 A 超</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 探头频率：≥10MHz ，内置发光管 测量精度：≤±0.04mm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 测量参数：前房深度、晶体厚度、玻璃体长度、眼轴长度</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▲1.3眼轴长度的测量范围：≥6mm～40mm，误差≤±0.04mm；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1.4前房深度的测量范围：≥1mm～10mm，误差≤±0.04mm；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1.5晶体厚度的测量范围：≥0.6mm～12mm，误差≤±0.04mm；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1.6玻璃体厚度的测量范围：≥2mm～34mm ，误差≤±0.04mm；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 测量模式：晶体眼、无晶体眼、致密白内障、各种人工晶体眼</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 IOL 公式： SRK-II、SRK-T、HOFFER-Q、HOLLADAY、BINKHORST-II、HAIG IS 统计计算：平均值和标准差</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 存储：可存储≥10次A超扫描结果</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 B 超</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 探头频率：≥10MHz 静音磁驱动探头 扫描方式：扇形扫描</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 分辨力：轴向≤0.2mm  侧向≤0.4mm；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 放大功能：多级连续放大，实时放大</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 玻璃体和视网膜增强功能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 探头增益：≥30dB-105Db</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 B超几何位置精度：横向≤3%  纵向≤2%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 探测深度：≥60mm</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 扫描角度：≥53 度</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 图像灰级：≥256 级</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2.10 伪彩模式：多种伪彩</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2.11 测量类型：多组距离、周长及面积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2.12 图象后处理：多组伪彩处理曲线</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2.13 电影回放：≥100 幅图像回放，AVI、JPG 格式影像输出</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 其他</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 显示模式：B、B+B、B+A、A</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 所见提示：预置专家字典输入或手工输入 </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3.3 检索功能：多关键字检索功能</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3.4 自定义报告模板，适用微软等操作系统。</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 设备采用分体式主机和显示器尺寸：彩色、≥23英寸、16:9</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（二）主要配置要求</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 主机一台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 A超、B超探头各一个</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 定标柱一个</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 彩色显示器一台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 彩色打印机一台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 隔离电源一台</w:t>
            </w:r>
            <w:r/>
          </w:p>
          <w:p>
            <w:pPr>
              <w:ind w:left="0" w:right="0" w:firstLine="0"/>
              <w:jc w:val="left"/>
              <w:keepLines w:val="0"/>
              <w:keepNext/>
              <w:pageBreakBefore w:val="0"/>
              <w:spacing w:line="240" w:lineRule="auto"/>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 A/B超影像工作站软件一套</w:t>
            </w:r>
            <w:r/>
          </w:p>
        </w:tc>
        <w:tc>
          <w:tcPr>
            <w:shd w:val="clear" w:color="auto" w:fill="auto"/>
            <w:tcW w:w="638" w:type="dxa"/>
            <w:vAlign w:val="center"/>
            <w:textDirection w:val="lrTb"/>
            <w:noWrap w:val="false"/>
          </w:tcPr>
          <w:p>
            <w:pPr>
              <w:ind w:left="0" w:right="0" w:firstLine="0"/>
              <w:jc w:val="left"/>
              <w:keepLines w:val="0"/>
              <w:keepNext/>
              <w:pageBreakBefore w:val="0"/>
              <w:spacing w:line="240" w:lineRule="auto"/>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bl>
    <w:p>
      <w:pPr>
        <w:pStyle w:val="687"/>
        <w:ind w:left="0" w:firstLine="0"/>
        <w:keepLines w:val="0"/>
        <w:keepNext w:val="0"/>
        <w:pageBreakBefore w:val="0"/>
        <w:spacing w:line="4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pStyle w:val="687"/>
        <w:ind w:left="0" w:firstLine="0"/>
        <w:keepLines w:val="0"/>
        <w:keepNext w:val="0"/>
        <w:pageBreakBefore w:val="0"/>
        <w:spacing w:line="4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包3：口腔颌面锥形束计算机体层摄影设备（口腔CT）</w:t>
      </w:r>
      <w:r/>
    </w:p>
    <w:tbl>
      <w:tblPr>
        <w:tblStyle w:val="721"/>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16"/>
        <w:gridCol w:w="6773"/>
        <w:gridCol w:w="849"/>
      </w:tblGrid>
      <w:tr>
        <w:trPr>
          <w:jc w:val="center"/>
          <w:trHeight w:val="0"/>
          <w:tblHeader/>
        </w:trPr>
        <w:tc>
          <w:tcPr>
            <w:tcW w:w="849" w:type="dxa"/>
            <w:vAlign w:val="center"/>
            <w:textDirection w:val="lrTb"/>
            <w:noWrap w:val="false"/>
          </w:tcPr>
          <w:p>
            <w:pPr>
              <w:ind w:left="0" w:right="0" w:firstLine="0"/>
              <w:jc w:val="center"/>
              <w:keepLines w:val="0"/>
              <w:keepNext w:val="0"/>
              <w:pageBreakBefore w:val="0"/>
              <w:spacing w:line="240" w:lineRule="auto"/>
              <w:rPr>
                <w:rFonts w:hint="eastAsia" w:ascii="仿宋" w:hAnsi="仿宋" w:eastAsia="仿宋" w:cs="仿宋"/>
                <w:b/>
                <w:color w:val="auto"/>
                <w:sz w:val="21"/>
                <w:szCs w:val="21"/>
                <w:highlight w:val="none"/>
                <w:vertAlign w:val="baseline"/>
                <w:lang w:val="en-US" w:eastAsia="zh-CN"/>
              </w:rPr>
            </w:pPr>
            <w:r>
              <w:rPr>
                <w:rFonts w:hint="eastAsia" w:ascii="仿宋" w:hAnsi="仿宋" w:eastAsia="仿宋" w:cs="仿宋"/>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b/>
                <w:color w:val="auto"/>
                <w:sz w:val="21"/>
                <w:szCs w:val="21"/>
                <w:highlight w:val="none"/>
                <w:vertAlign w:val="baseline"/>
                <w:lang w:val="en-US" w:eastAsia="zh-CN"/>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设备名称</w:t>
            </w:r>
            <w:r/>
          </w:p>
        </w:tc>
        <w:tc>
          <w:tcPr>
            <w:tcW w:w="677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b/>
                <w:color w:val="auto"/>
                <w:sz w:val="21"/>
                <w:szCs w:val="21"/>
                <w:highlight w:val="none"/>
                <w:vertAlign w:val="baseline"/>
                <w:lang w:val="en-US" w:eastAsia="zh-CN"/>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技术参数</w:t>
            </w:r>
            <w:r/>
          </w:p>
        </w:tc>
        <w:tc>
          <w:tcPr>
            <w:tcW w:w="849"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r>
      <w:tr>
        <w:trPr>
          <w:jc w:val="center"/>
          <w:trHeight w:val="0"/>
        </w:trPr>
        <w:tc>
          <w:tcPr>
            <w:tcW w:w="849" w:type="dxa"/>
            <w:vAlign w:val="center"/>
            <w:textDirection w:val="lrTb"/>
            <w:noWrap w:val="false"/>
          </w:tcPr>
          <w:p>
            <w:pPr>
              <w:ind w:left="0" w:right="0" w:firstLine="0"/>
              <w:jc w:val="center"/>
              <w:keepLines w:val="0"/>
              <w:keepNext w:val="0"/>
              <w:pageBreakBefore w:val="0"/>
              <w:spacing w:line="240" w:lineRule="auto"/>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w:t>
            </w:r>
            <w:r/>
          </w:p>
        </w:tc>
        <w:tc>
          <w:tcPr>
            <w:tcW w:w="816" w:type="dxa"/>
            <w:vAlign w:val="center"/>
            <w:textDirection w:val="lrTb"/>
            <w:noWrap w:val="false"/>
          </w:tcPr>
          <w:p>
            <w:pPr>
              <w:ind w:left="0" w:right="0" w:firstLine="0"/>
              <w:jc w:val="center"/>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口腔颌面锥形束计算机体层摄影设备（口腔CT）</w:t>
            </w:r>
            <w:r/>
          </w:p>
        </w:tc>
        <w:tc>
          <w:tcPr>
            <w:tcW w:w="6773" w:type="dxa"/>
            <w:vAlign w:val="center"/>
            <w:textDirection w:val="lrTb"/>
            <w:noWrap w:val="false"/>
          </w:tcPr>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1.扫描架系统</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（1）CT平板探测器类型：CsI+ TFT；</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（2）探测器有效成像区域：≥15.3cm×15.3cm；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（3）探测器像素大小：≤100um；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（4）探测器输出数据灰阶：≥16bit；</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（5）最小重建体素：≤70um；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2.侧位支架系统</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（1）头侧探测器类型：CsI+CMOS；</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（2）最小探测器像素大小：≤100um；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 xml:space="preserve">（3）探测器输出数据灰阶：≥16bit；</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3.X射线源组件</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（1）类型：高频脉冲高压X射线发生器；</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（2）球管电压：60-100kV；</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（3）球管电流：1-10mA；</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 xml:space="preserve">（4）球管焦点：≥0.5mm；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4.扫描参数和图像质量</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▲（1）CT单次扫描最大视野：≥16cm×11cm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▲（2）CT拍摄视野可选择：可提供包括小视野，中视野，大视野在内的至少5个不同视野，且最小视野不大于5cm×5cm </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（2）CT空间分辨率：≥1.0lp/mm；  </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（3）全景空间分辨率：≥2.5lp/mm；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（4）头颅侧位空间分辨率：≥2.0lp/mm；</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（5）全景最短扫描时间：≤14s；</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（6）头颅侧位最短扫描时间：≤8.4s；</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（7）CT最短扫描时间：≤8s；</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 xml:space="preserve">（8）CT图像信噪比：≤9.0；</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5.计算机</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（1）CPU：≥i5六核；</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（2）内存：≥16GB，DDR4 内存；        </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（3）显卡：独立显卡，显存≥8GB；</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（4）硬盘容量：≥2TB，系统盘采用≥256G固态硬盘；</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（5）显示器：≥23.8″液晶，分辨率为1920×1080；</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（6）CT图像重建时间：≤60秒；</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 xml:space="preserve">（7）图像重建技术：三维锥形束FDK算法。</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6.临床应用软件</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（1）支持远程PACS服务器连接，可将设备接入医院现有PACS网络，提供存储、传输、远程打印、查询功能；</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（2）以标准DICOM3.0格式输出图像文件，可与PACS、RIS相连，支持局域网络共享，分机影像查看；</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▲（3）具备口腔数字化影像软件和正畸处理软件各一套，均拥有原厂独立NMPA注册证；</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（4）距离测量：可测量直线距离、曲线距离；角度测量：可进行三点角度测量、四点角度测量；面积测量：可测量任意区域的面积；连续测量：可测量连续距离；</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（5）牙弓线绘制：AI自动绘制牙弓线，生成患者全景图像，可手动调整；</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（6）AI神经管绘制：具备手动和全自动标记描绘神经管两种模式，全自动模式可一秒着色呈现，能显示三维重建模型，具备自动检测并标注神经管功能；</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（7）AI自动精确进行双侧颞颌关节切片，方便进行双侧关节影像查看，可以任意调节层厚；</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（8）VTO功能：可通过更改牙位来改变患者照片的侧貌，形成可视化正畸预览；</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（9）内窥镜功能：可以3D视角内窥观察患者神经管、根管内部情况；</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（10）金属去伪影校正：降低口腔内金属物或其他高密度物质对CT成像效果的影响；</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（11）种植体数据库：拥有上百种主流型号种植体，免费升级种植体库，可依据医院需求添加所需要的品牌、系列种植体模型；</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（12）定点观察，可在全景视图中以任意一点为中心，自动展示该位置的轴状面、矢状面、冠状面影像，方便观察；</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多平面重建图像：集成化界面，任意位置、任意方向观察患者切片，成像能显示成像轮廓和边缘；MIP（最大密度投影），可以透明观察内部结构；成像模式可一键切换，层厚可以任意调节；可将同一患者所有影像数据融合在同一软件中诊断管理；</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AI智能正畸测量分析系统：可一键自动描绘所有正畸点位，一键出具正畸报告功能；可一键自动标记≥67个分析点、≥193个测量项目，提供≥26种测量分析方法，支持个性化的测量分析方法，一键生成分析报告，支持诊疗各阶段的轮廓对比，支持可视化矫正模拟，支持骨龄分析、气道分析、正貌分析、侧貌分析等，无需联网亦可使用。</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（15）三维正畸：具备CT数据模拟头颅正位、侧位功能；单侧头影测量功能，自动分割侧位片中的左右半边图像，再分别进行AI头影测量，减少了结构的重叠。</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 xml:space="preserve">▲（16）CT动态对比功能：在同一界面可对不同时间拍摄的CT片进行任意切面和三维模型动态对比，适用于口腔外科、正颌正畸、颞颌关节的对比诊断。</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7.结构性能</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▲（1）摆位及扫描：采用侧方开放式摆位，摆位及扫描过程中受检者侧对立柱设计（非面向立柱站立）。可正面观察（非通过镜面反射）定位激光线位置；</w:t>
            </w:r>
            <w:r/>
          </w:p>
          <w:p>
            <w:pPr>
              <w:ind w:left="0" w:right="0" w:firstLine="0"/>
              <w:jc w:val="left"/>
              <w:keepLines w:val="0"/>
              <w:keepNext w:val="0"/>
              <w:pageBreakBefore w:val="0"/>
              <w:spacing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 xml:space="preserve">机架底座：采用U型底座（非X型）。</w:t>
            </w:r>
            <w:r/>
          </w:p>
        </w:tc>
        <w:tc>
          <w:tcPr>
            <w:tcW w:w="849" w:type="dxa"/>
            <w:vAlign w:val="center"/>
            <w:textDirection w:val="lrTb"/>
            <w:noWrap w:val="false"/>
          </w:tcPr>
          <w:p>
            <w:pPr>
              <w:ind w:left="0" w:right="0" w:firstLine="0"/>
              <w:jc w:val="left"/>
              <w:keepLines w:val="0"/>
              <w:keepNext w:val="0"/>
              <w:pageBreakBefore w:val="0"/>
              <w:spacing w:line="24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bl>
    <w:p>
      <w:pPr>
        <w:keepLines w:val="0"/>
        <w:keepNext w:val="0"/>
        <w:pageBreakBefore w:val="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687"/>
        <w:numPr>
          <w:ilvl w:val="0"/>
          <w:numId w:val="0"/>
        </w:numPr>
        <w:keepLines w:val="0"/>
        <w:keepNext w:val="0"/>
        <w:pageBreakBefore w:val="0"/>
        <w:spacing w:line="4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包4：乳腺钼靶(DR)</w:t>
      </w:r>
      <w:r/>
    </w:p>
    <w:tbl>
      <w:tblPr>
        <w:tblStyle w:val="721"/>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16"/>
        <w:gridCol w:w="5891"/>
        <w:gridCol w:w="840"/>
      </w:tblGrid>
      <w:tr>
        <w:trPr>
          <w:jc w:val="center"/>
          <w:trHeight w:val="0"/>
          <w:tblHeader/>
        </w:trPr>
        <w:tc>
          <w:tcPr>
            <w:tcW w:w="840" w:type="dxa"/>
            <w:vAlign w:val="center"/>
            <w:textDirection w:val="lrTb"/>
            <w:noWrap w:val="false"/>
          </w:tcPr>
          <w:p>
            <w:pPr>
              <w:ind w:left="0" w:right="0" w:firstLine="0"/>
              <w:jc w:val="center"/>
              <w:keepLines w:val="0"/>
              <w:keepNext/>
              <w:pageBreakBefore w:val="0"/>
              <w:spacing w:line="240"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b/>
                <w:bCs/>
                <w:color w:val="auto"/>
                <w:sz w:val="21"/>
                <w:szCs w:val="21"/>
                <w:highlight w:val="none"/>
                <w:vertAlign w:val="baseli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设备名称</w:t>
            </w:r>
            <w:r/>
          </w:p>
        </w:tc>
        <w:tc>
          <w:tcPr>
            <w:tcW w:w="5891" w:type="dxa"/>
            <w:vAlign w:val="center"/>
            <w:textDirection w:val="lrTb"/>
            <w:noWrap w:val="false"/>
          </w:tcPr>
          <w:p>
            <w:pPr>
              <w:ind w:left="0" w:right="0" w:firstLine="0"/>
              <w:jc w:val="center"/>
              <w:keepLines w:val="0"/>
              <w:keepNext/>
              <w:pageBreakBefore w:val="0"/>
              <w:spacing w:line="240" w:lineRule="auto"/>
              <w:widowControl/>
              <w:rPr>
                <w:rFonts w:hint="eastAsia" w:ascii="仿宋" w:hAnsi="仿宋" w:eastAsia="仿宋" w:cs="仿宋"/>
                <w:b/>
                <w:bCs/>
                <w:color w:val="auto"/>
                <w:sz w:val="21"/>
                <w:szCs w:val="21"/>
                <w:highlight w:val="none"/>
                <w:vertAlign w:val="baseli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技术参数</w:t>
            </w:r>
            <w:r/>
          </w:p>
        </w:tc>
        <w:tc>
          <w:tcPr>
            <w:tcW w:w="840" w:type="dxa"/>
            <w:vAlign w:val="center"/>
            <w:textDirection w:val="lrTb"/>
            <w:noWrap w:val="false"/>
          </w:tcPr>
          <w:p>
            <w:pPr>
              <w:ind w:left="0" w:right="0" w:firstLine="0"/>
              <w:jc w:val="center"/>
              <w:keepLines w:val="0"/>
              <w:keepNext/>
              <w:pageBreakBefore w:val="0"/>
              <w:spacing w:line="240" w:lineRule="auto"/>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r>
      <w:tr>
        <w:trPr>
          <w:jc w:val="center"/>
          <w:trHeight w:val="7060"/>
        </w:trPr>
        <w:tc>
          <w:tcPr>
            <w:tcW w:w="840" w:type="dxa"/>
            <w:vAlign w:val="center"/>
            <w:textDirection w:val="lrTb"/>
            <w:noWrap w:val="false"/>
          </w:tcPr>
          <w:p>
            <w:pPr>
              <w:ind w:left="0" w:right="0" w:firstLine="0"/>
              <w:jc w:val="center"/>
              <w:keepLines w:val="0"/>
              <w:keepNext/>
              <w:pageBreakBefore w:val="0"/>
              <w:spacing w:line="240" w:lineRule="auto"/>
              <w:rPr>
                <w:rFonts w:hint="default" w:ascii="仿宋" w:hAnsi="仿宋" w:eastAsia="仿宋" w:cs="仿宋"/>
                <w:bCs/>
                <w:color w:val="auto"/>
                <w:sz w:val="21"/>
                <w:szCs w:val="21"/>
                <w:highlight w:val="none"/>
                <w:vertAlign w:val="baseline"/>
                <w:lang w:val="en-US" w:eastAsia="zh-CN"/>
              </w:rPr>
            </w:pPr>
            <w:r>
              <w:rPr>
                <w:rFonts w:hint="eastAsia" w:ascii="仿宋" w:hAnsi="仿宋" w:eastAsia="仿宋" w:cs="仿宋"/>
                <w:bCs/>
                <w:color w:val="auto"/>
                <w:sz w:val="21"/>
                <w:szCs w:val="21"/>
                <w:highlight w:val="none"/>
                <w:vertAlign w:val="baseline"/>
                <w:lang w:val="en-US" w:eastAsia="zh-CN"/>
              </w:rPr>
              <w:t xml:space="preserve">1</w:t>
            </w:r>
            <w:r/>
          </w:p>
        </w:tc>
        <w:tc>
          <w:tcPr>
            <w:tcW w:w="1716" w:type="dxa"/>
            <w:vAlign w:val="center"/>
            <w:textDirection w:val="lrTb"/>
            <w:noWrap w:val="false"/>
          </w:tcPr>
          <w:p>
            <w:pPr>
              <w:ind w:left="0" w:right="0" w:firstLine="0"/>
              <w:jc w:val="center"/>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8"/>
                <w:szCs w:val="28"/>
                <w:highlight w:val="none"/>
                <w:lang w:val="en-US" w:eastAsia="zh-CN" w:bidi="ar-SA"/>
              </w:rPr>
              <w:t xml:space="preserve">乳腺钼靶(DR)</w:t>
            </w:r>
            <w:r/>
          </w:p>
        </w:tc>
        <w:tc>
          <w:tcPr>
            <w:tcW w:w="5891" w:type="dxa"/>
            <w:vAlign w:val="center"/>
            <w:textDirection w:val="lrTb"/>
            <w:noWrap w:val="false"/>
          </w:tcPr>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高压发生器：</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高压发生器类型：高频逆变式</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.2功率：≥5KW</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曝光电压范围：20～40KV</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最小输出电流：≤10mA</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最大输出电流：≥200mA</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最小mAs：≤5 mAs</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最大mAs：≥600 mAs</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曝光时间范围：5ms-10000ms</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.9</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多种曝光控制方式：手动曝光控制和全自动曝光控制</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.9.1手动曝光控制模式： KV和mAs手动调整</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.9.2全自动曝光控制模式：KV和mAs自动调整</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.10六种曝光选择模式</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.10.1剂量优先HQ/SQ：具备</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.10.2对比度优先HQ/SQ：具备</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rPr>
              <w:t xml:space="preserve">.10.3标准模式HQ/SQ：具备</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X线球管</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.1球管阳极靶面材料：钨靶，非双靶设计</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球管焦点：</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小焦点：≤0.1 mm×0.1mm；大焦点：≤0.3 mm×0.3mm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阳极靶角：≥10°</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.4阳极转速：≥10000rpm/min</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.5阳极热容量：≥300KHU</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rPr>
              <w:t xml:space="preserve">.6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最大管电流：≥200mA</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摄影架系统</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机架结构：开放式C型臂设计</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垂直升降范围：≥590mm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SID：≥600mm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C臂绕水平轴旋转角度: ≥300°</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具有镜向角度记忆功能，可一键式摆位，快捷准确</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C臂等中心旋转、上下运动通过按键或脚闸控制</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运动控制：C臂旋转速度随着按键按压时间的长短自动匹配运动速率</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机架两边具有升降、旋转电动控制按钮</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.9彩色液晶显示屏尺寸：≥5.7英寸</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.10液晶显示屏显示内容： C臂角度、压迫厚度及压迫力度，具备激活参数放大显示功能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.11单键完成设备的折叠功能，折叠后设备的整机高度：≤1300mm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.12具备急停开关功能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平板探测器</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探测器材料：乳腺摄影专用非晶硅平板探测器</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探测器成像区域：≥24cm×30cm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像素矩阵：≥3500×2800</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像素尺寸：≤85 μm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.5空间分辨率：≥7 lp/mm</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图像预览时间：≤7 s</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成像时间：≤10 s</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A/D转换：≥16 bit</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.9具备电子AEC实现自动曝光控制功能，非物理电离室实现</w:t>
            </w:r>
            <w:r>
              <w:rPr>
                <w:rFonts w:hint="eastAsia" w:ascii="仿宋" w:hAnsi="仿宋" w:eastAsia="仿宋" w:cs="仿宋"/>
                <w:b/>
                <w:bCs w:val="0"/>
                <w:color w:val="auto"/>
                <w:sz w:val="21"/>
                <w:szCs w:val="21"/>
                <w:highlight w:val="none"/>
              </w:rPr>
              <w:t xml:space="preserve">(需提供第三方出具的相关证明</w:t>
            </w:r>
            <w:r>
              <w:rPr>
                <w:rFonts w:hint="eastAsia" w:ascii="仿宋" w:hAnsi="仿宋" w:eastAsia="仿宋" w:cs="仿宋"/>
                <w:b/>
                <w:bCs w:val="0"/>
                <w:i w:val="0"/>
                <w:iCs w:val="0"/>
                <w:color w:val="auto"/>
                <w:sz w:val="21"/>
                <w:szCs w:val="21"/>
                <w:highlight w:val="none"/>
                <w:u w:val="none"/>
                <w:lang w:val="en-US" w:eastAsia="zh-CN" w:bidi="ar"/>
              </w:rPr>
              <w:t xml:space="preserve">加盖投标人电子签章</w:t>
            </w:r>
            <w:r>
              <w:rPr>
                <w:rFonts w:hint="eastAsia" w:ascii="仿宋" w:hAnsi="仿宋" w:eastAsia="仿宋" w:cs="仿宋"/>
                <w:b/>
                <w:bCs w:val="0"/>
                <w:color w:val="auto"/>
                <w:sz w:val="21"/>
                <w:szCs w:val="21"/>
                <w:highlight w:val="none"/>
              </w:rPr>
              <w:t xml:space="preserve">)</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压迫系统</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压迫方式：手动和电动</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具备曝光后自动释放压迫板</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.3具备感应式智能压迫功能：根据腺体厚度及致密度自动感应调整压迫力度及速度</w:t>
            </w:r>
            <w:r>
              <w:rPr>
                <w:rFonts w:hint="eastAsia" w:ascii="仿宋" w:hAnsi="仿宋" w:eastAsia="仿宋" w:cs="仿宋"/>
                <w:b/>
                <w:bCs w:val="0"/>
                <w:color w:val="auto"/>
                <w:sz w:val="21"/>
                <w:szCs w:val="21"/>
                <w:highlight w:val="none"/>
              </w:rPr>
              <w:t xml:space="preserve">(需提供第三方出具的相关证明</w:t>
            </w:r>
            <w:r>
              <w:rPr>
                <w:rFonts w:hint="eastAsia" w:ascii="仿宋" w:hAnsi="仿宋" w:eastAsia="仿宋" w:cs="仿宋"/>
                <w:b/>
                <w:bCs w:val="0"/>
                <w:i w:val="0"/>
                <w:iCs w:val="0"/>
                <w:color w:val="auto"/>
                <w:sz w:val="21"/>
                <w:szCs w:val="21"/>
                <w:highlight w:val="none"/>
                <w:u w:val="none"/>
                <w:lang w:val="en-US" w:eastAsia="zh-CN" w:bidi="ar"/>
              </w:rPr>
              <w:t xml:space="preserve">加盖投标人电子签章</w:t>
            </w:r>
            <w:r>
              <w:rPr>
                <w:rFonts w:hint="eastAsia" w:ascii="仿宋" w:hAnsi="仿宋" w:eastAsia="仿宋" w:cs="仿宋"/>
                <w:b/>
                <w:bCs w:val="0"/>
                <w:color w:val="auto"/>
                <w:sz w:val="21"/>
                <w:szCs w:val="21"/>
                <w:highlight w:val="none"/>
              </w:rPr>
              <w:t xml:space="preserve">)</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压迫板操作方式设定：电动或手动，并带有自动安全压力限制功能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电动压迫力最大可调至：180N</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手动压迫力最大可调至：300N。</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6.</w:t>
            </w:r>
            <w:r>
              <w:rPr>
                <w:rFonts w:hint="eastAsia" w:ascii="仿宋" w:hAnsi="仿宋" w:eastAsia="仿宋" w:cs="仿宋"/>
                <w:bCs/>
                <w:color w:val="auto"/>
                <w:sz w:val="21"/>
                <w:szCs w:val="21"/>
                <w:highlight w:val="none"/>
              </w:rPr>
              <w:t xml:space="preserve">滤线栅</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6</w:t>
            </w:r>
            <w:r>
              <w:rPr>
                <w:rFonts w:hint="eastAsia" w:ascii="仿宋" w:hAnsi="仿宋" w:eastAsia="仿宋" w:cs="仿宋"/>
                <w:bCs/>
                <w:color w:val="auto"/>
                <w:sz w:val="21"/>
                <w:szCs w:val="21"/>
                <w:highlight w:val="none"/>
              </w:rPr>
              <w:t xml:space="preserve">.1通过软件方式实现散射线的有效抑制，去除散射线对图像的影响，非物理滤线栅实现</w:t>
            </w:r>
            <w:r>
              <w:rPr>
                <w:rFonts w:hint="eastAsia" w:ascii="仿宋" w:hAnsi="仿宋" w:eastAsia="仿宋" w:cs="仿宋"/>
                <w:b/>
                <w:bCs w:val="0"/>
                <w:color w:val="auto"/>
                <w:sz w:val="21"/>
                <w:szCs w:val="21"/>
                <w:highlight w:val="none"/>
              </w:rPr>
              <w:t xml:space="preserve">(需提供第三方出具的相关证明</w:t>
            </w:r>
            <w:r>
              <w:rPr>
                <w:rFonts w:hint="eastAsia" w:ascii="仿宋" w:hAnsi="仿宋" w:eastAsia="仿宋" w:cs="仿宋"/>
                <w:b/>
                <w:bCs w:val="0"/>
                <w:i w:val="0"/>
                <w:iCs w:val="0"/>
                <w:color w:val="auto"/>
                <w:sz w:val="21"/>
                <w:szCs w:val="21"/>
                <w:highlight w:val="none"/>
                <w:u w:val="none"/>
                <w:lang w:val="en-US" w:eastAsia="zh-CN" w:bidi="ar"/>
              </w:rPr>
              <w:t xml:space="preserve">加盖投标人电子签章</w:t>
            </w:r>
            <w:r>
              <w:rPr>
                <w:rFonts w:hint="eastAsia" w:ascii="仿宋" w:hAnsi="仿宋" w:eastAsia="仿宋" w:cs="仿宋"/>
                <w:b/>
                <w:bCs w:val="0"/>
                <w:color w:val="auto"/>
                <w:sz w:val="21"/>
                <w:szCs w:val="21"/>
                <w:highlight w:val="none"/>
              </w:rPr>
              <w:t xml:space="preserve">)</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vertAlign w:val="baseline"/>
                <w:lang w:val="en-US" w:eastAsia="zh-CN"/>
              </w:rPr>
              <w:t xml:space="preserve">7.</w:t>
            </w:r>
            <w:r>
              <w:rPr>
                <w:rFonts w:hint="eastAsia" w:ascii="仿宋" w:hAnsi="仿宋" w:eastAsia="仿宋" w:cs="仿宋"/>
                <w:bCs/>
                <w:color w:val="auto"/>
                <w:sz w:val="21"/>
                <w:szCs w:val="21"/>
                <w:highlight w:val="none"/>
                <w:vertAlign w:val="baseline"/>
              </w:rPr>
              <w:t xml:space="preserve">图像采集工作站</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曝光参数设置与图像采集一体式操作界面，且采集软件与设备整机为同一生产厂家</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操作系统： Windows</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硬盘：≥1 TB</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.4</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内存：≥4 GB</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.5</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可存储图像容量：≥20000幅</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.6</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图像预览显示器：≥23.8英寸</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.7</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全中文操作界面</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.8</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软件界面及数字图像上显示各种曝光参数，包括：kV/mAs/压迫力度/压迫厚度/剂量/过滤材料等</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图像处理功能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.9.1</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通过调整动态范围实现多频率、多层次的图像均衡处理算法技术</w:t>
            </w:r>
            <w:r>
              <w:rPr>
                <w:rFonts w:hint="eastAsia" w:ascii="仿宋" w:hAnsi="仿宋" w:eastAsia="仿宋" w:cs="仿宋"/>
                <w:b/>
                <w:bCs w:val="0"/>
                <w:color w:val="auto"/>
                <w:sz w:val="21"/>
                <w:szCs w:val="21"/>
                <w:highlight w:val="none"/>
              </w:rPr>
              <w:t xml:space="preserve">(需提供第三方出具的相关证明</w:t>
            </w:r>
            <w:r>
              <w:rPr>
                <w:rFonts w:hint="eastAsia" w:ascii="仿宋" w:hAnsi="仿宋" w:eastAsia="仿宋" w:cs="仿宋"/>
                <w:b/>
                <w:bCs w:val="0"/>
                <w:i w:val="0"/>
                <w:iCs w:val="0"/>
                <w:color w:val="auto"/>
                <w:sz w:val="21"/>
                <w:szCs w:val="21"/>
                <w:highlight w:val="none"/>
                <w:u w:val="none"/>
                <w:lang w:val="en-US" w:eastAsia="zh-CN" w:bidi="ar"/>
              </w:rPr>
              <w:t xml:space="preserve">加盖投标人电子签章</w:t>
            </w:r>
            <w:r>
              <w:rPr>
                <w:rFonts w:hint="eastAsia" w:ascii="仿宋" w:hAnsi="仿宋" w:eastAsia="仿宋" w:cs="仿宋"/>
                <w:b/>
                <w:bCs w:val="0"/>
                <w:color w:val="auto"/>
                <w:sz w:val="21"/>
                <w:szCs w:val="21"/>
                <w:highlight w:val="none"/>
              </w:rPr>
              <w:t xml:space="preserve">)</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.9.2手动调节窗宽、窗位</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.9.3图像动态范围调节</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.9.4图像放大、局部放大功能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.9.5图像的黑白反转</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.9.6图像的角度旋转和反转</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.9.7图像的存储</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.9.8图像标注</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.9.9测量功能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.9.10对比度增强</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.9.11图像边缘增强</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.9.12组织均衡</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.9.13背景抑制</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.10具备乳腺假体植入物的选择功能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.11病人数据可手动输入，也可通过DICOM Worklist从HIS/RIS中直接获取：</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.12</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DICOM 3.0通用数字接口</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lang w:val="en-US" w:eastAsia="zh-CN"/>
              </w:rPr>
              <w:t xml:space="preserve">7</w:t>
            </w:r>
            <w:r>
              <w:rPr>
                <w:rFonts w:hint="eastAsia" w:ascii="仿宋" w:hAnsi="仿宋" w:eastAsia="仿宋" w:cs="仿宋"/>
                <w:bCs/>
                <w:color w:val="auto"/>
                <w:sz w:val="21"/>
                <w:szCs w:val="21"/>
                <w:highlight w:val="none"/>
              </w:rPr>
              <w:t xml:space="preserve">.13具备光盘刻录功能</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vertAlign w:val="baseline"/>
              </w:rPr>
            </w:pPr>
            <w:r>
              <w:rPr>
                <w:rFonts w:hint="eastAsia" w:ascii="仿宋" w:hAnsi="仿宋" w:eastAsia="仿宋" w:cs="仿宋"/>
                <w:bCs/>
                <w:color w:val="auto"/>
                <w:sz w:val="21"/>
                <w:szCs w:val="21"/>
                <w:highlight w:val="none"/>
                <w:vertAlign w:val="baseline"/>
                <w:lang w:val="en-US" w:eastAsia="zh-CN"/>
              </w:rPr>
              <w:t xml:space="preserve">8.</w:t>
            </w:r>
            <w:r>
              <w:rPr>
                <w:rFonts w:hint="eastAsia" w:ascii="仿宋" w:hAnsi="仿宋" w:eastAsia="仿宋" w:cs="仿宋"/>
                <w:bCs/>
                <w:color w:val="auto"/>
                <w:sz w:val="21"/>
                <w:szCs w:val="21"/>
                <w:highlight w:val="none"/>
                <w:vertAlign w:val="baseline"/>
              </w:rPr>
              <w:t xml:space="preserve">二维定位装置</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8</w:t>
            </w:r>
            <w:r>
              <w:rPr>
                <w:rFonts w:hint="eastAsia" w:ascii="仿宋" w:hAnsi="仿宋" w:eastAsia="仿宋" w:cs="仿宋"/>
                <w:bCs/>
                <w:color w:val="auto"/>
                <w:sz w:val="21"/>
                <w:szCs w:val="21"/>
                <w:highlight w:val="none"/>
              </w:rPr>
              <w:t xml:space="preserve">.1具备二维定位指示装置</w:t>
            </w:r>
            <w:r/>
          </w:p>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8</w:t>
            </w: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rPr>
              <w:tab/>
            </w:r>
            <w:r>
              <w:rPr>
                <w:rFonts w:hint="eastAsia" w:ascii="仿宋" w:hAnsi="仿宋" w:eastAsia="仿宋" w:cs="仿宋"/>
                <w:bCs/>
                <w:color w:val="auto"/>
                <w:sz w:val="21"/>
                <w:szCs w:val="21"/>
                <w:highlight w:val="none"/>
              </w:rPr>
              <w:t xml:space="preserve">具备二维定位压迫板</w:t>
            </w:r>
            <w:r/>
          </w:p>
        </w:tc>
        <w:tc>
          <w:tcPr>
            <w:tcW w:w="840" w:type="dxa"/>
            <w:vAlign w:val="center"/>
            <w:textDirection w:val="lrTb"/>
            <w:noWrap w:val="false"/>
          </w:tcPr>
          <w:p>
            <w:pPr>
              <w:ind w:left="0" w:right="0" w:firstLine="0"/>
              <w:jc w:val="left"/>
              <w:keepLines w:val="0"/>
              <w:keepNext/>
              <w:pageBreakBefore w:val="0"/>
              <w:spacing w:line="240"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r>
            <w:r/>
          </w:p>
        </w:tc>
      </w:tr>
    </w:tbl>
    <w:p>
      <w:pPr>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备注：加“★”号是核心参数，不满足即视为不符合设备要求，应予以废标。加“▲”号是重要参数。</w:t>
      </w:r>
      <w:r/>
    </w:p>
    <w:p>
      <w:pPr>
        <w:numPr>
          <w:ilvl w:val="0"/>
          <w:numId w:val="0"/>
        </w:numPr>
        <w:ind w:firstLine="560"/>
        <w:keepLines w:val="0"/>
        <w:keepNext w:val="0"/>
        <w:pageBreakBefore w:val="0"/>
        <w:spacing w:line="312"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三、</w:t>
      </w:r>
      <w:r>
        <w:rPr>
          <w:rFonts w:hint="eastAsia" w:ascii="仿宋" w:hAnsi="仿宋" w:eastAsia="仿宋" w:cs="仿宋"/>
          <w:bCs/>
          <w:color w:val="auto"/>
          <w:sz w:val="28"/>
          <w:szCs w:val="28"/>
          <w:highlight w:val="none"/>
        </w:rPr>
        <w:t xml:space="preserve">交货日期及地点：合同签订后，乙方接到甲方发货通知之日起</w:t>
      </w:r>
      <w:r>
        <w:rPr>
          <w:rFonts w:hint="eastAsia" w:ascii="仿宋" w:hAnsi="仿宋" w:eastAsia="仿宋" w:cs="仿宋"/>
          <w:bCs/>
          <w:color w:val="auto"/>
          <w:sz w:val="28"/>
          <w:szCs w:val="28"/>
          <w:highlight w:val="none"/>
          <w:lang w:val="en-US" w:eastAsia="zh-CN"/>
        </w:rPr>
        <w:t xml:space="preserve">30</w:t>
      </w:r>
      <w:r>
        <w:rPr>
          <w:rFonts w:hint="eastAsia" w:ascii="仿宋" w:hAnsi="仿宋" w:eastAsia="仿宋" w:cs="仿宋"/>
          <w:bCs/>
          <w:color w:val="auto"/>
          <w:sz w:val="28"/>
          <w:szCs w:val="28"/>
          <w:highlight w:val="none"/>
        </w:rPr>
        <w:t xml:space="preserve">天之内安装调试培训完毕</w:t>
      </w:r>
      <w:r>
        <w:rPr>
          <w:rFonts w:hint="eastAsia" w:ascii="仿宋" w:hAnsi="仿宋" w:eastAsia="仿宋" w:cs="仿宋"/>
          <w:bCs/>
          <w:color w:val="auto"/>
          <w:sz w:val="28"/>
          <w:szCs w:val="28"/>
          <w:highlight w:val="none"/>
          <w:lang w:eastAsia="zh-CN"/>
        </w:rPr>
        <w:t xml:space="preserve">。</w:t>
      </w:r>
      <w:r/>
    </w:p>
    <w:p>
      <w:pPr>
        <w:numPr>
          <w:ilvl w:val="0"/>
          <w:numId w:val="0"/>
        </w:numPr>
        <w:ind w:firstLine="560"/>
        <w:keepLines w:val="0"/>
        <w:keepNext w:val="0"/>
        <w:pageBreakBefore w:val="0"/>
        <w:spacing w:line="312"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乙方负责将货物运抵</w:t>
      </w:r>
      <w:r>
        <w:rPr>
          <w:rFonts w:hint="eastAsia" w:ascii="仿宋" w:hAnsi="仿宋" w:eastAsia="仿宋" w:cs="仿宋"/>
          <w:bCs/>
          <w:color w:val="auto"/>
          <w:sz w:val="28"/>
          <w:szCs w:val="28"/>
          <w:highlight w:val="none"/>
          <w:lang w:val="en-US" w:eastAsia="zh-CN"/>
        </w:rPr>
        <w:t xml:space="preserve">甲方</w:t>
      </w:r>
      <w:r>
        <w:rPr>
          <w:rFonts w:hint="eastAsia" w:ascii="仿宋" w:hAnsi="仿宋" w:eastAsia="仿宋" w:cs="仿宋"/>
          <w:bCs/>
          <w:color w:val="auto"/>
          <w:sz w:val="28"/>
          <w:szCs w:val="28"/>
          <w:highlight w:val="none"/>
        </w:rPr>
        <w:t xml:space="preserve">指定地点。如乙方逾期交货，则每日按合同总额0.5%承担除违约金，违约金、应退差价等金钱债务甲方均可以在每次应付款中直接扣除</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期间产生的所有相关费用由乙方承担。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rPr>
        <w:t xml:space="preserve">、设备保修期：自设备验收合格之日起三年（以甲方验收单双方签字日期为准），乙方承诺提供免费保修，保修期外乙方负责对本设备维护免人工服务费，只收取配件费，软件终生免费升级。</w:t>
      </w:r>
      <w:r/>
    </w:p>
    <w:p>
      <w:pPr>
        <w:ind w:left="0" w:firstLine="562"/>
        <w:keepLines w:val="0"/>
        <w:keepNext w:val="0"/>
        <w:pageBreakBefore w:val="0"/>
        <w:spacing w:line="312" w:lineRule="auto"/>
        <w:widowControl w:val="off"/>
        <w:rPr>
          <w:rFonts w:hint="eastAsia" w:ascii="仿宋" w:hAnsi="仿宋" w:eastAsia="仿宋" w:cs="仿宋"/>
          <w:b/>
          <w:bCs/>
          <w:color w:val="auto"/>
          <w:sz w:val="36"/>
          <w:highlight w:val="none"/>
        </w:rPr>
      </w:pP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w:t>
      </w:r>
      <w:r>
        <w:rPr>
          <w:rFonts w:hint="eastAsia" w:ascii="仿宋" w:hAnsi="仿宋" w:eastAsia="仿宋" w:cs="仿宋"/>
          <w:bCs/>
          <w:color w:val="auto"/>
          <w:sz w:val="28"/>
          <w:szCs w:val="28"/>
          <w:highlight w:val="none"/>
        </w:rPr>
        <w:t xml:space="preserve">付款方法：</w:t>
      </w:r>
      <w:r>
        <w:rPr>
          <w:rFonts w:hint="eastAsia" w:ascii="仿宋" w:hAnsi="仿宋" w:eastAsia="仿宋" w:cs="仿宋"/>
          <w:bCs/>
          <w:color w:val="auto"/>
          <w:sz w:val="28"/>
          <w:szCs w:val="28"/>
          <w:highlight w:val="none"/>
          <w:lang w:val="en-US" w:eastAsia="zh-CN"/>
        </w:rPr>
        <w:t xml:space="preserve">合同签订后15日内预付合同款项的40%，货到安装、验收合格，设备正常使用，采购人自验收合格之日起15日内一次性付清剩余货款。</w:t>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pStyle w:val="702"/>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both"/>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pStyle w:val="687"/>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pStyle w:val="687"/>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pStyle w:val="687"/>
        <w:ind w:left="0" w:firstLine="0"/>
        <w:rPr>
          <w:rFonts w:hint="eastAsia"/>
          <w:color w:val="auto"/>
          <w:highlight w:val="none"/>
        </w:rPr>
      </w:pPr>
      <w:r>
        <w:rPr>
          <w:rFonts w:hint="eastAsia"/>
          <w:color w:val="auto"/>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t xml:space="preserve">第六章  投标文件</w:t>
      </w:r>
      <w:r/>
    </w:p>
    <w:p>
      <w:pPr>
        <w:pStyle w:val="702"/>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81"/>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81"/>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1084"/>
        <w:keepLines w:val="0"/>
        <w:keepNext w:val="0"/>
        <w:pageBreakBefore w:val="0"/>
        <w:spacing w:line="400" w:lineRule="exact"/>
        <w:rPr>
          <w:rFonts w:hint="eastAsia" w:ascii="仿宋" w:hAnsi="仿宋" w:eastAsia="仿宋" w:cs="仿宋"/>
          <w:b/>
          <w:bCs/>
          <w:color w:val="auto"/>
          <w:sz w:val="36"/>
          <w:highlight w:val="none"/>
        </w:rPr>
        <w:outlineLvl w:val="9"/>
      </w:pPr>
      <w:r>
        <w:rPr>
          <w:rFonts w:hint="eastAsia" w:ascii="仿宋" w:hAnsi="仿宋" w:eastAsia="仿宋" w:cs="仿宋"/>
          <w:b/>
          <w:bCs/>
          <w:color w:val="auto"/>
          <w:sz w:val="36"/>
          <w:highlight w:val="none"/>
        </w:rPr>
        <w:t xml:space="preserve">项</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目</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名</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称:</w:t>
      </w:r>
      <w:r/>
    </w:p>
    <w:p>
      <w:pPr>
        <w:pStyle w:val="981"/>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81"/>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rPr>
      </w:r>
      <w:r/>
    </w:p>
    <w:p>
      <w:pPr>
        <w:pStyle w:val="981"/>
        <w:ind w:firstLine="106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rPr>
      </w:r>
      <w:r/>
    </w:p>
    <w:p>
      <w:pPr>
        <w:pStyle w:val="981"/>
        <w:ind w:firstLine="106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lang w:eastAsia="zh-CN"/>
        </w:rPr>
        <w:t xml:space="preserve">招</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lang w:eastAsia="zh-CN"/>
        </w:rPr>
        <w:t xml:space="preserve">标</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 xml:space="preserve">编</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 xml:space="preserve">号:</w:t>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rPr>
        <w:t xml:space="preserve">投标人</w:t>
      </w:r>
      <w:r>
        <w:rPr>
          <w:rFonts w:hint="eastAsia" w:ascii="仿宋" w:hAnsi="仿宋" w:eastAsia="仿宋" w:cs="仿宋"/>
          <w:b/>
          <w:bCs/>
          <w:color w:val="auto"/>
          <w:sz w:val="36"/>
          <w:highlight w:val="none"/>
          <w:lang w:eastAsia="zh-CN"/>
        </w:rPr>
        <w:t xml:space="preserve">名称</w:t>
      </w:r>
      <w:r>
        <w:rPr>
          <w:rFonts w:hint="eastAsia" w:ascii="仿宋" w:hAnsi="仿宋" w:eastAsia="仿宋" w:cs="仿宋"/>
          <w:b/>
          <w:bCs/>
          <w:color w:val="auto"/>
          <w:sz w:val="36"/>
          <w:highlight w:val="none"/>
        </w:rPr>
        <w:t xml:space="preserve">:</w:t>
      </w:r>
      <w:r>
        <w:rPr>
          <w:rFonts w:hint="eastAsia" w:ascii="仿宋" w:hAnsi="仿宋" w:eastAsia="仿宋" w:cs="仿宋"/>
          <w:b/>
          <w:bCs/>
          <w:color w:val="auto"/>
          <w:sz w:val="36"/>
          <w:highlight w:val="none"/>
          <w:lang w:eastAsia="zh-CN"/>
        </w:rPr>
        <w:t xml:space="preserve">（加盖</w:t>
      </w:r>
      <w:r>
        <w:rPr>
          <w:rFonts w:hint="eastAsia" w:ascii="仿宋" w:hAnsi="仿宋" w:eastAsia="仿宋" w:cs="仿宋"/>
          <w:b/>
          <w:bCs/>
          <w:color w:val="auto"/>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r>
      <w:r/>
    </w:p>
    <w:p>
      <w:pPr>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t xml:space="preserve">日       期：</w:t>
      </w:r>
      <w:r/>
    </w:p>
    <w:p>
      <w:pPr>
        <w:pStyle w:val="981"/>
        <w:ind w:firstLine="190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一、投标函（所有包均适用）</w:t>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 xml:space="preserve">淮安市清江浦区城南街道社区卫生服务中心</w:t>
      </w:r>
      <w:r>
        <w:rPr>
          <w:rFonts w:hint="eastAsia" w:ascii="仿宋" w:hAnsi="仿宋" w:eastAsia="仿宋" w:cs="仿宋"/>
          <w:color w:val="auto"/>
          <w:sz w:val="28"/>
          <w:szCs w:val="24"/>
          <w:highlight w:val="none"/>
        </w:rPr>
        <w:t xml:space="preserve">:</w:t>
      </w:r>
      <w:r/>
    </w:p>
    <w:p>
      <w:pPr>
        <w:pStyle w:val="953"/>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53"/>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3、我们接受招标文件的所有的条款和规定。</w:t>
      </w:r>
      <w:r/>
    </w:p>
    <w:p>
      <w:pPr>
        <w:pStyle w:val="953"/>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3"/>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5、我们理解，你们无义务必须接受投标价最低的投标。同时也理解你们不承担我们本次投标的费用。</w:t>
      </w:r>
      <w:r/>
    </w:p>
    <w:p>
      <w:pPr>
        <w:pStyle w:val="953"/>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6、我们同意向贵方提供贵方可能要求的与投标有关的任何证据或资料，并保证所提供的都是真实的、准确的。</w:t>
      </w:r>
      <w:r/>
    </w:p>
    <w:p>
      <w:pPr>
        <w:pStyle w:val="953"/>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53"/>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53"/>
        <w:ind w:right="560" w:firstLine="294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u w:val="single"/>
        </w:rPr>
        <w:t xml:space="preserve">             </w:t>
      </w:r>
      <w:r/>
    </w:p>
    <w:p>
      <w:pPr>
        <w:pStyle w:val="953"/>
        <w:ind w:right="560" w:firstLine="294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ind w:right="560" w:firstLine="420"/>
        <w:jc w:val="center"/>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u w:val="single"/>
        </w:rPr>
        <w:t xml:space="preserve">           </w:t>
      </w:r>
      <w:r/>
    </w:p>
    <w:p>
      <w:pPr>
        <w:pStyle w:val="702"/>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2"/>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firstLine="3036"/>
        <w:spacing w:before="19" w:line="440" w:lineRule="exact"/>
        <w:widowControl/>
        <w:rPr>
          <w:rFonts w:hint="default"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rPr>
        <w:t xml:space="preserve">二、开标一览表</w:t>
      </w:r>
      <w:r>
        <w:rPr>
          <w:rFonts w:hint="eastAsia" w:ascii="仿宋" w:hAnsi="仿宋" w:eastAsia="仿宋" w:cs="仿宋"/>
          <w:b/>
          <w:color w:val="auto"/>
          <w:sz w:val="32"/>
          <w:szCs w:val="32"/>
          <w:highlight w:val="none"/>
          <w:lang w:eastAsia="zh-CN"/>
        </w:rPr>
        <w:t xml:space="preserve">（</w:t>
      </w:r>
      <w:r>
        <w:rPr>
          <w:rFonts w:hint="eastAsia" w:ascii="仿宋" w:hAnsi="仿宋" w:eastAsia="仿宋" w:cs="仿宋"/>
          <w:b/>
          <w:color w:val="auto"/>
          <w:sz w:val="32"/>
          <w:szCs w:val="32"/>
          <w:highlight w:val="none"/>
          <w:lang w:val="en-US" w:eastAsia="zh-CN"/>
        </w:rPr>
        <w:t xml:space="preserve">所有包均适用）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7"/>
        <w:gridCol w:w="7222"/>
      </w:tblGrid>
      <w:tr>
        <w:trPr>
          <w:cantSplit/>
          <w:trHeight w:val="1398" w:hRule="exact"/>
        </w:trPr>
        <w:tc>
          <w:tcPr>
            <w:tcW w:w="181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722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817"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总计</w:t>
            </w:r>
            <w:r/>
          </w:p>
        </w:tc>
        <w:tc>
          <w:tcPr>
            <w:tcW w:w="7222"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p>
        </w:tc>
      </w:tr>
      <w:tr>
        <w:trPr>
          <w:cantSplit/>
          <w:trHeight w:val="1273"/>
        </w:trPr>
        <w:tc>
          <w:tcPr>
            <w:tcW w:w="1817" w:type="dxa"/>
            <w:vAlign w:val="center"/>
            <w:textDirection w:val="lrTb"/>
            <w:noWrap w:val="false"/>
          </w:tcPr>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w:t>
            </w:r>
            <w:r/>
          </w:p>
        </w:tc>
        <w:tc>
          <w:tcPr>
            <w:tcW w:w="7222" w:type="dxa"/>
            <w:vAlign w:val="center"/>
            <w:textDirection w:val="lrTb"/>
            <w:noWrap w:val="false"/>
          </w:tcPr>
          <w:p>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bl>
    <w:p>
      <w:pPr>
        <w:ind w:firstLine="411"/>
        <w:spacing w:line="440" w:lineRule="exact"/>
        <w:rPr>
          <w:rFonts w:hint="eastAsia" w:ascii="仿宋" w:hAnsi="仿宋" w:eastAsia="仿宋" w:cs="仿宋"/>
          <w:color w:val="auto"/>
          <w:sz w:val="28"/>
          <w:szCs w:val="28"/>
          <w:highlight w:val="none"/>
        </w:rPr>
      </w:pPr>
      <w:r/>
      <w:bookmarkStart w:id="39" w:name="_Toc157775459"/>
      <w:r/>
      <w:bookmarkEnd w:id="39"/>
      <w:r/>
      <w:bookmarkStart w:id="40" w:name="_Toc136924766"/>
      <w:r/>
      <w:bookmarkEnd w:id="40"/>
      <w:r/>
      <w:r/>
    </w:p>
    <w:p>
      <w:pPr>
        <w:ind w:firstLine="411"/>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2"/>
        <w:ind w:firstLine="2875"/>
        <w:rPr>
          <w:rFonts w:hint="eastAsia" w:ascii="仿宋" w:hAnsi="仿宋" w:eastAsia="仿宋" w:cs="仿宋"/>
          <w:b/>
          <w:color w:val="auto"/>
          <w:sz w:val="32"/>
          <w:szCs w:val="32"/>
          <w:highlight w:val="none"/>
        </w:rPr>
      </w:pPr>
      <w:r/>
      <w:bookmarkStart w:id="41" w:name="_Toc157775468"/>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2"/>
        <w:jc w:val="center"/>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三、投标分项报价表</w:t>
      </w:r>
      <w:r>
        <w:rPr>
          <w:rFonts w:hint="eastAsia" w:ascii="仿宋" w:hAnsi="仿宋" w:eastAsia="仿宋" w:cs="仿宋"/>
          <w:b/>
          <w:color w:val="auto"/>
          <w:sz w:val="32"/>
          <w:szCs w:val="32"/>
          <w:highlight w:val="none"/>
          <w:lang w:eastAsia="zh-CN"/>
        </w:rPr>
        <w:t xml:space="preserve">（</w:t>
      </w:r>
      <w:r>
        <w:rPr>
          <w:rFonts w:hint="eastAsia" w:ascii="仿宋" w:hAnsi="仿宋" w:eastAsia="仿宋" w:cs="仿宋"/>
          <w:b/>
          <w:color w:val="auto"/>
          <w:sz w:val="32"/>
          <w:szCs w:val="32"/>
          <w:highlight w:val="none"/>
          <w:lang w:val="en-US" w:eastAsia="zh-CN"/>
        </w:rPr>
        <w:t xml:space="preserve">所有包均适用）</w:t>
      </w:r>
      <w:r/>
    </w:p>
    <w:p>
      <w:pPr>
        <w:pStyle w:val="688"/>
        <w:rPr>
          <w:rFonts w:hint="default" w:eastAsia="仿宋"/>
          <w:b/>
          <w:bCs w:val="0"/>
          <w:color w:val="auto"/>
          <w:highlight w:val="none"/>
          <w:lang w:val="en-US" w:eastAsia="zh-CN"/>
        </w:rPr>
      </w:pPr>
      <w:r>
        <w:rPr>
          <w:rFonts w:hint="default" w:eastAsia="仿宋"/>
          <w:b/>
          <w:bCs w:val="0"/>
          <w:color w:val="auto"/>
          <w:highlight w:val="none"/>
          <w:lang w:val="en-US" w:eastAsia="zh-CN"/>
        </w:rPr>
      </w:r>
      <w:r/>
    </w:p>
    <w:tbl>
      <w:tblPr>
        <w:tblStyle w:val="68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生产厂家</w:t>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分项总价</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1</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2</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3</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4</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5</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6</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7</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8</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w:t>
            </w:r>
            <w:r/>
          </w:p>
        </w:tc>
        <w:tc>
          <w:tcPr>
            <w:tcMar>
              <w:left w:w="108" w:type="dxa"/>
              <w:top w:w="0" w:type="dxa"/>
              <w:right w:w="108" w:type="dxa"/>
              <w:bottom w:w="0" w:type="dxa"/>
            </w:tcMar>
            <w:tcW w:w="128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w:t>
            </w:r>
            <w:r/>
          </w:p>
        </w:tc>
        <w:tc>
          <w:tcPr>
            <w:tcMar>
              <w:left w:w="108" w:type="dxa"/>
              <w:top w:w="0" w:type="dxa"/>
              <w:right w:w="108" w:type="dxa"/>
              <w:bottom w:w="0" w:type="dxa"/>
            </w:tcMar>
            <w:tcW w:w="825"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1"/>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700"/>
        </w:trPr>
        <w:tc>
          <w:tcPr>
            <w:gridSpan w:val="9"/>
            <w:tcMar>
              <w:left w:w="108" w:type="dxa"/>
              <w:top w:w="0" w:type="dxa"/>
              <w:right w:w="108" w:type="dxa"/>
              <w:bottom w:w="0" w:type="dxa"/>
            </w:tcMar>
            <w:tcW w:w="9180" w:type="dxa"/>
            <w:vAlign w:val="center"/>
            <w:textDirection w:val="lrTb"/>
            <w:noWrap w:val="false"/>
          </w:tcPr>
          <w:p>
            <w:pPr>
              <w:pStyle w:val="981"/>
              <w:jc w:val="both"/>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pacing w:val="-2"/>
                <w:sz w:val="24"/>
                <w:highlight w:val="none"/>
                <w:lang w:val="en-US" w:eastAsia="zh-CN"/>
              </w:rPr>
              <w:t xml:space="preserve">本采购包中提供的符合本国产品标准的产品成本之和占该采购包提供的全部产品成本之和的比例为</w:t>
            </w:r>
            <w:r>
              <w:rPr>
                <w:rFonts w:hint="eastAsia" w:ascii="仿宋" w:hAnsi="仿宋" w:eastAsia="仿宋" w:cs="仿宋"/>
                <w:color w:val="auto"/>
                <w:spacing w:val="-2"/>
                <w:sz w:val="24"/>
                <w:highlight w:val="none"/>
                <w:u w:val="single"/>
                <w:lang w:val="en-US" w:eastAsia="zh-CN"/>
              </w:rPr>
              <w:t xml:space="preserve">    </w:t>
            </w:r>
            <w:r>
              <w:rPr>
                <w:rFonts w:hint="eastAsia" w:ascii="仿宋" w:hAnsi="仿宋" w:eastAsia="仿宋" w:cs="仿宋"/>
                <w:color w:val="auto"/>
                <w:spacing w:val="-2"/>
                <w:sz w:val="24"/>
                <w:highlight w:val="none"/>
                <w:lang w:val="en-US" w:eastAsia="zh-CN"/>
              </w:rPr>
              <w:t xml:space="preserve">%。</w:t>
            </w:r>
            <w:r/>
          </w:p>
        </w:tc>
      </w:tr>
      <w:tr>
        <w:trPr>
          <w:trHeight w:val="700"/>
        </w:trPr>
        <w:tc>
          <w:tcPr>
            <w:gridSpan w:val="9"/>
            <w:tcMar>
              <w:left w:w="108" w:type="dxa"/>
              <w:top w:w="0" w:type="dxa"/>
              <w:right w:w="108" w:type="dxa"/>
              <w:bottom w:w="0" w:type="dxa"/>
            </w:tcMar>
            <w:tcW w:w="9180" w:type="dxa"/>
            <w:vAlign w:val="center"/>
            <w:textDirection w:val="lrTb"/>
            <w:noWrap w:val="false"/>
          </w:tcPr>
          <w:p>
            <w:pPr>
              <w:pStyle w:val="981"/>
              <w:jc w:val="both"/>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投标总报价（人民币：元）</w:t>
            </w:r>
            <w:r/>
          </w:p>
        </w:tc>
      </w:tr>
    </w:tbl>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（加盖公章）        </w:t>
      </w:r>
      <w:r>
        <w:rPr>
          <w:rFonts w:hint="eastAsia" w:ascii="仿宋" w:hAnsi="仿宋" w:eastAsia="仿宋" w:cs="仿宋"/>
          <w:color w:val="auto"/>
          <w:sz w:val="28"/>
          <w:szCs w:val="28"/>
          <w:highlight w:val="none"/>
        </w:rPr>
        <w:t xml:space="preserve">        </w:t>
      </w:r>
      <w:r/>
    </w:p>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（签字） </w:t>
      </w:r>
      <w:r>
        <w:rPr>
          <w:rFonts w:hint="eastAsia" w:ascii="仿宋" w:hAnsi="仿宋" w:eastAsia="仿宋" w:cs="仿宋"/>
          <w:color w:val="auto"/>
          <w:sz w:val="28"/>
          <w:szCs w:val="28"/>
          <w:highlight w:val="none"/>
        </w:rPr>
        <w:t xml:space="preserve">        </w:t>
      </w:r>
      <w:r/>
    </w:p>
    <w:p>
      <w:pPr>
        <w:pStyle w:val="981"/>
        <w:ind w:firstLine="4180"/>
        <w:keepLines w:val="0"/>
        <w:keepNext w:val="0"/>
        <w:pageBreakBefore w:val="0"/>
        <w:spacing w:line="440" w:lineRule="exact"/>
        <w:rPr>
          <w:rFonts w:ascii="仿宋" w:hAnsi="仿宋" w:eastAsia="仿宋"/>
          <w:color w:val="auto"/>
          <w:sz w:val="28"/>
          <w:szCs w:val="24"/>
          <w:highlight w:val="none"/>
        </w:rPr>
        <w:outlineLvl w:val="9"/>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981"/>
        <w:ind w:firstLine="41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r>
      <w:r/>
    </w:p>
    <w:p>
      <w:pPr>
        <w:keepLines w:val="0"/>
        <w:keepNext w:val="0"/>
        <w:pageBreakBefore w:val="0"/>
        <w:spacing w:line="240" w:lineRule="auto"/>
        <w:widowControl w:val="off"/>
        <w:rPr>
          <w:rFonts w:hint="default" w:ascii="仿宋" w:hAnsi="仿宋" w:eastAsia="仿宋" w:cs="仿宋"/>
          <w:bCs/>
          <w:color w:val="auto"/>
          <w:spacing w:val="-4"/>
          <w:sz w:val="24"/>
          <w:szCs w:val="24"/>
          <w:highlight w:val="none"/>
          <w:lang w:val="en-US" w:eastAsia="zh-CN"/>
        </w:rPr>
      </w:pPr>
      <w:r>
        <w:rPr>
          <w:rFonts w:hint="eastAsia" w:ascii="仿宋" w:hAnsi="仿宋" w:eastAsia="仿宋" w:cs="仿宋"/>
          <w:b/>
          <w:bCs w:val="0"/>
          <w:color w:val="auto"/>
          <w:spacing w:val="-4"/>
          <w:sz w:val="24"/>
          <w:szCs w:val="24"/>
          <w:highlight w:val="none"/>
        </w:rPr>
        <w:t xml:space="preserve">（1）</w:t>
      </w:r>
      <w:r>
        <w:rPr>
          <w:rFonts w:hint="eastAsia" w:ascii="仿宋" w:hAnsi="仿宋" w:eastAsia="仿宋" w:cs="仿宋"/>
          <w:b/>
          <w:bCs w:val="0"/>
          <w:color w:val="auto"/>
          <w:spacing w:val="-4"/>
          <w:sz w:val="24"/>
          <w:szCs w:val="24"/>
          <w:highlight w:val="none"/>
          <w:lang w:val="en-US" w:eastAsia="zh-CN"/>
        </w:rPr>
        <w:t xml:space="preserve">报价须符合投标人须知第11.1项要求</w:t>
      </w:r>
      <w:r/>
    </w:p>
    <w:p>
      <w:pPr>
        <w:pStyle w:val="677"/>
        <w:keepLines w:val="0"/>
        <w:keepNext w:val="0"/>
        <w:pageBreakBefore w:val="0"/>
        <w:spacing w:before="0" w:beforeAutospacing="0" w:after="0" w:afterAutospacing="0" w:line="240" w:lineRule="auto"/>
        <w:widowControl w:val="off"/>
        <w:rPr>
          <w:rFonts w:hint="eastAsia" w:ascii="仿宋" w:hAnsi="仿宋" w:eastAsia="仿宋" w:cs="仿宋"/>
          <w:bCs/>
          <w:color w:val="auto"/>
          <w:spacing w:val="-4"/>
          <w:sz w:val="24"/>
          <w:szCs w:val="24"/>
          <w:highlight w:val="none"/>
          <w:lang w:eastAsia="zh-CN"/>
        </w:rPr>
      </w:pPr>
      <w:r>
        <w:rPr>
          <w:rFonts w:hint="eastAsia" w:ascii="仿宋" w:hAnsi="仿宋" w:eastAsia="仿宋" w:cs="仿宋"/>
          <w:bCs/>
          <w:color w:val="auto"/>
          <w:spacing w:val="-4"/>
          <w:sz w:val="24"/>
          <w:szCs w:val="24"/>
          <w:highlight w:val="none"/>
        </w:rPr>
        <w:t xml:space="preserve">（2）结算款=本表中单价×实际采购数量</w:t>
      </w:r>
      <w:r>
        <w:rPr>
          <w:rFonts w:hint="eastAsia" w:ascii="仿宋" w:hAnsi="仿宋" w:eastAsia="仿宋" w:cs="仿宋"/>
          <w:bCs/>
          <w:color w:val="auto"/>
          <w:spacing w:val="-4"/>
          <w:sz w:val="24"/>
          <w:szCs w:val="24"/>
          <w:highlight w:val="none"/>
          <w:lang w:eastAsia="zh-CN"/>
        </w:rPr>
        <w:t xml:space="preserve">。</w:t>
      </w:r>
      <w:r/>
    </w:p>
    <w:p>
      <w:pPr>
        <w:pStyle w:val="677"/>
        <w:keepLines w:val="0"/>
        <w:keepNext w:val="0"/>
        <w:pageBreakBefore w:val="0"/>
        <w:spacing w:before="0" w:beforeAutospacing="0" w:after="0" w:afterAutospacing="0" w:line="240" w:lineRule="auto"/>
        <w:widowControl w:val="off"/>
        <w:rPr>
          <w:rFonts w:hint="eastAsia"/>
          <w:color w:val="auto"/>
          <w:highlight w:val="none"/>
        </w:rPr>
      </w:pPr>
      <w:r>
        <w:rPr>
          <w:rFonts w:hint="eastAsia" w:ascii="仿宋" w:hAnsi="仿宋" w:eastAsia="仿宋" w:cs="仿宋"/>
          <w:bCs/>
          <w:color w:val="auto"/>
          <w:spacing w:val="-4"/>
          <w:sz w:val="24"/>
          <w:szCs w:val="24"/>
          <w:highlight w:val="none"/>
        </w:rPr>
        <w:t xml:space="preserve">（3）以上报价明细表不可缺项漏项，如因缺项漏项导致的一切后果由</w:t>
      </w:r>
      <w:r>
        <w:rPr>
          <w:rFonts w:hint="eastAsia" w:ascii="仿宋" w:hAnsi="仿宋" w:eastAsia="仿宋" w:cs="仿宋"/>
          <w:bCs/>
          <w:color w:val="auto"/>
          <w:spacing w:val="-4"/>
          <w:sz w:val="24"/>
          <w:szCs w:val="24"/>
          <w:highlight w:val="none"/>
          <w:lang w:eastAsia="zh-CN"/>
        </w:rPr>
        <w:t xml:space="preserve">投标人</w:t>
      </w:r>
      <w:r>
        <w:rPr>
          <w:rFonts w:hint="eastAsia" w:ascii="仿宋" w:hAnsi="仿宋" w:eastAsia="仿宋" w:cs="仿宋"/>
          <w:bCs/>
          <w:color w:val="auto"/>
          <w:spacing w:val="-4"/>
          <w:sz w:val="24"/>
          <w:szCs w:val="24"/>
          <w:highlight w:val="none"/>
        </w:rPr>
        <w:t xml:space="preserve">自行承担。</w:t>
      </w:r>
      <w:r>
        <w:rPr>
          <w:rFonts w:hint="eastAsia" w:ascii="仿宋" w:hAnsi="仿宋" w:eastAsia="仿宋" w:cs="仿宋"/>
          <w:b/>
          <w:bCs/>
          <w:color w:val="auto"/>
          <w:spacing w:val="-4"/>
          <w:sz w:val="24"/>
          <w:szCs w:val="24"/>
          <w:highlight w:val="none"/>
          <w:lang w:val="en-US" w:eastAsia="zh-CN" w:bidi="ar-SA"/>
        </w:rPr>
        <w:t xml:space="preserve">（4）“投标分项报价表”中“投标总报价”数额应当与“开标一览表”中“投标总报价”数额一致</w:t>
      </w:r>
      <w:r/>
    </w:p>
    <w:p>
      <w:pPr>
        <w:pStyle w:val="702"/>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702"/>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702"/>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702"/>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702"/>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702"/>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四、技术要求</w:t>
      </w:r>
      <w:r>
        <w:rPr>
          <w:rFonts w:hint="eastAsia" w:ascii="仿宋" w:hAnsi="仿宋" w:eastAsia="仿宋" w:cs="仿宋"/>
          <w:b/>
          <w:color w:val="auto"/>
          <w:sz w:val="32"/>
          <w:szCs w:val="32"/>
          <w:highlight w:val="none"/>
        </w:rPr>
        <w:t xml:space="preserve">响应</w:t>
      </w:r>
      <w:r>
        <w:rPr>
          <w:rFonts w:hint="eastAsia" w:ascii="仿宋" w:hAnsi="仿宋" w:eastAsia="仿宋" w:cs="仿宋"/>
          <w:b/>
          <w:color w:val="auto"/>
          <w:sz w:val="32"/>
          <w:highlight w:val="none"/>
        </w:rPr>
        <w:t xml:space="preserve">偏离表</w:t>
      </w:r>
      <w:r/>
    </w:p>
    <w:tbl>
      <w:tblPr>
        <w:tblStyle w:val="68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项目采购需求中主要技术</w:t>
            </w:r>
            <w:r/>
          </w:p>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是否</w:t>
            </w:r>
            <w:r/>
          </w:p>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偏离</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备注</w:t>
            </w:r>
            <w:r/>
          </w:p>
        </w:tc>
      </w:tr>
      <w:tr>
        <w:trPr>
          <w:cantSplit/>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cantSplit/>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bl>
    <w:p>
      <w:pPr>
        <w:ind w:left="-708"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（加盖公章）</w:t>
      </w:r>
      <w:r>
        <w:rPr>
          <w:rFonts w:hint="eastAsia" w:ascii="仿宋" w:hAnsi="仿宋" w:eastAsia="仿宋" w:cs="仿宋"/>
          <w:color w:val="auto"/>
          <w:sz w:val="28"/>
          <w:szCs w:val="28"/>
          <w:highlight w:val="none"/>
        </w:rPr>
        <w:t xml:space="preserve">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 （签字） </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84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）是否偏离用符号“+、=、-”分别表示正偏离、完全响应、负偏离。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bookmarkEnd w:id="41"/>
      <w:r>
        <w:rPr>
          <w:rFonts w:hint="eastAsia" w:ascii="仿宋" w:hAnsi="仿宋" w:eastAsia="仿宋"/>
          <w:color w:val="auto"/>
          <w:sz w:val="28"/>
          <w:szCs w:val="28"/>
          <w:highlight w:val="none"/>
        </w:rPr>
        <w:t xml:space="preserve">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02"/>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702"/>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702"/>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702"/>
        <w:ind w:firstLine="948"/>
        <w:spacing w:line="520" w:lineRule="exact"/>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highlight w:val="none"/>
          <w:lang w:val="en-US" w:eastAsia="zh-CN"/>
        </w:rPr>
        <w:t xml:space="preserve">五</w:t>
      </w:r>
      <w:r>
        <w:rPr>
          <w:rFonts w:hint="eastAsia" w:ascii="仿宋" w:hAnsi="仿宋" w:eastAsia="仿宋" w:cs="仿宋"/>
          <w:b/>
          <w:bCs/>
          <w:color w:val="auto"/>
          <w:sz w:val="32"/>
          <w:highlight w:val="none"/>
        </w:rPr>
        <w:t xml:space="preserve">、</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702"/>
        <w:jc w:val="center"/>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val="en-US" w:eastAsia="zh-CN"/>
        </w:rPr>
        <w:t xml:space="preserve">(各采购包均适用）</w:t>
      </w:r>
      <w:r/>
    </w:p>
    <w:p>
      <w:pPr>
        <w:pStyle w:val="702"/>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w:t>
      </w:r>
      <w:r>
        <w:rPr>
          <w:rFonts w:hint="eastAsia" w:ascii="仿宋" w:hAnsi="仿宋" w:eastAsia="仿宋" w:cs="仿宋"/>
          <w:b/>
          <w:bCs w:val="0"/>
          <w:color w:val="auto"/>
          <w:sz w:val="28"/>
          <w:szCs w:val="28"/>
          <w:highlight w:val="none"/>
        </w:rPr>
        <w:t xml:space="preserve">（加盖</w:t>
      </w:r>
      <w:r>
        <w:rPr>
          <w:rFonts w:hint="eastAsia" w:ascii="仿宋" w:hAnsi="仿宋" w:eastAsia="仿宋" w:cs="仿宋"/>
          <w:b/>
          <w:bCs w:val="0"/>
          <w:color w:val="auto"/>
          <w:sz w:val="28"/>
          <w:highlight w:val="none"/>
        </w:rPr>
        <w:t xml:space="preserve">CA电子签</w:t>
      </w:r>
      <w:r>
        <w:rPr>
          <w:rFonts w:hint="eastAsia" w:ascii="仿宋" w:hAnsi="仿宋" w:eastAsia="仿宋" w:cs="仿宋"/>
          <w:b/>
          <w:bCs w:val="0"/>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w:t>
      </w:r>
      <w:r>
        <w:rPr>
          <w:rFonts w:hint="eastAsia" w:ascii="仿宋" w:hAnsi="仿宋" w:eastAsia="仿宋" w:cs="仿宋"/>
          <w:b/>
          <w:bCs w:val="0"/>
          <w:color w:val="auto"/>
          <w:sz w:val="28"/>
          <w:szCs w:val="28"/>
          <w:highlight w:val="none"/>
        </w:rPr>
        <w:t xml:space="preserve">（加盖</w:t>
      </w:r>
      <w:r>
        <w:rPr>
          <w:rFonts w:hint="eastAsia" w:ascii="仿宋" w:hAnsi="仿宋" w:eastAsia="仿宋" w:cs="仿宋"/>
          <w:b/>
          <w:bCs w:val="0"/>
          <w:color w:val="auto"/>
          <w:sz w:val="28"/>
          <w:highlight w:val="none"/>
        </w:rPr>
        <w:t xml:space="preserve">CA电子签</w:t>
      </w:r>
      <w:r>
        <w:rPr>
          <w:rFonts w:hint="eastAsia" w:ascii="仿宋" w:hAnsi="仿宋" w:eastAsia="仿宋" w:cs="仿宋"/>
          <w:b/>
          <w:bCs w:val="0"/>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rPr>
        <w:t xml:space="preserve">2、投标人符合《政府采购法》第二十二条规定条件的承诺函</w:t>
      </w:r>
      <w:r>
        <w:rPr>
          <w:rFonts w:hint="eastAsia" w:ascii="仿宋" w:hAnsi="仿宋" w:eastAsia="仿宋" w:cs="仿宋"/>
          <w:color w:val="auto"/>
          <w:sz w:val="28"/>
          <w:highlight w:val="none"/>
          <w:lang w:val="zh-CN"/>
        </w:rPr>
        <w:t xml:space="preserve">（</w:t>
      </w:r>
      <w:r>
        <w:rPr>
          <w:rFonts w:hint="eastAsia" w:ascii="仿宋" w:hAnsi="仿宋" w:eastAsia="仿宋" w:cs="仿宋"/>
          <w:color w:val="auto"/>
          <w:sz w:val="28"/>
          <w:highlight w:val="none"/>
        </w:rPr>
        <w:t xml:space="preserve">格式详见示范格式三</w:t>
      </w:r>
      <w:r>
        <w:rPr>
          <w:rFonts w:hint="eastAsia" w:ascii="仿宋" w:hAnsi="仿宋" w:eastAsia="仿宋" w:cs="仿宋"/>
          <w:color w:val="auto"/>
          <w:sz w:val="28"/>
          <w:highlight w:val="none"/>
          <w:lang w:val="zh-CN"/>
        </w:rPr>
        <w:t xml:space="preserve">）；</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原件</w:t>
      </w:r>
      <w:r>
        <w:rPr>
          <w:rFonts w:hint="eastAsia" w:ascii="仿宋" w:hAnsi="仿宋" w:eastAsia="仿宋" w:cs="仿宋"/>
          <w:b/>
          <w:bCs/>
          <w:color w:val="auto"/>
          <w:sz w:val="28"/>
          <w:szCs w:val="28"/>
          <w:highlight w:val="none"/>
        </w:rPr>
        <w:t xml:space="preserve">加盖CA电子签章）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根据本项目的特定资格要求:</w:t>
      </w:r>
      <w:r/>
    </w:p>
    <w:p>
      <w:pPr>
        <w:ind w:firstLine="28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zh-CN"/>
        </w:rPr>
        <w:t xml:space="preserve">所投医疗器械产品必须要有有效期内的</w:t>
      </w:r>
      <w:r>
        <w:rPr>
          <w:rFonts w:hint="eastAsia" w:ascii="仿宋" w:hAnsi="仿宋" w:eastAsia="仿宋" w:cs="Times New Roman"/>
          <w:color w:val="auto"/>
          <w:sz w:val="28"/>
          <w:szCs w:val="28"/>
          <w:highlight w:val="none"/>
          <w:lang w:val="zh-CN"/>
        </w:rPr>
        <w:t xml:space="preserve">《医疗器械产品注册证》</w:t>
      </w:r>
      <w:r>
        <w:rPr>
          <w:rFonts w:hint="eastAsia" w:ascii="仿宋" w:hAnsi="仿宋" w:eastAsia="仿宋" w:cs="仿宋"/>
          <w:b/>
          <w:bCs/>
          <w:color w:val="auto"/>
          <w:sz w:val="28"/>
          <w:szCs w:val="28"/>
          <w:highlight w:val="none"/>
        </w:rPr>
        <w:t xml:space="preserve">（扫描件加盖CA电子签章）</w:t>
      </w:r>
      <w:r>
        <w:rPr>
          <w:rFonts w:hint="eastAsia" w:ascii="仿宋" w:hAnsi="仿宋" w:eastAsia="仿宋" w:cs="仿宋"/>
          <w:color w:val="auto"/>
          <w:sz w:val="28"/>
          <w:szCs w:val="28"/>
          <w:highlight w:val="none"/>
          <w:lang w:val="zh-CN"/>
        </w:rPr>
        <w:t xml:space="preserve">；</w:t>
      </w:r>
      <w:r/>
    </w:p>
    <w:p>
      <w:pPr>
        <w:ind w:firstLine="280"/>
        <w:spacing w:line="52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投标人若为医疗器械设备制造商须提供有效期内的《医疗器械生产许可证》（扫描件加盖CA电子签章）；投标人</w:t>
      </w:r>
      <w:r>
        <w:rPr>
          <w:rFonts w:hint="eastAsia" w:ascii="仿宋" w:hAnsi="仿宋" w:eastAsia="仿宋" w:cs="仿宋"/>
          <w:color w:val="auto"/>
          <w:sz w:val="28"/>
          <w:szCs w:val="28"/>
          <w:highlight w:val="none"/>
          <w:lang w:val="zh-CN" w:eastAsia="zh-CN"/>
        </w:rPr>
        <w:t xml:space="preserve">如所投医疗器械产品非自己制造，须具备有效期内的</w:t>
      </w:r>
      <w:r>
        <w:rPr>
          <w:rFonts w:hint="eastAsia" w:ascii="仿宋" w:hAnsi="仿宋" w:eastAsia="仿宋" w:cs="仿宋"/>
          <w:color w:val="auto"/>
          <w:sz w:val="28"/>
          <w:szCs w:val="28"/>
          <w:highlight w:val="none"/>
          <w:lang w:val="en-US" w:eastAsia="zh-CN"/>
        </w:rPr>
        <w:t xml:space="preserve">须提供食品药品监督管理部门核发的《医疗器械经营许可证》或《医疗器械经营备案凭证》。</w:t>
      </w:r>
      <w:r>
        <w:rPr>
          <w:rFonts w:hint="eastAsia" w:ascii="仿宋" w:hAnsi="仿宋" w:eastAsia="仿宋" w:cs="仿宋"/>
          <w:b/>
          <w:bCs/>
          <w:color w:val="auto"/>
          <w:sz w:val="28"/>
          <w:szCs w:val="28"/>
          <w:highlight w:val="none"/>
          <w:lang w:val="en-US" w:eastAsia="zh-CN"/>
        </w:rPr>
        <w:t xml:space="preserve">（扫描件加盖CA电子签章）</w:t>
      </w:r>
      <w:r>
        <w:rPr>
          <w:rFonts w:hint="eastAsia" w:ascii="仿宋" w:hAnsi="仿宋" w:eastAsia="仿宋" w:cs="仿宋"/>
          <w:color w:val="auto"/>
          <w:sz w:val="28"/>
          <w:szCs w:val="28"/>
          <w:highlight w:val="none"/>
          <w:lang w:val="zh-CN" w:eastAsia="zh-CN"/>
        </w:rPr>
        <w:t xml:space="preserve">。</w:t>
      </w:r>
      <w:r/>
    </w:p>
    <w:p>
      <w:pPr>
        <w:ind w:firstLine="2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拒绝下述条件的供应商参加本次采购活动:</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承诺书格式自拟，原件</w:t>
      </w:r>
      <w:r>
        <w:rPr>
          <w:rFonts w:hint="eastAsia" w:ascii="仿宋" w:hAnsi="仿宋" w:eastAsia="仿宋" w:cs="仿宋"/>
          <w:b/>
          <w:bCs/>
          <w:color w:val="auto"/>
          <w:sz w:val="28"/>
          <w:szCs w:val="28"/>
          <w:highlight w:val="none"/>
        </w:rPr>
        <w:t xml:space="preserve">加盖CA电子签章）</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w:t>
      </w:r>
      <w:r>
        <w:rPr>
          <w:rFonts w:hint="eastAsia" w:ascii="仿宋" w:hAnsi="仿宋" w:eastAsia="仿宋" w:cs="仿宋"/>
          <w:color w:val="auto"/>
          <w:sz w:val="28"/>
          <w:szCs w:val="28"/>
          <w:highlight w:val="none"/>
        </w:rPr>
        <w:t xml:space="preserve">供应商单位负责人为同一人或者存在直接控股、管理关系的不同供应商，不得同时参加同一合同项下的政府采购活动。</w:t>
      </w:r>
      <w:r/>
    </w:p>
    <w:p>
      <w:pPr>
        <w:ind w:firstLine="56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lang w:val="en-US" w:eastAsia="zh-CN"/>
        </w:rPr>
        <w:t xml:space="preserve">②</w:t>
      </w:r>
      <w:r>
        <w:rPr>
          <w:rFonts w:hint="eastAsia" w:ascii="仿宋" w:hAnsi="仿宋" w:eastAsia="仿宋" w:cs="仿宋"/>
          <w:color w:val="auto"/>
          <w:sz w:val="28"/>
          <w:szCs w:val="28"/>
          <w:highlight w:val="none"/>
        </w:rPr>
        <w:t xml:space="preserve">凡为采购项目提供整体设计、规范编制或者项目管理、监理、检测等服务的供应商，不得再参加本项目的采购活动。</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w:t>
      </w:r>
      <w:r>
        <w:rPr>
          <w:rFonts w:hint="eastAsia" w:ascii="仿宋" w:hAnsi="仿宋" w:eastAsia="仿宋" w:cs="仿宋"/>
          <w:color w:val="auto"/>
          <w:sz w:val="28"/>
          <w:szCs w:val="28"/>
          <w:highlight w:val="none"/>
        </w:rPr>
        <w:t xml:space="preserve">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4、落实政府采购政策需满足的资格要求（提供下列任一项材料即可，</w:t>
      </w:r>
      <w:r>
        <w:rPr>
          <w:rFonts w:hint="eastAsia" w:ascii="仿宋" w:hAnsi="仿宋" w:eastAsia="仿宋" w:cs="仿宋"/>
          <w:color w:val="auto"/>
          <w:sz w:val="28"/>
          <w:szCs w:val="28"/>
          <w:highlight w:val="none"/>
          <w:lang w:val="zh-CN" w:eastAsia="zh-CN"/>
        </w:rPr>
        <w:t xml:space="preserve">非专门面向中小企业或者预留份额的采购项目，本项无需提供</w:t>
      </w:r>
      <w:r>
        <w:rPr>
          <w:rFonts w:hint="eastAsia" w:ascii="仿宋" w:hAnsi="仿宋" w:eastAsia="仿宋" w:cs="仿宋"/>
          <w:color w:val="auto"/>
          <w:sz w:val="28"/>
          <w:szCs w:val="28"/>
          <w:highlight w:val="none"/>
          <w:lang w:val="en-US" w:eastAsia="zh-CN"/>
        </w:rPr>
        <w:t xml:space="preserve">）:</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（1）企业声明函</w:t>
      </w:r>
      <w:r>
        <w:rPr>
          <w:rFonts w:hint="eastAsia" w:ascii="仿宋" w:hAnsi="仿宋" w:eastAsia="仿宋" w:cs="仿宋"/>
          <w:b/>
          <w:bCs/>
          <w:color w:val="auto"/>
          <w:sz w:val="28"/>
          <w:szCs w:val="28"/>
          <w:highlight w:val="none"/>
          <w:lang w:val="en-US" w:eastAsia="zh-CN"/>
        </w:rPr>
        <w:t xml:space="preserve">（详见示范格式四）</w:t>
      </w:r>
      <w:r>
        <w:rPr>
          <w:rFonts w:hint="eastAsia" w:ascii="仿宋" w:hAnsi="仿宋" w:eastAsia="仿宋" w:cs="仿宋"/>
          <w:color w:val="auto"/>
          <w:sz w:val="28"/>
          <w:szCs w:val="28"/>
          <w:highlight w:val="none"/>
          <w:lang w:val="en-US" w:eastAsia="zh-CN"/>
        </w:rPr>
        <w:t xml:space="preserve">；</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（2）《残疾人福利性单位声明函》</w:t>
      </w:r>
      <w:r>
        <w:rPr>
          <w:rFonts w:hint="eastAsia" w:ascii="仿宋" w:hAnsi="仿宋" w:eastAsia="仿宋" w:cs="仿宋"/>
          <w:b/>
          <w:bCs/>
          <w:color w:val="auto"/>
          <w:sz w:val="28"/>
          <w:szCs w:val="28"/>
          <w:highlight w:val="none"/>
          <w:lang w:val="en-US" w:eastAsia="zh-CN"/>
        </w:rPr>
        <w:t xml:space="preserve">（详见示范格式五）</w:t>
      </w:r>
      <w:r>
        <w:rPr>
          <w:rFonts w:hint="eastAsia" w:ascii="仿宋" w:hAnsi="仿宋" w:eastAsia="仿宋" w:cs="仿宋"/>
          <w:color w:val="auto"/>
          <w:sz w:val="28"/>
          <w:szCs w:val="28"/>
          <w:highlight w:val="none"/>
          <w:lang w:val="en-US"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（3）由省级以上监狱管理局、戒毒管理局（含新疆生产建设兵团）</w:t>
      </w:r>
      <w:r>
        <w:rPr>
          <w:rFonts w:hint="eastAsia" w:ascii="仿宋" w:hAnsi="仿宋" w:eastAsia="仿宋" w:cs="仿宋"/>
          <w:color w:val="auto"/>
          <w:sz w:val="28"/>
          <w:szCs w:val="28"/>
          <w:highlight w:val="none"/>
        </w:rPr>
        <w:t xml:space="preserve">出具的属于监狱企业的证明文件）</w:t>
      </w:r>
      <w:r>
        <w:rPr>
          <w:rFonts w:hint="eastAsia" w:ascii="仿宋" w:hAnsi="仿宋" w:eastAsia="仿宋" w:cs="仿宋"/>
          <w:b/>
          <w:bCs/>
          <w:color w:val="auto"/>
          <w:sz w:val="28"/>
          <w:szCs w:val="28"/>
          <w:highlight w:val="none"/>
        </w:rPr>
        <w:t xml:space="preserve">（加盖出具单位公章的电子件）</w:t>
      </w:r>
      <w:r>
        <w:rPr>
          <w:rFonts w:hint="eastAsia" w:ascii="仿宋" w:hAnsi="仿宋" w:eastAsia="仿宋" w:cs="仿宋"/>
          <w:color w:val="auto"/>
          <w:sz w:val="28"/>
          <w:szCs w:val="28"/>
          <w:highlight w:val="none"/>
        </w:rPr>
        <w:t xml:space="preserve">。</w:t>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28"/>
          <w:szCs w:val="28"/>
          <w:highlight w:val="none"/>
          <w:lang w:val="zh-CN"/>
        </w:rPr>
        <w:br w:type="page" w:clear="all"/>
      </w:r>
      <w:bookmarkStart w:id="42" w:name="_Toc157775454"/>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32"/>
          <w:highlight w:val="none"/>
        </w:rPr>
        <w:t xml:space="preserve">、综合评分时投标人需提供的证明文件</w:t>
      </w:r>
      <w:r/>
    </w:p>
    <w:p>
      <w:pPr>
        <w:jc w:val="cente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440" w:lineRule="exac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bookmarkEnd w:id="42"/>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2891"/>
        <w:spacing w:line="640" w:lineRule="exac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53"/>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eastAsia="zh-CN"/>
        </w:rPr>
        <w:t xml:space="preserve">淮安市清江浦区城南街道社区卫生服务中心</w:t>
      </w:r>
      <w:r>
        <w:rPr>
          <w:rFonts w:hint="eastAsia" w:ascii="仿宋" w:hAnsi="仿宋" w:eastAsia="仿宋" w:cs="仿宋"/>
          <w:bCs/>
          <w:color w:val="auto"/>
          <w:sz w:val="30"/>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auto"/>
          <w:sz w:val="28"/>
          <w:szCs w:val="28"/>
          <w:highlight w:val="none"/>
          <w:lang w:eastAsia="zh-CN"/>
        </w:rPr>
        <w:t xml:space="preserve">淮安市清江浦区城南街道社区卫生服务中心</w:t>
      </w:r>
      <w:r>
        <w:rPr>
          <w:rFonts w:hint="eastAsia" w:ascii="仿宋" w:hAnsi="仿宋" w:eastAsia="仿宋" w:cs="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szCs w:val="24"/>
          <w:highlight w:val="none"/>
        </w:rPr>
        <w:t xml:space="preserve">符合《</w:t>
      </w:r>
      <w:r>
        <w:rPr>
          <w:rFonts w:hint="eastAsia" w:ascii="仿宋" w:hAnsi="仿宋" w:eastAsia="仿宋" w:cs="仿宋"/>
          <w:b/>
          <w:bCs/>
          <w:color w:val="auto"/>
          <w:sz w:val="32"/>
          <w:szCs w:val="24"/>
          <w:highlight w:val="none"/>
          <w:lang w:eastAsia="zh-CN"/>
        </w:rPr>
        <w:t xml:space="preserve">中华人民共和国政府采购法</w:t>
      </w:r>
      <w:r>
        <w:rPr>
          <w:rFonts w:hint="eastAsia" w:ascii="仿宋" w:hAnsi="仿宋" w:eastAsia="仿宋" w:cs="仿宋"/>
          <w:b/>
          <w:bCs/>
          <w:color w:val="auto"/>
          <w:sz w:val="32"/>
          <w:szCs w:val="24"/>
          <w:highlight w:val="none"/>
        </w:rPr>
        <w:t xml:space="preserve">》第二十二条规定条件的声明函</w:t>
      </w:r>
      <w:r/>
    </w:p>
    <w:p>
      <w:pPr>
        <w:pStyle w:val="691"/>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淮安市清江浦区城南街道社区卫生服务中心</w:t>
      </w:r>
      <w:r>
        <w:rPr>
          <w:rFonts w:hint="eastAsia" w:ascii="仿宋" w:hAnsi="仿宋" w:eastAsia="仿宋" w:cs="仿宋"/>
          <w:bCs/>
          <w:color w:val="auto"/>
          <w:sz w:val="28"/>
          <w:szCs w:val="28"/>
          <w:highlight w:val="none"/>
        </w:rPr>
        <w:t xml:space="preserve">:</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企业声明函（货物类）</w:t>
      </w:r>
      <w:r/>
    </w:p>
    <w:p>
      <w:pPr>
        <w:pStyle w:val="691"/>
        <w:ind w:firstLine="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淮安市清江浦区城南街道社区卫生服务中心</w:t>
      </w:r>
      <w:r>
        <w:rPr>
          <w:rFonts w:hint="eastAsia" w:ascii="仿宋" w:hAnsi="仿宋" w:eastAsia="仿宋" w:cs="仿宋"/>
          <w:bCs/>
          <w:color w:val="auto"/>
          <w:sz w:val="28"/>
          <w:szCs w:val="28"/>
          <w:highlight w:val="none"/>
        </w:rPr>
        <w:t xml:space="preserve">:</w:t>
      </w:r>
      <w:r/>
    </w:p>
    <w:p>
      <w:pPr>
        <w:pStyle w:val="69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w:t>
      </w:r>
      <w:r>
        <w:rPr>
          <w:rFonts w:hint="eastAsia" w:ascii="仿宋" w:hAnsi="仿宋" w:eastAsia="仿宋" w:cs="仿宋"/>
          <w:b/>
          <w:bCs w:val="0"/>
          <w:color w:val="auto"/>
          <w:sz w:val="28"/>
          <w:szCs w:val="28"/>
          <w:highlight w:val="none"/>
        </w:rPr>
        <w:t xml:space="preserve">提供的货物全部由符合政策要求的中小企业制造。</w:t>
      </w:r>
      <w:r>
        <w:rPr>
          <w:rFonts w:hint="eastAsia" w:ascii="仿宋" w:hAnsi="仿宋" w:eastAsia="仿宋" w:cs="仿宋"/>
          <w:bCs/>
          <w:color w:val="auto"/>
          <w:sz w:val="28"/>
          <w:szCs w:val="28"/>
          <w:highlight w:val="none"/>
        </w:rPr>
        <w:t xml:space="preserve">相关企业的具体情况如下： </w:t>
      </w:r>
      <w:r/>
    </w:p>
    <w:p>
      <w:pPr>
        <w:pStyle w:val="69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9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9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69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69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691"/>
        <w:ind w:firstLine="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pStyle w:val="691"/>
        <w:ind w:left="0" w:firstLine="0"/>
        <w:jc w:val="left"/>
        <w:spacing w:line="520" w:lineRule="exac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若采购包中涉及多个采购标的，须按照各采购标的分别进行填写。</w:t>
      </w:r>
      <w:r/>
    </w:p>
    <w:p>
      <w:pPr>
        <w:pStyle w:val="691"/>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691"/>
        <w:ind w:firstLine="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淮安市清江浦区城南街道社区卫生服务中心</w:t>
      </w:r>
      <w:r>
        <w:rPr>
          <w:rFonts w:hint="eastAsia" w:ascii="仿宋" w:hAnsi="仿宋" w:eastAsia="仿宋" w:cs="仿宋"/>
          <w:bCs/>
          <w:color w:val="auto"/>
          <w:sz w:val="28"/>
          <w:szCs w:val="28"/>
          <w:highlight w:val="none"/>
        </w:rPr>
        <w:t xml:space="preserve">:</w:t>
      </w:r>
      <w:r/>
    </w:p>
    <w:p>
      <w:pPr>
        <w:pStyle w:val="69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69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本公司对上述声明的真实性负责。如有虚假，将依法承担相应责任。</w:t>
      </w:r>
      <w:r/>
    </w:p>
    <w:p>
      <w:pPr>
        <w:pStyle w:val="691"/>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spacing w:line="640" w:lineRule="exact"/>
        <w:rPr>
          <w:rFonts w:hint="eastAsia" w:ascii="仿宋" w:hAnsi="仿宋" w:eastAsia="仿宋" w:cs="仿宋"/>
          <w:color w:val="auto"/>
          <w:sz w:val="28"/>
          <w:szCs w:val="28"/>
          <w:highlight w:val="none"/>
        </w:rPr>
        <w:sectPr>
          <w:headerReference w:type="default" r:id="rId10"/>
          <w:footerReference w:type="default" r:id="rId11"/>
          <w:footerReference w:type="even" r:id="rId12"/>
          <w:footnotePr/>
          <w:endnotePr/>
          <w:type w:val="nextPage"/>
          <w:pgSz w:w="11906" w:h="16838" w:orient="portrait"/>
          <w:pgMar w:top="1417" w:right="1418" w:bottom="1417" w:left="1417" w:header="851" w:footer="992" w:gutter="0"/>
          <w:cols w:num="1" w:sep="0" w:space="1701" w:equalWidth="1"/>
          <w:docGrid w:linePitch="360"/>
        </w:sectPr>
      </w:pPr>
      <w:r>
        <w:rPr>
          <w:rFonts w:hint="eastAsia" w:ascii="仿宋" w:hAnsi="仿宋" w:eastAsia="仿宋" w:cs="仿宋"/>
          <w:color w:val="auto"/>
          <w:sz w:val="28"/>
          <w:szCs w:val="28"/>
          <w:highlight w:val="none"/>
        </w:rPr>
        <w:t xml:space="preserve">注:非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ind w:right="-1"/>
        <w:jc w:val="both"/>
        <w:spacing w:line="360" w:lineRule="auto"/>
        <w:widowControl w:val="off"/>
        <w:tabs>
          <w:tab w:val="left" w:pos="2020" w:leader="none"/>
          <w:tab w:val="center" w:pos="4535" w:leader="none"/>
        </w:tabs>
        <w:rPr>
          <w:rFonts w:hint="eastAsia" w:ascii="仿宋" w:hAnsi="仿宋" w:eastAsia="仿宋" w:cs="仿宋"/>
          <w:b/>
          <w:bCs/>
          <w:color w:val="auto"/>
          <w:sz w:val="32"/>
          <w:szCs w:val="32"/>
          <w:highlight w:val="none"/>
          <w:lang w:val="en-US" w:eastAsia="zh-CN" w:bidi="ar-SA"/>
        </w:rPr>
        <w:outlineLvl w:val="0"/>
      </w:pPr>
      <w:r>
        <w:rPr>
          <w:rFonts w:hint="eastAsia" w:ascii="仿宋" w:hAnsi="仿宋" w:eastAsia="仿宋" w:cs="仿宋"/>
          <w:b/>
          <w:color w:val="auto"/>
          <w:sz w:val="32"/>
          <w:szCs w:val="32"/>
          <w:highlight w:val="none"/>
        </w:rPr>
        <w:t xml:space="preserve">示范格式</w:t>
      </w:r>
      <w:r>
        <w:rPr>
          <w:rFonts w:hint="eastAsia" w:ascii="仿宋" w:hAnsi="仿宋" w:eastAsia="仿宋" w:cs="仿宋"/>
          <w:b/>
          <w:color w:val="auto"/>
          <w:sz w:val="32"/>
          <w:szCs w:val="32"/>
          <w:highlight w:val="none"/>
          <w:lang w:val="en-US" w:eastAsia="zh-CN"/>
        </w:rPr>
        <w:t xml:space="preserve">六</w:t>
      </w:r>
      <w:r/>
    </w:p>
    <w:p>
      <w:pPr>
        <w:ind w:right="-1"/>
        <w:jc w:val="center"/>
        <w:spacing w:line="360" w:lineRule="auto"/>
        <w:widowControl w:val="off"/>
        <w:tabs>
          <w:tab w:val="left" w:pos="2020" w:leader="none"/>
          <w:tab w:val="center" w:pos="4535" w:leader="none"/>
        </w:tabs>
        <w:rPr>
          <w:rFonts w:hint="eastAsia" w:ascii="仿宋" w:hAnsi="仿宋" w:eastAsia="仿宋" w:cs="仿宋"/>
          <w:b/>
          <w:bCs/>
          <w:color w:val="auto"/>
          <w:sz w:val="32"/>
          <w:szCs w:val="32"/>
          <w:highlight w:val="none"/>
          <w:lang w:val="en-US" w:eastAsia="zh-CN" w:bidi="ar-SA"/>
        </w:rPr>
        <w:outlineLvl w:val="0"/>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1.</w:t>
      </w:r>
      <w:r>
        <w:rPr>
          <w:rFonts w:hint="eastAsia" w:ascii="仿宋" w:hAnsi="仿宋" w:eastAsia="仿宋" w:cs="仿宋"/>
          <w:i w:val="0"/>
          <w:color w:val="auto"/>
          <w:sz w:val="28"/>
          <w:szCs w:val="28"/>
          <w:highlight w:val="none"/>
          <w:u w:val="single"/>
          <w:shd w:val="clear" w:color="auto" w:fill="ffffff"/>
          <w:lang w:val="en-US" w:eastAsia="zh-CN" w:bidi="ar-SA"/>
        </w:rPr>
        <w:t xml:space="preserve">（产品名称1）</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1</w:t>
      </w:r>
      <w:r>
        <w:rPr>
          <w:rFonts w:hint="eastAsia" w:ascii="仿宋" w:hAnsi="仿宋" w:eastAsia="仿宋" w:cs="仿宋"/>
          <w:color w:val="auto"/>
          <w:sz w:val="28"/>
          <w:szCs w:val="28"/>
          <w:highlight w:val="none"/>
          <w:shd w:val="clear" w:color="auto" w:fill="ffffff"/>
          <w:lang w:val="en-US" w:eastAsia="zh-CN" w:bidi="ar-SA"/>
        </w:rPr>
        <w:t xml:space="preserve">，生产厂为</w:t>
      </w:r>
      <w:r>
        <w:rPr>
          <w:rFonts w:hint="eastAsia" w:ascii="仿宋" w:hAnsi="仿宋" w:eastAsia="仿宋" w:cs="仿宋"/>
          <w:i w:val="0"/>
          <w:color w:val="auto"/>
          <w:sz w:val="28"/>
          <w:szCs w:val="28"/>
          <w:highlight w:val="none"/>
          <w:u w:val="single"/>
          <w:shd w:val="clear" w:color="auto" w:fill="ffffff"/>
          <w:lang w:val="en-US" w:eastAsia="zh-CN" w:bidi="ar-SA"/>
        </w:rPr>
        <w:t xml:space="preserve">（厂名）</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2</w:t>
      </w:r>
      <w:r>
        <w:rPr>
          <w:rFonts w:hint="eastAsia" w:ascii="仿宋" w:hAnsi="仿宋" w:eastAsia="仿宋" w:cs="仿宋"/>
          <w:color w:val="auto"/>
          <w:sz w:val="28"/>
          <w:szCs w:val="28"/>
          <w:highlight w:val="none"/>
          <w:shd w:val="clear" w:color="auto" w:fill="ffffff"/>
          <w:lang w:val="en-US" w:eastAsia="zh-CN" w:bidi="ar-SA"/>
        </w:rPr>
        <w:t xml:space="preserve">，厂址为</w:t>
      </w:r>
      <w:r>
        <w:rPr>
          <w:rFonts w:hint="eastAsia" w:ascii="仿宋" w:hAnsi="仿宋" w:eastAsia="仿宋" w:cs="仿宋"/>
          <w:i w:val="0"/>
          <w:color w:val="auto"/>
          <w:sz w:val="28"/>
          <w:szCs w:val="28"/>
          <w:highlight w:val="none"/>
          <w:u w:val="single"/>
          <w:shd w:val="clear" w:color="auto" w:fill="ffffff"/>
          <w:lang w:val="en-US" w:eastAsia="zh-CN" w:bidi="ar-SA"/>
        </w:rPr>
        <w:t xml:space="preserve">（生产厂址）</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（规定比例）</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3</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（关键组件）</w:t>
      </w:r>
      <w:r>
        <w:rPr>
          <w:rFonts w:hint="eastAsia" w:ascii="仿宋" w:hAnsi="仿宋" w:eastAsia="仿宋" w:cs="仿宋"/>
          <w:color w:val="auto"/>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（关键工序）</w:t>
      </w:r>
      <w:r>
        <w:rPr>
          <w:rFonts w:hint="eastAsia" w:ascii="仿宋" w:hAnsi="仿宋" w:eastAsia="仿宋" w:cs="仿宋"/>
          <w:i w:val="0"/>
          <w:strike/>
          <w:color w:val="auto"/>
          <w:sz w:val="28"/>
          <w:szCs w:val="28"/>
          <w:highlight w:val="none"/>
          <w:shd w:val="clear" w:color="auto" w:fill="ffffff"/>
          <w:vertAlign w:val="superscript"/>
          <w:lang w:val="en-US" w:eastAsia="zh-CN" w:bidi="ar-SA"/>
        </w:rPr>
        <w:t xml:space="preserve">5</w:t>
      </w:r>
      <w:r>
        <w:rPr>
          <w:rFonts w:hint="eastAsia" w:ascii="仿宋" w:hAnsi="仿宋" w:eastAsia="仿宋" w:cs="仿宋"/>
          <w:color w:val="auto"/>
          <w:sz w:val="28"/>
          <w:szCs w:val="28"/>
          <w:highlight w:val="none"/>
          <w:shd w:val="clear" w:color="auto" w:fill="ffffff"/>
          <w:lang w:val="en-US" w:eastAsia="zh-CN" w:bidi="ar-SA"/>
        </w:rPr>
        <w:t xml:space="preserve">在中国境内完成。</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2.</w:t>
      </w:r>
      <w:r>
        <w:rPr>
          <w:rFonts w:hint="eastAsia" w:ascii="仿宋" w:hAnsi="仿宋" w:eastAsia="仿宋" w:cs="仿宋"/>
          <w:i w:val="0"/>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，生产厂为</w:t>
      </w:r>
      <w:r>
        <w:rPr>
          <w:rFonts w:hint="eastAsia" w:ascii="仿宋" w:hAnsi="仿宋" w:eastAsia="仿宋" w:cs="仿宋"/>
          <w:i w:val="0"/>
          <w:color w:val="auto"/>
          <w:sz w:val="28"/>
          <w:szCs w:val="28"/>
          <w:highlight w:val="none"/>
          <w:u w:val="single"/>
          <w:shd w:val="clear" w:color="auto" w:fill="ffffff"/>
          <w:lang w:val="en-US" w:eastAsia="zh-CN" w:bidi="ar-SA"/>
        </w:rPr>
        <w:t xml:space="preserve">（厂名）</w:t>
      </w:r>
      <w:r>
        <w:rPr>
          <w:rFonts w:hint="eastAsia" w:ascii="仿宋" w:hAnsi="仿宋" w:eastAsia="仿宋" w:cs="仿宋"/>
          <w:color w:val="auto"/>
          <w:sz w:val="28"/>
          <w:szCs w:val="28"/>
          <w:highlight w:val="none"/>
          <w:shd w:val="clear" w:color="auto" w:fill="ffffff"/>
          <w:lang w:val="en-US" w:eastAsia="zh-CN" w:bidi="ar-SA"/>
        </w:rPr>
        <w:t xml:space="preserve">，厂址为</w:t>
      </w:r>
      <w:r>
        <w:rPr>
          <w:rFonts w:hint="eastAsia" w:ascii="仿宋" w:hAnsi="仿宋" w:eastAsia="仿宋" w:cs="仿宋"/>
          <w:i w:val="0"/>
          <w:color w:val="auto"/>
          <w:sz w:val="28"/>
          <w:szCs w:val="28"/>
          <w:highlight w:val="none"/>
          <w:u w:val="single"/>
          <w:shd w:val="clear" w:color="auto" w:fill="ffffff"/>
          <w:lang w:val="en-US" w:eastAsia="zh-CN" w:bidi="ar-SA"/>
        </w:rPr>
        <w:t xml:space="preserve">（生产厂址）</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（规定比例）</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（关键组件）</w:t>
      </w:r>
      <w:r>
        <w:rPr>
          <w:rFonts w:hint="eastAsia" w:ascii="仿宋" w:hAnsi="仿宋" w:eastAsia="仿宋" w:cs="仿宋"/>
          <w:color w:val="auto"/>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（关键工序）</w:t>
      </w:r>
      <w:r>
        <w:rPr>
          <w:rFonts w:hint="eastAsia" w:ascii="仿宋" w:hAnsi="仿宋" w:eastAsia="仿宋" w:cs="仿宋"/>
          <w:color w:val="auto"/>
          <w:sz w:val="28"/>
          <w:szCs w:val="28"/>
          <w:highlight w:val="none"/>
          <w:shd w:val="clear" w:color="auto" w:fill="ffffff"/>
          <w:lang w:val="en-US" w:eastAsia="zh-CN" w:bidi="ar-SA"/>
        </w:rPr>
        <w:t xml:space="preserve">在中国境内完成。</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公司（单位）名称（电子签章）：</w:t>
      </w:r>
      <w:r/>
    </w:p>
    <w:p>
      <w:pPr>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日期：    年    月    日</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__________________</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6.用横线划除的地方无需填写。</w:t>
      </w:r>
      <w:r/>
    </w:p>
    <w:sectPr>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楷体_GB2312">
    <w:panose1 w:val="02010609060101010101"/>
  </w:font>
  <w:font w:name="华文彩云">
    <w:panose1 w:val="0201080004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24"/>
      </w:rPr>
      <w:framePr w:wrap="around" w:vAnchor="text" w:hAnchor="margin" w:xAlign="center" w:y="1"/>
    </w:pPr>
    <w:r>
      <w:fldChar w:fldCharType="begin"/>
    </w:r>
    <w:r>
      <w:rPr>
        <w:rStyle w:val="724"/>
      </w:rPr>
      <w:instrText xml:space="preserve">PAGE  </w:instrText>
    </w:r>
    <w:r>
      <w:fldChar w:fldCharType="end"/>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both"/>
      <w:rPr>
        <w:rFonts w:hint="eastAsia" w:ascii="仿宋" w:hAnsi="仿宋" w:eastAsia="仿宋"/>
        <w:sz w:val="28"/>
        <w:szCs w:val="28"/>
      </w:rPr>
      <w:pBdr>
        <w:bottom w:val="none" w:color="000000" w:sz="0" w:space="1"/>
      </w:pBdr>
    </w:pPr>
    <w:r>
      <w:rPr>
        <w:rFonts w:hint="eastAsia"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96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chineseCountingThousand"/>
      <w:pStyle w:val="954"/>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2">
    <w:multiLevelType w:val="hybridMultilevel"/>
    <w:lvl w:ilvl="0">
      <w:start w:val="1"/>
      <w:numFmt w:val="chineseCountingThousand"/>
      <w:pStyle w:val="96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uiPriority w:val="9"/>
    <w:qFormat/>
    <w:pPr>
      <w:keepLines/>
      <w:keepNext/>
      <w:spacing w:before="340" w:after="330" w:line="578" w:lineRule="auto"/>
      <w:outlineLvl w:val="0"/>
    </w:pPr>
    <w:rPr>
      <w:b/>
      <w:bCs/>
      <w:sz w:val="44"/>
      <w:szCs w:val="44"/>
    </w:rPr>
  </w:style>
  <w:style w:type="paragraph" w:styleId="677">
    <w:name w:val="Heading 2"/>
    <w:basedOn w:val="675"/>
    <w:next w:val="675"/>
    <w:uiPriority w:val="9"/>
    <w:qFormat/>
    <w:pPr>
      <w:keepLines/>
      <w:keepNext/>
      <w:spacing w:before="260" w:after="260" w:line="413" w:lineRule="auto"/>
      <w:outlineLvl w:val="1"/>
    </w:pPr>
    <w:rPr>
      <w:rFonts w:ascii="Arial" w:hAnsi="Arial" w:eastAsia="黑体"/>
      <w:b/>
      <w:sz w:val="32"/>
      <w:szCs w:val="20"/>
    </w:rPr>
  </w:style>
  <w:style w:type="paragraph" w:styleId="678">
    <w:name w:val="Heading 3"/>
    <w:basedOn w:val="675"/>
    <w:next w:val="675"/>
    <w:uiPriority w:val="9"/>
    <w:qFormat/>
    <w:pPr>
      <w:keepLines/>
      <w:keepNext/>
      <w:spacing w:before="260" w:after="260" w:line="413" w:lineRule="auto"/>
      <w:outlineLvl w:val="2"/>
    </w:pPr>
    <w:rPr>
      <w:rFonts w:ascii="Arial" w:hAnsi="Arial"/>
      <w:b/>
      <w:sz w:val="32"/>
      <w:szCs w:val="20"/>
    </w:rPr>
  </w:style>
  <w:style w:type="paragraph" w:styleId="679">
    <w:name w:val="Heading 4"/>
    <w:basedOn w:val="675"/>
    <w:next w:val="675"/>
    <w:link w:val="925"/>
    <w:uiPriority w:val="9"/>
    <w:qFormat/>
    <w:pPr>
      <w:keepLines/>
      <w:keepNext/>
      <w:spacing w:before="280" w:after="290" w:line="376" w:lineRule="auto"/>
      <w:outlineLvl w:val="3"/>
    </w:pPr>
    <w:rPr>
      <w:rFonts w:ascii="Cambria" w:hAnsi="Cambria"/>
      <w:b/>
      <w:bCs/>
      <w:sz w:val="28"/>
      <w:szCs w:val="28"/>
    </w:rPr>
  </w:style>
  <w:style w:type="paragraph" w:styleId="680">
    <w:name w:val="Heading 5"/>
    <w:basedOn w:val="675"/>
    <w:next w:val="675"/>
    <w:link w:val="926"/>
    <w:uiPriority w:val="9"/>
    <w:qFormat/>
    <w:pPr>
      <w:keepLines/>
      <w:keepNext/>
      <w:spacing w:before="280" w:after="290" w:line="376" w:lineRule="auto"/>
      <w:outlineLvl w:val="4"/>
    </w:pPr>
    <w:rPr>
      <w:b/>
      <w:bCs/>
      <w:sz w:val="28"/>
      <w:szCs w:val="28"/>
    </w:rPr>
  </w:style>
  <w:style w:type="paragraph" w:styleId="681">
    <w:name w:val="Heading 6"/>
    <w:basedOn w:val="675"/>
    <w:next w:val="675"/>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正文首行缩进 21"/>
    <w:basedOn w:val="688"/>
    <w:next w:val="675"/>
    <w:uiPriority w:val="0"/>
    <w:qFormat/>
    <w:pPr>
      <w:ind w:firstLine="420"/>
      <w:jc w:val="left"/>
      <w:widowControl/>
      <w:tabs>
        <w:tab w:val="left" w:pos="2020" w:leader="none"/>
        <w:tab w:val="center" w:pos="4535" w:leader="none"/>
      </w:tabs>
    </w:pPr>
  </w:style>
  <w:style w:type="paragraph" w:styleId="688">
    <w:name w:val="Body Text"/>
    <w:basedOn w:val="675"/>
    <w:next w:val="68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9">
    <w:name w:val="toc 9"/>
    <w:basedOn w:val="675"/>
    <w:next w:val="675"/>
    <w:uiPriority w:val="39"/>
    <w:unhideWhenUsed/>
    <w:qFormat/>
    <w:pPr>
      <w:ind w:left="2268"/>
      <w:spacing w:after="57"/>
    </w:pPr>
  </w:style>
  <w:style w:type="paragraph" w:styleId="690">
    <w:name w:val="toc 7"/>
    <w:basedOn w:val="675"/>
    <w:next w:val="675"/>
    <w:uiPriority w:val="39"/>
    <w:unhideWhenUsed/>
    <w:qFormat/>
    <w:pPr>
      <w:ind w:left="1701"/>
      <w:spacing w:after="57"/>
    </w:pPr>
  </w:style>
  <w:style w:type="paragraph" w:styleId="691">
    <w:name w:val="Normal Indent"/>
    <w:basedOn w:val="675"/>
    <w:next w:val="692"/>
    <w:link w:val="924"/>
    <w:uiPriority w:val="0"/>
    <w:qFormat/>
    <w:pPr>
      <w:ind w:firstLine="420"/>
    </w:pPr>
    <w:rPr>
      <w:szCs w:val="20"/>
    </w:rPr>
  </w:style>
  <w:style w:type="paragraph" w:styleId="692">
    <w:name w:val="toc 4"/>
    <w:basedOn w:val="675"/>
    <w:next w:val="675"/>
    <w:uiPriority w:val="39"/>
    <w:unhideWhenUsed/>
    <w:qFormat/>
    <w:pPr>
      <w:ind w:left="850"/>
      <w:spacing w:after="57"/>
    </w:pPr>
  </w:style>
  <w:style w:type="paragraph" w:styleId="693">
    <w:name w:val="Caption"/>
    <w:basedOn w:val="675"/>
    <w:next w:val="675"/>
    <w:uiPriority w:val="35"/>
    <w:qFormat/>
    <w:pPr>
      <w:jc w:val="center"/>
      <w:spacing w:before="156" w:after="156" w:line="360" w:lineRule="auto"/>
    </w:pPr>
    <w:rPr>
      <w:rFonts w:ascii="Arial" w:hAnsi="Arial" w:cs="Arial"/>
      <w:sz w:val="24"/>
      <w:szCs w:val="20"/>
    </w:rPr>
  </w:style>
  <w:style w:type="paragraph" w:styleId="694">
    <w:name w:val="Document Map"/>
    <w:basedOn w:val="675"/>
    <w:uiPriority w:val="0"/>
    <w:semiHidden/>
    <w:qFormat/>
    <w:pPr>
      <w:shd w:val="clear" w:color="auto" w:fill="000080"/>
    </w:pPr>
  </w:style>
  <w:style w:type="paragraph" w:styleId="695">
    <w:name w:val="toa heading"/>
    <w:basedOn w:val="675"/>
    <w:next w:val="675"/>
    <w:uiPriority w:val="99"/>
    <w:qFormat/>
    <w:pPr>
      <w:spacing w:before="120"/>
    </w:pPr>
    <w:rPr>
      <w:rFonts w:ascii="Arial" w:hAnsi="Arial"/>
      <w:sz w:val="24"/>
    </w:rPr>
  </w:style>
  <w:style w:type="paragraph" w:styleId="696">
    <w:name w:val="annotation text"/>
    <w:basedOn w:val="675"/>
    <w:link w:val="927"/>
    <w:uiPriority w:val="99"/>
    <w:unhideWhenUsed/>
    <w:qFormat/>
    <w:pPr>
      <w:jc w:val="left"/>
    </w:pPr>
  </w:style>
  <w:style w:type="paragraph" w:styleId="697">
    <w:name w:val="Body Text 3"/>
    <w:basedOn w:val="675"/>
    <w:uiPriority w:val="0"/>
    <w:qFormat/>
    <w:rPr>
      <w:rFonts w:ascii="楷体_GB2312" w:hAnsi="Arial" w:eastAsia="楷体_GB2312" w:cs="Arial"/>
      <w:b/>
      <w:bCs/>
      <w:color w:val="000000"/>
      <w:sz w:val="24"/>
    </w:rPr>
  </w:style>
  <w:style w:type="paragraph" w:styleId="698">
    <w:name w:val="Body Text Indent"/>
    <w:basedOn w:val="675"/>
    <w:uiPriority w:val="0"/>
    <w:qFormat/>
    <w:pPr>
      <w:ind w:firstLine="630"/>
    </w:pPr>
    <w:rPr>
      <w:rFonts w:ascii="楷体_GB2312" w:eastAsia="楷体_GB2312"/>
      <w:sz w:val="32"/>
      <w:szCs w:val="20"/>
    </w:rPr>
  </w:style>
  <w:style w:type="paragraph" w:styleId="699">
    <w:name w:val="Block Text"/>
    <w:basedOn w:val="675"/>
    <w:uiPriority w:val="0"/>
    <w:qFormat/>
    <w:pPr>
      <w:ind w:left="420" w:right="33"/>
      <w:jc w:val="left"/>
    </w:pPr>
    <w:rPr>
      <w:sz w:val="24"/>
      <w:szCs w:val="20"/>
    </w:rPr>
  </w:style>
  <w:style w:type="paragraph" w:styleId="700">
    <w:name w:val="toc 5"/>
    <w:basedOn w:val="675"/>
    <w:next w:val="675"/>
    <w:uiPriority w:val="39"/>
    <w:unhideWhenUsed/>
    <w:qFormat/>
    <w:pPr>
      <w:ind w:left="1134"/>
      <w:spacing w:after="57"/>
    </w:pPr>
  </w:style>
  <w:style w:type="paragraph" w:styleId="701">
    <w:name w:val="toc 3"/>
    <w:basedOn w:val="675"/>
    <w:next w:val="675"/>
    <w:uiPriority w:val="0"/>
    <w:semiHidden/>
    <w:qFormat/>
    <w:pPr>
      <w:ind w:left="840"/>
      <w:spacing w:line="300" w:lineRule="auto"/>
      <w:tabs>
        <w:tab w:val="right" w:pos="9344" w:leader="dot"/>
      </w:tabs>
    </w:pPr>
    <w:rPr>
      <w:rFonts w:ascii="Arial" w:hAnsi="Arial" w:cs="Arial"/>
      <w:szCs w:val="21"/>
    </w:rPr>
  </w:style>
  <w:style w:type="paragraph" w:styleId="702">
    <w:name w:val="Plain Text"/>
    <w:basedOn w:val="675"/>
    <w:link w:val="928"/>
    <w:uiPriority w:val="99"/>
    <w:qFormat/>
    <w:rPr>
      <w:rFonts w:ascii="宋体" w:hAnsi="Courier New"/>
      <w:szCs w:val="20"/>
    </w:rPr>
  </w:style>
  <w:style w:type="paragraph" w:styleId="703">
    <w:name w:val="toc 8"/>
    <w:basedOn w:val="675"/>
    <w:next w:val="675"/>
    <w:uiPriority w:val="39"/>
    <w:unhideWhenUsed/>
    <w:qFormat/>
    <w:pPr>
      <w:ind w:left="1984"/>
      <w:spacing w:after="57"/>
    </w:pPr>
  </w:style>
  <w:style w:type="paragraph" w:styleId="704">
    <w:name w:val="Body Text Indent 2"/>
    <w:basedOn w:val="675"/>
    <w:uiPriority w:val="0"/>
    <w:qFormat/>
    <w:pPr>
      <w:ind w:left="420"/>
      <w:spacing w:after="120" w:line="480" w:lineRule="auto"/>
    </w:pPr>
  </w:style>
  <w:style w:type="paragraph" w:styleId="705">
    <w:name w:val="endnote text"/>
    <w:basedOn w:val="675"/>
    <w:link w:val="922"/>
    <w:uiPriority w:val="99"/>
    <w:semiHidden/>
    <w:unhideWhenUsed/>
    <w:qFormat/>
    <w:rPr>
      <w:sz w:val="20"/>
      <w:szCs w:val="20"/>
    </w:rPr>
  </w:style>
  <w:style w:type="paragraph" w:styleId="706">
    <w:name w:val="Balloon Text"/>
    <w:basedOn w:val="675"/>
    <w:link w:val="929"/>
    <w:uiPriority w:val="0"/>
    <w:qFormat/>
    <w:rPr>
      <w:sz w:val="18"/>
      <w:szCs w:val="18"/>
    </w:rPr>
  </w:style>
  <w:style w:type="paragraph" w:styleId="707">
    <w:name w:val="Footer"/>
    <w:basedOn w:val="675"/>
    <w:link w:val="930"/>
    <w:uiPriority w:val="99"/>
    <w:qFormat/>
    <w:pPr>
      <w:jc w:val="left"/>
      <w:tabs>
        <w:tab w:val="center" w:pos="4153" w:leader="none"/>
        <w:tab w:val="right" w:pos="8306" w:leader="none"/>
      </w:tabs>
    </w:pPr>
    <w:rPr>
      <w:sz w:val="18"/>
      <w:szCs w:val="18"/>
    </w:rPr>
  </w:style>
  <w:style w:type="paragraph" w:styleId="708">
    <w:name w:val="Header"/>
    <w:basedOn w:val="675"/>
    <w:link w:val="931"/>
    <w:uiPriority w:val="0"/>
    <w:qFormat/>
    <w:pPr>
      <w:jc w:val="center"/>
      <w:tabs>
        <w:tab w:val="center" w:pos="4153" w:leader="none"/>
        <w:tab w:val="right" w:pos="8306" w:leader="none"/>
      </w:tabs>
      <w:pBdr>
        <w:bottom w:val="single" w:color="000000" w:sz="6" w:space="1"/>
      </w:pBdr>
    </w:pPr>
    <w:rPr>
      <w:sz w:val="18"/>
      <w:szCs w:val="18"/>
    </w:rPr>
  </w:style>
  <w:style w:type="paragraph" w:styleId="709">
    <w:name w:val="toc 1"/>
    <w:basedOn w:val="675"/>
    <w:next w:val="675"/>
    <w:uiPriority w:val="0"/>
    <w:semiHidden/>
    <w:qFormat/>
  </w:style>
  <w:style w:type="paragraph" w:styleId="710">
    <w:name w:val="Subtitle"/>
    <w:basedOn w:val="675"/>
    <w:next w:val="675"/>
    <w:link w:val="785"/>
    <w:uiPriority w:val="11"/>
    <w:qFormat/>
    <w:pPr>
      <w:spacing w:before="200" w:after="200"/>
    </w:pPr>
    <w:rPr>
      <w:sz w:val="24"/>
    </w:rPr>
  </w:style>
  <w:style w:type="paragraph" w:styleId="711">
    <w:name w:val="footnote text"/>
    <w:basedOn w:val="675"/>
    <w:link w:val="921"/>
    <w:uiPriority w:val="99"/>
    <w:semiHidden/>
    <w:unhideWhenUsed/>
    <w:qFormat/>
    <w:pPr>
      <w:spacing w:after="40"/>
    </w:pPr>
    <w:rPr>
      <w:sz w:val="18"/>
      <w:szCs w:val="20"/>
    </w:rPr>
  </w:style>
  <w:style w:type="paragraph" w:styleId="712">
    <w:name w:val="toc 6"/>
    <w:basedOn w:val="675"/>
    <w:next w:val="675"/>
    <w:uiPriority w:val="39"/>
    <w:unhideWhenUsed/>
    <w:qFormat/>
    <w:pPr>
      <w:ind w:left="1417"/>
      <w:spacing w:after="57"/>
    </w:pPr>
  </w:style>
  <w:style w:type="paragraph" w:styleId="713">
    <w:name w:val="Body Text Indent 3"/>
    <w:basedOn w:val="675"/>
    <w:uiPriority w:val="99"/>
    <w:qFormat/>
    <w:pPr>
      <w:ind w:firstLine="420"/>
    </w:pPr>
    <w:rPr>
      <w:rFonts w:eastAsia="楷体_GB2312"/>
    </w:rPr>
  </w:style>
  <w:style w:type="paragraph" w:styleId="714">
    <w:name w:val="table of figures"/>
    <w:basedOn w:val="675"/>
    <w:next w:val="675"/>
    <w:uiPriority w:val="99"/>
    <w:unhideWhenUsed/>
    <w:qFormat/>
  </w:style>
  <w:style w:type="paragraph" w:styleId="715">
    <w:name w:val="toc 2"/>
    <w:basedOn w:val="675"/>
    <w:next w:val="675"/>
    <w:uiPriority w:val="0"/>
    <w:semiHidden/>
    <w:qFormat/>
    <w:pPr>
      <w:ind w:left="420"/>
    </w:pPr>
    <w:rPr>
      <w:szCs w:val="20"/>
    </w:rPr>
  </w:style>
  <w:style w:type="paragraph" w:styleId="716">
    <w:name w:val="Body Text 2"/>
    <w:basedOn w:val="675"/>
    <w:link w:val="932"/>
    <w:uiPriority w:val="0"/>
    <w:qFormat/>
    <w:pPr>
      <w:spacing w:line="440" w:lineRule="exact"/>
    </w:pPr>
    <w:rPr>
      <w:rFonts w:ascii="楷体_GB2312" w:eastAsia="楷体_GB2312"/>
      <w:sz w:val="28"/>
    </w:rPr>
  </w:style>
  <w:style w:type="paragraph" w:styleId="717">
    <w:name w:val="Normal (Web)"/>
    <w:basedOn w:val="675"/>
    <w:uiPriority w:val="99"/>
    <w:qFormat/>
    <w:pPr>
      <w:jc w:val="left"/>
      <w:spacing w:before="100" w:beforeAutospacing="1" w:after="100" w:afterAutospacing="1"/>
    </w:pPr>
    <w:rPr>
      <w:sz w:val="24"/>
      <w:szCs w:val="20"/>
    </w:rPr>
  </w:style>
  <w:style w:type="paragraph" w:styleId="718">
    <w:name w:val="Title"/>
    <w:basedOn w:val="675"/>
    <w:next w:val="675"/>
    <w:link w:val="784"/>
    <w:uiPriority w:val="10"/>
    <w:qFormat/>
    <w:pPr>
      <w:contextualSpacing/>
      <w:spacing w:before="300" w:after="200"/>
    </w:pPr>
    <w:rPr>
      <w:sz w:val="48"/>
      <w:szCs w:val="48"/>
    </w:rPr>
  </w:style>
  <w:style w:type="paragraph" w:styleId="719">
    <w:name w:val="annotation subject"/>
    <w:basedOn w:val="696"/>
    <w:next w:val="696"/>
    <w:link w:val="933"/>
    <w:uiPriority w:val="0"/>
    <w:qFormat/>
    <w:rPr>
      <w:b/>
      <w:bCs/>
    </w:rPr>
  </w:style>
  <w:style w:type="paragraph" w:styleId="720">
    <w:name w:val="Body Text First Indent 2"/>
    <w:basedOn w:val="698"/>
    <w:uiPriority w:val="0"/>
    <w:qFormat/>
    <w:pPr>
      <w:ind w:left="420" w:firstLine="420"/>
      <w:spacing w:after="120"/>
      <w:widowControl/>
    </w:pPr>
    <w:rPr>
      <w:rFonts w:ascii="仿宋_GB2312" w:eastAsia="仿宋_GB2312"/>
      <w:color w:val="ff6600"/>
      <w:sz w:val="21"/>
    </w:rPr>
  </w:style>
  <w:style w:type="table" w:styleId="721">
    <w:name w:val="Table Grid"/>
    <w:basedOn w:val="686"/>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style>
  <w:style w:type="character" w:styleId="723">
    <w:name w:val="endnote reference"/>
    <w:uiPriority w:val="99"/>
    <w:semiHidden/>
    <w:unhideWhenUsed/>
    <w:qFormat/>
    <w:rPr>
      <w:vertAlign w:val="superscript"/>
    </w:rPr>
  </w:style>
  <w:style w:type="character" w:styleId="724">
    <w:name w:val="page number"/>
    <w:uiPriority w:val="0"/>
    <w:qFormat/>
  </w:style>
  <w:style w:type="character" w:styleId="725">
    <w:name w:val="FollowedHyperlink"/>
    <w:uiPriority w:val="0"/>
    <w:qFormat/>
    <w:rPr>
      <w:color w:val="800080"/>
      <w:u w:val="none"/>
    </w:rPr>
  </w:style>
  <w:style w:type="character" w:styleId="726">
    <w:name w:val="Emphasis"/>
    <w:uiPriority w:val="0"/>
    <w:qFormat/>
  </w:style>
  <w:style w:type="character" w:styleId="727">
    <w:name w:val="HTML Definition"/>
    <w:uiPriority w:val="0"/>
    <w:qFormat/>
  </w:style>
  <w:style w:type="character" w:styleId="728">
    <w:name w:val="HTML Typewriter"/>
    <w:uiPriority w:val="0"/>
    <w:qFormat/>
    <w:rPr>
      <w:rFonts w:ascii="monospace" w:hAnsi="monospace" w:eastAsia="monospace" w:cs="monospace"/>
      <w:sz w:val="20"/>
    </w:rPr>
  </w:style>
  <w:style w:type="character" w:styleId="729">
    <w:name w:val="HTML Acronym"/>
    <w:uiPriority w:val="0"/>
    <w:qFormat/>
  </w:style>
  <w:style w:type="character" w:styleId="730">
    <w:name w:val="HTML Variable"/>
    <w:uiPriority w:val="0"/>
    <w:qFormat/>
  </w:style>
  <w:style w:type="character" w:styleId="731">
    <w:name w:val="Hyperlink"/>
    <w:uiPriority w:val="0"/>
    <w:qFormat/>
    <w:rPr>
      <w:color w:val="0000ff"/>
      <w:u w:val="none"/>
    </w:rPr>
  </w:style>
  <w:style w:type="character" w:styleId="732">
    <w:name w:val="HTML Code"/>
    <w:uiPriority w:val="0"/>
    <w:qFormat/>
    <w:rPr>
      <w:rFonts w:ascii="monospace" w:hAnsi="monospace" w:eastAsia="monospace" w:cs="monospace"/>
      <w:sz w:val="20"/>
    </w:rPr>
  </w:style>
  <w:style w:type="character" w:styleId="733">
    <w:name w:val="annotation reference"/>
    <w:basedOn w:val="685"/>
    <w:uiPriority w:val="0"/>
    <w:qFormat/>
    <w:rPr>
      <w:sz w:val="21"/>
      <w:szCs w:val="21"/>
    </w:rPr>
  </w:style>
  <w:style w:type="character" w:styleId="734">
    <w:name w:val="HTML Cite"/>
    <w:uiPriority w:val="0"/>
    <w:qFormat/>
  </w:style>
  <w:style w:type="character" w:styleId="735">
    <w:name w:val="footnote reference"/>
    <w:uiPriority w:val="99"/>
    <w:unhideWhenUsed/>
    <w:qFormat/>
    <w:rPr>
      <w:vertAlign w:val="superscript"/>
    </w:rPr>
  </w:style>
  <w:style w:type="character" w:styleId="736">
    <w:name w:val="HTML Keyboard"/>
    <w:uiPriority w:val="0"/>
    <w:qFormat/>
    <w:rPr>
      <w:rFonts w:ascii="monospace" w:hAnsi="monospace" w:eastAsia="monospace" w:cs="monospace"/>
      <w:sz w:val="20"/>
    </w:rPr>
  </w:style>
  <w:style w:type="character" w:styleId="737">
    <w:name w:val="HTML Sample"/>
    <w:uiPriority w:val="0"/>
    <w:qFormat/>
    <w:rPr>
      <w:rFonts w:ascii="monospace" w:hAnsi="monospace" w:eastAsia="monospace" w:cs="monospace"/>
    </w:rPr>
  </w:style>
  <w:style w:type="table" w:styleId="738"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7" w:customStyle="1">
    <w:name w:val="TOC Heading"/>
    <w:uiPriority w:val="39"/>
    <w:unhideWhenUsed/>
    <w:qFormat/>
    <w:rPr>
      <w:rFonts w:hint="default" w:ascii="Times New Roman" w:hAnsi="Times New Roman" w:eastAsia="宋体" w:cs="Times New Roman"/>
    </w:rPr>
  </w:style>
  <w:style w:type="character" w:styleId="758" w:customStyle="1">
    <w:name w:val="Title Char"/>
    <w:basedOn w:val="685"/>
    <w:uiPriority w:val="10"/>
    <w:qFormat/>
    <w:rPr>
      <w:sz w:val="48"/>
      <w:szCs w:val="48"/>
    </w:rPr>
  </w:style>
  <w:style w:type="character" w:styleId="759" w:customStyle="1">
    <w:name w:val="Subtitle Char"/>
    <w:basedOn w:val="685"/>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hint="default" w:ascii="Times New Roman" w:hAnsi="Times New Roman" w:eastAsia="宋体" w:cs="Times New Roman"/>
      <w:lang w:val="en-US" w:eastAsia="zh-CN" w:bidi="ar-SA"/>
    </w:rPr>
  </w:style>
  <w:style w:type="paragraph" w:styleId="765" w:customStyle="1">
    <w:name w:val="标题 11"/>
    <w:basedOn w:val="675"/>
    <w:next w:val="675"/>
    <w:link w:val="766"/>
    <w:uiPriority w:val="9"/>
    <w:qFormat/>
    <w:pPr>
      <w:keepLines/>
      <w:keepNext/>
      <w:spacing w:before="480" w:after="200"/>
      <w:outlineLvl w:val="0"/>
    </w:pPr>
    <w:rPr>
      <w:rFonts w:ascii="Arial" w:hAnsi="Arial" w:eastAsia="Arial"/>
      <w:sz w:val="40"/>
      <w:szCs w:val="40"/>
    </w:rPr>
  </w:style>
  <w:style w:type="character" w:styleId="766" w:customStyle="1">
    <w:name w:val="Heading 1 Char"/>
    <w:link w:val="765"/>
    <w:uiPriority w:val="9"/>
    <w:qFormat/>
    <w:rPr>
      <w:rFonts w:ascii="Arial" w:hAnsi="Arial" w:eastAsia="Arial" w:cs="Arial"/>
      <w:sz w:val="40"/>
      <w:szCs w:val="40"/>
    </w:rPr>
  </w:style>
  <w:style w:type="paragraph" w:styleId="767" w:customStyle="1">
    <w:name w:val="标题 21"/>
    <w:basedOn w:val="675"/>
    <w:next w:val="675"/>
    <w:link w:val="768"/>
    <w:uiPriority w:val="9"/>
    <w:unhideWhenUsed/>
    <w:qFormat/>
    <w:pPr>
      <w:keepLines/>
      <w:keepNext/>
      <w:spacing w:before="360" w:after="200"/>
      <w:outlineLvl w:val="1"/>
    </w:pPr>
    <w:rPr>
      <w:rFonts w:ascii="Arial" w:hAnsi="Arial" w:eastAsia="Arial"/>
      <w:sz w:val="34"/>
      <w:szCs w:val="20"/>
    </w:rPr>
  </w:style>
  <w:style w:type="character" w:styleId="768" w:customStyle="1">
    <w:name w:val="Heading 2 Char"/>
    <w:link w:val="767"/>
    <w:uiPriority w:val="9"/>
    <w:qFormat/>
    <w:rPr>
      <w:rFonts w:ascii="Arial" w:hAnsi="Arial" w:eastAsia="Arial" w:cs="Arial"/>
      <w:sz w:val="34"/>
    </w:rPr>
  </w:style>
  <w:style w:type="paragraph" w:styleId="769" w:customStyle="1">
    <w:name w:val="标题 31"/>
    <w:basedOn w:val="675"/>
    <w:next w:val="675"/>
    <w:link w:val="770"/>
    <w:uiPriority w:val="9"/>
    <w:unhideWhenUsed/>
    <w:qFormat/>
    <w:pPr>
      <w:keepLines/>
      <w:keepNext/>
      <w:spacing w:before="320" w:after="200"/>
      <w:outlineLvl w:val="2"/>
    </w:pPr>
    <w:rPr>
      <w:rFonts w:ascii="Arial" w:hAnsi="Arial" w:eastAsia="Arial"/>
      <w:sz w:val="30"/>
      <w:szCs w:val="30"/>
    </w:rPr>
  </w:style>
  <w:style w:type="character" w:styleId="770" w:customStyle="1">
    <w:name w:val="Heading 3 Char"/>
    <w:link w:val="769"/>
    <w:uiPriority w:val="9"/>
    <w:qFormat/>
    <w:rPr>
      <w:rFonts w:ascii="Arial" w:hAnsi="Arial" w:eastAsia="Arial" w:cs="Arial"/>
      <w:sz w:val="30"/>
      <w:szCs w:val="30"/>
    </w:rPr>
  </w:style>
  <w:style w:type="paragraph" w:styleId="771" w:customStyle="1">
    <w:name w:val="标题 41"/>
    <w:basedOn w:val="675"/>
    <w:next w:val="675"/>
    <w:link w:val="772"/>
    <w:uiPriority w:val="9"/>
    <w:unhideWhenUsed/>
    <w:qFormat/>
    <w:pPr>
      <w:keepLines/>
      <w:keepNext/>
      <w:spacing w:before="320" w:after="200"/>
      <w:outlineLvl w:val="3"/>
    </w:pPr>
    <w:rPr>
      <w:rFonts w:ascii="Arial" w:hAnsi="Arial" w:eastAsia="Arial"/>
      <w:b/>
      <w:bCs/>
      <w:sz w:val="26"/>
      <w:szCs w:val="26"/>
    </w:rPr>
  </w:style>
  <w:style w:type="character" w:styleId="772" w:customStyle="1">
    <w:name w:val="Heading 4 Char"/>
    <w:link w:val="771"/>
    <w:uiPriority w:val="9"/>
    <w:qFormat/>
    <w:rPr>
      <w:rFonts w:ascii="Arial" w:hAnsi="Arial" w:eastAsia="Arial" w:cs="Arial"/>
      <w:b/>
      <w:bCs/>
      <w:sz w:val="26"/>
      <w:szCs w:val="26"/>
    </w:rPr>
  </w:style>
  <w:style w:type="paragraph" w:styleId="773" w:customStyle="1">
    <w:name w:val="标题 51"/>
    <w:basedOn w:val="675"/>
    <w:next w:val="675"/>
    <w:link w:val="774"/>
    <w:uiPriority w:val="9"/>
    <w:unhideWhenUsed/>
    <w:qFormat/>
    <w:pPr>
      <w:keepLines/>
      <w:keepNext/>
      <w:spacing w:before="320" w:after="200"/>
      <w:outlineLvl w:val="4"/>
    </w:pPr>
    <w:rPr>
      <w:rFonts w:ascii="Arial" w:hAnsi="Arial" w:eastAsia="Arial"/>
      <w:b/>
      <w:bCs/>
      <w:sz w:val="24"/>
    </w:rPr>
  </w:style>
  <w:style w:type="character" w:styleId="774" w:customStyle="1">
    <w:name w:val="Heading 5 Char"/>
    <w:link w:val="773"/>
    <w:uiPriority w:val="9"/>
    <w:qFormat/>
    <w:rPr>
      <w:rFonts w:ascii="Arial" w:hAnsi="Arial" w:eastAsia="Arial" w:cs="Arial"/>
      <w:b/>
      <w:bCs/>
      <w:sz w:val="24"/>
      <w:szCs w:val="24"/>
    </w:rPr>
  </w:style>
  <w:style w:type="paragraph" w:styleId="775" w:customStyle="1">
    <w:name w:val="标题 61"/>
    <w:basedOn w:val="675"/>
    <w:next w:val="675"/>
    <w:link w:val="776"/>
    <w:uiPriority w:val="9"/>
    <w:unhideWhenUsed/>
    <w:qFormat/>
    <w:pPr>
      <w:keepLines/>
      <w:keepNext/>
      <w:spacing w:before="320" w:after="200"/>
      <w:outlineLvl w:val="5"/>
    </w:pPr>
    <w:rPr>
      <w:rFonts w:ascii="Arial" w:hAnsi="Arial" w:eastAsia="Arial"/>
      <w:b/>
      <w:bCs/>
      <w:sz w:val="22"/>
      <w:szCs w:val="22"/>
    </w:rPr>
  </w:style>
  <w:style w:type="character" w:styleId="776" w:customStyle="1">
    <w:name w:val="Heading 6 Char"/>
    <w:link w:val="775"/>
    <w:uiPriority w:val="9"/>
    <w:qFormat/>
    <w:rPr>
      <w:rFonts w:ascii="Arial" w:hAnsi="Arial" w:eastAsia="Arial" w:cs="Arial"/>
      <w:b/>
      <w:bCs/>
      <w:sz w:val="22"/>
      <w:szCs w:val="22"/>
    </w:rPr>
  </w:style>
  <w:style w:type="paragraph" w:styleId="777" w:customStyle="1">
    <w:name w:val="标题 71"/>
    <w:basedOn w:val="675"/>
    <w:next w:val="675"/>
    <w:link w:val="778"/>
    <w:uiPriority w:val="9"/>
    <w:unhideWhenUsed/>
    <w:qFormat/>
    <w:pPr>
      <w:keepLines/>
      <w:keepNext/>
      <w:spacing w:before="320" w:after="200"/>
      <w:outlineLvl w:val="6"/>
    </w:pPr>
    <w:rPr>
      <w:rFonts w:ascii="Arial" w:hAnsi="Arial" w:eastAsia="Arial"/>
      <w:b/>
      <w:bCs/>
      <w:i/>
      <w:iCs/>
      <w:sz w:val="22"/>
      <w:szCs w:val="22"/>
    </w:rPr>
  </w:style>
  <w:style w:type="character" w:styleId="778" w:customStyle="1">
    <w:name w:val="Heading 7 Char"/>
    <w:link w:val="777"/>
    <w:uiPriority w:val="9"/>
    <w:qFormat/>
    <w:rPr>
      <w:rFonts w:ascii="Arial" w:hAnsi="Arial" w:eastAsia="Arial" w:cs="Arial"/>
      <w:b/>
      <w:bCs/>
      <w:i/>
      <w:iCs/>
      <w:sz w:val="22"/>
      <w:szCs w:val="22"/>
    </w:rPr>
  </w:style>
  <w:style w:type="paragraph" w:styleId="779" w:customStyle="1">
    <w:name w:val="标题 81"/>
    <w:basedOn w:val="675"/>
    <w:next w:val="675"/>
    <w:link w:val="780"/>
    <w:uiPriority w:val="9"/>
    <w:unhideWhenUsed/>
    <w:qFormat/>
    <w:pPr>
      <w:keepLines/>
      <w:keepNext/>
      <w:spacing w:before="320" w:after="200"/>
      <w:outlineLvl w:val="7"/>
    </w:pPr>
    <w:rPr>
      <w:rFonts w:ascii="Arial" w:hAnsi="Arial" w:eastAsia="Arial"/>
      <w:i/>
      <w:iCs/>
      <w:sz w:val="22"/>
      <w:szCs w:val="22"/>
    </w:rPr>
  </w:style>
  <w:style w:type="character" w:styleId="780" w:customStyle="1">
    <w:name w:val="Heading 8 Char"/>
    <w:link w:val="779"/>
    <w:uiPriority w:val="9"/>
    <w:qFormat/>
    <w:rPr>
      <w:rFonts w:ascii="Arial" w:hAnsi="Arial" w:eastAsia="Arial" w:cs="Arial"/>
      <w:i/>
      <w:iCs/>
      <w:sz w:val="22"/>
      <w:szCs w:val="22"/>
    </w:rPr>
  </w:style>
  <w:style w:type="paragraph" w:styleId="781" w:customStyle="1">
    <w:name w:val="标题 91"/>
    <w:basedOn w:val="675"/>
    <w:next w:val="675"/>
    <w:link w:val="782"/>
    <w:uiPriority w:val="9"/>
    <w:unhideWhenUsed/>
    <w:qFormat/>
    <w:pPr>
      <w:keepLines/>
      <w:keepNext/>
      <w:spacing w:before="320" w:after="200"/>
      <w:outlineLvl w:val="8"/>
    </w:pPr>
    <w:rPr>
      <w:rFonts w:ascii="Arial" w:hAnsi="Arial" w:eastAsia="Arial"/>
      <w:i/>
      <w:iCs/>
      <w:szCs w:val="21"/>
    </w:rPr>
  </w:style>
  <w:style w:type="character" w:styleId="782" w:customStyle="1">
    <w:name w:val="Heading 9 Char"/>
    <w:link w:val="781"/>
    <w:uiPriority w:val="9"/>
    <w:qFormat/>
    <w:rPr>
      <w:rFonts w:ascii="Arial" w:hAnsi="Arial" w:eastAsia="Arial" w:cs="Arial"/>
      <w:i/>
      <w:iCs/>
      <w:sz w:val="21"/>
      <w:szCs w:val="21"/>
    </w:rPr>
  </w:style>
  <w:style w:type="paragraph" w:styleId="783">
    <w:name w:val="No Spacing"/>
    <w:uiPriority w:val="1"/>
    <w:qFormat/>
    <w:rPr>
      <w:rFonts w:hint="default" w:ascii="Times New Roman" w:hAnsi="Times New Roman" w:eastAsia="宋体" w:cs="Times New Roman"/>
      <w:lang w:val="en-US" w:eastAsia="zh-CN" w:bidi="ar-SA"/>
    </w:rPr>
  </w:style>
  <w:style w:type="character" w:styleId="784" w:customStyle="1">
    <w:name w:val="标题 字符"/>
    <w:link w:val="718"/>
    <w:uiPriority w:val="10"/>
    <w:qFormat/>
    <w:rPr>
      <w:sz w:val="48"/>
      <w:szCs w:val="48"/>
    </w:rPr>
  </w:style>
  <w:style w:type="character" w:styleId="785" w:customStyle="1">
    <w:name w:val="副标题 字符"/>
    <w:link w:val="710"/>
    <w:uiPriority w:val="11"/>
    <w:qFormat/>
    <w:rPr>
      <w:sz w:val="24"/>
      <w:szCs w:val="24"/>
    </w:rPr>
  </w:style>
  <w:style w:type="paragraph" w:styleId="786">
    <w:name w:val="Quote"/>
    <w:basedOn w:val="675"/>
    <w:next w:val="675"/>
    <w:link w:val="787"/>
    <w:uiPriority w:val="29"/>
    <w:qFormat/>
    <w:pPr>
      <w:ind w:left="720" w:right="720"/>
    </w:pPr>
    <w:rPr>
      <w:i/>
      <w:sz w:val="20"/>
      <w:szCs w:val="20"/>
    </w:rPr>
  </w:style>
  <w:style w:type="character" w:styleId="787" w:customStyle="1">
    <w:name w:val="引用 字符"/>
    <w:link w:val="786"/>
    <w:uiPriority w:val="29"/>
    <w:qFormat/>
    <w:rPr>
      <w:i/>
    </w:rPr>
  </w:style>
  <w:style w:type="paragraph" w:styleId="788">
    <w:name w:val="Intense Quote"/>
    <w:basedOn w:val="675"/>
    <w:next w:val="675"/>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9" w:customStyle="1">
    <w:name w:val="明显引用 字符"/>
    <w:link w:val="788"/>
    <w:uiPriority w:val="30"/>
    <w:qFormat/>
    <w:rPr>
      <w:i/>
    </w:rPr>
  </w:style>
  <w:style w:type="paragraph" w:styleId="790" w:customStyle="1">
    <w:name w:val="页眉1"/>
    <w:basedOn w:val="675"/>
    <w:link w:val="791"/>
    <w:uiPriority w:val="99"/>
    <w:unhideWhenUsed/>
    <w:qFormat/>
    <w:pPr>
      <w:tabs>
        <w:tab w:val="center" w:pos="7143" w:leader="none"/>
        <w:tab w:val="right" w:pos="14287" w:leader="none"/>
      </w:tabs>
    </w:pPr>
  </w:style>
  <w:style w:type="character" w:styleId="791" w:customStyle="1">
    <w:name w:val="Header Char"/>
    <w:link w:val="790"/>
    <w:uiPriority w:val="99"/>
    <w:qFormat/>
  </w:style>
  <w:style w:type="paragraph" w:styleId="792" w:customStyle="1">
    <w:name w:val="页脚1"/>
    <w:basedOn w:val="675"/>
    <w:link w:val="795"/>
    <w:uiPriority w:val="99"/>
    <w:unhideWhenUsed/>
    <w:qFormat/>
    <w:pPr>
      <w:tabs>
        <w:tab w:val="center" w:pos="7143" w:leader="none"/>
        <w:tab w:val="right" w:pos="14287" w:leader="none"/>
      </w:tabs>
    </w:pPr>
  </w:style>
  <w:style w:type="character" w:styleId="793" w:customStyle="1">
    <w:name w:val="Footer Char"/>
    <w:uiPriority w:val="99"/>
    <w:qFormat/>
  </w:style>
  <w:style w:type="paragraph" w:styleId="794" w:customStyle="1">
    <w:name w:val="题注1"/>
    <w:basedOn w:val="675"/>
    <w:next w:val="675"/>
    <w:uiPriority w:val="35"/>
    <w:semiHidden/>
    <w:unhideWhenUsed/>
    <w:qFormat/>
    <w:pPr>
      <w:spacing w:line="276" w:lineRule="auto"/>
    </w:pPr>
    <w:rPr>
      <w:b/>
      <w:bCs/>
      <w:color w:val="4f81bd"/>
      <w:sz w:val="18"/>
      <w:szCs w:val="18"/>
    </w:rPr>
  </w:style>
  <w:style w:type="character" w:styleId="795" w:customStyle="1">
    <w:name w:val="Caption Char"/>
    <w:link w:val="792"/>
    <w:uiPriority w:val="99"/>
    <w:qFormat/>
  </w:style>
  <w:style w:type="table" w:styleId="7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9" w:customStyle="1">
    <w:name w:val="无格式表格 31"/>
    <w:uiPriority w:val="99"/>
    <w:qFormat/>
    <w:tblPr>
      <w:tblCellMar>
        <w:left w:w="0" w:type="dxa"/>
        <w:top w:w="0" w:type="dxa"/>
        <w:right w:w="0" w:type="dxa"/>
        <w:bottom w:w="0" w:type="dxa"/>
      </w:tblCellMar>
    </w:tblPr>
  </w:style>
  <w:style w:type="table" w:styleId="800" w:customStyle="1">
    <w:name w:val="无格式表格 41"/>
    <w:uiPriority w:val="99"/>
    <w:qFormat/>
    <w:tblPr>
      <w:tblCellMar>
        <w:left w:w="0" w:type="dxa"/>
        <w:top w:w="0" w:type="dxa"/>
        <w:right w:w="0" w:type="dxa"/>
        <w:bottom w:w="0" w:type="dxa"/>
      </w:tblCellMar>
    </w:tblPr>
  </w:style>
  <w:style w:type="table" w:styleId="801" w:customStyle="1">
    <w:name w:val="无格式表格 51"/>
    <w:uiPriority w:val="99"/>
    <w:qFormat/>
    <w:tblPr>
      <w:tblCellMar>
        <w:left w:w="0" w:type="dxa"/>
        <w:top w:w="0" w:type="dxa"/>
        <w:right w:w="0" w:type="dxa"/>
        <w:bottom w:w="0" w:type="dxa"/>
      </w:tblCellMar>
    </w:tblPr>
  </w:style>
  <w:style w:type="table" w:styleId="8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清单表 1 浅色1"/>
    <w:uiPriority w:val="99"/>
    <w:qFormat/>
    <w:tblPr>
      <w:tblCellMar>
        <w:left w:w="0" w:type="dxa"/>
        <w:top w:w="0" w:type="dxa"/>
        <w:right w:w="0" w:type="dxa"/>
        <w:bottom w:w="0" w:type="dxa"/>
      </w:tblCellMar>
    </w:tblPr>
  </w:style>
  <w:style w:type="table" w:styleId="852" w:customStyle="1">
    <w:name w:val="List Table 1 Light - Accent 1"/>
    <w:uiPriority w:val="99"/>
    <w:qFormat/>
    <w:tblPr>
      <w:tblCellMar>
        <w:left w:w="0" w:type="dxa"/>
        <w:top w:w="0" w:type="dxa"/>
        <w:right w:w="0" w:type="dxa"/>
        <w:bottom w:w="0" w:type="dxa"/>
      </w:tblCellMar>
    </w:tblPr>
  </w:style>
  <w:style w:type="table" w:styleId="853" w:customStyle="1">
    <w:name w:val="List Table 1 Light - Accent 2"/>
    <w:uiPriority w:val="99"/>
    <w:qFormat/>
    <w:tblPr>
      <w:tblCellMar>
        <w:left w:w="0" w:type="dxa"/>
        <w:top w:w="0" w:type="dxa"/>
        <w:right w:w="0" w:type="dxa"/>
        <w:bottom w:w="0" w:type="dxa"/>
      </w:tblCellMar>
    </w:tblPr>
  </w:style>
  <w:style w:type="table" w:styleId="854" w:customStyle="1">
    <w:name w:val="List Table 1 Light - Accent 3"/>
    <w:uiPriority w:val="99"/>
    <w:qFormat/>
    <w:tblPr>
      <w:tblCellMar>
        <w:left w:w="0" w:type="dxa"/>
        <w:top w:w="0" w:type="dxa"/>
        <w:right w:w="0" w:type="dxa"/>
        <w:bottom w:w="0" w:type="dxa"/>
      </w:tblCellMar>
    </w:tblPr>
  </w:style>
  <w:style w:type="table" w:styleId="855" w:customStyle="1">
    <w:name w:val="List Table 1 Light - Accent 4"/>
    <w:uiPriority w:val="99"/>
    <w:qFormat/>
    <w:tblPr>
      <w:tblCellMar>
        <w:left w:w="0" w:type="dxa"/>
        <w:top w:w="0" w:type="dxa"/>
        <w:right w:w="0" w:type="dxa"/>
        <w:bottom w:w="0" w:type="dxa"/>
      </w:tblCellMar>
    </w:tblPr>
  </w:style>
  <w:style w:type="table" w:styleId="856" w:customStyle="1">
    <w:name w:val="List Table 1 Light - Accent 5"/>
    <w:uiPriority w:val="99"/>
    <w:qFormat/>
    <w:tblPr>
      <w:tblCellMar>
        <w:left w:w="0" w:type="dxa"/>
        <w:top w:w="0" w:type="dxa"/>
        <w:right w:w="0" w:type="dxa"/>
        <w:bottom w:w="0" w:type="dxa"/>
      </w:tblCellMar>
    </w:tblPr>
  </w:style>
  <w:style w:type="table" w:styleId="857" w:customStyle="1">
    <w:name w:val="List Table 1 Light - Accent 6"/>
    <w:uiPriority w:val="99"/>
    <w:qFormat/>
    <w:tblPr>
      <w:tblCellMar>
        <w:left w:w="0" w:type="dxa"/>
        <w:top w:w="0" w:type="dxa"/>
        <w:right w:w="0" w:type="dxa"/>
        <w:bottom w:w="0" w:type="dxa"/>
      </w:tblCellMar>
    </w:tblPr>
  </w:style>
  <w:style w:type="table" w:styleId="8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0" w:customStyle="1">
    <w:name w:val="Lined - Accent"/>
    <w:uiPriority w:val="99"/>
    <w:qFormat/>
    <w:rPr>
      <w:color w:val="404040"/>
    </w:rPr>
    <w:tblPr>
      <w:tblCellMar>
        <w:left w:w="0" w:type="dxa"/>
        <w:top w:w="0" w:type="dxa"/>
        <w:right w:w="0" w:type="dxa"/>
        <w:bottom w:w="0" w:type="dxa"/>
      </w:tblCellMar>
    </w:tblPr>
  </w:style>
  <w:style w:type="table" w:styleId="901" w:customStyle="1">
    <w:name w:val="Lined - Accent 1"/>
    <w:uiPriority w:val="99"/>
    <w:qFormat/>
    <w:rPr>
      <w:color w:val="404040"/>
    </w:rPr>
    <w:tblPr>
      <w:tblCellMar>
        <w:left w:w="0" w:type="dxa"/>
        <w:top w:w="0" w:type="dxa"/>
        <w:right w:w="0" w:type="dxa"/>
        <w:bottom w:w="0" w:type="dxa"/>
      </w:tblCellMar>
    </w:tblPr>
  </w:style>
  <w:style w:type="table" w:styleId="902" w:customStyle="1">
    <w:name w:val="Lined - Accent 2"/>
    <w:uiPriority w:val="99"/>
    <w:qFormat/>
    <w:rPr>
      <w:color w:val="404040"/>
    </w:rPr>
    <w:tblPr>
      <w:tblCellMar>
        <w:left w:w="0" w:type="dxa"/>
        <w:top w:w="0" w:type="dxa"/>
        <w:right w:w="0" w:type="dxa"/>
        <w:bottom w:w="0" w:type="dxa"/>
      </w:tblCellMar>
    </w:tblPr>
  </w:style>
  <w:style w:type="table" w:styleId="903" w:customStyle="1">
    <w:name w:val="Lined - Accent 3"/>
    <w:uiPriority w:val="99"/>
    <w:qFormat/>
    <w:rPr>
      <w:color w:val="404040"/>
    </w:rPr>
    <w:tblPr>
      <w:tblCellMar>
        <w:left w:w="0" w:type="dxa"/>
        <w:top w:w="0" w:type="dxa"/>
        <w:right w:w="0" w:type="dxa"/>
        <w:bottom w:w="0" w:type="dxa"/>
      </w:tblCellMar>
    </w:tblPr>
  </w:style>
  <w:style w:type="table" w:styleId="904" w:customStyle="1">
    <w:name w:val="Lined - Accent 4"/>
    <w:uiPriority w:val="99"/>
    <w:qFormat/>
    <w:rPr>
      <w:color w:val="404040"/>
    </w:rPr>
    <w:tblPr>
      <w:tblCellMar>
        <w:left w:w="0" w:type="dxa"/>
        <w:top w:w="0" w:type="dxa"/>
        <w:right w:w="0" w:type="dxa"/>
        <w:bottom w:w="0" w:type="dxa"/>
      </w:tblCellMar>
    </w:tblPr>
  </w:style>
  <w:style w:type="table" w:styleId="905" w:customStyle="1">
    <w:name w:val="Lined - Accent 5"/>
    <w:uiPriority w:val="99"/>
    <w:qFormat/>
    <w:rPr>
      <w:color w:val="404040"/>
    </w:rPr>
    <w:tblPr>
      <w:tblCellMar>
        <w:left w:w="0" w:type="dxa"/>
        <w:top w:w="0" w:type="dxa"/>
        <w:right w:w="0" w:type="dxa"/>
        <w:bottom w:w="0" w:type="dxa"/>
      </w:tblCellMar>
    </w:tblPr>
  </w:style>
  <w:style w:type="table" w:styleId="906" w:customStyle="1">
    <w:name w:val="Lined - Accent 6"/>
    <w:uiPriority w:val="99"/>
    <w:qFormat/>
    <w:rPr>
      <w:color w:val="404040"/>
    </w:rPr>
    <w:tblPr>
      <w:tblCellMar>
        <w:left w:w="0" w:type="dxa"/>
        <w:top w:w="0" w:type="dxa"/>
        <w:right w:w="0" w:type="dxa"/>
        <w:bottom w:w="0" w:type="dxa"/>
      </w:tblCellMar>
    </w:tblPr>
  </w:style>
  <w:style w:type="table" w:styleId="9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1" w:customStyle="1">
    <w:name w:val="脚注文本 字符"/>
    <w:link w:val="711"/>
    <w:uiPriority w:val="99"/>
    <w:qFormat/>
    <w:rPr>
      <w:sz w:val="18"/>
    </w:rPr>
  </w:style>
  <w:style w:type="character" w:styleId="922" w:customStyle="1">
    <w:name w:val="尾注文本 字符"/>
    <w:link w:val="705"/>
    <w:uiPriority w:val="99"/>
    <w:qFormat/>
    <w:rPr>
      <w:sz w:val="20"/>
    </w:rPr>
  </w:style>
  <w:style w:type="paragraph" w:styleId="923" w:customStyle="1">
    <w:name w:val="TOC 标题11"/>
    <w:uiPriority w:val="39"/>
    <w:unhideWhenUsed/>
    <w:qFormat/>
    <w:rPr>
      <w:rFonts w:hint="default" w:ascii="Times New Roman" w:hAnsi="Times New Roman" w:eastAsia="宋体" w:cs="Times New Roman"/>
      <w:lang w:val="en-US" w:eastAsia="zh-CN" w:bidi="ar-SA"/>
    </w:rPr>
  </w:style>
  <w:style w:type="character" w:styleId="924" w:customStyle="1">
    <w:name w:val="正文缩进 字符"/>
    <w:link w:val="691"/>
    <w:uiPriority w:val="0"/>
    <w:qFormat/>
    <w:rPr>
      <w:sz w:val="21"/>
    </w:rPr>
  </w:style>
  <w:style w:type="character" w:styleId="925" w:customStyle="1">
    <w:name w:val="标题 4 字符"/>
    <w:link w:val="679"/>
    <w:uiPriority w:val="9"/>
    <w:qFormat/>
    <w:rPr>
      <w:rFonts w:ascii="Cambria" w:hAnsi="Cambria"/>
      <w:b/>
      <w:bCs/>
      <w:sz w:val="28"/>
      <w:szCs w:val="28"/>
    </w:rPr>
  </w:style>
  <w:style w:type="character" w:styleId="926" w:customStyle="1">
    <w:name w:val="标题 5 字符"/>
    <w:link w:val="680"/>
    <w:uiPriority w:val="9"/>
    <w:qFormat/>
    <w:rPr>
      <w:b/>
      <w:bCs/>
      <w:sz w:val="28"/>
      <w:szCs w:val="28"/>
    </w:rPr>
  </w:style>
  <w:style w:type="character" w:styleId="927" w:customStyle="1">
    <w:name w:val="批注文字 字符"/>
    <w:link w:val="696"/>
    <w:uiPriority w:val="99"/>
    <w:qFormat/>
    <w:rPr>
      <w:sz w:val="21"/>
      <w:szCs w:val="24"/>
    </w:rPr>
  </w:style>
  <w:style w:type="character" w:styleId="928" w:customStyle="1">
    <w:name w:val="纯文本 字符"/>
    <w:link w:val="702"/>
    <w:uiPriority w:val="99"/>
    <w:qFormat/>
    <w:rPr>
      <w:rFonts w:ascii="宋体" w:hAnsi="Courier New" w:eastAsia="宋体"/>
      <w:sz w:val="21"/>
      <w:lang w:val="en-US" w:eastAsia="zh-CN" w:bidi="ar-SA"/>
    </w:rPr>
  </w:style>
  <w:style w:type="character" w:styleId="929" w:customStyle="1">
    <w:name w:val="批注框文本 字符"/>
    <w:link w:val="706"/>
    <w:uiPriority w:val="0"/>
    <w:qFormat/>
    <w:rPr>
      <w:sz w:val="18"/>
      <w:szCs w:val="18"/>
    </w:rPr>
  </w:style>
  <w:style w:type="character" w:styleId="930" w:customStyle="1">
    <w:name w:val="页脚 字符"/>
    <w:link w:val="707"/>
    <w:uiPriority w:val="99"/>
    <w:qFormat/>
    <w:rPr>
      <w:sz w:val="18"/>
      <w:szCs w:val="18"/>
    </w:rPr>
  </w:style>
  <w:style w:type="character" w:styleId="931" w:customStyle="1">
    <w:name w:val="页眉 字符"/>
    <w:link w:val="708"/>
    <w:uiPriority w:val="0"/>
    <w:qFormat/>
    <w:rPr>
      <w:sz w:val="18"/>
      <w:szCs w:val="18"/>
    </w:rPr>
  </w:style>
  <w:style w:type="character" w:styleId="932" w:customStyle="1">
    <w:name w:val="正文文本 2 字符"/>
    <w:link w:val="716"/>
    <w:uiPriority w:val="0"/>
    <w:qFormat/>
    <w:rPr>
      <w:rFonts w:ascii="楷体_GB2312" w:eastAsia="楷体_GB2312"/>
      <w:sz w:val="28"/>
      <w:szCs w:val="24"/>
    </w:rPr>
  </w:style>
  <w:style w:type="character" w:styleId="933" w:customStyle="1">
    <w:name w:val="批注主题 字符"/>
    <w:link w:val="719"/>
    <w:uiPriority w:val="0"/>
    <w:qFormat/>
    <w:rPr>
      <w:b/>
      <w:bCs/>
      <w:sz w:val="21"/>
      <w:szCs w:val="24"/>
    </w:rPr>
  </w:style>
  <w:style w:type="character" w:styleId="934" w:customStyle="1">
    <w:name w:val="Font Style30"/>
    <w:uiPriority w:val="0"/>
    <w:qFormat/>
    <w:rPr>
      <w:rFonts w:ascii="宋体" w:eastAsia="宋体" w:cs="宋体"/>
      <w:sz w:val="14"/>
      <w:szCs w:val="14"/>
    </w:rPr>
  </w:style>
  <w:style w:type="character" w:styleId="935" w:customStyle="1">
    <w:name w:val="glyphicon"/>
    <w:uiPriority w:val="0"/>
    <w:qFormat/>
  </w:style>
  <w:style w:type="character" w:styleId="936" w:customStyle="1">
    <w:name w:val="Font Style36"/>
    <w:uiPriority w:val="0"/>
    <w:qFormat/>
    <w:rPr>
      <w:rFonts w:ascii="宋体" w:eastAsia="宋体" w:cs="宋体"/>
      <w:sz w:val="16"/>
      <w:szCs w:val="16"/>
    </w:rPr>
  </w:style>
  <w:style w:type="character" w:styleId="937" w:customStyle="1">
    <w:name w:val="hour_am"/>
    <w:uiPriority w:val="0"/>
    <w:qFormat/>
  </w:style>
  <w:style w:type="character" w:styleId="938" w:customStyle="1">
    <w:name w:val="old"/>
    <w:uiPriority w:val="0"/>
    <w:qFormat/>
    <w:rPr>
      <w:color w:val="999999"/>
    </w:rPr>
  </w:style>
  <w:style w:type="character" w:styleId="939" w:customStyle="1">
    <w:name w:val="标题 2 Char"/>
    <w:uiPriority w:val="0"/>
    <w:qFormat/>
    <w:rPr>
      <w:rFonts w:ascii="Arial" w:hAnsi="Arial" w:eastAsia="黑体"/>
      <w:b/>
      <w:sz w:val="32"/>
      <w:lang w:val="en-US" w:eastAsia="zh-CN"/>
    </w:rPr>
  </w:style>
  <w:style w:type="character" w:styleId="940" w:customStyle="1">
    <w:name w:val="hover"/>
    <w:uiPriority w:val="0"/>
    <w:qFormat/>
    <w:rPr>
      <w:shd w:val="clear" w:color="auto" w:fill="eeeeee"/>
    </w:rPr>
  </w:style>
  <w:style w:type="character" w:styleId="941" w:customStyle="1">
    <w:name w:val="hour_pm"/>
    <w:uiPriority w:val="0"/>
    <w:qFormat/>
  </w:style>
  <w:style w:type="character" w:styleId="942" w:customStyle="1">
    <w:name w:val="Font Style28"/>
    <w:uiPriority w:val="0"/>
    <w:qFormat/>
    <w:rPr>
      <w:rFonts w:ascii="Constantia" w:hAnsi="Constantia" w:cs="Constantia"/>
      <w:sz w:val="28"/>
      <w:szCs w:val="28"/>
    </w:rPr>
  </w:style>
  <w:style w:type="character" w:styleId="943" w:customStyle="1">
    <w:name w:val="Font Style29"/>
    <w:uiPriority w:val="0"/>
    <w:qFormat/>
    <w:rPr>
      <w:rFonts w:ascii="Arial" w:hAnsi="Arial" w:cs="Arial"/>
      <w:sz w:val="14"/>
      <w:szCs w:val="14"/>
    </w:rPr>
  </w:style>
  <w:style w:type="character" w:styleId="944" w:customStyle="1">
    <w:name w:val="Font Style37"/>
    <w:uiPriority w:val="0"/>
    <w:qFormat/>
    <w:rPr>
      <w:rFonts w:ascii="Arial" w:hAnsi="Arial" w:cs="Arial"/>
      <w:sz w:val="16"/>
      <w:szCs w:val="16"/>
    </w:rPr>
  </w:style>
  <w:style w:type="character" w:styleId="945" w:customStyle="1">
    <w:name w:val="Plain Text Char"/>
    <w:uiPriority w:val="0"/>
    <w:qFormat/>
    <w:rPr>
      <w:rFonts w:ascii="宋体" w:hAnsi="Courier New" w:eastAsia="宋体"/>
      <w:sz w:val="21"/>
      <w:lang w:val="en-US" w:eastAsia="zh-CN" w:bidi="ar-SA"/>
    </w:rPr>
  </w:style>
  <w:style w:type="paragraph" w:styleId="94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7" w:customStyle="1">
    <w:name w:val="默认段落字体 Para Char Char Char Char Char Char Char Char Char1 Char Char Char Char Char Char Char"/>
    <w:basedOn w:val="694"/>
    <w:uiPriority w:val="0"/>
    <w:qFormat/>
    <w:rPr>
      <w:rFonts w:ascii="Tahoma" w:hAnsi="Tahoma"/>
      <w:sz w:val="24"/>
    </w:rPr>
  </w:style>
  <w:style w:type="paragraph" w:styleId="948" w:customStyle="1">
    <w:name w:val="Style9"/>
    <w:basedOn w:val="675"/>
    <w:uiPriority w:val="0"/>
    <w:qFormat/>
    <w:pPr>
      <w:jc w:val="left"/>
    </w:pPr>
    <w:rPr>
      <w:rFonts w:ascii="宋体"/>
      <w:sz w:val="24"/>
    </w:rPr>
  </w:style>
  <w:style w:type="paragraph" w:styleId="949" w:customStyle="1">
    <w:name w:val="Char"/>
    <w:basedOn w:val="675"/>
    <w:uiPriority w:val="0"/>
    <w:qFormat/>
    <w:pPr>
      <w:tabs>
        <w:tab w:val="left" w:pos="360" w:leader="none"/>
      </w:tabs>
    </w:pPr>
    <w:rPr>
      <w:sz w:val="24"/>
    </w:rPr>
  </w:style>
  <w:style w:type="paragraph" w:styleId="950" w:customStyle="1">
    <w:name w:val="Char Char Char1 Char Char Char Char"/>
    <w:basedOn w:val="675"/>
    <w:uiPriority w:val="0"/>
    <w:qFormat/>
    <w:pPr>
      <w:jc w:val="left"/>
      <w:spacing w:after="160" w:line="240" w:lineRule="exact"/>
      <w:widowControl/>
    </w:pPr>
    <w:rPr>
      <w:rFonts w:ascii="宋体" w:hAnsi="宋体"/>
      <w:b/>
      <w:sz w:val="28"/>
      <w:szCs w:val="28"/>
    </w:rPr>
  </w:style>
  <w:style w:type="paragraph" w:styleId="951" w:customStyle="1">
    <w:name w:val="Style10"/>
    <w:basedOn w:val="675"/>
    <w:uiPriority w:val="0"/>
    <w:qFormat/>
    <w:pPr>
      <w:jc w:val="left"/>
    </w:pPr>
    <w:rPr>
      <w:rFonts w:ascii="宋体"/>
      <w:sz w:val="24"/>
    </w:rPr>
  </w:style>
  <w:style w:type="paragraph" w:styleId="952" w:customStyle="1">
    <w:name w:val="首行缩进"/>
    <w:basedOn w:val="675"/>
    <w:uiPriority w:val="0"/>
    <w:qFormat/>
    <w:pPr>
      <w:ind w:firstLine="420"/>
      <w:spacing w:line="360" w:lineRule="auto"/>
    </w:pPr>
    <w:rPr>
      <w:sz w:val="20"/>
    </w:rPr>
  </w:style>
  <w:style w:type="paragraph" w:styleId="953" w:customStyle="1">
    <w:name w:val="普通正文"/>
    <w:basedOn w:val="675"/>
    <w:uiPriority w:val="0"/>
    <w:qFormat/>
    <w:pPr>
      <w:ind w:firstLine="480"/>
      <w:jc w:val="left"/>
      <w:spacing w:before="120" w:after="120" w:line="360" w:lineRule="auto"/>
    </w:pPr>
    <w:rPr>
      <w:rFonts w:ascii="Arial" w:hAnsi="Arial"/>
      <w:sz w:val="24"/>
    </w:rPr>
  </w:style>
  <w:style w:type="paragraph" w:styleId="954" w:customStyle="1">
    <w:name w:val="要点标题"/>
    <w:basedOn w:val="675"/>
    <w:uiPriority w:val="0"/>
    <w:qFormat/>
    <w:pPr>
      <w:numPr>
        <w:ilvl w:val="0"/>
        <w:numId w:val="1"/>
      </w:numPr>
      <w:jc w:val="left"/>
    </w:pPr>
    <w:rPr>
      <w:rFonts w:ascii="宋体" w:hAnsi="宋体"/>
      <w:b/>
      <w:sz w:val="24"/>
    </w:rPr>
  </w:style>
  <w:style w:type="paragraph" w:styleId="955" w:customStyle="1">
    <w:name w:val="文档正文"/>
    <w:basedOn w:val="675"/>
    <w:uiPriority w:val="0"/>
    <w:qFormat/>
    <w:pPr>
      <w:ind w:firstLine="567"/>
      <w:spacing w:line="480" w:lineRule="atLeast"/>
    </w:pPr>
    <w:rPr>
      <w:rFonts w:ascii="仿宋_GB2312"/>
      <w:szCs w:val="20"/>
    </w:rPr>
  </w:style>
  <w:style w:type="paragraph" w:styleId="956" w:customStyle="1">
    <w:name w:val="Char Char Char Char"/>
    <w:basedOn w:val="694"/>
    <w:uiPriority w:val="0"/>
    <w:qFormat/>
    <w:pPr>
      <w:spacing w:line="360" w:lineRule="auto"/>
    </w:pPr>
    <w:rPr>
      <w:rFonts w:ascii="Tahoma" w:hAnsi="Tahoma"/>
      <w:sz w:val="24"/>
    </w:rPr>
  </w:style>
  <w:style w:type="paragraph" w:styleId="957" w:customStyle="1">
    <w:name w:val="Char11"/>
    <w:basedOn w:val="675"/>
    <w:uiPriority w:val="0"/>
    <w:qFormat/>
    <w:pPr>
      <w:ind w:left="420" w:hanging="420"/>
      <w:jc w:val="left"/>
      <w:tabs>
        <w:tab w:val="left" w:pos="420" w:leader="none"/>
      </w:tabs>
    </w:pPr>
    <w:rPr>
      <w:szCs w:val="20"/>
    </w:rPr>
  </w:style>
  <w:style w:type="paragraph" w:styleId="958" w:customStyle="1">
    <w:name w:val="正文（无缩进）"/>
    <w:basedOn w:val="675"/>
    <w:uiPriority w:val="0"/>
    <w:qFormat/>
    <w:pPr>
      <w:spacing w:line="360" w:lineRule="auto"/>
    </w:pPr>
    <w:rPr>
      <w:rFonts w:ascii="Calibri" w:hAnsi="Calibri"/>
      <w:sz w:val="24"/>
      <w:szCs w:val="21"/>
    </w:rPr>
  </w:style>
  <w:style w:type="paragraph" w:styleId="959" w:customStyle="1">
    <w:name w:val="Style11"/>
    <w:basedOn w:val="675"/>
    <w:uiPriority w:val="0"/>
    <w:qFormat/>
    <w:pPr>
      <w:jc w:val="left"/>
      <w:spacing w:line="446" w:lineRule="exact"/>
    </w:pPr>
    <w:rPr>
      <w:rFonts w:ascii="宋体"/>
      <w:sz w:val="24"/>
    </w:rPr>
  </w:style>
  <w:style w:type="paragraph" w:styleId="960" w:customStyle="1">
    <w:name w:val="样式1"/>
    <w:basedOn w:val="675"/>
    <w:uiPriority w:val="0"/>
    <w:qFormat/>
    <w:pPr>
      <w:numPr>
        <w:ilvl w:val="0"/>
        <w:numId w:val="2"/>
      </w:numPr>
      <w:tabs>
        <w:tab w:val="left" w:pos="1110" w:leader="none"/>
      </w:tabs>
    </w:pPr>
    <w:rPr>
      <w:rFonts w:ascii="宋体" w:hAnsi="宋体"/>
      <w:szCs w:val="21"/>
    </w:rPr>
  </w:style>
  <w:style w:type="paragraph" w:styleId="961" w:customStyle="1">
    <w:name w:val="_Style 56"/>
    <w:basedOn w:val="694"/>
    <w:uiPriority w:val="0"/>
    <w:qFormat/>
    <w:pPr>
      <w:spacing w:line="436" w:lineRule="exact"/>
    </w:pPr>
    <w:rPr>
      <w:szCs w:val="20"/>
    </w:rPr>
  </w:style>
  <w:style w:type="paragraph" w:styleId="962" w:customStyle="1">
    <w:name w:val="Char Char1 Char Char Char Char Char Char"/>
    <w:basedOn w:val="675"/>
    <w:uiPriority w:val="0"/>
    <w:qFormat/>
    <w:pPr>
      <w:jc w:val="center"/>
      <w:widowControl/>
    </w:pPr>
    <w:rPr>
      <w:rFonts w:ascii="宋体" w:hAnsi="宋体"/>
      <w:b/>
      <w:sz w:val="24"/>
      <w:lang w:eastAsia="en-US"/>
    </w:rPr>
  </w:style>
  <w:style w:type="paragraph" w:styleId="963" w:customStyle="1">
    <w:name w:val="Char1"/>
    <w:basedOn w:val="675"/>
    <w:uiPriority w:val="0"/>
    <w:qFormat/>
    <w:pPr>
      <w:ind w:left="840" w:hanging="420"/>
      <w:tabs>
        <w:tab w:val="left" w:pos="840" w:leader="none"/>
      </w:tabs>
    </w:pPr>
    <w:rPr>
      <w:sz w:val="24"/>
    </w:rPr>
  </w:style>
  <w:style w:type="paragraph" w:styleId="964" w:customStyle="1">
    <w:name w:val="我的样式"/>
    <w:basedOn w:val="676"/>
    <w:next w:val="675"/>
    <w:uiPriority w:val="0"/>
    <w:qFormat/>
    <w:pPr>
      <w:numPr>
        <w:ilvl w:val="0"/>
        <w:numId w:val="3"/>
      </w:numPr>
      <w:spacing w:line="360" w:lineRule="auto"/>
    </w:pPr>
    <w:rPr>
      <w:rFonts w:ascii="仿宋_GB2312" w:eastAsia="仿宋_GB2312"/>
      <w:sz w:val="32"/>
      <w:szCs w:val="30"/>
    </w:rPr>
  </w:style>
  <w:style w:type="paragraph" w:styleId="965"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6" w:customStyle="1">
    <w:name w:val="Char Char Char Char Char Char Char Char Char Char Char Char Char"/>
    <w:basedOn w:val="675"/>
    <w:uiPriority w:val="0"/>
    <w:qFormat/>
    <w:pPr>
      <w:jc w:val="left"/>
      <w:spacing w:after="160" w:line="240" w:lineRule="exact"/>
      <w:widowControl/>
    </w:pPr>
    <w:rPr>
      <w:rFonts w:ascii="Verdana" w:hAnsi="Verdana"/>
      <w:sz w:val="20"/>
      <w:szCs w:val="20"/>
      <w:lang w:eastAsia="en-US"/>
    </w:rPr>
  </w:style>
  <w:style w:type="paragraph" w:styleId="967" w:customStyle="1">
    <w:name w:val="标题1"/>
    <w:basedOn w:val="676"/>
    <w:next w:val="675"/>
    <w:uiPriority w:val="0"/>
    <w:qFormat/>
    <w:pPr>
      <w:ind w:left="432" w:firstLine="288"/>
      <w:jc w:val="left"/>
      <w:spacing w:line="578" w:lineRule="atLeast"/>
    </w:pPr>
  </w:style>
  <w:style w:type="paragraph" w:styleId="968" w:customStyle="1">
    <w:name w:val="正文（缩进） Char1"/>
    <w:basedOn w:val="675"/>
    <w:uiPriority w:val="0"/>
    <w:qFormat/>
    <w:pPr>
      <w:ind w:firstLine="480"/>
      <w:spacing w:before="156" w:after="156" w:line="360" w:lineRule="auto"/>
    </w:pPr>
    <w:rPr>
      <w:sz w:val="24"/>
    </w:rPr>
  </w:style>
  <w:style w:type="paragraph" w:styleId="96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70" w:customStyle="1">
    <w:name w:val="Style12"/>
    <w:basedOn w:val="675"/>
    <w:uiPriority w:val="0"/>
    <w:qFormat/>
    <w:pPr>
      <w:jc w:val="left"/>
    </w:pPr>
    <w:rPr>
      <w:rFonts w:ascii="宋体"/>
      <w:sz w:val="24"/>
    </w:rPr>
  </w:style>
  <w:style w:type="paragraph" w:styleId="971" w:customStyle="1">
    <w:name w:val="纯文本1"/>
    <w:basedOn w:val="675"/>
    <w:uiPriority w:val="0"/>
    <w:qFormat/>
    <w:rPr>
      <w:rFonts w:ascii="宋体" w:hAnsi="Courier New"/>
      <w:szCs w:val="20"/>
    </w:rPr>
  </w:style>
  <w:style w:type="paragraph" w:styleId="972" w:customStyle="1">
    <w:name w:val="标题 211"/>
    <w:basedOn w:val="973"/>
    <w:next w:val="974"/>
    <w:uiPriority w:val="9"/>
    <w:qFormat/>
    <w:pPr>
      <w:keepLines/>
      <w:keepNext/>
      <w:spacing w:before="260" w:after="260" w:line="413" w:lineRule="auto"/>
      <w:outlineLvl w:val="1"/>
    </w:pPr>
    <w:rPr>
      <w:rFonts w:ascii="Arial" w:hAnsi="Arial" w:eastAsia="黑体"/>
      <w:b/>
      <w:sz w:val="32"/>
      <w:szCs w:val="20"/>
    </w:rPr>
  </w:style>
  <w:style w:type="paragraph" w:styleId="973">
    <w:name w:val="List Paragraph"/>
    <w:basedOn w:val="675"/>
    <w:uiPriority w:val="34"/>
    <w:qFormat/>
    <w:pPr>
      <w:contextualSpacing/>
      <w:ind w:left="720"/>
    </w:pPr>
  </w:style>
  <w:style w:type="paragraph" w:styleId="974"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75" w:customStyle="1">
    <w:name w:val="p1"/>
    <w:basedOn w:val="675"/>
    <w:uiPriority w:val="0"/>
    <w:qFormat/>
    <w:pPr>
      <w:jc w:val="left"/>
    </w:pPr>
    <w:rPr>
      <w:rFonts w:ascii="Helvetica" w:hAnsi="Helvetica" w:eastAsia="Helvetica"/>
      <w:color w:val="000000"/>
      <w:szCs w:val="21"/>
    </w:rPr>
  </w:style>
  <w:style w:type="paragraph" w:styleId="976" w:customStyle="1">
    <w:name w:val="WPSOffice手动目录 1"/>
    <w:uiPriority w:val="0"/>
    <w:qFormat/>
    <w:rPr>
      <w:rFonts w:hint="default" w:ascii="Times New Roman" w:hAnsi="Times New Roman" w:eastAsia="宋体" w:cs="Times New Roman"/>
      <w:lang w:val="en-US" w:eastAsia="zh-CN" w:bidi="ar-SA"/>
    </w:rPr>
  </w:style>
  <w:style w:type="paragraph" w:styleId="977" w:customStyle="1">
    <w:name w:val="null3"/>
    <w:hidden/>
    <w:uiPriority w:val="0"/>
    <w:qFormat/>
    <w:rPr>
      <w:rFonts w:hint="eastAsia" w:asciiTheme="minorHAnsi" w:hAnsiTheme="minorHAnsi" w:eastAsiaTheme="minorEastAsia" w:cstheme="minorBidi"/>
      <w:lang w:val="en-US" w:eastAsia="zh-Hans" w:bidi="ar-SA"/>
    </w:rPr>
  </w:style>
  <w:style w:type="paragraph" w:styleId="978" w:customStyle="1">
    <w:name w:val="Table Paragraph"/>
    <w:basedOn w:val="675"/>
    <w:uiPriority w:val="1"/>
    <w:qFormat/>
    <w:rPr>
      <w:rFonts w:ascii="Calibri" w:hAnsi="Calibri"/>
      <w:sz w:val="22"/>
      <w:szCs w:val="22"/>
      <w:lang w:eastAsia="en-US"/>
    </w:rPr>
  </w:style>
  <w:style w:type="paragraph" w:styleId="979" w:customStyle="1">
    <w:name w:val="正文文本 21"/>
    <w:basedOn w:val="675"/>
    <w:uiPriority w:val="0"/>
    <w:qFormat/>
    <w:pPr>
      <w:spacing w:line="440" w:lineRule="exact"/>
    </w:pPr>
    <w:rPr>
      <w:rFonts w:ascii="楷体_GB2312" w:eastAsia="楷体_GB2312"/>
      <w:sz w:val="28"/>
    </w:rPr>
  </w:style>
  <w:style w:type="paragraph" w:styleId="980" w:customStyle="1">
    <w:name w:val="列出段落"/>
    <w:basedOn w:val="675"/>
    <w:uiPriority w:val="34"/>
    <w:qFormat/>
    <w:pPr>
      <w:ind w:firstLine="420"/>
    </w:pPr>
    <w:rPr>
      <w:rFonts w:ascii="Calibri" w:hAnsi="Calibri"/>
      <w:szCs w:val="22"/>
    </w:rPr>
  </w:style>
  <w:style w:type="paragraph" w:styleId="981" w:customStyle="1">
    <w:name w:val="纯文本11"/>
    <w:basedOn w:val="675"/>
    <w:uiPriority w:val="0"/>
    <w:qFormat/>
    <w:rPr>
      <w:rFonts w:ascii="宋体" w:hAnsi="Courier New"/>
      <w:szCs w:val="20"/>
    </w:rPr>
  </w:style>
  <w:style w:type="paragraph" w:styleId="982" w:customStyle="1">
    <w:name w:val="正文缩进1"/>
    <w:basedOn w:val="675"/>
    <w:uiPriority w:val="0"/>
    <w:qFormat/>
    <w:pPr>
      <w:ind w:firstLine="420"/>
    </w:pPr>
    <w:rPr>
      <w:szCs w:val="20"/>
    </w:rPr>
  </w:style>
  <w:style w:type="character" w:styleId="983" w:customStyle="1">
    <w:name w:val="font21"/>
    <w:basedOn w:val="685"/>
    <w:uiPriority w:val="0"/>
    <w:qFormat/>
    <w:rPr>
      <w:rFonts w:hint="eastAsia" w:ascii="宋体" w:hAnsi="宋体" w:eastAsia="宋体" w:cs="宋体"/>
      <w:b/>
      <w:bCs/>
      <w:color w:val="000000"/>
      <w:sz w:val="22"/>
      <w:szCs w:val="22"/>
      <w:u w:val="none"/>
    </w:rPr>
  </w:style>
  <w:style w:type="table" w:styleId="984" w:customStyle="1">
    <w:name w:val="Table Normal"/>
    <w:uiPriority w:val="0"/>
    <w:qFormat/>
    <w:tblPr>
      <w:tblCellMar>
        <w:left w:w="0" w:type="dxa"/>
        <w:top w:w="0" w:type="dxa"/>
        <w:right w:w="0" w:type="dxa"/>
        <w:bottom w:w="0" w:type="dxa"/>
      </w:tblCellMar>
    </w:tblPr>
  </w:style>
  <w:style w:type="paragraph" w:styleId="985" w:customStyle="1">
    <w:name w:val="Table Text"/>
    <w:basedOn w:val="675"/>
    <w:uiPriority w:val="0"/>
    <w:qFormat/>
    <w:rPr>
      <w:rFonts w:ascii="宋体" w:hAnsi="宋体" w:cs="宋体"/>
      <w:sz w:val="28"/>
      <w:szCs w:val="28"/>
      <w:lang w:eastAsia="en-US"/>
    </w:rPr>
  </w:style>
  <w:style w:type="character" w:styleId="986" w:customStyle="1">
    <w:name w:val="font11"/>
    <w:basedOn w:val="685"/>
    <w:uiPriority w:val="0"/>
    <w:qFormat/>
    <w:rPr>
      <w:rFonts w:hint="eastAsia" w:ascii="宋体" w:hAnsi="宋体" w:eastAsia="宋体" w:cs="宋体"/>
      <w:color w:val="000000"/>
      <w:sz w:val="16"/>
      <w:szCs w:val="16"/>
      <w:u w:val="none"/>
    </w:rPr>
  </w:style>
  <w:style w:type="character" w:styleId="987" w:customStyle="1">
    <w:name w:val="font01"/>
    <w:basedOn w:val="685"/>
    <w:uiPriority w:val="0"/>
    <w:qFormat/>
    <w:rPr>
      <w:rFonts w:hint="eastAsia" w:ascii="宋体" w:hAnsi="宋体" w:eastAsia="宋体" w:cs="宋体"/>
      <w:color w:val="000000"/>
      <w:sz w:val="22"/>
      <w:szCs w:val="22"/>
      <w:u w:val="none"/>
    </w:rPr>
  </w:style>
  <w:style w:type="numbering" w:styleId="12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HAws</cp:lastModifiedBy>
  <cp:revision>202</cp:revision>
  <dcterms:created xsi:type="dcterms:W3CDTF">2024-01-08T08:47:00Z</dcterms:created>
  <dcterms:modified xsi:type="dcterms:W3CDTF">2026-04-23T03:20:09Z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eyJoZGlkIjoiYmY5MzA3NzdmZWU1NzljZWZlMGQ4NzllOWU1MzIxMzIiLCJ1c2VySWQiOiI0MzE0NTM4ODMifQ==</vt:lpwstr>
  </property>
  <property fmtid="{D5CDD505-2E9C-101B-9397-08002B2CF9AE}" pid="3" name="KSOProductBuildVer">
    <vt:lpwstr>2052-12.1.0.25865</vt:lpwstr>
  </property>
  <property fmtid="{D5CDD505-2E9C-101B-9397-08002B2CF9AE}" pid="4" name="ICV">
    <vt:lpwstr>FD9EA00E5CD1456F89512E27BE26305B_13</vt:lpwstr>
  </property>
</Properties>
</file>