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679"/>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678"/>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68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JSZC-320000-NJJC-C2026-0052 </w:t>
      </w:r>
      <w:r>
        <w:rPr>
          <w:rFonts w:ascii="宋体" w:hAnsi="宋体" w:eastAsia="宋体" w:cs="宋体"/>
          <w:color w:val="000000"/>
          <w:highlight w:val="none"/>
          <w:lang w:eastAsia="zh-CN"/>
        </w:rPr>
      </w:r>
      <w:r/>
    </w:p>
    <w:p>
      <w:pPr>
        <w:pStyle w:val="678"/>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678"/>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江苏省省级机关医院杜瓦瓶液氧、瓶氧采购及配送服务项目 </w:t>
      </w:r>
      <w:r>
        <w:rPr>
          <w:rFonts w:hint="eastAsia" w:ascii="宋体" w:hAnsi="宋体" w:eastAsia="宋体" w:cs="宋体"/>
          <w:color w:val="000000"/>
          <w:sz w:val="32"/>
          <w:szCs w:val="32"/>
          <w:highlight w:val="none"/>
          <w:lang w:eastAsia="zh-CN"/>
        </w:rPr>
      </w:r>
      <w:r/>
    </w:p>
    <w:p>
      <w:pPr>
        <w:pStyle w:val="67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类</w:t>
      </w:r>
      <w:r>
        <w:rPr>
          <w:rFonts w:ascii="宋体" w:hAnsi="宋体" w:eastAsia="宋体" w:cs="宋体"/>
          <w:color w:val="000000"/>
          <w:sz w:val="32"/>
          <w:szCs w:val="32"/>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采购人：江苏省省级机关医院 </w:t>
      </w:r>
      <w:r>
        <w:rPr>
          <w:rFonts w:hint="eastAsia" w:ascii="宋体" w:hAnsi="宋体" w:eastAsia="宋体" w:cs="宋体"/>
          <w:color w:val="000000"/>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81"/>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68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五</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678"/>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8"/>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678"/>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678"/>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71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71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715"/>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715"/>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5"/>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681"/>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678"/>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江苏省省级机关医院杜瓦瓶液氧、瓶氧采购及配送服务项目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06</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09</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14</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3</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bookmarkStart w:id="2" w:name="_Toc35393798"/>
      <w:r/>
      <w:bookmarkStart w:id="3" w:name="_Toc28359012"/>
      <w:r/>
      <w:bookmarkStart w:id="4" w:name="_Toc35393629"/>
      <w:r/>
      <w:bookmarkStart w:id="5" w:name="_Toc2835908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项目编号：JSZC-320000-NJJC-C2026-0052 </w:t>
      </w:r>
      <w:r>
        <w:rPr>
          <w:rFonts w:hint="eastAsia"/>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项目名称：江苏省省级机关医院杜瓦瓶液氧、瓶氧采购及配送服务项目 </w:t>
      </w:r>
      <w:r>
        <w:rPr>
          <w:rFonts w:hint="eastAsia"/>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6"/>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项目预算金额：364万元</w:t>
      </w:r>
      <w:r>
        <w:rPr>
          <w:rFonts w:hint="eastAsia"/>
          <w:color w:val="000000"/>
          <w:sz w:val="21"/>
          <w:szCs w:val="21"/>
          <w:highlight w:val="none"/>
          <w:lang w:eastAsia="zh-CN"/>
        </w:rPr>
      </w:r>
      <w:r/>
    </w:p>
    <w:p>
      <w:pPr>
        <w:pStyle w:val="696"/>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最高限价：182万元/年，</w:t>
      </w:r>
      <w:r>
        <w:rPr>
          <w:rFonts w:hint="eastAsia"/>
          <w:color w:val="000000"/>
          <w:sz w:val="21"/>
          <w:szCs w:val="21"/>
          <w:highlight w:val="none"/>
          <w:lang w:eastAsia="zh-CN"/>
        </w:rPr>
        <w:t xml:space="preserve">364万元</w:t>
      </w:r>
      <w:r>
        <w:rPr>
          <w:rFonts w:hint="eastAsia"/>
          <w:color w:val="000000"/>
          <w:sz w:val="21"/>
          <w:szCs w:val="21"/>
          <w:highlight w:val="none"/>
          <w:lang w:val="en-US" w:eastAsia="zh-CN"/>
        </w:rPr>
        <w:t xml:space="preserve">/2年，超过最高限价的响应文件为无效投标。</w:t>
      </w:r>
      <w:r>
        <w:rPr>
          <w:rFonts w:hint="eastAsia"/>
          <w:color w:val="000000"/>
          <w:sz w:val="21"/>
          <w:szCs w:val="21"/>
          <w:highlight w:val="none"/>
          <w:lang w:val="en-US" w:eastAsia="zh-CN"/>
        </w:rPr>
      </w:r>
      <w:r/>
    </w:p>
    <w:p>
      <w:pPr>
        <w:pStyle w:val="696"/>
        <w:spacing w:line="360" w:lineRule="auto"/>
        <w:rPr>
          <w:color w:val="000000"/>
          <w:sz w:val="21"/>
          <w:szCs w:val="21"/>
          <w:highlight w:val="none"/>
          <w:lang w:val="en-US" w:eastAsia="zh-CN"/>
        </w:rPr>
      </w:pPr>
      <w:r>
        <w:rPr>
          <w:rFonts w:hint="eastAsia"/>
          <w:color w:val="000000"/>
          <w:sz w:val="21"/>
          <w:szCs w:val="21"/>
          <w:highlight w:val="none"/>
          <w:lang w:val="en-US" w:eastAsia="zh-CN"/>
        </w:rPr>
        <w:t xml:space="preserve">采购需求：由于医院医疗工作需要，需对杜瓦瓶液氧（210升/瓶）等进行配送，具体详见采购需求。</w:t>
      </w:r>
      <w:r>
        <w:rPr>
          <w:color w:val="000000"/>
          <w:sz w:val="21"/>
          <w:szCs w:val="21"/>
          <w:highlight w:val="none"/>
          <w:lang w:val="en-US" w:eastAsia="zh-CN"/>
        </w:rPr>
      </w:r>
      <w:r/>
    </w:p>
    <w:p>
      <w:pPr>
        <w:pStyle w:val="696"/>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合同履行期限：配送服务期为2年，合同采用一年一签方式。遇重大事项或改变用氧方式，合同终止。</w:t>
      </w:r>
      <w:r>
        <w:rPr>
          <w:rFonts w:hint="eastAsia"/>
          <w:color w:val="000000"/>
          <w:sz w:val="21"/>
          <w:szCs w:val="21"/>
          <w:highlight w:val="none"/>
          <w:lang w:val="en-US" w:eastAsia="zh-CN"/>
        </w:rPr>
      </w:r>
      <w:r/>
    </w:p>
    <w:p>
      <w:pPr>
        <w:pStyle w:val="733"/>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33"/>
        <w:ind w:firstLine="105"/>
        <w:spacing w:line="360" w:lineRule="auto"/>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 xml:space="preserve">本项目所属行业：</w:t>
      </w:r>
      <w:r>
        <w:rPr>
          <w:rFonts w:hint="eastAsia" w:ascii="宋体" w:hAnsi="宋体" w:eastAsia="宋体" w:cs="Times New Roman"/>
          <w:b w:val="0"/>
          <w:bCs/>
          <w:color w:val="000000"/>
          <w:sz w:val="21"/>
          <w:szCs w:val="21"/>
          <w:highlight w:val="none"/>
          <w:lang w:val="en-US" w:eastAsia="zh-CN"/>
        </w:rPr>
        <w:t xml:space="preserve">其他未列明行业</w:t>
      </w:r>
      <w:r>
        <w:rPr>
          <w:rFonts w:eastAsia="宋体"/>
          <w:b w:val="0"/>
          <w:bCs/>
          <w:color w:val="000000"/>
          <w:sz w:val="21"/>
          <w:szCs w:val="21"/>
          <w:highlight w:val="none"/>
          <w:lang w:val="en-US" w:eastAsia="zh-CN"/>
        </w:rPr>
      </w:r>
      <w:r/>
    </w:p>
    <w:p>
      <w:pPr>
        <w:pStyle w:val="733"/>
        <w:ind w:firstLine="0"/>
        <w:spacing w:line="360" w:lineRule="auto"/>
        <w:rPr>
          <w:rFonts w:eastAsia="宋体"/>
          <w:b/>
          <w:bCs/>
          <w:color w:val="000000"/>
          <w:sz w:val="21"/>
          <w:szCs w:val="21"/>
          <w:highlight w:val="none"/>
          <w:lang w:eastAsia="zh-CN"/>
        </w:rPr>
      </w:pPr>
      <w:r/>
      <w:bookmarkStart w:id="6" w:name="_Toc28359080"/>
      <w:r/>
      <w:bookmarkStart w:id="7" w:name="_Toc28359003"/>
      <w:r/>
      <w:bookmarkStart w:id="8" w:name="_Toc35393791"/>
      <w:r/>
      <w:bookmarkStart w:id="9" w:name="_Toc35393622"/>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4"/>
        <w:ind w:firstLine="420"/>
        <w:spacing w:line="360" w:lineRule="auto"/>
        <w:rPr>
          <w:rFonts w:hint="eastAsia" w:eastAsia="宋体"/>
          <w:color w:val="000000"/>
          <w:sz w:val="21"/>
          <w:szCs w:val="21"/>
          <w:highlight w:val="none"/>
          <w:lang w:eastAsia="zh-CN"/>
          <w14:ligatures w14:val="none"/>
        </w:rPr>
      </w:pPr>
      <w:r>
        <w:rPr>
          <w:rFonts w:hint="eastAsia" w:eastAsia="宋体"/>
          <w:bCs/>
          <w:color w:val="000000"/>
          <w:sz w:val="21"/>
          <w:szCs w:val="21"/>
          <w:highlight w:val="none"/>
          <w:lang w:eastAsia="zh-CN"/>
        </w:rPr>
        <w:t xml:space="preserve">（2）具有良好的商业信誉和</w:t>
      </w:r>
      <w:r>
        <w:rPr>
          <w:rFonts w:hint="eastAsia" w:eastAsia="宋体"/>
          <w:color w:val="000000"/>
          <w:sz w:val="21"/>
          <w:szCs w:val="21"/>
          <w:highlight w:val="none"/>
          <w:lang w:eastAsia="zh-CN"/>
        </w:rPr>
        <w:t xml:space="preserve">健全的财务会计制度（提供由第三方专业机构出具的2024年度</w:t>
      </w:r>
      <w:r>
        <w:rPr>
          <w:rFonts w:hint="eastAsia" w:eastAsia="宋体"/>
          <w:color w:val="000000"/>
          <w:sz w:val="21"/>
          <w:szCs w:val="21"/>
          <w:highlight w:val="none"/>
          <w:lang w:val="en-US" w:eastAsia="zh-CN"/>
        </w:rPr>
        <w:t xml:space="preserve">/2025年度</w:t>
      </w:r>
      <w:r>
        <w:rPr>
          <w:rFonts w:hint="eastAsia" w:eastAsia="宋体"/>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color w:val="000000"/>
          <w:sz w:val="21"/>
          <w:szCs w:val="21"/>
          <w:highlight w:val="none"/>
          <w:lang w:val="en-US" w:eastAsia="zh-CN"/>
        </w:rPr>
        <w:t xml:space="preserve">或</w:t>
      </w:r>
      <w:r>
        <w:rPr>
          <w:rFonts w:hint="eastAsia" w:eastAsia="宋体"/>
          <w:color w:val="000000"/>
          <w:sz w:val="21"/>
          <w:szCs w:val="21"/>
          <w:highlight w:val="none"/>
          <w:lang w:val="en-US" w:eastAsia="zh-CN"/>
        </w:rPr>
        <w:t xml:space="preserve">提供参加本次政府采购活动前半年内任意一个月（2025年11月以来）的财务报表复印件（包含资产负债表、现金流量表）</w:t>
      </w:r>
      <w:r>
        <w:rPr>
          <w:rFonts w:hint="eastAsia" w:eastAsia="宋体"/>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color w:val="000000"/>
          <w:sz w:val="21"/>
          <w:szCs w:val="21"/>
          <w:highlight w:val="none"/>
          <w:lang w:eastAsia="zh-CN"/>
        </w:rPr>
      </w:r>
      <w:r>
        <w:rPr>
          <w:rFonts w:hint="eastAsia" w:eastAsia="宋体"/>
          <w:color w:val="000000"/>
          <w:sz w:val="21"/>
          <w:szCs w:val="21"/>
          <w:highlight w:val="none"/>
          <w:lang w:eastAsia="zh-CN"/>
        </w:rP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694"/>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623"/>
      <w:r/>
      <w:bookmarkStart w:id="13" w:name="_Toc35393792"/>
      <w:r>
        <w:rPr>
          <w:rFonts w:hint="eastAsia" w:eastAsia="宋体"/>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为生产（含充装）企业须具有有效的中华人民共和国药品生产许可证，危险化学品经营许可证，药品注册批件（或药品再注册批件）、气瓶充装许可证（充装介质为冷冻或低温液化气体，包含液氧等）。（提供相关证书加盖公章）</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（2）供应商为经营企业的须具有有效的中华人民共和国药品经营许可证、危险化学品经营许可证。（提供相关证书加盖公章）</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（4）供应商拟派人员具备运输危险化学品从业人员资格证书（提供相关加盖公章）。</w:t>
      </w:r>
      <w:r>
        <w:rPr>
          <w:rFonts w:hint="eastAsia" w:eastAsia="宋体"/>
          <w:b/>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bookmarkStart w:id="14" w:name="_Toc28359015"/>
      <w:r/>
      <w:bookmarkStart w:id="15" w:name="_Toc28359092"/>
      <w:r/>
      <w:bookmarkStart w:id="16" w:name="_Toc35393801"/>
      <w:r/>
      <w:bookmarkStart w:id="17" w:name="_Toc35393632"/>
      <w:r/>
      <w:bookmarkStart w:id="18" w:name="_Toc35393626"/>
      <w:r/>
      <w:bookmarkStart w:id="19"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截止时间：2026年06月09日14点30分（北京时间）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bookmarkStart w:id="20" w:name="_Toc35393633"/>
      <w:r/>
      <w:bookmarkStart w:id="21" w:name="_Toc35393802"/>
      <w:r/>
      <w:bookmarkStart w:id="22" w:name="_Toc28359093"/>
      <w:r/>
      <w:bookmarkStart w:id="23" w:name="_Toc28359016"/>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时间：2026年06月09日14点30分（北京时间）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bookmarkStart w:id="24" w:name="_Toc28359017"/>
      <w:r/>
      <w:bookmarkStart w:id="25" w:name="_Toc35393634"/>
      <w:r/>
      <w:bookmarkStart w:id="26" w:name="_Toc28359094"/>
      <w:r/>
      <w:bookmarkStart w:id="27" w:name="_Toc35393803"/>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08"/>
      <w:r/>
      <w:bookmarkStart w:id="29" w:name="_Toc35393796"/>
      <w:r/>
      <w:bookmarkStart w:id="30" w:name="_Toc28359085"/>
      <w:r/>
      <w:bookmarkStart w:id="31" w:name="_Toc35393627"/>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w:t>
      </w:r>
      <w:r>
        <w:rPr>
          <w:rStyle w:val="730"/>
          <w:rFonts w:hint="eastAsia" w:ascii="宋体" w:hAnsi="宋体" w:cs="宋体"/>
          <w:color w:val="000000"/>
          <w:highlight w:val="none"/>
          <w:lang w:eastAsia="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w:t>
      </w:r>
      <w:r>
        <w:rPr>
          <w:rFonts w:hint="eastAsia" w:eastAsia="宋体" w:cs="宋体"/>
          <w:bCs/>
          <w:color w:val="000000"/>
          <w:sz w:val="21"/>
          <w:szCs w:val="21"/>
          <w:highlight w:val="none"/>
          <w:lang w:eastAsia="zh-CN"/>
        </w:rPr>
      </w:r>
      <w:r/>
    </w:p>
    <w:p>
      <w:pPr>
        <w:pStyle w:val="733"/>
        <w:ind w:firstLine="420"/>
        <w:spacing w:line="360" w:lineRule="auto"/>
        <w:rPr>
          <w:rFonts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cs="宋体"/>
          <w:bCs/>
          <w:color w:val="000000"/>
          <w:sz w:val="21"/>
          <w:szCs w:val="21"/>
          <w:highlight w:val="none"/>
        </w:rPr>
        <w:t xml:space="preserve">特别提醒：</w:t>
      </w:r>
      <w:r>
        <w:rPr>
          <w:rFonts w:cs="宋体"/>
          <w:bCs/>
          <w:color w:val="000000"/>
          <w:sz w:val="21"/>
          <w:szCs w:val="21"/>
          <w:highlight w:val="none"/>
        </w:rPr>
        <w:t xml:space="preserve"> </w:t>
      </w:r>
      <w:r>
        <w:rPr>
          <w:rFonts w:hint="eastAsia" w:cs="宋体"/>
          <w:bCs/>
          <w:color w:val="000000"/>
          <w:sz w:val="21"/>
          <w:szCs w:val="21"/>
          <w:highlight w:val="none"/>
        </w:rPr>
        <w:t xml:space="preserve">如您驾车或乘坐地铁至南京江城工程项目管理有限公司参考路线如下：</w:t>
      </w:r>
      <w:r>
        <w:rPr>
          <w:rFonts w:cs="宋体"/>
          <w:bCs/>
          <w:color w:val="000000"/>
          <w:sz w:val="21"/>
          <w:szCs w:val="21"/>
          <w:highlight w:val="none"/>
        </w:rPr>
      </w:r>
      <w:r/>
    </w:p>
    <w:p>
      <w:pPr>
        <w:pStyle w:val="733"/>
        <w:ind w:firstLine="420"/>
        <w:spacing w:line="360" w:lineRule="auto"/>
        <w:rPr>
          <w:rFonts w:cs="宋体"/>
          <w:bCs/>
          <w:color w:val="000000"/>
          <w:sz w:val="21"/>
          <w:szCs w:val="21"/>
          <w:highlight w:val="none"/>
        </w:rPr>
      </w:pPr>
      <w:r>
        <w:rPr>
          <w:rFonts w:hint="eastAsia" w:cs="宋体"/>
          <w:bCs/>
          <w:color w:val="000000"/>
          <w:sz w:val="21"/>
          <w:szCs w:val="21"/>
          <w:highlight w:val="none"/>
        </w:rPr>
        <w:t xml:space="preserve">驾车路线：河西大街</w:t>
      </w:r>
      <w:r>
        <w:rPr>
          <w:rFonts w:cs="宋体"/>
          <w:bCs/>
          <w:color w:val="000000"/>
          <w:sz w:val="21"/>
          <w:szCs w:val="21"/>
          <w:highlight w:val="none"/>
        </w:rPr>
        <w:t xml:space="preserve">→</w:t>
      </w:r>
      <w:r>
        <w:rPr>
          <w:rFonts w:hint="eastAsia" w:cs="宋体"/>
          <w:bCs/>
          <w:color w:val="000000"/>
          <w:sz w:val="21"/>
          <w:szCs w:val="21"/>
          <w:highlight w:val="none"/>
        </w:rPr>
        <w:t xml:space="preserve">云龙山路河西龙湖天街地下停车场创意路</w:t>
      </w:r>
      <w:r>
        <w:rPr>
          <w:rFonts w:cs="宋体"/>
          <w:bCs/>
          <w:color w:val="000000"/>
          <w:sz w:val="21"/>
          <w:szCs w:val="21"/>
          <w:highlight w:val="none"/>
        </w:rPr>
        <w:t xml:space="preserve">4</w:t>
      </w:r>
      <w:r>
        <w:rPr>
          <w:rFonts w:hint="eastAsia" w:cs="宋体"/>
          <w:bCs/>
          <w:color w:val="000000"/>
          <w:sz w:val="21"/>
          <w:szCs w:val="21"/>
          <w:highlight w:val="none"/>
        </w:rPr>
        <w:t xml:space="preserve">号出入口</w:t>
      </w:r>
      <w:r>
        <w:rPr>
          <w:rFonts w:cs="宋体"/>
          <w:bCs/>
          <w:color w:val="000000"/>
          <w:sz w:val="21"/>
          <w:szCs w:val="21"/>
          <w:highlight w:val="none"/>
        </w:rPr>
        <w:t xml:space="preserve">→</w:t>
      </w:r>
      <w:r>
        <w:rPr>
          <w:rFonts w:hint="eastAsia" w:cs="宋体"/>
          <w:bCs/>
          <w:color w:val="000000"/>
          <w:sz w:val="21"/>
          <w:szCs w:val="21"/>
          <w:highlight w:val="none"/>
        </w:rPr>
        <w:t xml:space="preserve">负三层</w:t>
      </w:r>
      <w:r>
        <w:rPr>
          <w:rFonts w:cs="宋体"/>
          <w:bCs/>
          <w:color w:val="000000"/>
          <w:sz w:val="21"/>
          <w:szCs w:val="21"/>
          <w:highlight w:val="none"/>
        </w:rPr>
        <w:t xml:space="preserve">→</w:t>
      </w:r>
      <w:r>
        <w:rPr>
          <w:rFonts w:hint="eastAsia" w:cs="宋体"/>
          <w:bCs/>
          <w:color w:val="000000"/>
          <w:sz w:val="21"/>
          <w:szCs w:val="21"/>
          <w:highlight w:val="none"/>
        </w:rPr>
        <w:t xml:space="preserve">时代上城写字楼</w:t>
      </w:r>
      <w:r>
        <w:rPr>
          <w:rFonts w:cs="宋体"/>
          <w:bCs/>
          <w:color w:val="000000"/>
          <w:sz w:val="21"/>
          <w:szCs w:val="21"/>
          <w:highlight w:val="none"/>
        </w:rPr>
        <w:t xml:space="preserve">1</w:t>
      </w:r>
      <w:r>
        <w:rPr>
          <w:rFonts w:hint="eastAsia" w:cs="宋体"/>
          <w:bCs/>
          <w:color w:val="000000"/>
          <w:sz w:val="21"/>
          <w:szCs w:val="21"/>
          <w:highlight w:val="none"/>
        </w:rPr>
        <w:t xml:space="preserve">栋电梯厅高区电梯</w:t>
      </w:r>
      <w:r>
        <w:rPr>
          <w:rFonts w:cs="宋体"/>
          <w:bCs/>
          <w:color w:val="000000"/>
          <w:sz w:val="21"/>
          <w:szCs w:val="21"/>
          <w:highlight w:val="none"/>
        </w:rPr>
        <w:t xml:space="preserve">29</w:t>
      </w:r>
      <w:r>
        <w:rPr>
          <w:rFonts w:hint="eastAsia" w:cs="宋体"/>
          <w:bCs/>
          <w:color w:val="000000"/>
          <w:sz w:val="21"/>
          <w:szCs w:val="21"/>
          <w:highlight w:val="none"/>
        </w:rPr>
        <w:t xml:space="preserve">楼</w:t>
      </w:r>
      <w:r>
        <w:rPr>
          <w:rFonts w:cs="宋体"/>
          <w:bCs/>
          <w:color w:val="000000"/>
          <w:sz w:val="21"/>
          <w:szCs w:val="21"/>
          <w:highlight w:val="none"/>
        </w:rPr>
      </w:r>
      <w:r/>
    </w:p>
    <w:p>
      <w:pPr>
        <w:pStyle w:val="733"/>
        <w:ind w:firstLine="420"/>
        <w:spacing w:line="360" w:lineRule="auto"/>
        <w:rPr>
          <w:rFonts w:eastAsia="宋体" w:cs="宋体"/>
          <w:b/>
          <w:bCs w:val="0"/>
          <w:color w:val="000000"/>
          <w:sz w:val="21"/>
          <w:szCs w:val="21"/>
          <w:highlight w:val="none"/>
          <w:lang w:val="en-US" w:eastAsia="zh-CN"/>
        </w:rPr>
      </w:pPr>
      <w:r>
        <w:rPr>
          <w:rFonts w:hint="eastAsia" w:cs="宋体"/>
          <w:bCs/>
          <w:color w:val="000000"/>
          <w:sz w:val="21"/>
          <w:szCs w:val="21"/>
          <w:highlight w:val="none"/>
          <w:lang w:eastAsia="zh-CN"/>
        </w:rPr>
        <w:t xml:space="preserve">地铁路线：地铁</w:t>
      </w:r>
      <w:r>
        <w:rPr>
          <w:rFonts w:cs="宋体"/>
          <w:bCs/>
          <w:color w:val="000000"/>
          <w:sz w:val="21"/>
          <w:szCs w:val="21"/>
          <w:highlight w:val="none"/>
          <w:lang w:eastAsia="zh-CN"/>
        </w:rPr>
        <w:t xml:space="preserve">10</w:t>
      </w:r>
      <w:r>
        <w:rPr>
          <w:rFonts w:hint="eastAsia" w:cs="宋体"/>
          <w:bCs/>
          <w:color w:val="000000"/>
          <w:sz w:val="21"/>
          <w:szCs w:val="21"/>
          <w:highlight w:val="none"/>
          <w:lang w:eastAsia="zh-CN"/>
        </w:rPr>
        <w:t xml:space="preserve">号线中胜站</w:t>
      </w:r>
      <w:r>
        <w:rPr>
          <w:rFonts w:cs="宋体"/>
          <w:bCs/>
          <w:color w:val="000000"/>
          <w:sz w:val="21"/>
          <w:szCs w:val="21"/>
          <w:highlight w:val="none"/>
          <w:lang w:eastAsia="zh-CN"/>
        </w:rPr>
        <w:t xml:space="preserve">2C</w:t>
      </w:r>
      <w:r>
        <w:rPr>
          <w:rFonts w:hint="eastAsia" w:cs="宋体"/>
          <w:bCs/>
          <w:color w:val="000000"/>
          <w:sz w:val="21"/>
          <w:szCs w:val="21"/>
          <w:highlight w:val="none"/>
          <w:lang w:eastAsia="zh-CN"/>
        </w:rPr>
        <w:t xml:space="preserve">号口出，步行约</w:t>
      </w:r>
      <w:r>
        <w:rPr>
          <w:rFonts w:cs="宋体"/>
          <w:bCs/>
          <w:color w:val="000000"/>
          <w:sz w:val="21"/>
          <w:szCs w:val="21"/>
          <w:highlight w:val="none"/>
          <w:lang w:eastAsia="zh-CN"/>
        </w:rPr>
        <w:t xml:space="preserve">300</w:t>
      </w:r>
      <w:r>
        <w:rPr>
          <w:rFonts w:hint="eastAsia" w:cs="宋体"/>
          <w:bCs/>
          <w:color w:val="000000"/>
          <w:sz w:val="21"/>
          <w:szCs w:val="21"/>
          <w:highlight w:val="none"/>
          <w:lang w:eastAsia="zh-CN"/>
        </w:rPr>
        <w:t xml:space="preserve">米至河西龙湖天街</w:t>
      </w:r>
      <w:r>
        <w:rPr>
          <w:rFonts w:cs="宋体"/>
          <w:bCs/>
          <w:color w:val="000000"/>
          <w:sz w:val="21"/>
          <w:szCs w:val="21"/>
          <w:highlight w:val="none"/>
          <w:lang w:eastAsia="zh-CN"/>
        </w:rPr>
        <w:t xml:space="preserve">1</w:t>
      </w:r>
      <w:r>
        <w:rPr>
          <w:rFonts w:hint="eastAsia" w:cs="宋体"/>
          <w:bCs/>
          <w:color w:val="000000"/>
          <w:sz w:val="21"/>
          <w:szCs w:val="21"/>
          <w:highlight w:val="none"/>
          <w:lang w:eastAsia="zh-CN"/>
        </w:rPr>
        <w:t xml:space="preserve">栋写字楼（奈雪的茶旁）高区电梯</w:t>
      </w:r>
      <w:r>
        <w:rPr>
          <w:rFonts w:cs="宋体"/>
          <w:bCs/>
          <w:color w:val="000000"/>
          <w:sz w:val="21"/>
          <w:szCs w:val="21"/>
          <w:highlight w:val="none"/>
          <w:lang w:eastAsia="zh-CN"/>
        </w:rPr>
        <w:t xml:space="preserve">29</w:t>
      </w:r>
      <w:r>
        <w:rPr>
          <w:rFonts w:hint="eastAsia" w:cs="宋体"/>
          <w:bCs/>
          <w:color w:val="000000"/>
          <w:sz w:val="21"/>
          <w:szCs w:val="21"/>
          <w:highlight w:val="none"/>
          <w:lang w:eastAsia="zh-CN"/>
        </w:rPr>
        <w:t xml:space="preserve">楼。电子地图：</w:t>
      </w:r>
      <w:r>
        <w:rPr>
          <w:color w:val="000000"/>
          <w:sz w:val="21"/>
          <w:szCs w:val="21"/>
          <w:highlight w:val="none"/>
        </w:rPr>
        <w:fldChar w:fldCharType="begin"/>
      </w:r>
      <w:r>
        <w:rPr>
          <w:color w:val="000000"/>
          <w:sz w:val="21"/>
          <w:szCs w:val="21"/>
          <w:highlight w:val="none"/>
          <w:lang w:eastAsia="zh-CN"/>
        </w:rPr>
        <w:instrText xml:space="preserve"> HYPERLINK "https://m.amap.com/detail/index/poiid=B0IA1SUE07" </w:instrText>
      </w:r>
      <w:r>
        <w:rPr>
          <w:color w:val="000000"/>
          <w:sz w:val="21"/>
          <w:szCs w:val="21"/>
          <w:highlight w:val="none"/>
        </w:rPr>
        <w:fldChar w:fldCharType="separate"/>
      </w:r>
      <w:r>
        <w:rPr>
          <w:rFonts w:cs="宋体"/>
          <w:bCs/>
          <w:color w:val="000000"/>
          <w:sz w:val="21"/>
          <w:szCs w:val="21"/>
          <w:highlight w:val="none"/>
          <w:lang w:eastAsia="zh-CN"/>
        </w:rPr>
        <w:t xml:space="preserve">https://m.amap.com/detail/index/poiid=B0IA1SUE07</w:t>
      </w:r>
      <w:r>
        <w:rPr>
          <w:rFonts w:cs="宋体"/>
          <w:bCs/>
          <w:color w:val="000000"/>
          <w:sz w:val="21"/>
          <w:szCs w:val="21"/>
          <w:highlight w:val="none"/>
          <w:lang w:eastAsia="zh-CN"/>
        </w:rPr>
        <w:fldChar w:fldCharType="end"/>
      </w:r>
      <w:r>
        <w:rPr>
          <w:rFonts w:eastAsia="宋体" w:cs="宋体"/>
          <w:b/>
          <w:bCs w:val="0"/>
          <w:color w:val="000000"/>
          <w:sz w:val="21"/>
          <w:szCs w:val="21"/>
          <w:highlight w:val="none"/>
          <w:lang w:val="en-US" w:eastAsia="zh-CN"/>
        </w:rPr>
      </w:r>
      <w:r/>
    </w:p>
    <w:p>
      <w:pPr>
        <w:pStyle w:val="733"/>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称：江苏省省级机关医院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地址：南京市江苏路65号</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周老师</w:t>
      </w:r>
      <w:r>
        <w:rPr>
          <w:rFonts w:eastAsia="宋体"/>
          <w:bCs/>
          <w:color w:val="000000"/>
          <w:sz w:val="21"/>
          <w:szCs w:val="22"/>
          <w:highlight w:val="none"/>
          <w:lang w:val="en-US"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33"/>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bCs/>
          <w:color w:val="000000"/>
          <w:sz w:val="21"/>
          <w:szCs w:val="22"/>
          <w:highlight w:val="none"/>
          <w:lang w:eastAsia="zh-CN"/>
        </w:rPr>
        <w:t xml:space="preserve">、</w:t>
      </w:r>
      <w:r>
        <w:rPr>
          <w:rFonts w:hint="eastAsia" w:eastAsia="宋体"/>
          <w:bCs/>
          <w:color w:val="000000"/>
          <w:sz w:val="21"/>
          <w:szCs w:val="22"/>
          <w:highlight w:val="none"/>
          <w:lang w:val="en-US" w:eastAsia="zh-CN"/>
        </w:rPr>
        <w:t xml:space="preserve">025-58835827-0</w:t>
      </w: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681"/>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一、总    则"/>
      <w:r/>
      <w:bookmarkEnd w:id="34"/>
      <w:r/>
      <w:bookmarkStart w:id="35" w:name="_bookmark2"/>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称：江苏省省级机关医院</w:t>
            </w:r>
            <w:r>
              <w:rPr>
                <w:rFonts w:hint="eastAsia" w:ascii="Times New Roman" w:hAnsi="Times New Roman" w:eastAsia="宋体" w:cs="宋体"/>
                <w:bCs/>
                <w:color w:val="000000"/>
                <w:sz w:val="22"/>
                <w:szCs w:val="22"/>
                <w:highlight w:val="none"/>
                <w:lang w:eastAsia="zh-CN"/>
              </w:rPr>
            </w:r>
            <w:r/>
          </w:p>
          <w:p>
            <w:pPr>
              <w:pStyle w:val="67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南京市江苏路65号</w:t>
            </w:r>
            <w:r>
              <w:rPr>
                <w:rFonts w:hint="eastAsia" w:ascii="Times New Roman" w:hAnsi="Times New Roman" w:eastAsia="宋体" w:cs="宋体"/>
                <w:bCs/>
                <w:color w:val="000000"/>
                <w:sz w:val="22"/>
                <w:szCs w:val="22"/>
                <w:highlight w:val="none"/>
                <w:lang w:eastAsia="zh-CN"/>
              </w:rPr>
            </w:r>
            <w:r/>
          </w:p>
          <w:p>
            <w:pPr>
              <w:pStyle w:val="678"/>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周老师</w:t>
            </w:r>
            <w:r>
              <w:rPr>
                <w:rFonts w:ascii="Times New Roman" w:hAnsi="Times New Roman" w:eastAsia="宋体" w:cs="宋体"/>
                <w:bCs/>
                <w:color w:val="000000"/>
                <w:sz w:val="22"/>
                <w:szCs w:val="22"/>
                <w:highlight w:val="none"/>
                <w:lang w:val="en-US" w:eastAsia="zh-CN"/>
              </w:rPr>
            </w:r>
            <w:r/>
          </w:p>
          <w:p>
            <w:pPr>
              <w:pStyle w:val="678"/>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cs="宋体"/>
                <w:color w:val="000000"/>
                <w:sz w:val="21"/>
                <w:szCs w:val="21"/>
                <w:highlight w:val="none"/>
                <w:lang w:eastAsia="zh-CN"/>
              </w:rPr>
              <w:t xml:space="preserve">025-89699103</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江苏省省级机关医院杜瓦瓶液氧、瓶氧采购及配送服务项目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ascii="宋体" w:hAnsi="宋体" w:cs="宋体"/>
                <w:b/>
                <w:color w:val="000000"/>
                <w:sz w:val="22"/>
                <w:szCs w:val="22"/>
                <w:highlight w:val="none"/>
                <w:lang w:val="en-US" w:eastAsia="zh-CN"/>
              </w:rPr>
            </w:pPr>
            <w:r>
              <w:rPr>
                <w:rFonts w:hint="eastAsia"/>
                <w:bCs/>
                <w:color w:val="000000"/>
                <w:sz w:val="22"/>
                <w:szCs w:val="22"/>
                <w:highlight w:val="none"/>
                <w:lang w:eastAsia="zh-CN"/>
              </w:rPr>
              <w:t xml:space="preserve">江苏省省级机关医院</w:t>
            </w:r>
            <w:r>
              <w:rPr>
                <w:rFonts w:hint="eastAsia"/>
                <w:bCs/>
                <w:color w:val="000000"/>
                <w:sz w:val="22"/>
                <w:szCs w:val="22"/>
                <w:highlight w:val="none"/>
                <w:lang w:val="en-US" w:eastAsia="zh-CN"/>
              </w:rPr>
              <w:t xml:space="preserve">内</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自筹</w:t>
            </w:r>
            <w:r>
              <w:rPr>
                <w:rFonts w:hint="eastAsia" w:ascii="宋体" w:hAnsi="宋体" w:cs="宋体"/>
                <w:color w:val="000000"/>
                <w:sz w:val="22"/>
                <w:szCs w:val="22"/>
                <w:highlight w:val="none"/>
                <w:lang w:eastAsia="zh-CN"/>
              </w:rPr>
              <w:t xml:space="preserve">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678"/>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682"/>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678"/>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8"/>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8"/>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（2）本项目非专门面向中小企业或小型、微型企业的项目，对符合规定的小微企业报价给予10%的扣除，用扣除后的价格参加评审。</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（3）对于接受供应商以联合体形式参加采购活动</w:t>
      </w:r>
      <w:r>
        <w:rPr>
          <w:rFonts w:hint="eastAsia" w:ascii="宋体" w:hAnsi="宋体" w:eastAsia="宋体"/>
          <w:color w:val="000000"/>
          <w:szCs w:val="21"/>
          <w:highlight w:val="none"/>
          <w:lang w:val="zh-CN" w:eastAsia="zh-CN"/>
        </w:rPr>
        <w:t xml:space="preserve">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w:t>
      </w:r>
      <w:r>
        <w:rPr>
          <w:rFonts w:hint="eastAsia" w:ascii="宋体" w:hAnsi="宋体" w:eastAsia="宋体"/>
          <w:b/>
          <w:bCs/>
          <w:color w:val="000000"/>
          <w:szCs w:val="21"/>
          <w:highlight w:val="none"/>
          <w:lang w:val="en-US" w:eastAsia="zh-CN"/>
        </w:rPr>
        <w:t xml:space="preserve">代理服务</w:t>
      </w:r>
      <w:r>
        <w:rPr>
          <w:rFonts w:hint="eastAsia" w:ascii="宋体" w:hAnsi="宋体" w:eastAsia="宋体"/>
          <w:b/>
          <w:bCs/>
          <w:color w:val="000000"/>
          <w:szCs w:val="21"/>
          <w:highlight w:val="none"/>
          <w:lang w:val="zh-CN" w:eastAsia="zh-CN"/>
        </w:rPr>
        <w:t xml:space="preserve">费用</w:t>
      </w:r>
      <w:r>
        <w:rPr>
          <w:rFonts w:hint="eastAsia" w:ascii="宋体" w:hAnsi="宋体" w:eastAsia="宋体"/>
          <w:b/>
          <w:bCs/>
          <w:color w:val="000000"/>
          <w:szCs w:val="21"/>
          <w:highlight w:val="none"/>
          <w:lang w:val="zh-CN" w:eastAsia="zh-CN"/>
        </w:rPr>
      </w:r>
      <w:r/>
    </w:p>
    <w:p>
      <w:pPr>
        <w:pStyle w:val="678"/>
        <w:ind w:firstLine="420"/>
        <w:spacing w:line="360" w:lineRule="auto"/>
        <w:rPr>
          <w:rFonts w:hint="eastAsia" w:ascii="宋体" w:hAnsi="宋体" w:eastAsia="宋体" w:cs="Times New Roman"/>
          <w:color w:val="000000"/>
          <w:szCs w:val="21"/>
          <w:highlight w:val="none"/>
          <w:lang w:val="zh-CN" w:eastAsia="zh-CN"/>
        </w:rPr>
      </w:pPr>
      <w:r>
        <w:rPr>
          <w:rFonts w:hint="eastAsia" w:ascii="宋体" w:hAnsi="宋体" w:cs="宋体"/>
          <w:color w:val="000000"/>
          <w:sz w:val="21"/>
          <w:szCs w:val="21"/>
          <w:highlight w:val="none"/>
          <w:lang w:val="en-US" w:eastAsia="zh-CN"/>
        </w:rPr>
        <w:t xml:space="preserve">本项目招标代理费根据苏财规【2026】1号文的相关规定，</w:t>
      </w:r>
      <w:r>
        <w:rPr>
          <w:rFonts w:hint="eastAsia" w:ascii="宋体" w:hAnsi="宋体" w:cs="宋体"/>
          <w:color w:val="000000"/>
          <w:sz w:val="21"/>
          <w:szCs w:val="21"/>
          <w:highlight w:val="none"/>
          <w:lang w:val="zh-TW" w:eastAsia="zh-TW"/>
        </w:rPr>
        <w:t xml:space="preserve">本项目采购代理服务费由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供应商支付，供应商在报价时应将代理服务费全额包含在投标总价中，本项费用无需在投标报价表中单列。采购人不再另行支付</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其中招标代理</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lang w:val="zh-TW" w:eastAsia="zh-TW"/>
        </w:rPr>
        <w:t xml:space="preserve">费</w:t>
      </w:r>
      <w:r>
        <w:rPr>
          <w:rFonts w:hint="eastAsia" w:ascii="宋体" w:hAnsi="宋体" w:cs="宋体"/>
          <w:color w:val="000000"/>
          <w:sz w:val="21"/>
          <w:szCs w:val="21"/>
          <w:highlight w:val="none"/>
          <w:lang w:val="en-US" w:eastAsia="zh-CN"/>
        </w:rPr>
        <w:t xml:space="preserve">标准按</w:t>
      </w:r>
      <w:r>
        <w:rPr>
          <w:rFonts w:hint="eastAsia" w:ascii="宋体" w:hAnsi="宋体" w:cs="宋体"/>
          <w:color w:val="000000"/>
          <w:sz w:val="21"/>
          <w:szCs w:val="21"/>
          <w:highlight w:val="none"/>
          <w:lang w:val="zh-TW" w:eastAsia="zh-TW"/>
        </w:rPr>
        <w:t xml:space="preserve">照国家计委印发的《招标代理服务收费管理暂行办法》（计价格[2002]1980号）取费标准的70%计取。上述费用由</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TW" w:eastAsia="zh-TW"/>
        </w:rPr>
        <w:t xml:space="preserve">供应商在领取中标通知书前一次性向招标代理机构支付</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Times New Roman"/>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hint="eastAsia" w:ascii="宋体" w:hAnsi="宋体" w:eastAsia="宋体" w:cs="Segoe UI Symbol"/>
          <w:color w:val="000000"/>
          <w:szCs w:val="21"/>
          <w:highlight w:val="none"/>
          <w:lang w:eastAsia="zh-CN"/>
        </w:rPr>
        <w:t xml:space="preserve">响应报价表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hint="eastAsia" w:ascii="宋体" w:hAnsi="宋体" w:eastAsia="宋体"/>
          <w:color w:val="000000"/>
          <w:szCs w:val="21"/>
          <w:highlight w:val="none"/>
          <w:lang w:val="en-US" w:eastAsia="zh-CN"/>
        </w:rPr>
        <w:t xml:space="preserve">分项报价一览表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项目实施方案；</w:t>
      </w:r>
      <w:r>
        <w:rPr>
          <w:rFonts w:ascii="宋体" w:hAnsi="宋体" w:eastAsia="宋体"/>
          <w:color w:val="000000"/>
          <w:szCs w:val="21"/>
          <w:highlight w:val="none"/>
          <w:lang w:val="en-US"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8"/>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（1）价格部分是对服务或工程价格构成的说明，竞争性磋商文件如没有特别说明的话，对每一项服务仅接受一个价格。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（6）经磋商后，二次报价为最终报价，二次报价原则上不高于首次报价，如果成交价低于供应商在响应文件首次报价的，分项报价同比例调整。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改变清单计价规则、数量、项目特征等；</w:t>
      </w:r>
      <w:r>
        <w:rPr>
          <w:rFonts w:hint="eastAsia" w:ascii="宋体" w:hAnsi="宋体" w:eastAsia="宋体"/>
          <w:color w:val="000000"/>
          <w:szCs w:val="21"/>
          <w:highlight w:val="none"/>
          <w:lang w:val="en-US" w:eastAsia="zh-CN"/>
        </w:rPr>
      </w:r>
      <w:r/>
    </w:p>
    <w:p>
      <w:pPr>
        <w:pStyle w:val="67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改变清单不可竞争费、暂列金、暂估价等。</w:t>
      </w:r>
      <w:r>
        <w:rPr>
          <w:rFonts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改变清单、计价规范、数量、单位、不可竞争费等。</w:t>
      </w:r>
      <w:r>
        <w:rPr>
          <w:rFonts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78"/>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681"/>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trHeight w:val="649"/>
        </w:trPr>
        <w:tc>
          <w:tcPr>
            <w:tcW w:w="532" w:type="dxa"/>
            <w:vAlign w:val="center"/>
            <w:textDirection w:val="lrTb"/>
            <w:noWrap w:val="false"/>
          </w:tcPr>
          <w:p>
            <w:pPr>
              <w:pStyle w:val="678"/>
              <w:jc w:val="center"/>
              <w:spacing w:line="360" w:lineRule="auto"/>
              <w:rPr>
                <w:rFonts w:hint="eastAsia" w:ascii="宋体" w:hAnsi="宋体" w:cs="宋体"/>
                <w:b/>
                <w:color w:val="000000"/>
                <w:szCs w:val="21"/>
                <w:highlight w:val="none"/>
              </w:rPr>
            </w:pPr>
            <w:r>
              <w:rPr>
                <w:rFonts w:hint="eastAsia" w:ascii="宋体" w:hAnsi="宋体" w:cs="宋体"/>
                <w:color w:val="000000"/>
                <w:sz w:val="22"/>
                <w:highlight w:val="none"/>
              </w:rPr>
              <w:t xml:space="preserve">序号</w:t>
            </w:r>
            <w:r>
              <w:rPr>
                <w:rFonts w:hint="eastAsia" w:ascii="宋体" w:hAnsi="宋体" w:cs="宋体"/>
                <w:b/>
                <w:color w:val="000000"/>
                <w:szCs w:val="21"/>
                <w:highlight w:val="none"/>
              </w:rPr>
            </w:r>
            <w:r/>
          </w:p>
        </w:tc>
        <w:tc>
          <w:tcPr>
            <w:tcW w:w="1432" w:type="dxa"/>
            <w:vAlign w:val="center"/>
            <w:textDirection w:val="lrTb"/>
            <w:noWrap w:val="false"/>
          </w:tcPr>
          <w:p>
            <w:pPr>
              <w:pStyle w:val="678"/>
              <w:jc w:val="center"/>
              <w:spacing w:line="360" w:lineRule="auto"/>
              <w:rPr>
                <w:rFonts w:hint="eastAsia" w:ascii="宋体" w:hAnsi="宋体" w:cs="宋体"/>
                <w:b/>
                <w:color w:val="000000"/>
                <w:spacing w:val="6"/>
                <w:szCs w:val="21"/>
                <w:highlight w:val="none"/>
                <w:lang w:eastAsia="en-US" w:bidi="en-US"/>
              </w:rPr>
            </w:pPr>
            <w:r>
              <w:rPr>
                <w:rFonts w:hint="eastAsia" w:ascii="宋体" w:hAnsi="宋体" w:cs="宋体"/>
                <w:color w:val="000000"/>
                <w:sz w:val="22"/>
                <w:highlight w:val="none"/>
              </w:rPr>
              <w:t xml:space="preserve">评分因素</w:t>
            </w:r>
            <w:r>
              <w:rPr>
                <w:rFonts w:hint="eastAsia" w:ascii="宋体" w:hAnsi="宋体" w:cs="宋体"/>
                <w:b/>
                <w:color w:val="000000"/>
                <w:spacing w:val="6"/>
                <w:szCs w:val="21"/>
                <w:highlight w:val="none"/>
                <w:lang w:eastAsia="en-US" w:bidi="en-US"/>
              </w:rPr>
            </w:r>
            <w:r/>
          </w:p>
        </w:tc>
        <w:tc>
          <w:tcPr>
            <w:tcW w:w="6821" w:type="dxa"/>
            <w:vAlign w:val="center"/>
            <w:textDirection w:val="lrTb"/>
            <w:noWrap w:val="false"/>
          </w:tcPr>
          <w:p>
            <w:pPr>
              <w:pStyle w:val="678"/>
              <w:jc w:val="center"/>
              <w:spacing w:line="360" w:lineRule="auto"/>
              <w:rPr>
                <w:rFonts w:hint="eastAsia" w:ascii="宋体" w:hAnsi="宋体" w:cs="宋体"/>
                <w:b/>
                <w:color w:val="000000"/>
                <w:spacing w:val="6"/>
                <w:szCs w:val="21"/>
                <w:highlight w:val="none"/>
                <w:lang w:bidi="en-US"/>
              </w:rPr>
            </w:pPr>
            <w:r>
              <w:rPr>
                <w:rFonts w:hint="eastAsia" w:ascii="宋体" w:hAnsi="宋体" w:cs="宋体"/>
                <w:color w:val="000000"/>
                <w:sz w:val="22"/>
                <w:highlight w:val="none"/>
              </w:rPr>
              <w:t xml:space="preserve">评审标准</w:t>
            </w:r>
            <w:r>
              <w:rPr>
                <w:rFonts w:hint="eastAsia" w:ascii="宋体" w:hAnsi="宋体" w:cs="宋体"/>
                <w:b/>
                <w:color w:val="000000"/>
                <w:spacing w:val="6"/>
                <w:szCs w:val="21"/>
                <w:highlight w:val="none"/>
                <w:lang w:bidi="en-US"/>
              </w:rPr>
            </w:r>
            <w:r/>
          </w:p>
        </w:tc>
        <w:tc>
          <w:tcPr>
            <w:tcW w:w="937" w:type="dxa"/>
            <w:vAlign w:val="center"/>
            <w:textDirection w:val="lrTb"/>
            <w:noWrap w:val="false"/>
          </w:tcPr>
          <w:p>
            <w:pPr>
              <w:pStyle w:val="678"/>
              <w:jc w:val="center"/>
              <w:spacing w:line="360" w:lineRule="auto"/>
              <w:rPr>
                <w:rFonts w:hint="eastAsia" w:ascii="宋体" w:hAnsi="宋体" w:cs="宋体"/>
                <w:b/>
                <w:color w:val="000000"/>
                <w:szCs w:val="21"/>
                <w:highlight w:val="none"/>
                <w:lang w:bidi="en-US"/>
              </w:rPr>
            </w:pPr>
            <w:r>
              <w:rPr>
                <w:rFonts w:hint="eastAsia" w:ascii="宋体" w:hAnsi="宋体" w:cs="宋体"/>
                <w:color w:val="000000"/>
                <w:sz w:val="22"/>
                <w:highlight w:val="none"/>
              </w:rPr>
              <w:t xml:space="preserve">分值</w:t>
            </w:r>
            <w:r>
              <w:rPr>
                <w:rFonts w:hint="eastAsia" w:ascii="宋体" w:hAnsi="宋体" w:cs="宋体"/>
                <w:b/>
                <w:color w:val="000000"/>
                <w:szCs w:val="21"/>
                <w:highlight w:val="none"/>
                <w:lang w:bidi="en-US"/>
              </w:rPr>
            </w:r>
            <w:r/>
          </w:p>
        </w:tc>
      </w:tr>
      <w:tr>
        <w:trPr>
          <w:trHeight w:val="1147"/>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价格</w:t>
            </w:r>
            <w:r>
              <w:rPr>
                <w:rFonts w:hint="eastAsia" w:ascii="宋体" w:hAnsi="宋体" w:cs="宋体"/>
                <w:color w:val="000000"/>
                <w:szCs w:val="21"/>
                <w:highlight w:val="none"/>
                <w:lang w:bidi="en-US"/>
              </w:rPr>
            </w:r>
            <w:r/>
          </w:p>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6821" w:type="dxa"/>
            <w:vAlign w:val="center"/>
            <w:textDirection w:val="lrTb"/>
            <w:noWrap w:val="false"/>
          </w:tcPr>
          <w:p>
            <w:pPr>
              <w:pStyle w:val="678"/>
              <w:spacing w:line="360" w:lineRule="auto"/>
              <w:rPr>
                <w:rFonts w:hint="eastAsia" w:ascii="宋体" w:hAnsi="宋体" w:cs="宋体"/>
                <w:color w:val="000000"/>
                <w:szCs w:val="21"/>
                <w:highlight w:val="none"/>
                <w:lang w:bidi="en-US"/>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ascii="宋体" w:hAnsi="宋体"/>
                <w:color w:val="000000"/>
                <w:szCs w:val="21"/>
                <w:highlight w:val="none"/>
              </w:rPr>
              <w:t xml:space="preserve">3</w:t>
            </w:r>
            <w:r>
              <w:rPr>
                <w:rFonts w:hint="eastAsia" w:ascii="宋体" w:hAnsi="宋体"/>
                <w:color w:val="000000"/>
                <w:szCs w:val="21"/>
                <w:highlight w:val="none"/>
              </w:rPr>
              <w:t xml:space="preserve">0（小数点保留两位）</w:t>
            </w:r>
            <w:r>
              <w:rPr>
                <w:rFonts w:hint="eastAsia" w:ascii="宋体" w:hAnsi="宋体" w:cs="宋体"/>
                <w:color w:val="000000"/>
                <w:szCs w:val="21"/>
                <w:highlight w:val="none"/>
                <w:lang w:bidi="en-US"/>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30分</w:t>
            </w:r>
            <w:r>
              <w:rPr>
                <w:rFonts w:hint="eastAsia" w:ascii="宋体" w:hAnsi="宋体" w:cs="宋体"/>
                <w:color w:val="000000"/>
                <w:szCs w:val="21"/>
                <w:highlight w:val="none"/>
                <w:lang w:bidi="en-US"/>
              </w:rPr>
            </w:r>
            <w:r/>
          </w:p>
        </w:tc>
      </w:tr>
      <w:tr>
        <w:trPr>
          <w:trHeight w:val="340"/>
        </w:trPr>
        <w:tc>
          <w:tcPr>
            <w:tcW w:w="532" w:type="dxa"/>
            <w:vAlign w:val="center"/>
            <w:vMerge w:val="restart"/>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2</w:t>
            </w:r>
            <w:r>
              <w:rPr>
                <w:rFonts w:hint="eastAsia" w:ascii="宋体" w:hAnsi="宋体" w:cs="宋体"/>
                <w:color w:val="000000"/>
                <w:szCs w:val="21"/>
                <w:highlight w:val="none"/>
                <w:lang w:bidi="en-US"/>
              </w:rPr>
            </w:r>
            <w:r/>
          </w:p>
        </w:tc>
        <w:tc>
          <w:tcPr>
            <w:tcW w:w="1432" w:type="dxa"/>
            <w:vAlign w:val="center"/>
            <w:vMerge w:val="restart"/>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项目实施方案</w:t>
            </w: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设置服务组织机构，且有相应的</w:t>
            </w:r>
            <w:r>
              <w:rPr>
                <w:rFonts w:hint="eastAsia" w:ascii="宋体" w:hAnsi="宋体"/>
                <w:b/>
                <w:bCs/>
                <w:color w:val="000000"/>
                <w:szCs w:val="21"/>
                <w:highlight w:val="none"/>
                <w:u w:val="single"/>
              </w:rPr>
              <w:t xml:space="preserve">岗位职责、工作流程、规章制度</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ascii="宋体" w:hAnsi="宋体" w:eastAsia="宋体"/>
                <w:color w:val="000000"/>
                <w:szCs w:val="21"/>
                <w:highlight w:val="none"/>
                <w:lang w:val="en-US"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方案基本详细完整、合理，针对性、可操作性一般得3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未提供不得分。</w:t>
            </w:r>
            <w:r>
              <w:rPr>
                <w:rFonts w:ascii="宋体" w:hAnsi="宋体" w:eastAsia="宋体"/>
                <w:color w:val="000000"/>
                <w:szCs w:val="21"/>
                <w:highlight w:val="none"/>
                <w:lang w:val="en-US" w:eastAsia="zh-CN"/>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340"/>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液氧的</w:t>
            </w:r>
            <w:r>
              <w:rPr>
                <w:rFonts w:hint="eastAsia" w:ascii="宋体" w:hAnsi="宋体"/>
                <w:b/>
                <w:bCs/>
                <w:color w:val="000000"/>
                <w:szCs w:val="21"/>
                <w:highlight w:val="none"/>
                <w:u w:val="single"/>
              </w:rPr>
              <w:t xml:space="preserve">制造工艺、供货服务</w:t>
            </w:r>
            <w:r>
              <w:rPr>
                <w:rFonts w:hint="eastAsia" w:ascii="宋体" w:hAnsi="宋体"/>
                <w:color w:val="000000"/>
                <w:szCs w:val="21"/>
                <w:highlight w:val="none"/>
              </w:rPr>
              <w:t xml:space="preserve">措施</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措施基本详细完整、合理，针对性、可操作性一般得 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措施不详细、完整、合理不具有针对性、可行性差得 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340"/>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numPr>
                <w:ilvl w:val="0"/>
                <w:numId w:val="0"/>
              </w:numPr>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液氧运输过程中</w:t>
            </w:r>
            <w:r>
              <w:rPr>
                <w:rFonts w:hint="eastAsia" w:ascii="宋体" w:hAnsi="宋体"/>
                <w:b/>
                <w:bCs/>
                <w:color w:val="000000"/>
                <w:szCs w:val="21"/>
                <w:highlight w:val="none"/>
                <w:u w:val="single"/>
              </w:rPr>
              <w:t xml:space="preserve">质量控制措施</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措施详细、完整、合理，具有针对性、可操作性强得 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措施基本详细完整、合理，针对性、可操作性一般得 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措施不详细、完整、合理不具有针对性、可行性差得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1128"/>
        </w:trPr>
        <w:tc>
          <w:tcPr>
            <w:tcW w:w="532" w:type="dxa"/>
            <w:vAlign w:val="center"/>
            <w:vMerge w:val="continue"/>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tc>
        <w:tc>
          <w:tcPr>
            <w:tcW w:w="1432" w:type="dxa"/>
            <w:vAlign w:val="center"/>
            <w:vMerge w:val="continue"/>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液氧运输过程中安全措施、液氧储存的</w:t>
            </w:r>
            <w:r>
              <w:rPr>
                <w:rFonts w:hint="eastAsia" w:ascii="宋体" w:hAnsi="宋体"/>
                <w:b/>
                <w:bCs/>
                <w:color w:val="000000"/>
                <w:szCs w:val="21"/>
                <w:highlight w:val="none"/>
                <w:u w:val="single"/>
              </w:rPr>
              <w:t xml:space="preserve">安全措施及定期走访</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方案详细、完整、合理，具有针对性、可操作性强得 5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方案基本详细完整、合理，针对性、可操作性一般得 3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方案不详细、完整、合理不具有针对性、可行性差得 1 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5分</w:t>
            </w:r>
            <w:r>
              <w:rPr>
                <w:rFonts w:hint="eastAsia" w:ascii="宋体" w:hAnsi="宋体" w:cs="宋体"/>
                <w:color w:val="000000"/>
                <w:szCs w:val="21"/>
                <w:highlight w:val="none"/>
                <w:lang w:bidi="en-US"/>
              </w:rPr>
            </w:r>
            <w:r/>
          </w:p>
        </w:tc>
      </w:tr>
      <w:tr>
        <w:trPr>
          <w:trHeight w:val="1076"/>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3</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应急处理方案</w:t>
            </w:r>
            <w:r>
              <w:rPr>
                <w:rFonts w:hint="eastAsia" w:ascii="宋体" w:hAnsi="宋体"/>
                <w:color w:val="000000"/>
                <w:szCs w:val="21"/>
                <w:highlight w:val="none"/>
              </w:rPr>
            </w:r>
            <w:r/>
          </w:p>
        </w:tc>
        <w:tc>
          <w:tcPr>
            <w:tcW w:w="6821" w:type="dxa"/>
            <w:vAlign w:val="top"/>
            <w:textDirection w:val="lrTb"/>
            <w:noWrap w:val="false"/>
          </w:tcPr>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供应商提供的</w:t>
            </w:r>
            <w:r>
              <w:rPr>
                <w:rFonts w:hint="eastAsia" w:ascii="宋体" w:hAnsi="宋体"/>
                <w:color w:val="000000"/>
                <w:szCs w:val="21"/>
                <w:highlight w:val="none"/>
              </w:rPr>
              <w:t xml:space="preserve">应急处理</w:t>
            </w:r>
            <w:r>
              <w:rPr>
                <w:rFonts w:hint="eastAsia" w:ascii="宋体" w:hAnsi="宋体"/>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突发事件、紧急</w:t>
            </w:r>
            <w:r>
              <w:rPr>
                <w:rFonts w:hint="eastAsia" w:ascii="Times New Roman" w:hAnsi="Times New Roman" w:eastAsia="宋体" w:cs="Times New Roman"/>
                <w:color w:val="000000"/>
                <w:szCs w:val="21"/>
                <w:highlight w:val="none"/>
                <w:lang w:val="zh-CN" w:eastAsia="zh-CN"/>
              </w:rPr>
              <w:t xml:space="preserve">保障</w:t>
            </w:r>
            <w:r>
              <w:rPr>
                <w:rFonts w:hint="eastAsia" w:cs="Times New Roman"/>
                <w:color w:val="000000"/>
                <w:szCs w:val="21"/>
                <w:highlight w:val="none"/>
                <w:lang w:val="zh-CN" w:eastAsia="zh-CN"/>
              </w:rPr>
              <w:t xml:space="preserve">、</w:t>
            </w:r>
            <w:r>
              <w:rPr>
                <w:rFonts w:hint="eastAsia" w:cs="Times New Roman"/>
                <w:color w:val="000000"/>
                <w:szCs w:val="21"/>
                <w:highlight w:val="none"/>
                <w:lang w:val="en-US" w:eastAsia="zh-CN"/>
              </w:rPr>
              <w:t xml:space="preserve">应急响应等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rPr>
            </w:r>
            <w:r/>
          </w:p>
          <w:p>
            <w:pPr>
              <w:pStyle w:val="678"/>
              <w:spacing w:line="360" w:lineRule="auto"/>
              <w:rPr>
                <w:rFonts w:hint="eastAsia"/>
                <w:color w:val="000000"/>
                <w:highlight w:val="none"/>
                <w:lang w:eastAsia="zh-CN"/>
              </w:rPr>
            </w:pPr>
            <w:r>
              <w:rPr>
                <w:rFonts w:hint="eastAsia"/>
                <w:color w:val="000000"/>
                <w:highlight w:val="none"/>
              </w:rPr>
              <w:t xml:space="preserve">方案明确、详尽，合理，应急处理具有实际可操作性得 10 分</w:t>
            </w:r>
            <w:r>
              <w:rPr>
                <w:rFonts w:hint="eastAsia"/>
                <w:color w:val="000000"/>
                <w:highlight w:val="none"/>
                <w:lang w:eastAsia="zh-CN"/>
              </w:rPr>
              <w:t xml:space="preserve">；</w:t>
            </w:r>
            <w:r>
              <w:rPr>
                <w:rFonts w:hint="eastAsia"/>
                <w:color w:val="000000"/>
                <w:highlight w:val="none"/>
                <w:lang w:eastAsia="zh-CN"/>
              </w:rPr>
            </w:r>
            <w:r/>
          </w:p>
          <w:p>
            <w:pPr>
              <w:pStyle w:val="678"/>
              <w:spacing w:line="360" w:lineRule="auto"/>
              <w:rPr>
                <w:rFonts w:hint="eastAsia"/>
                <w:color w:val="000000"/>
                <w:highlight w:val="none"/>
                <w:lang w:eastAsia="zh-CN"/>
              </w:rPr>
            </w:pPr>
            <w:r>
              <w:rPr>
                <w:rFonts w:hint="eastAsia"/>
                <w:color w:val="000000"/>
                <w:highlight w:val="none"/>
              </w:rPr>
              <w:t xml:space="preserve">方案基本明确、合理，应急处理具有</w:t>
            </w:r>
            <w:r>
              <w:rPr>
                <w:rFonts w:hint="eastAsia"/>
                <w:color w:val="000000"/>
                <w:highlight w:val="none"/>
                <w:lang w:val="en-US" w:eastAsia="zh-CN"/>
              </w:rPr>
              <w:t xml:space="preserve">一定操作性</w:t>
            </w:r>
            <w:r>
              <w:rPr>
                <w:rFonts w:hint="eastAsia"/>
                <w:color w:val="000000"/>
                <w:highlight w:val="none"/>
              </w:rPr>
              <w:t xml:space="preserve">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678"/>
              <w:spacing w:line="360" w:lineRule="auto"/>
              <w:rPr>
                <w:rFonts w:hint="eastAsia" w:ascii="宋体" w:hAnsi="宋体"/>
                <w:color w:val="000000"/>
                <w:szCs w:val="21"/>
                <w:highlight w:val="none"/>
                <w:lang w:eastAsia="zh-CN"/>
              </w:rPr>
            </w:pPr>
            <w:r>
              <w:rPr>
                <w:rFonts w:hint="eastAsia"/>
                <w:color w:val="000000"/>
                <w:highlight w:val="none"/>
              </w:rPr>
              <w:t xml:space="preserve">方案不太明确、合理，可操作性一般得</w:t>
            </w:r>
            <w:r>
              <w:rPr>
                <w:rFonts w:hint="eastAsia"/>
                <w:color w:val="000000"/>
                <w:highlight w:val="none"/>
                <w:lang w:val="en-US" w:eastAsia="zh-CN"/>
              </w:rPr>
              <w:t xml:space="preserve">4</w:t>
            </w:r>
            <w:r>
              <w:rPr>
                <w:rFonts w:hint="eastAsia"/>
                <w:color w:val="000000"/>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1007"/>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4</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售后服务及培训计划</w:t>
            </w:r>
            <w:r>
              <w:rPr>
                <w:rFonts w:hint="eastAsia" w:ascii="宋体" w:hAnsi="宋体" w:cs="宋体"/>
                <w:color w:val="000000"/>
                <w:szCs w:val="21"/>
                <w:highlight w:val="none"/>
              </w:rPr>
            </w:r>
            <w:r/>
          </w:p>
        </w:tc>
        <w:tc>
          <w:tcPr>
            <w:tcW w:w="6821" w:type="dxa"/>
            <w:vAlign w:val="center"/>
            <w:textDirection w:val="lrTb"/>
            <w:noWrap w:val="false"/>
          </w:tcPr>
          <w:p>
            <w:pPr>
              <w:pStyle w:val="678"/>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供应商提供的</w:t>
            </w:r>
            <w:r>
              <w:rPr>
                <w:rFonts w:hint="eastAsia" w:ascii="宋体" w:hAnsi="宋体" w:cs="宋体"/>
                <w:color w:val="000000"/>
                <w:szCs w:val="21"/>
                <w:highlight w:val="none"/>
              </w:rPr>
              <w:t xml:space="preserve">售后服务及培训计划</w:t>
            </w:r>
            <w:r>
              <w:rPr>
                <w:rFonts w:hint="eastAsia" w:ascii="宋体" w:hAnsi="宋体" w:cs="宋体"/>
                <w:color w:val="000000"/>
                <w:szCs w:val="21"/>
                <w:highlight w:val="none"/>
                <w:lang w:eastAsia="zh-CN"/>
              </w:rPr>
              <w:t xml:space="preserve">（</w:t>
            </w:r>
            <w:r>
              <w:rPr>
                <w:rFonts w:hint="eastAsia"/>
                <w:color w:val="000000"/>
                <w:highlight w:val="none"/>
              </w:rPr>
              <w:t xml:space="preserve">针对员工技能、服务的</w:t>
            </w:r>
            <w:r>
              <w:rPr>
                <w:rFonts w:hint="eastAsia"/>
                <w:b/>
                <w:bCs/>
                <w:color w:val="000000"/>
                <w:highlight w:val="none"/>
                <w:u w:val="single"/>
              </w:rPr>
              <w:t xml:space="preserve">培训方案</w:t>
            </w:r>
            <w:r>
              <w:rPr>
                <w:rFonts w:hint="eastAsia"/>
                <w:color w:val="000000"/>
                <w:highlight w:val="none"/>
              </w:rPr>
              <w:t xml:space="preserve">和现场管理人员管理的培训方案</w:t>
            </w:r>
            <w:r>
              <w:rPr>
                <w:rFonts w:hint="eastAsia" w:ascii="宋体" w:hAnsi="宋体" w:cs="宋体"/>
                <w:color w:val="000000"/>
                <w:szCs w:val="21"/>
                <w:highlight w:val="none"/>
                <w:lang w:eastAsia="zh-CN"/>
              </w:rPr>
              <w:t xml:space="preserve">）</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进行评审：</w:t>
            </w:r>
            <w:r>
              <w:rPr>
                <w:rFonts w:hint="eastAsia" w:ascii="宋体" w:hAnsi="宋体"/>
                <w:color w:val="000000"/>
                <w:szCs w:val="21"/>
                <w:highlight w:val="none"/>
                <w:lang w:val="en-US" w:eastAsia="zh-CN"/>
              </w:rPr>
            </w:r>
            <w:r/>
          </w:p>
          <w:p>
            <w:pPr>
              <w:pStyle w:val="678"/>
              <w:spacing w:line="360" w:lineRule="auto"/>
              <w:rPr>
                <w:rFonts w:hint="eastAsia"/>
                <w:color w:val="000000"/>
                <w:highlight w:val="none"/>
                <w:lang w:eastAsia="zh-CN"/>
              </w:rPr>
            </w:pPr>
            <w:r>
              <w:rPr>
                <w:rFonts w:hint="eastAsia"/>
                <w:color w:val="000000"/>
                <w:highlight w:val="none"/>
              </w:rPr>
              <w:t xml:space="preserve">培训方案详细、完整</w:t>
            </w:r>
            <w:r>
              <w:rPr>
                <w:rFonts w:hint="eastAsia"/>
                <w:color w:val="000000"/>
                <w:highlight w:val="none"/>
                <w:lang w:eastAsia="zh-CN"/>
              </w:rPr>
              <w:t xml:space="preserve">、</w:t>
            </w:r>
            <w:r>
              <w:rPr>
                <w:rFonts w:hint="eastAsia"/>
                <w:color w:val="000000"/>
                <w:highlight w:val="none"/>
                <w:lang w:val="en-US" w:eastAsia="zh-CN"/>
              </w:rPr>
              <w:t xml:space="preserve">内容齐全</w:t>
            </w:r>
            <w:r>
              <w:rPr>
                <w:rFonts w:hint="eastAsia"/>
                <w:color w:val="000000"/>
                <w:highlight w:val="none"/>
              </w:rPr>
              <w:t xml:space="preserve">得 </w:t>
            </w:r>
            <w:r>
              <w:rPr>
                <w:color w:val="000000"/>
                <w:highlight w:val="none"/>
              </w:rPr>
              <w:t xml:space="preserve">10</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678"/>
              <w:spacing w:line="360" w:lineRule="auto"/>
              <w:rPr>
                <w:rFonts w:hint="eastAsia"/>
                <w:color w:val="000000"/>
                <w:highlight w:val="none"/>
                <w:lang w:eastAsia="zh-CN"/>
              </w:rPr>
            </w:pPr>
            <w:r>
              <w:rPr>
                <w:rFonts w:hint="eastAsia"/>
                <w:color w:val="000000"/>
                <w:highlight w:val="none"/>
              </w:rPr>
              <w:t xml:space="preserve">培训方案基本详细、</w:t>
            </w:r>
            <w:r>
              <w:rPr>
                <w:rFonts w:hint="eastAsia"/>
                <w:color w:val="000000"/>
                <w:highlight w:val="none"/>
                <w:lang w:val="en-US" w:eastAsia="zh-CN"/>
              </w:rPr>
              <w:t xml:space="preserve">基本考虑齐全</w:t>
            </w:r>
            <w:r>
              <w:rPr>
                <w:rFonts w:hint="eastAsia"/>
                <w:color w:val="000000"/>
                <w:highlight w:val="none"/>
              </w:rPr>
              <w:t xml:space="preserve">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678"/>
              <w:spacing w:line="360" w:lineRule="auto"/>
              <w:rPr>
                <w:rFonts w:hint="eastAsia" w:ascii="宋体" w:hAnsi="宋体"/>
                <w:color w:val="000000"/>
                <w:szCs w:val="21"/>
                <w:highlight w:val="none"/>
                <w:lang w:eastAsia="zh-CN"/>
              </w:rPr>
            </w:pPr>
            <w:r>
              <w:rPr>
                <w:rFonts w:hint="eastAsia"/>
                <w:color w:val="000000"/>
                <w:highlight w:val="none"/>
              </w:rPr>
              <w:t xml:space="preserve">培训方案不详细、</w:t>
            </w:r>
            <w:r>
              <w:rPr>
                <w:rFonts w:hint="eastAsia"/>
                <w:color w:val="000000"/>
                <w:highlight w:val="none"/>
                <w:lang w:val="en-US" w:eastAsia="zh-CN"/>
              </w:rPr>
              <w:t xml:space="preserve">内容一半</w:t>
            </w:r>
            <w:r>
              <w:rPr>
                <w:rFonts w:hint="eastAsia"/>
                <w:color w:val="000000"/>
                <w:highlight w:val="none"/>
              </w:rPr>
              <w:t xml:space="preserve">得</w:t>
            </w:r>
            <w:r>
              <w:rPr>
                <w:rFonts w:hint="eastAsia"/>
                <w:color w:val="000000"/>
                <w:highlight w:val="none"/>
                <w:lang w:val="en-US" w:eastAsia="zh-CN"/>
              </w:rPr>
              <w:t xml:space="preserve">4</w:t>
            </w:r>
            <w:r>
              <w:rPr>
                <w:rFonts w:hint="eastAsia"/>
                <w:color w:val="000000"/>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678"/>
              <w:spacing w:line="360" w:lineRule="auto"/>
              <w:rPr>
                <w:color w:val="000000"/>
                <w:highlight w:val="none"/>
              </w:rPr>
            </w:pPr>
            <w:r>
              <w:rPr>
                <w:rFonts w:hint="eastAsia" w:ascii="宋体" w:hAnsi="宋体"/>
                <w:color w:val="000000"/>
                <w:szCs w:val="21"/>
                <w:highlight w:val="none"/>
                <w:lang w:val="en-US" w:eastAsia="zh-CN"/>
              </w:rPr>
              <w:t xml:space="preserve">未提供不得分。</w:t>
            </w:r>
            <w:r>
              <w:rPr>
                <w:color w:val="000000"/>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ascii="宋体" w:hAnsi="宋体" w:cs="宋体"/>
                <w:color w:val="000000"/>
                <w:szCs w:val="21"/>
                <w:highlight w:val="none"/>
                <w:lang w:bidi="en-US"/>
              </w:rPr>
              <w:t xml:space="preserve">10</w:t>
            </w:r>
            <w:r>
              <w:rPr>
                <w:rFonts w:hint="eastAsia" w:ascii="宋体" w:hAnsi="宋体" w:cs="宋体"/>
                <w:color w:val="000000"/>
                <w:szCs w:val="21"/>
                <w:highlight w:val="none"/>
                <w:lang w:bidi="en-US"/>
              </w:rPr>
              <w:t xml:space="preserve">分</w:t>
            </w:r>
            <w:r>
              <w:rPr>
                <w:rFonts w:hint="eastAsia" w:ascii="宋体" w:hAnsi="宋体" w:cs="宋体"/>
                <w:color w:val="000000"/>
                <w:szCs w:val="21"/>
                <w:highlight w:val="none"/>
                <w:lang w:bidi="en-US"/>
              </w:rPr>
            </w:r>
            <w:r/>
          </w:p>
        </w:tc>
      </w:tr>
      <w:tr>
        <w:trPr>
          <w:trHeight w:val="337"/>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5</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送货能力</w:t>
            </w:r>
            <w:r>
              <w:rPr>
                <w:rFonts w:hint="eastAsia" w:ascii="宋体" w:hAnsi="宋体" w:cs="宋体"/>
                <w:color w:val="000000"/>
                <w:szCs w:val="21"/>
                <w:highlight w:val="none"/>
              </w:rPr>
            </w:r>
            <w:r/>
          </w:p>
          <w:p>
            <w:pPr>
              <w:pStyle w:val="678"/>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1" w:type="dxa"/>
            <w:vAlign w:val="center"/>
            <w:textDirection w:val="lrTb"/>
            <w:noWrap w:val="false"/>
          </w:tcPr>
          <w:p>
            <w:pPr>
              <w:pStyle w:val="678"/>
              <w:spacing w:line="360" w:lineRule="auto"/>
              <w:rPr>
                <w:rFonts w:hint="eastAsia"/>
                <w:color w:val="000000"/>
                <w:highlight w:val="none"/>
                <w:lang w:val="en-US" w:eastAsia="zh-CN"/>
              </w:rPr>
            </w:pPr>
            <w:r>
              <w:rPr>
                <w:rFonts w:hint="eastAsia"/>
                <w:color w:val="000000"/>
                <w:highlight w:val="none"/>
                <w:lang w:val="en-US" w:eastAsia="zh-CN"/>
              </w:rPr>
              <w:t xml:space="preserve">根据供应商提供的车辆配送、人员团队方案进行评审：</w:t>
            </w:r>
            <w:r>
              <w:rPr>
                <w:rFonts w:hint="eastAsia"/>
                <w:color w:val="000000"/>
                <w:highlight w:val="none"/>
                <w:lang w:val="en-US" w:eastAsia="zh-CN"/>
              </w:rPr>
            </w:r>
            <w:r/>
          </w:p>
          <w:p>
            <w:pPr>
              <w:pStyle w:val="678"/>
              <w:spacing w:line="360" w:lineRule="auto"/>
              <w:rPr>
                <w:color w:val="000000"/>
                <w:highlight w:val="none"/>
                <w:lang w:val="en-US" w:eastAsia="zh-CN"/>
              </w:rPr>
            </w:pPr>
            <w:r>
              <w:rPr>
                <w:color w:val="000000"/>
                <w:highlight w:val="none"/>
                <w:lang w:val="en-US" w:eastAsia="zh-CN"/>
              </w:rPr>
              <w:t xml:space="preserve">车辆配置充足合理，配送方案科学完善，信息化管理先进；人员团队配置齐全，专业能力强，培训体系健全，稳定性高，服务规范完善，得10分；</w:t>
            </w:r>
            <w:r>
              <w:rPr>
                <w:color w:val="000000"/>
                <w:highlight w:val="none"/>
                <w:lang w:val="en-US" w:eastAsia="zh-CN"/>
              </w:rPr>
            </w:r>
            <w:r/>
          </w:p>
          <w:p>
            <w:pPr>
              <w:pStyle w:val="678"/>
              <w:spacing w:line="360" w:lineRule="auto"/>
              <w:rPr>
                <w:color w:val="000000"/>
                <w:highlight w:val="none"/>
                <w:lang w:val="en-US" w:eastAsia="zh-CN"/>
              </w:rPr>
            </w:pPr>
            <w:r>
              <w:rPr>
                <w:color w:val="000000"/>
                <w:highlight w:val="none"/>
                <w:lang w:val="en-US" w:eastAsia="zh-CN"/>
              </w:rPr>
              <w:t xml:space="preserve">车辆配置基本满足需求，配送方案较为合理，信息化管理基本具备；人员团队配置基本齐全，专业能力符合要求，有基本培训和管理措施，得7分；</w:t>
            </w:r>
            <w:r>
              <w:rPr>
                <w:color w:val="000000"/>
                <w:highlight w:val="none"/>
                <w:lang w:val="en-US" w:eastAsia="zh-CN"/>
              </w:rPr>
            </w:r>
            <w:r/>
          </w:p>
          <w:p>
            <w:pPr>
              <w:pStyle w:val="678"/>
              <w:spacing w:line="360" w:lineRule="auto"/>
              <w:rPr>
                <w:color w:val="000000"/>
                <w:highlight w:val="none"/>
                <w:lang w:val="en-US" w:eastAsia="zh-CN"/>
              </w:rPr>
            </w:pPr>
            <w:r>
              <w:rPr>
                <w:color w:val="000000"/>
                <w:highlight w:val="none"/>
                <w:lang w:val="en-US" w:eastAsia="zh-CN"/>
              </w:rPr>
              <w:t xml:space="preserve">车辆配置勉强满足需求，配送方案存在一定不足，信息化管理较弱；人员团队配置基本满足，专业能力一般，培训和管理措施不完善，得4分；</w:t>
            </w:r>
            <w:r>
              <w:rPr>
                <w:color w:val="000000"/>
                <w:highlight w:val="none"/>
                <w:lang w:val="en-US" w:eastAsia="zh-CN"/>
              </w:rPr>
            </w:r>
            <w:r/>
          </w:p>
          <w:p>
            <w:pPr>
              <w:pStyle w:val="678"/>
              <w:spacing w:line="360" w:lineRule="auto"/>
              <w:rPr>
                <w:color w:val="000000"/>
                <w:highlight w:val="none"/>
                <w:lang w:val="en-US" w:eastAsia="zh-CN"/>
              </w:rPr>
            </w:pPr>
            <w:r>
              <w:rPr>
                <w:color w:val="000000"/>
                <w:highlight w:val="none"/>
                <w:lang w:val="en-US" w:eastAsia="zh-CN"/>
              </w:rPr>
              <w:t xml:space="preserve">车辆配置不足或配送方案不合理，信息化管理缺失；人员团队配置不完整，专业能力不足，缺乏培训和管理机制，得1分；</w:t>
            </w:r>
            <w:r>
              <w:rPr>
                <w:color w:val="000000"/>
                <w:highlight w:val="none"/>
                <w:lang w:val="en-US" w:eastAsia="zh-CN"/>
              </w:rPr>
            </w:r>
            <w:r/>
          </w:p>
          <w:p>
            <w:pPr>
              <w:pStyle w:val="678"/>
              <w:spacing w:line="360" w:lineRule="auto"/>
              <w:rPr>
                <w:color w:val="000000"/>
                <w:highlight w:val="none"/>
                <w:lang w:val="en-US" w:eastAsia="zh-CN"/>
              </w:rPr>
            </w:pPr>
            <w:r>
              <w:rPr>
                <w:color w:val="000000"/>
                <w:highlight w:val="none"/>
                <w:lang w:val="en-US" w:eastAsia="zh-CN"/>
              </w:rPr>
              <w:t xml:space="preserve">未提供不得分</w:t>
            </w:r>
            <w:r>
              <w:rPr>
                <w:rFonts w:hint="eastAsia"/>
                <w:color w:val="000000"/>
                <w:highlight w:val="none"/>
                <w:lang w:val="en-US" w:eastAsia="zh-CN"/>
              </w:rPr>
              <w:t xml:space="preserve">。</w:t>
            </w:r>
            <w:r>
              <w:rPr>
                <w:color w:val="000000"/>
                <w:highlight w:val="none"/>
                <w:lang w:val="en-US" w:eastAsia="zh-CN"/>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342"/>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6</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送货及时性</w:t>
            </w:r>
            <w:r>
              <w:rPr>
                <w:rFonts w:hint="eastAsia" w:ascii="宋体" w:hAnsi="宋体" w:cs="宋体"/>
                <w:color w:val="000000"/>
                <w:szCs w:val="21"/>
                <w:highlight w:val="none"/>
              </w:rPr>
            </w:r>
            <w:r/>
          </w:p>
        </w:tc>
        <w:tc>
          <w:tcPr>
            <w:tcW w:w="6821" w:type="dxa"/>
            <w:vAlign w:val="center"/>
            <w:textDirection w:val="lrTb"/>
            <w:noWrap w:val="false"/>
          </w:tcPr>
          <w:p>
            <w:pPr>
              <w:pStyle w:val="678"/>
              <w:spacing w:line="360" w:lineRule="auto"/>
              <w:rPr>
                <w:color w:val="000000"/>
                <w:highlight w:val="none"/>
              </w:rPr>
            </w:pPr>
            <w:r>
              <w:rPr>
                <w:rFonts w:hint="eastAsia"/>
                <w:color w:val="000000"/>
                <w:highlight w:val="none"/>
              </w:rPr>
              <w:t xml:space="preserve">根据</w:t>
            </w:r>
            <w:r>
              <w:rPr>
                <w:rFonts w:hint="eastAsia"/>
                <w:color w:val="000000"/>
                <w:highlight w:val="none"/>
                <w:lang w:val="en-US" w:eastAsia="zh-CN"/>
              </w:rPr>
              <w:t xml:space="preserve">供应商</w:t>
            </w:r>
            <w:r>
              <w:rPr>
                <w:rFonts w:hint="eastAsia"/>
                <w:color w:val="000000"/>
                <w:highlight w:val="none"/>
              </w:rPr>
              <w:t xml:space="preserve">提供的供货响应时间承诺进行评审（附高德</w:t>
            </w:r>
            <w:r>
              <w:rPr>
                <w:rFonts w:hint="eastAsia"/>
                <w:color w:val="000000"/>
                <w:highlight w:val="none"/>
                <w:lang w:eastAsia="zh-CN"/>
              </w:rPr>
              <w:t xml:space="preserve">、</w:t>
            </w:r>
            <w:r>
              <w:rPr>
                <w:rFonts w:hint="eastAsia"/>
                <w:color w:val="000000"/>
                <w:highlight w:val="none"/>
                <w:lang w:val="en-US" w:eastAsia="zh-CN"/>
              </w:rPr>
              <w:t xml:space="preserve">百度</w:t>
            </w:r>
            <w:r>
              <w:rPr>
                <w:rFonts w:hint="eastAsia"/>
                <w:color w:val="000000"/>
                <w:highlight w:val="none"/>
              </w:rPr>
              <w:t xml:space="preserve">导航截图）</w:t>
            </w:r>
            <w:r>
              <w:rPr>
                <w:color w:val="000000"/>
                <w:highlight w:val="none"/>
              </w:rPr>
            </w:r>
            <w:r/>
          </w:p>
          <w:p>
            <w:pPr>
              <w:pStyle w:val="678"/>
              <w:spacing w:line="360" w:lineRule="auto"/>
              <w:rPr>
                <w:rFonts w:hint="eastAsia" w:eastAsia="宋体"/>
                <w:color w:val="000000"/>
                <w:highlight w:val="none"/>
                <w:lang w:eastAsia="zh-CN"/>
              </w:rPr>
            </w:pPr>
            <w:r>
              <w:rPr>
                <w:rFonts w:hint="eastAsia"/>
                <w:color w:val="000000"/>
                <w:highlight w:val="none"/>
              </w:rPr>
              <w:t xml:space="preserve">承诺在接到采购人通知后最迟需在</w:t>
            </w:r>
            <w:r>
              <w:rPr>
                <w:color w:val="000000"/>
                <w:highlight w:val="none"/>
              </w:rPr>
              <w:t xml:space="preserve">24</w:t>
            </w:r>
            <w:r>
              <w:rPr>
                <w:rFonts w:hint="eastAsia"/>
                <w:color w:val="000000"/>
                <w:highlight w:val="none"/>
              </w:rPr>
              <w:t xml:space="preserve">小时内送货到现场</w:t>
            </w:r>
            <w:r>
              <w:rPr>
                <w:rFonts w:hint="eastAsia"/>
                <w:color w:val="000000"/>
                <w:highlight w:val="none"/>
                <w:lang w:eastAsia="zh-CN"/>
              </w:rPr>
              <w:t xml:space="preserve">；</w:t>
            </w:r>
            <w:r>
              <w:rPr>
                <w:rFonts w:hint="eastAsia" w:eastAsia="宋体"/>
                <w:color w:val="000000"/>
                <w:highlight w:val="none"/>
                <w:lang w:eastAsia="zh-CN"/>
              </w:rPr>
            </w:r>
            <w:r/>
          </w:p>
          <w:p>
            <w:pPr>
              <w:pStyle w:val="678"/>
              <w:numPr>
                <w:ilvl w:val="0"/>
                <w:numId w:val="6"/>
              </w:numPr>
              <w:spacing w:line="360" w:lineRule="auto"/>
              <w:rPr>
                <w:color w:val="000000"/>
                <w:highlight w:val="none"/>
              </w:rPr>
            </w:pPr>
            <w:r>
              <w:rPr>
                <w:rFonts w:hint="eastAsia"/>
                <w:color w:val="000000"/>
                <w:highlight w:val="none"/>
              </w:rPr>
              <w:t xml:space="preserve">承诺在接到采购人通知后超过</w:t>
            </w:r>
            <w:r>
              <w:rPr>
                <w:color w:val="000000"/>
                <w:highlight w:val="none"/>
              </w:rPr>
              <w:t xml:space="preserve">8</w:t>
            </w:r>
            <w:r>
              <w:rPr>
                <w:rFonts w:hint="eastAsia"/>
                <w:color w:val="000000"/>
                <w:highlight w:val="none"/>
              </w:rPr>
              <w:t xml:space="preserve">小时送货到现场，不得分。</w:t>
            </w:r>
            <w:r>
              <w:rPr>
                <w:color w:val="000000"/>
                <w:highlight w:val="none"/>
              </w:rPr>
            </w:r>
            <w:r/>
          </w:p>
          <w:p>
            <w:pPr>
              <w:pStyle w:val="678"/>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2</w:t>
            </w:r>
            <w:r>
              <w:rPr>
                <w:rFonts w:hint="eastAsia"/>
                <w:color w:val="000000"/>
                <w:highlight w:val="none"/>
              </w:rPr>
              <w:t xml:space="preserve">小时送货到现场，得1</w:t>
            </w:r>
            <w:r>
              <w:rPr>
                <w:color w:val="000000"/>
                <w:highlight w:val="none"/>
              </w:rPr>
              <w:t xml:space="preserve">0</w:t>
            </w:r>
            <w:r>
              <w:rPr>
                <w:rFonts w:hint="eastAsia"/>
                <w:color w:val="000000"/>
                <w:highlight w:val="none"/>
              </w:rPr>
              <w:t xml:space="preserve">分</w:t>
            </w:r>
            <w:r>
              <w:rPr>
                <w:color w:val="000000"/>
                <w:highlight w:val="none"/>
              </w:rPr>
            </w:r>
            <w:r/>
          </w:p>
          <w:p>
            <w:pPr>
              <w:pStyle w:val="678"/>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4</w:t>
            </w:r>
            <w:r>
              <w:rPr>
                <w:rFonts w:hint="eastAsia"/>
                <w:color w:val="000000"/>
                <w:highlight w:val="none"/>
              </w:rPr>
              <w:t xml:space="preserve">小时送货到现场，得6分</w:t>
            </w:r>
            <w:r>
              <w:rPr>
                <w:color w:val="000000"/>
                <w:highlight w:val="none"/>
              </w:rPr>
            </w:r>
            <w:r/>
          </w:p>
          <w:p>
            <w:pPr>
              <w:pStyle w:val="678"/>
              <w:numPr>
                <w:ilvl w:val="0"/>
                <w:numId w:val="6"/>
              </w:numPr>
              <w:spacing w:line="360" w:lineRule="auto"/>
              <w:rPr>
                <w:color w:val="000000"/>
                <w:highlight w:val="none"/>
              </w:rPr>
            </w:pPr>
            <w:r>
              <w:rPr>
                <w:rFonts w:hint="eastAsia"/>
                <w:color w:val="000000"/>
                <w:highlight w:val="none"/>
              </w:rPr>
              <w:t xml:space="preserve">承诺在接到采购人通知后</w:t>
            </w:r>
            <w:r>
              <w:rPr>
                <w:color w:val="000000"/>
                <w:highlight w:val="none"/>
              </w:rPr>
              <w:t xml:space="preserve">6</w:t>
            </w:r>
            <w:r>
              <w:rPr>
                <w:rFonts w:hint="eastAsia"/>
                <w:color w:val="000000"/>
                <w:highlight w:val="none"/>
              </w:rPr>
              <w:t xml:space="preserve">小时送货到现场，得2分</w:t>
            </w:r>
            <w:r>
              <w:rPr>
                <w:color w:val="000000"/>
                <w:highlight w:val="none"/>
              </w:rPr>
            </w:r>
            <w:r/>
          </w:p>
          <w:p>
            <w:pPr>
              <w:pStyle w:val="678"/>
              <w:spacing w:line="360" w:lineRule="auto"/>
              <w:rPr>
                <w:color w:val="000000"/>
                <w:highlight w:val="none"/>
              </w:rPr>
            </w:pPr>
            <w:r>
              <w:rPr>
                <w:rFonts w:hint="eastAsia"/>
                <w:color w:val="000000"/>
                <w:highlight w:val="none"/>
                <w:lang w:eastAsia="zh-CN"/>
              </w:rPr>
              <w:t xml:space="preserve">（</w:t>
            </w:r>
            <w:r>
              <w:rPr>
                <w:rFonts w:hint="eastAsia"/>
                <w:color w:val="000000"/>
                <w:highlight w:val="none"/>
              </w:rPr>
              <w:t xml:space="preserve">提供供货响应时间承诺书</w:t>
            </w:r>
            <w:r>
              <w:rPr>
                <w:rFonts w:hint="eastAsia"/>
                <w:color w:val="000000"/>
                <w:highlight w:val="none"/>
                <w:lang w:eastAsia="zh-CN"/>
              </w:rPr>
              <w:t xml:space="preserve">、</w:t>
            </w:r>
            <w:r>
              <w:rPr>
                <w:rFonts w:hint="eastAsia"/>
                <w:b/>
                <w:bCs/>
                <w:color w:val="000000"/>
                <w:highlight w:val="none"/>
                <w:u w:val="single"/>
              </w:rPr>
              <w:t xml:space="preserve">导航截图</w:t>
            </w:r>
            <w:r>
              <w:rPr>
                <w:rFonts w:hint="eastAsia"/>
                <w:color w:val="000000"/>
                <w:highlight w:val="none"/>
              </w:rPr>
              <w:t xml:space="preserve">加盖公章</w:t>
            </w:r>
            <w:r>
              <w:rPr>
                <w:rFonts w:hint="eastAsia"/>
                <w:color w:val="000000"/>
                <w:highlight w:val="none"/>
                <w:lang w:eastAsia="zh-CN"/>
              </w:rPr>
              <w:t xml:space="preserve">，</w:t>
            </w:r>
            <w:r>
              <w:rPr>
                <w:rFonts w:hint="eastAsia"/>
                <w:b/>
                <w:bCs/>
                <w:color w:val="000000"/>
                <w:highlight w:val="none"/>
                <w:u w:val="single"/>
                <w:lang w:val="en-US" w:eastAsia="zh-CN"/>
              </w:rPr>
              <w:t xml:space="preserve">缺一不可，缺少或者不齐全</w:t>
            </w:r>
            <w:r>
              <w:rPr>
                <w:rFonts w:hint="eastAsia"/>
                <w:color w:val="000000"/>
                <w:highlight w:val="none"/>
                <w:lang w:val="en-US" w:eastAsia="zh-CN"/>
              </w:rPr>
              <w:t xml:space="preserve">不得分</w:t>
            </w:r>
            <w:r>
              <w:rPr>
                <w:rFonts w:hint="eastAsia"/>
                <w:color w:val="000000"/>
                <w:highlight w:val="none"/>
              </w:rPr>
              <w:t xml:space="preserve">。本项条款将纳入合同请</w:t>
            </w:r>
            <w:r>
              <w:rPr>
                <w:rFonts w:hint="eastAsia"/>
                <w:color w:val="000000"/>
                <w:highlight w:val="none"/>
                <w:lang w:val="en-US" w:eastAsia="zh-CN"/>
              </w:rPr>
              <w:t xml:space="preserve">供应商</w:t>
            </w:r>
            <w:r>
              <w:rPr>
                <w:rFonts w:hint="eastAsia"/>
                <w:color w:val="000000"/>
                <w:highlight w:val="none"/>
              </w:rPr>
              <w:t xml:space="preserve">慎重作出承诺。</w:t>
            </w:r>
            <w:r>
              <w:rPr>
                <w:rFonts w:hint="eastAsia"/>
                <w:color w:val="000000"/>
                <w:highlight w:val="none"/>
                <w:lang w:eastAsia="zh-CN"/>
              </w:rPr>
              <w:t xml:space="preserve">）</w:t>
            </w:r>
            <w:r>
              <w:rPr>
                <w:color w:val="000000"/>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r>
        <w:trPr>
          <w:trHeight w:val="1007"/>
        </w:trPr>
        <w:tc>
          <w:tcPr>
            <w:tcW w:w="532"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7</w:t>
            </w:r>
            <w:r>
              <w:rPr>
                <w:rFonts w:hint="eastAsia" w:ascii="宋体" w:hAnsi="宋体" w:cs="宋体"/>
                <w:color w:val="000000"/>
                <w:szCs w:val="21"/>
                <w:highlight w:val="none"/>
                <w:lang w:bidi="en-US"/>
              </w:rPr>
            </w:r>
            <w:r/>
          </w:p>
        </w:tc>
        <w:tc>
          <w:tcPr>
            <w:tcW w:w="1432" w:type="dxa"/>
            <w:vAlign w:val="center"/>
            <w:textDirection w:val="lrTb"/>
            <w:noWrap w:val="false"/>
          </w:tcPr>
          <w:p>
            <w:pPr>
              <w:pStyle w:val="67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W w:w="6821" w:type="dxa"/>
            <w:vAlign w:val="center"/>
            <w:textDirection w:val="lrTb"/>
            <w:noWrap w:val="false"/>
          </w:tcPr>
          <w:p>
            <w:pPr>
              <w:pStyle w:val="678"/>
              <w:spacing w:line="360" w:lineRule="auto"/>
              <w:rPr>
                <w:color w:val="000000"/>
                <w:highlight w:val="none"/>
              </w:rPr>
            </w:pPr>
            <w:r>
              <w:rPr>
                <w:rFonts w:hint="eastAsia"/>
                <w:color w:val="000000"/>
                <w:highlight w:val="none"/>
              </w:rPr>
              <w:t xml:space="preserve">投标人提供</w:t>
            </w:r>
            <w:r>
              <w:rPr>
                <w:rFonts w:hint="eastAsia"/>
                <w:color w:val="000000"/>
                <w:highlight w:val="none"/>
                <w:lang w:val="en-US" w:eastAsia="zh-CN"/>
              </w:rPr>
              <w:t xml:space="preserve">自2023年1月1日（以合同签订日期为准）以来液氧、瓶装氧气配送相关的项目</w:t>
            </w:r>
            <w:r>
              <w:rPr>
                <w:rFonts w:hint="eastAsia"/>
                <w:color w:val="000000"/>
                <w:highlight w:val="none"/>
              </w:rPr>
              <w:t xml:space="preserve">业绩，每提供一个得 2.5分，最多得 10分。</w:t>
            </w:r>
            <w:r>
              <w:rPr>
                <w:rFonts w:hint="eastAsia"/>
                <w:color w:val="000000"/>
                <w:highlight w:val="none"/>
                <w:lang w:eastAsia="zh-CN"/>
              </w:rPr>
              <w:t xml:space="preserve">（</w:t>
            </w:r>
            <w:r>
              <w:rPr>
                <w:rFonts w:hint="eastAsia"/>
                <w:color w:val="000000"/>
                <w:highlight w:val="none"/>
              </w:rPr>
              <w:t xml:space="preserve">提供合同加盖公章，</w:t>
            </w:r>
            <w:r>
              <w:rPr>
                <w:rFonts w:hint="eastAsia"/>
                <w:color w:val="000000"/>
                <w:highlight w:val="none"/>
                <w:lang w:val="en-US" w:eastAsia="zh-CN"/>
              </w:rPr>
              <w:t xml:space="preserve">时间、内容以合同为准，提供的不能反映相关数据视为未提供</w:t>
            </w:r>
            <w:r>
              <w:rPr>
                <w:rFonts w:hint="eastAsia"/>
                <w:color w:val="000000"/>
                <w:highlight w:val="none"/>
                <w:lang w:eastAsia="zh-CN"/>
              </w:rPr>
              <w:t xml:space="preserve">）</w:t>
            </w:r>
            <w:r>
              <w:rPr>
                <w:color w:val="000000"/>
                <w:highlight w:val="none"/>
              </w:rPr>
            </w:r>
            <w:r/>
          </w:p>
        </w:tc>
        <w:tc>
          <w:tcPr>
            <w:tcW w:w="937" w:type="dxa"/>
            <w:vAlign w:val="center"/>
            <w:textDirection w:val="lrTb"/>
            <w:noWrap w:val="false"/>
          </w:tcPr>
          <w:p>
            <w:pPr>
              <w:pStyle w:val="678"/>
              <w:jc w:val="center"/>
              <w:spacing w:line="360" w:lineRule="auto"/>
              <w:widowControl/>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t xml:space="preserve">10分</w:t>
            </w:r>
            <w:r>
              <w:rPr>
                <w:rFonts w:hint="eastAsia" w:ascii="宋体" w:hAnsi="宋体" w:cs="宋体"/>
                <w:color w:val="000000"/>
                <w:szCs w:val="21"/>
                <w:highlight w:val="none"/>
                <w:lang w:bidi="en-US"/>
              </w:rPr>
            </w:r>
            <w:r/>
          </w:p>
        </w:tc>
      </w:tr>
    </w:tbl>
    <w:p>
      <w:pPr>
        <w:pStyle w:val="679"/>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p>
      <w:pPr>
        <w:pStyle w:val="733"/>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6"/>
        <w:spacing w:line="360" w:lineRule="auto"/>
        <w:widowControl w:val="off"/>
        <w:rPr>
          <w:rFonts w:hint="eastAsia" w:ascii="宋体" w:hAnsi="宋体" w:cs="宋体"/>
          <w:color w:val="000000"/>
          <w:sz w:val="21"/>
          <w:szCs w:val="21"/>
          <w:highlight w:val="none"/>
        </w:rPr>
      </w:pPr>
      <w:r/>
      <w:bookmarkStart w:id="38" w:name="第四章  采购项目需求"/>
      <w:r/>
      <w:bookmarkEnd w:id="38"/>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3.1</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（1）对于非专门面向中小企业的采购项目，给予小微企业报价10%的价格扣除，用扣除后的价格参与评审。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（2）对于非专门面向中小企业的货物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采购项目，供应商（无论为大型企业、中型企业或小微企业）提供的货物均为小微企业制造的货物</w:t>
      </w:r>
      <w:r>
        <w:rPr>
          <w:rFonts w:hint="eastAsia" w:cs="宋体"/>
          <w:bCs/>
          <w:color w:val="000000"/>
          <w:sz w:val="21"/>
          <w:szCs w:val="21"/>
          <w:highlight w:val="none"/>
          <w:lang w:val="en-US" w:eastAsia="zh-CN"/>
        </w:rPr>
        <w:t xml:space="preserve">/服务</w:t>
      </w:r>
      <w:r>
        <w:rPr>
          <w:rFonts w:hint="eastAsia" w:ascii="宋体" w:hAnsi="宋体" w:cs="宋体"/>
          <w:bCs/>
          <w:color w:val="000000"/>
          <w:sz w:val="21"/>
          <w:szCs w:val="21"/>
          <w:highlight w:val="none"/>
        </w:rPr>
        <w:t xml:space="preserve">，即可享受上述价格评审优惠政策，除此之外的情形，不享受小微企业价格评审优惠政策。</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（3）供应商需按照采购文件的要求提供相应的《中小企业声明函》。 </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（4）企业标准请参照《关于印发中小企业划型标准规定的通知》（工信部联企业[2011]300号）文件规定自行填写。 </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2、监狱和戒毒企业的价格扣除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（1）本项目对监狱和戒毒企业（简称监狱企业），给予报价10%的价格扣除，用扣除后的价格参与评审。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3、残疾人福利性单位的价格扣除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（1）本项目对残疾人福利性单位，给予报价10%的价格扣除，用扣除后的价格参与评审。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（2）残疾人福利单位需按照招标文件的要求提供《残疾人福利性单位声明函》。</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4、监狱企业、残疾人福利性单位属于小微企业的，不重复享受政策。</w:t>
      </w:r>
      <w:r>
        <w:rPr>
          <w:rFonts w:hint="eastAsia" w:ascii="宋体" w:hAnsi="宋体" w:eastAsia="宋体" w:cs="宋体"/>
          <w:bCs/>
          <w:color w:val="000000"/>
          <w:sz w:val="21"/>
          <w:szCs w:val="21"/>
          <w:highlight w:val="none"/>
        </w:rPr>
      </w:r>
      <w:r/>
    </w:p>
    <w:p>
      <w:pPr>
        <w:pStyle w:val="696"/>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采购标的对应的中小企业划分标准所属行业：</w:t>
      </w:r>
      <w:r>
        <w:rPr>
          <w:rFonts w:hint="eastAsia" w:ascii="宋体" w:hAnsi="宋体" w:eastAsia="宋体" w:cs="宋体"/>
          <w:bCs/>
          <w:color w:val="000000"/>
          <w:sz w:val="21"/>
          <w:szCs w:val="21"/>
          <w:highlight w:val="none"/>
          <w:lang w:val="en-US" w:eastAsia="zh-CN"/>
        </w:rPr>
        <w:t xml:space="preserve">其他未列明行业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678"/>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81"/>
        <w:ind w:left="3153"/>
        <w:spacing w:line="360" w:lineRule="auto"/>
        <w:tabs>
          <w:tab w:val="left" w:pos="4432" w:leader="none"/>
        </w:tabs>
        <w:rPr>
          <w:rFonts w:ascii="宋体" w:hAnsi="宋体" w:eastAsia="宋体"/>
          <w:b/>
          <w:color w:val="000000"/>
          <w:highlight w:val="none"/>
          <w:lang w:eastAsia="zh-CN"/>
        </w:rPr>
      </w:pPr>
      <w:r/>
      <w:bookmarkStart w:id="39" w:name="_bookmark8"/>
      <w:r/>
      <w:bookmarkEnd w:id="39"/>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678"/>
        <w:spacing w:line="360" w:lineRule="auto"/>
        <w:rPr>
          <w:rFonts w:eastAsia="宋体"/>
          <w:color w:val="000000"/>
          <w:highlight w:val="none"/>
          <w:lang w:val="en-US" w:eastAsia="zh-CN"/>
        </w:rPr>
      </w:pPr>
      <w:r>
        <w:rPr>
          <w:rFonts w:hint="eastAsia" w:eastAsia="宋体"/>
          <w:color w:val="000000"/>
          <w:highlight w:val="none"/>
          <w:lang w:val="en-US" w:eastAsia="zh-CN"/>
        </w:rPr>
        <w:t xml:space="preserve">一、项目概况</w:t>
      </w:r>
      <w:r>
        <w:rPr>
          <w:rFonts w:eastAsia="宋体"/>
          <w:color w:val="000000"/>
          <w:highlight w:val="none"/>
          <w:lang w:val="en-US" w:eastAsia="zh-CN"/>
        </w:rPr>
      </w:r>
      <w:r/>
    </w:p>
    <w:p>
      <w:pPr>
        <w:pStyle w:val="700"/>
        <w:numPr>
          <w:ilvl w:val="0"/>
          <w:numId w:val="7"/>
        </w:numPr>
        <w:ind w:firstLine="420"/>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项目名称：江苏省省级机关医院杜瓦瓶液氧、瓶氧采购及配送服务项目</w:t>
      </w:r>
      <w:r>
        <w:rPr>
          <w:rFonts w:hint="eastAsia"/>
          <w:bCs/>
          <w:color w:val="000000"/>
          <w:sz w:val="21"/>
          <w:szCs w:val="21"/>
          <w:highlight w:val="none"/>
          <w:lang w:eastAsia="zh-CN"/>
        </w:rPr>
      </w:r>
      <w:r/>
    </w:p>
    <w:p>
      <w:pPr>
        <w:pStyle w:val="700"/>
        <w:numPr>
          <w:ilvl w:val="0"/>
          <w:numId w:val="7"/>
        </w:numPr>
        <w:ind w:firstLine="400"/>
        <w:spacing w:line="360" w:lineRule="auto"/>
        <w:rPr>
          <w:rFonts w:hint="eastAsia"/>
          <w:color w:val="000000"/>
          <w:highlight w:val="none"/>
          <w:lang w:val="en-US" w:eastAsia="zh-CN"/>
        </w:rPr>
      </w:pPr>
      <w:r>
        <w:rPr>
          <w:rFonts w:hint="eastAsia"/>
          <w:color w:val="000000"/>
          <w:highlight w:val="none"/>
          <w:lang w:val="en-US" w:eastAsia="zh-CN"/>
        </w:rPr>
        <w:t xml:space="preserve">预算金额：182万元/年，364万元（2年）。</w:t>
      </w:r>
      <w:r>
        <w:rPr>
          <w:rFonts w:hint="eastAsia"/>
          <w:color w:val="000000"/>
          <w:highlight w:val="none"/>
          <w:lang w:val="en-US" w:eastAsia="zh-CN"/>
        </w:rPr>
      </w:r>
      <w:r/>
    </w:p>
    <w:p>
      <w:pPr>
        <w:pStyle w:val="700"/>
        <w:numPr>
          <w:ilvl w:val="0"/>
          <w:numId w:val="7"/>
        </w:numPr>
        <w:ind w:left="0" w:firstLine="402"/>
        <w:spacing w:line="360" w:lineRule="auto"/>
        <w:rPr>
          <w:rFonts w:hint="eastAsia"/>
          <w:b/>
          <w:bCs/>
          <w:color w:val="000000"/>
          <w:highlight w:val="none"/>
          <w:lang w:val="en-US" w:eastAsia="zh-CN"/>
        </w:rPr>
      </w:pPr>
      <w:r>
        <w:rPr>
          <w:rFonts w:hint="eastAsia"/>
          <w:b/>
          <w:bCs/>
          <w:color w:val="000000"/>
          <w:highlight w:val="none"/>
          <w:lang w:val="en-US" w:eastAsia="zh-CN"/>
        </w:rPr>
        <w:t xml:space="preserve">单项限价：供应商不得超过本项目对应单项限价及总价，超过均为无效投标</w:t>
      </w:r>
      <w:r>
        <w:rPr>
          <w:rFonts w:hint="eastAsia"/>
          <w:b/>
          <w:bCs/>
          <w:color w:val="000000"/>
          <w:highlight w:val="none"/>
          <w:lang w:val="en-US" w:eastAsia="zh-CN"/>
        </w:rPr>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2575"/>
        <w:gridCol w:w="3012"/>
        <w:gridCol w:w="2216"/>
      </w:tblGrid>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最高单项限价（元）</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1200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30</w:t>
            </w:r>
            <w:r>
              <w:rPr>
                <w:rFonts w:ascii="宋体" w:hAnsi="Courier New" w:eastAsia="宋体" w:cs="Times New Roman"/>
                <w:color w:val="000000"/>
                <w:sz w:val="20"/>
                <w:szCs w:val="20"/>
                <w:highlight w:val="none"/>
                <w:lang w:val="en-US" w:eastAsia="zh-CN" w:bidi="ar-SA"/>
              </w:rPr>
            </w:r>
            <w:r/>
          </w:p>
        </w:tc>
      </w:tr>
      <w:tr>
        <w:trPr>
          <w:trHeight w:val="403"/>
        </w:trPr>
        <w:tc>
          <w:tcPr>
            <w:tcW w:w="1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28</w:t>
            </w:r>
            <w:r>
              <w:rPr>
                <w:rFonts w:ascii="宋体" w:hAnsi="Courier New" w:eastAsia="宋体" w:cs="Times New Roman"/>
                <w:color w:val="000000"/>
                <w:sz w:val="20"/>
                <w:szCs w:val="20"/>
                <w:highlight w:val="none"/>
                <w:lang w:val="en-US" w:eastAsia="zh-CN" w:bidi="ar-SA"/>
              </w:rPr>
            </w:r>
            <w:r/>
          </w:p>
        </w:tc>
      </w:tr>
      <w:tr>
        <w:trPr>
          <w:trHeight w:val="414"/>
        </w:trPr>
        <w:tc>
          <w:tcPr>
            <w:tcW w:w="157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257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301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tcW w:w="221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25</w:t>
            </w:r>
            <w:r>
              <w:rPr>
                <w:rFonts w:ascii="宋体" w:hAnsi="Courier New" w:eastAsia="宋体" w:cs="Times New Roman"/>
                <w:color w:val="000000"/>
                <w:sz w:val="20"/>
                <w:szCs w:val="20"/>
                <w:highlight w:val="none"/>
                <w:lang w:val="en-US" w:eastAsia="zh-CN" w:bidi="ar-SA"/>
              </w:rPr>
            </w:r>
            <w:r/>
          </w:p>
        </w:tc>
      </w:tr>
    </w:tbl>
    <w:p>
      <w:pPr>
        <w:pStyle w:val="700"/>
        <w:numPr>
          <w:ilvl w:val="0"/>
          <w:numId w:val="0"/>
        </w:numPr>
        <w:spacing w:line="360" w:lineRule="auto"/>
        <w:rPr>
          <w:rFonts w:hint="eastAsia"/>
          <w:b/>
          <w:bCs/>
          <w:color w:val="000000"/>
          <w:highlight w:val="none"/>
          <w:lang w:val="en-US" w:eastAsia="zh-CN"/>
        </w:rPr>
      </w:pPr>
      <w:r>
        <w:rPr>
          <w:rFonts w:hint="eastAsia"/>
          <w:b/>
          <w:bCs/>
          <w:color w:val="000000"/>
          <w:highlight w:val="none"/>
          <w:lang w:val="en-US" w:eastAsia="zh-CN"/>
        </w:rPr>
      </w:r>
      <w:r/>
    </w:p>
    <w:p>
      <w:pPr>
        <w:pStyle w:val="700"/>
        <w:numPr>
          <w:ilvl w:val="0"/>
          <w:numId w:val="7"/>
        </w:numPr>
        <w:ind w:left="0" w:firstLine="400"/>
        <w:spacing w:line="360" w:lineRule="auto"/>
        <w:rPr>
          <w:rFonts w:hint="eastAsia"/>
          <w:color w:val="000000"/>
          <w:highlight w:val="none"/>
          <w:lang w:val="en-US" w:eastAsia="zh-CN"/>
        </w:rPr>
      </w:pPr>
      <w:r>
        <w:rPr>
          <w:rFonts w:hint="eastAsia"/>
          <w:color w:val="000000"/>
          <w:highlight w:val="none"/>
          <w:lang w:val="en-US" w:eastAsia="zh-CN"/>
        </w:rPr>
        <w:t xml:space="preserve">采购需求：由于医院医疗工作需要，需对杜瓦瓶液氧（210升/瓶）等进行配送，中标供应商需定期开展巡查、培训工作。</w:t>
      </w:r>
      <w:r>
        <w:rPr>
          <w:rFonts w:hint="eastAsia"/>
          <w:color w:val="000000"/>
          <w:highlight w:val="none"/>
          <w:lang w:val="en-US" w:eastAsia="zh-CN"/>
        </w:rPr>
      </w:r>
      <w:r/>
    </w:p>
    <w:p>
      <w:pPr>
        <w:pStyle w:val="714"/>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二、采购清单</w:t>
      </w:r>
      <w:r>
        <w:rPr>
          <w:rFonts w:hint="eastAsia" w:ascii="宋体" w:hAnsi="Courier New" w:eastAsia="宋体" w:cs="Times New Roman"/>
          <w:b/>
          <w:bCs/>
          <w:color w:val="000000"/>
          <w:sz w:val="20"/>
          <w:szCs w:val="20"/>
          <w:highlight w:val="none"/>
          <w:lang w:val="en-US" w:eastAsia="zh-CN" w:bidi="ar-SA"/>
        </w:rPr>
        <w:t xml:space="preserve">（具体数量为预估数量，具体以实际情况为准）</w:t>
      </w:r>
      <w:r>
        <w:rPr>
          <w:rFonts w:ascii="宋体" w:hAnsi="Courier New" w:eastAsia="宋体" w:cs="Times New Roman"/>
          <w:color w:val="000000"/>
          <w:sz w:val="20"/>
          <w:szCs w:val="20"/>
          <w:highlight w:val="none"/>
          <w:lang w:val="en-US" w:eastAsia="zh-CN" w:bidi="ar-SA"/>
        </w:rPr>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2464"/>
        <w:gridCol w:w="1722"/>
        <w:gridCol w:w="1651"/>
        <w:gridCol w:w="2173"/>
      </w:tblGrid>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w:t>
            </w:r>
            <w:r>
              <w:rPr>
                <w:rFonts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预估年使用量</w:t>
            </w: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1500</w:t>
            </w: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270</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320</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105</w:t>
            </w: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246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722"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tcW w:w="1651"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2173"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100</w:t>
            </w:r>
            <w:r>
              <w:rPr>
                <w:rFonts w:ascii="宋体" w:hAnsi="Courier New" w:eastAsia="宋体" w:cs="Times New Roman"/>
                <w:color w:val="000000"/>
                <w:sz w:val="20"/>
                <w:szCs w:val="20"/>
                <w:highlight w:val="none"/>
                <w:lang w:val="en-US" w:eastAsia="zh-CN" w:bidi="ar-SA"/>
              </w:rPr>
            </w:r>
            <w:r/>
          </w:p>
        </w:tc>
      </w:tr>
    </w:tbl>
    <w:p>
      <w:pPr>
        <w:pStyle w:val="678"/>
        <w:contextualSpacing/>
        <w:spacing w:line="360" w:lineRule="auto"/>
        <w:tabs>
          <w:tab w:val="left" w:pos="5325" w:leader="none"/>
        </w:tabs>
        <w:rPr>
          <w:rFonts w:hint="eastAsia" w:ascii="宋体" w:hAnsi="Courier New" w:eastAsia="宋体" w:cs="Times New Roman"/>
          <w:b w:val="0"/>
          <w:bCs w:val="0"/>
          <w:color w:val="000000"/>
          <w:sz w:val="20"/>
          <w:szCs w:val="20"/>
          <w:highlight w:val="none"/>
          <w:lang w:val="en-US" w:eastAsia="zh-CN" w:bidi="ar-SA"/>
        </w:rPr>
      </w:pPr>
      <w:r>
        <w:rPr>
          <w:rFonts w:hint="eastAsia" w:ascii="宋体" w:hAnsi="Courier New" w:eastAsia="宋体" w:cs="Times New Roman"/>
          <w:b w:val="0"/>
          <w:bCs w:val="0"/>
          <w:color w:val="000000"/>
          <w:sz w:val="20"/>
          <w:szCs w:val="20"/>
          <w:highlight w:val="none"/>
          <w:lang w:val="en-US" w:eastAsia="zh-CN" w:bidi="ar-SA"/>
        </w:rPr>
        <w:t xml:space="preserve">三、主要技术指标及要求</w:t>
      </w:r>
      <w:r>
        <w:rPr>
          <w:rFonts w:hint="eastAsia" w:ascii="宋体" w:hAnsi="Courier New" w:eastAsia="宋体" w:cs="Times New Roman"/>
          <w:b w:val="0"/>
          <w:bCs w:val="0"/>
          <w:color w:val="000000"/>
          <w:sz w:val="20"/>
          <w:szCs w:val="20"/>
          <w:highlight w:val="none"/>
          <w:lang w:val="en-US" w:eastAsia="zh-CN" w:bidi="ar-SA"/>
        </w:rPr>
      </w:r>
      <w:r/>
    </w:p>
    <w:p>
      <w:pPr>
        <w:pStyle w:val="714"/>
        <w:ind w:firstLine="400"/>
        <w:jc w:val="left"/>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★1、严格执行国家质量安全标准，符合《中华人民共和国药典2020版》要求，医用气体纯度≥99.5%，液态氮纯度≥99.99%，详细参数见采购品清单技术标准及要求。</w:t>
      </w:r>
      <w:r>
        <w:rPr>
          <w:rFonts w:hint="eastAsia" w:ascii="宋体" w:hAnsi="Courier New" w:eastAsia="宋体" w:cs="Times New Roman"/>
          <w:color w:val="000000"/>
          <w:sz w:val="20"/>
          <w:szCs w:val="20"/>
          <w:highlight w:val="none"/>
          <w:lang w:val="en-US" w:eastAsia="zh-CN" w:bidi="ar-SA"/>
        </w:rPr>
      </w:r>
      <w:r/>
    </w:p>
    <w:p>
      <w:pPr>
        <w:pStyle w:val="714"/>
        <w:ind w:firstLine="400"/>
        <w:jc w:val="left"/>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2、货物质保要求:免费质保期:≥1年，质保期内出现质量问题，应在20分钟内电话响应，1小时电话沟通不能解决的问题，在3小时内派专业技术人员到达故障现场、 提供故障救援。一般故障情况于8小时内解决，特殊情况不超过24小时。</w:t>
      </w:r>
      <w:r>
        <w:rPr>
          <w:rFonts w:ascii="宋体" w:hAnsi="Courier New" w:eastAsia="宋体" w:cs="Times New Roman"/>
          <w:color w:val="000000"/>
          <w:sz w:val="20"/>
          <w:szCs w:val="20"/>
          <w:highlight w:val="none"/>
          <w:lang w:val="en-US" w:eastAsia="zh-CN" w:bidi="ar-SA"/>
        </w:rPr>
      </w:r>
      <w:r/>
    </w:p>
    <w:p>
      <w:pPr>
        <w:pStyle w:val="678"/>
        <w:numPr>
          <w:ilvl w:val="0"/>
          <w:numId w:val="8"/>
        </w:numPr>
        <w:contextualSpacing/>
        <w:spacing w:line="360" w:lineRule="auto"/>
        <w:tabs>
          <w:tab w:val="left" w:pos="5325" w:leader="none"/>
        </w:tabs>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商务要求</w:t>
      </w:r>
      <w:r>
        <w:rPr>
          <w:rFonts w:hint="eastAsia" w:ascii="宋体" w:hAnsi="Courier New" w:eastAsia="宋体" w:cs="Times New Roman"/>
          <w:color w:val="000000"/>
          <w:sz w:val="20"/>
          <w:szCs w:val="20"/>
          <w:highlight w:val="none"/>
          <w:lang w:val="en-US" w:eastAsia="zh-CN" w:bidi="ar-SA"/>
        </w:rPr>
      </w:r>
      <w:r/>
    </w:p>
    <w:p>
      <w:pPr>
        <w:pStyle w:val="679"/>
        <w:numPr>
          <w:ilvl w:val="0"/>
          <w:numId w:val="0"/>
        </w:numPr>
        <w:ind w:firstLine="400"/>
        <w:spacing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1、合同履行期限：配送服务期为2年，合同采用一年一签方式。遇重大事项或改变用氧方式，合同终止。</w:t>
      </w:r>
      <w:r>
        <w:rPr>
          <w:rFonts w:ascii="宋体" w:hAnsi="Courier New" w:eastAsia="宋体" w:cs="Times New Roman"/>
          <w:color w:val="000000"/>
          <w:sz w:val="20"/>
          <w:szCs w:val="20"/>
          <w:highlight w:val="none"/>
          <w:lang w:val="en-US" w:eastAsia="zh-CN" w:bidi="ar-SA"/>
        </w:rPr>
      </w:r>
      <w:r/>
    </w:p>
    <w:p>
      <w:pPr>
        <w:pStyle w:val="679"/>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2、交货要求:</w:t>
      </w:r>
      <w:r>
        <w:rPr>
          <w:rFonts w:hint="eastAsia" w:ascii="宋体" w:hAnsi="Courier New" w:eastAsia="宋体" w:cs="Times New Roman"/>
          <w:color w:val="000000"/>
          <w:sz w:val="20"/>
          <w:szCs w:val="20"/>
          <w:highlight w:val="none"/>
          <w:lang w:val="en-US" w:eastAsia="zh-CN" w:bidi="ar-SA"/>
        </w:rPr>
      </w:r>
      <w:r/>
    </w:p>
    <w:p>
      <w:pPr>
        <w:pStyle w:val="679"/>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★（1）交付使用时间:中标人签订合同后按照采购人需求进行供货。根据我院目前使用量，需每天送货。因本项目货物的特殊性，采购人对货物送达时间的及时性有较高的要求，</w:t>
      </w:r>
      <w:r>
        <w:rPr>
          <w:rFonts w:hint="eastAsia" w:ascii="宋体" w:hAnsi="Courier New" w:eastAsia="宋体" w:cs="Times New Roman"/>
          <w:b/>
          <w:bCs/>
          <w:color w:val="000000"/>
          <w:sz w:val="20"/>
          <w:szCs w:val="20"/>
          <w:highlight w:val="none"/>
          <w:lang w:val="en-US" w:eastAsia="zh-CN" w:bidi="ar-SA"/>
        </w:rPr>
        <w:t xml:space="preserve">供应商须根据自身实际情况向采购人提供供货响应时间承诺，并按其承诺内容实际执行。（本项条款将纳入合同，请供应商慎重作出承诺）</w:t>
      </w:r>
      <w:r>
        <w:rPr>
          <w:rFonts w:hint="eastAsia" w:ascii="宋体" w:hAnsi="Courier New" w:eastAsia="宋体" w:cs="Times New Roman"/>
          <w:color w:val="000000"/>
          <w:sz w:val="20"/>
          <w:szCs w:val="20"/>
          <w:highlight w:val="none"/>
          <w:lang w:val="en-US" w:eastAsia="zh-CN" w:bidi="ar-SA"/>
        </w:rPr>
        <w:t xml:space="preserve">。                                                </w:t>
      </w:r>
      <w:r>
        <w:rPr>
          <w:rFonts w:hint="eastAsia" w:ascii="宋体" w:hAnsi="Courier New" w:eastAsia="宋体" w:cs="Times New Roman"/>
          <w:color w:val="000000"/>
          <w:sz w:val="20"/>
          <w:szCs w:val="20"/>
          <w:highlight w:val="none"/>
          <w:lang w:val="en-US" w:eastAsia="zh-CN" w:bidi="ar-SA"/>
        </w:rPr>
      </w:r>
      <w:r/>
    </w:p>
    <w:p>
      <w:pPr>
        <w:pStyle w:val="679"/>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交付地点:江苏省省级机关医院院区内院方指定地点。</w:t>
      </w:r>
      <w:r>
        <w:rPr>
          <w:rFonts w:hint="eastAsia" w:ascii="宋体" w:hAnsi="Courier New" w:eastAsia="宋体" w:cs="Times New Roman"/>
          <w:color w:val="000000"/>
          <w:sz w:val="20"/>
          <w:szCs w:val="20"/>
          <w:highlight w:val="none"/>
          <w:lang w:val="en-US" w:eastAsia="zh-CN" w:bidi="ar-SA"/>
        </w:rPr>
      </w:r>
      <w:r/>
    </w:p>
    <w:p>
      <w:pPr>
        <w:pStyle w:val="678"/>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3、售后服务</w:t>
      </w:r>
      <w:r>
        <w:rPr>
          <w:rFonts w:hint="eastAsia" w:ascii="宋体" w:hAnsi="Courier New" w:eastAsia="宋体" w:cs="Times New Roman"/>
          <w:color w:val="000000"/>
          <w:sz w:val="20"/>
          <w:szCs w:val="20"/>
          <w:highlight w:val="none"/>
          <w:lang w:val="en-US" w:eastAsia="zh-CN" w:bidi="ar-SA"/>
        </w:rPr>
      </w:r>
      <w:r/>
    </w:p>
    <w:p>
      <w:pPr>
        <w:pStyle w:val="678"/>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（1）供应商应具备多车辆送货，供应商每次送货需要到采购人贮罐现场进行专业性供气安全检查和供气技术指导，需确保氧气加注安全。</w:t>
      </w:r>
      <w:r>
        <w:rPr>
          <w:rFonts w:hint="eastAsia" w:ascii="宋体" w:hAnsi="Courier New" w:eastAsia="宋体" w:cs="Times New Roman"/>
          <w:color w:val="000000"/>
          <w:sz w:val="20"/>
          <w:szCs w:val="20"/>
          <w:highlight w:val="none"/>
          <w:lang w:val="en-US" w:eastAsia="zh-CN" w:bidi="ar-SA"/>
        </w:rPr>
      </w:r>
      <w:r/>
    </w:p>
    <w:p>
      <w:pPr>
        <w:pStyle w:val="678"/>
        <w:numPr>
          <w:ilvl w:val="0"/>
          <w:numId w:val="0"/>
        </w:numPr>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（2）包装和运输：供应商应采取相应措施对货物进行包装、确保货物在正常作业和装卸条件下安全无损地到达用户指定地点。包装和运输的费用及相关风险由中标供应商承担。</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4、其他要求:</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（1）供应商必须严格按照招标文件的要求进行报价，否则响应无效。</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（2）货物由中标供应商运至采购人指定地点，验收交货前存放及保管概由中标供应商负责。凡由于装卸不良、瓶体自身质量原因等造成的损失和由此产生的费用均由中标供应商承担。</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（3）中标供应商免费对采购人技术人员进行操作、维护等方面的培训，并且提供免费的技术咨询服务。</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（4）在气体运输和灌装过程中如发生意外事故均由中标供应商负责。</w:t>
      </w:r>
      <w:r>
        <w:rPr>
          <w:rFonts w:hint="eastAsia" w:ascii="宋体" w:hAnsi="Courier New" w:eastAsia="宋体" w:cs="Times New Roman"/>
          <w:color w:val="000000"/>
          <w:sz w:val="20"/>
          <w:szCs w:val="20"/>
          <w:highlight w:val="none"/>
          <w:lang w:val="en-US" w:eastAsia="zh-CN" w:bidi="ar-SA"/>
        </w:rPr>
      </w:r>
      <w:r/>
    </w:p>
    <w:p>
      <w:pPr>
        <w:pStyle w:val="678"/>
        <w:ind w:firstLine="400"/>
        <w:spacing w:line="360" w:lineRule="auto"/>
        <w:rPr>
          <w:rFonts w:hint="eastAsia"/>
          <w:color w:val="000000"/>
          <w:highlight w:val="none"/>
          <w:lang w:val="en-US" w:eastAsia="zh-CN"/>
        </w:rPr>
      </w:pPr>
      <w:r>
        <w:rPr>
          <w:rFonts w:hint="eastAsia" w:ascii="宋体" w:hAnsi="Courier New" w:eastAsia="宋体" w:cs="Times New Roman"/>
          <w:color w:val="000000"/>
          <w:sz w:val="20"/>
          <w:szCs w:val="20"/>
          <w:highlight w:val="none"/>
          <w:lang w:val="en-US" w:eastAsia="zh-CN" w:bidi="ar-SA"/>
        </w:rPr>
        <w:t xml:space="preserve">（5）在项目实施过程中的安全责任由中标供应商负全责，采购人不承担任何安全责任，也不承担如发生安全事故产生的任何费用。</w:t>
      </w:r>
      <w:r>
        <w:rPr>
          <w:rFonts w:hint="eastAsia"/>
          <w:color w:val="000000"/>
          <w:highlight w:val="none"/>
          <w:lang w:val="en-US" w:eastAsia="zh-CN"/>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5、付款要求</w:t>
      </w:r>
      <w:r>
        <w:rPr>
          <w:rFonts w:hint="eastAsia" w:ascii="宋体" w:hAnsi="Courier New" w:eastAsia="宋体" w:cs="Times New Roman"/>
          <w:color w:val="000000"/>
          <w:sz w:val="20"/>
          <w:szCs w:val="20"/>
          <w:highlight w:val="none"/>
          <w:lang w:val="en-US" w:eastAsia="zh-CN" w:bidi="ar-SA"/>
        </w:rPr>
      </w:r>
      <w:r/>
    </w:p>
    <w:p>
      <w:pPr>
        <w:pStyle w:val="678"/>
        <w:ind w:firstLine="400"/>
        <w:spacing w:line="360" w:lineRule="auto"/>
        <w:rPr>
          <w:rFonts w:hint="eastAsia" w:ascii="宋体" w:hAnsi="Courier New" w:eastAsia="宋体" w:cs="Times New Roman"/>
          <w:color w:val="000000"/>
          <w:sz w:val="20"/>
          <w:szCs w:val="20"/>
          <w:highlight w:val="none"/>
          <w:lang w:val="en-US" w:eastAsia="zh-CN"/>
        </w:rPr>
      </w:pPr>
      <w:r>
        <w:rPr>
          <w:rFonts w:hint="eastAsia" w:ascii="宋体" w:hAnsi="Courier New" w:eastAsia="宋体" w:cs="Times New Roman"/>
          <w:color w:val="000000"/>
          <w:sz w:val="20"/>
          <w:szCs w:val="20"/>
          <w:highlight w:val="none"/>
          <w:lang w:val="en-US" w:eastAsia="zh-CN"/>
        </w:rPr>
        <w:t xml:space="preserve">按杜瓦瓶液氧、瓶氧的实际送货数量结算，每月结算一次。</w:t>
      </w:r>
      <w:r>
        <w:rPr>
          <w:rFonts w:hint="eastAsia" w:ascii="宋体" w:hAnsi="Courier New" w:eastAsia="宋体" w:cs="Times New Roman"/>
          <w:color w:val="000000"/>
          <w:sz w:val="20"/>
          <w:szCs w:val="20"/>
          <w:highlight w:val="none"/>
          <w:lang w:val="en-US" w:eastAsia="zh-CN"/>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6、项目实施要求</w:t>
      </w:r>
      <w:r>
        <w:rPr>
          <w:rFonts w:hint="eastAsia" w:ascii="宋体" w:hAnsi="Courier New" w:eastAsia="宋体" w:cs="Times New Roman"/>
          <w:color w:val="000000"/>
          <w:sz w:val="20"/>
          <w:szCs w:val="20"/>
          <w:highlight w:val="none"/>
          <w:lang w:val="en-US" w:eastAsia="zh-CN" w:bidi="ar-SA"/>
        </w:rPr>
      </w:r>
      <w:r/>
    </w:p>
    <w:p>
      <w:pPr>
        <w:pStyle w:val="679"/>
        <w:ind w:firstLine="400"/>
        <w:spacing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供应商应针对本项目在实施方案中制定实施计划，包括不限于项目进度、售后服务、质量、应急措施等等，并在项目实施过程中严格执行，以保证项目的顺利实施。</w:t>
      </w:r>
      <w:r>
        <w:rPr>
          <w:rFonts w:hint="eastAsia" w:ascii="宋体" w:hAnsi="Courier New" w:eastAsia="宋体" w:cs="Times New Roman"/>
          <w:color w:val="000000"/>
          <w:sz w:val="20"/>
          <w:szCs w:val="20"/>
          <w:highlight w:val="none"/>
          <w:lang w:val="en-US" w:eastAsia="zh-CN" w:bidi="ar-SA"/>
        </w:rPr>
      </w:r>
      <w:r/>
    </w:p>
    <w:p>
      <w:pPr>
        <w:pStyle w:val="679"/>
        <w:ind w:firstLine="402"/>
        <w:spacing w:line="360" w:lineRule="auto"/>
        <w:rPr>
          <w:rFonts w:hint="eastAsia" w:ascii="宋体" w:hAnsi="Courier New" w:eastAsia="宋体" w:cs="Times New Roman"/>
          <w:b/>
          <w:bCs/>
          <w:color w:val="000000"/>
          <w:sz w:val="20"/>
          <w:szCs w:val="20"/>
          <w:highlight w:val="none"/>
          <w:lang w:val="en-US" w:eastAsia="zh-CN" w:bidi="ar-SA"/>
        </w:rPr>
      </w:pPr>
      <w:r>
        <w:rPr>
          <w:rFonts w:hint="eastAsia" w:ascii="宋体" w:hAnsi="Courier New" w:eastAsia="宋体" w:cs="Times New Roman"/>
          <w:b/>
          <w:bCs/>
          <w:color w:val="000000"/>
          <w:sz w:val="20"/>
          <w:szCs w:val="20"/>
          <w:highlight w:val="none"/>
          <w:lang w:val="en-US" w:eastAsia="zh-CN" w:bidi="ar-SA"/>
        </w:rPr>
        <w:t xml:space="preserve">本项目为实质性要求，不允许负偏离，负偏离为无效投标。</w:t>
      </w:r>
      <w:r>
        <w:rPr>
          <w:rFonts w:hint="eastAsia" w:ascii="宋体" w:hAnsi="Courier New" w:eastAsia="宋体" w:cs="Times New Roman"/>
          <w:b/>
          <w:bCs/>
          <w:color w:val="000000"/>
          <w:sz w:val="20"/>
          <w:szCs w:val="20"/>
          <w:highlight w:val="none"/>
          <w:lang w:val="en-US" w:eastAsia="zh-CN" w:bidi="ar-SA"/>
        </w:rPr>
      </w:r>
      <w:r/>
    </w:p>
    <w:p>
      <w:pPr>
        <w:pStyle w:val="678"/>
        <w:ind w:firstLine="440"/>
        <w:rPr>
          <w:rFonts w:hint="eastAsia"/>
          <w:color w:val="000000"/>
          <w:highlight w:val="none"/>
          <w:lang w:val="en-US" w:eastAsia="zh-CN"/>
        </w:rPr>
      </w:pPr>
      <w:r>
        <w:rPr>
          <w:rFonts w:hint="eastAsia"/>
          <w:color w:val="000000"/>
          <w:highlight w:val="none"/>
          <w:lang w:val="en-US" w:eastAsia="zh-CN"/>
        </w:rPr>
      </w:r>
      <w:r/>
    </w:p>
    <w:p>
      <w:pPr>
        <w:pStyle w:val="714"/>
        <w:jc w:val="left"/>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p>
      <w:pPr>
        <w:pStyle w:val="700"/>
        <w:numPr>
          <w:ilvl w:val="0"/>
          <w:numId w:val="0"/>
        </w:numPr>
        <w:spacing w:line="360" w:lineRule="auto"/>
        <w:rPr>
          <w:color w:val="000000"/>
          <w:highlight w:val="none"/>
          <w:lang w:val="en-US" w:eastAsia="zh-CN"/>
        </w:rPr>
      </w:pPr>
      <w:r>
        <w:rPr>
          <w:color w:val="000000"/>
          <w:highlight w:val="none"/>
          <w:lang w:val="en-US" w:eastAsia="zh-CN"/>
        </w:rPr>
      </w:r>
      <w:r/>
    </w:p>
    <w:p>
      <w:pPr>
        <w:pStyle w:val="700"/>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spacing w:line="360" w:lineRule="auto"/>
        <w:rPr>
          <w:color w:val="000000"/>
          <w:highlight w:val="none"/>
        </w:rPr>
      </w:pPr>
      <w:r>
        <w:rPr>
          <w:color w:val="000000"/>
          <w:highlight w:val="none"/>
        </w:rPr>
      </w:r>
      <w:r/>
    </w:p>
    <w:p>
      <w:pPr>
        <w:pStyle w:val="678"/>
        <w:jc w:val="center"/>
        <w:shd w:val="clear" w:color="auto" w:fill="ffffff"/>
        <w:widowControl/>
        <w:rPr>
          <w:rFonts w:hint="eastAsia" w:ascii="宋体" w:hAnsi="宋体" w:eastAsia="宋体"/>
          <w:color w:val="000000"/>
          <w:sz w:val="36"/>
          <w:szCs w:val="36"/>
          <w:highlight w:val="none"/>
          <w:lang w:eastAsia="zh-CN"/>
        </w:rPr>
      </w:pPr>
      <w:r>
        <w:rPr>
          <w:b/>
          <w:bCs/>
          <w:color w:val="000000"/>
          <w:sz w:val="24"/>
          <w:szCs w:val="24"/>
          <w:highlight w:val="none"/>
          <w:lang w:val="en-US" w:eastAsia="zh-CN"/>
        </w:rPr>
        <w:br w:type="page" w:clear="all"/>
      </w: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678"/>
        <w:jc w:val="center"/>
        <w:shd w:val="clear" w:color="auto" w:fill="ffffff"/>
        <w:widowControl/>
        <w:rPr>
          <w:rFonts w:ascii="仿宋_GB2312" w:hAnsi="Calibri" w:eastAsia="仿宋_GB2312"/>
          <w:color w:val="000000"/>
          <w:szCs w:val="21"/>
          <w:highlight w:val="none"/>
        </w:rPr>
      </w:pPr>
      <w:r/>
      <w:bookmarkStart w:id="40" w:name="_Toc20823315"/>
      <w:r/>
      <w:bookmarkStart w:id="41" w:name="_Toc3995"/>
      <w:r/>
      <w:bookmarkStart w:id="42" w:name="_Toc513029243"/>
      <w:r/>
      <w:bookmarkStart w:id="43" w:name="_Toc16938559"/>
      <w:r>
        <w:rPr>
          <w:rFonts w:ascii="仿宋_GB2312" w:hAnsi="Calibri" w:eastAsia="仿宋_GB2312"/>
          <w:color w:val="000000"/>
          <w:szCs w:val="21"/>
          <w:highlight w:val="none"/>
        </w:rPr>
        <w:t xml:space="preserve">（</w:t>
      </w:r>
      <w:r>
        <w:rPr>
          <w:rFonts w:hint="eastAsia" w:ascii="宋体" w:hAnsi="宋体" w:cs="宋体"/>
          <w:i/>
          <w:iCs/>
          <w:color w:val="000000"/>
          <w:sz w:val="20"/>
          <w:szCs w:val="24"/>
          <w:highlight w:val="none"/>
        </w:rPr>
        <w:t xml:space="preserve">注：本合同仅为合同的参考文本，合同签订双方可根据项目的具体要求进行修订，但不得更改实质性要求。</w:t>
      </w:r>
      <w:r>
        <w:rPr>
          <w:rFonts w:ascii="仿宋_GB2312" w:hAnsi="Calibri" w:eastAsia="仿宋_GB2312"/>
          <w:color w:val="000000"/>
          <w:szCs w:val="21"/>
          <w:highlight w:val="none"/>
        </w:rPr>
        <w:t xml:space="preserve">）</w:t>
      </w:r>
      <w:r>
        <w:rPr>
          <w:rFonts w:ascii="仿宋_GB2312" w:hAnsi="Calibri" w:eastAsia="仿宋_GB2312"/>
          <w:color w:val="000000"/>
          <w:szCs w:val="21"/>
          <w:highlight w:val="none"/>
        </w:rPr>
      </w:r>
      <w:r/>
    </w:p>
    <w:p>
      <w:pPr>
        <w:pStyle w:val="678"/>
        <w:jc w:val="center"/>
        <w:spacing w:line="360" w:lineRule="auto"/>
        <w:rPr>
          <w:rFonts w:hint="eastAsia" w:ascii="宋体" w:hAnsi="宋体" w:eastAsia="宋体"/>
          <w:color w:val="000000"/>
          <w:sz w:val="36"/>
          <w:szCs w:val="36"/>
          <w:highlight w:val="none"/>
          <w:lang w:eastAsia="zh-CN"/>
        </w:rPr>
      </w:pPr>
      <w:r/>
      <w:bookmarkEnd w:id="40"/>
      <w:r/>
      <w:bookmarkEnd w:id="41"/>
      <w:r/>
      <w:bookmarkEnd w:id="42"/>
      <w:r/>
      <w:bookmarkEnd w:id="43"/>
      <w:r>
        <w:rPr>
          <w:rFonts w:hint="eastAsia" w:ascii="宋体" w:hAnsi="宋体" w:eastAsia="宋体"/>
          <w:color w:val="000000"/>
          <w:sz w:val="36"/>
          <w:szCs w:val="36"/>
          <w:highlight w:val="none"/>
          <w:lang w:eastAsia="zh-CN"/>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项目编号： </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政府采购项目名称： </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采购人(以下称甲方):江苏省省级机关医院</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地址：南京市鼓楼区江苏路65号</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供应商(以下称乙方): </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地址： </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根据《中华人民共和国政府采购法》《中华人民共和国民法典》等法律法规的规定，甲乙双方按照采购文件及采购结果签订本合同。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第一条 合同标的乙方根据甲方需求提供下列货物及服务：             。</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第二条 合同价款</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u w:val="single"/>
          <w:lang w:val="en-US" w:eastAsia="zh-CN" w:bidi="ar-SA"/>
        </w:rPr>
      </w:pPr>
      <w:r>
        <w:rPr>
          <w:rFonts w:hint="eastAsia" w:ascii="宋体" w:hAnsi="Courier New" w:eastAsia="宋体" w:cs="Times New Roman"/>
          <w:color w:val="000000"/>
          <w:sz w:val="20"/>
          <w:szCs w:val="20"/>
          <w:highlight w:val="none"/>
          <w:lang w:val="en-US" w:eastAsia="zh-CN" w:bidi="ar-SA"/>
        </w:rPr>
        <w:t xml:space="preserve">本合同项下单价为</w:t>
      </w:r>
      <w:r>
        <w:rPr>
          <w:rFonts w:hint="eastAsia" w:ascii="宋体" w:hAnsi="Courier New" w:eastAsia="宋体" w:cs="Times New Roman"/>
          <w:color w:val="000000"/>
          <w:sz w:val="20"/>
          <w:szCs w:val="20"/>
          <w:highlight w:val="none"/>
          <w:u w:val="single"/>
          <w:lang w:val="en-US" w:eastAsia="zh-CN" w:bidi="ar-SA"/>
        </w:rPr>
        <w:t xml:space="preserve">人民币(大写)             (小写)¥         元。</w:t>
      </w:r>
      <w:r>
        <w:rPr>
          <w:rFonts w:hint="eastAsia" w:ascii="宋体" w:hAnsi="Courier New" w:eastAsia="宋体" w:cs="Times New Roman"/>
          <w:color w:val="000000"/>
          <w:sz w:val="20"/>
          <w:szCs w:val="20"/>
          <w:highlight w:val="none"/>
          <w:u w:val="singl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本合同价款还包含乙方应当提供的伴随服务/售后服务费用。</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第三条 合同期限及支付方式</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合同期限：配送服务期为2年，合同采用一年一签方式。遇重大事项或改变用氧方式，合同终止。</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支付方式：按月结算。按杜瓦瓶液氧的实际送货数量(或甲方签署的验收单数量) 乘以合同单价结算，每月结算一次。</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第三条组成本合同的有关文件下列关于本项目的采购文件或与本次采购活动方式相适应的文件及有关附件是本合同不可分割的组成部分，与本合同具有同等法律效力，这些文件包括但不限于：</w:t>
      </w:r>
      <w:r>
        <w:rPr>
          <w:rFonts w:hint="eastAsia" w:ascii="宋体" w:hAnsi="Courier New" w:eastAsia="宋体" w:cs="Times New Roman"/>
          <w:color w:val="000000"/>
          <w:sz w:val="20"/>
          <w:szCs w:val="20"/>
          <w:highlight w:val="none"/>
          <w:lang w:val="en-US" w:eastAsia="zh-CN" w:bidi="ar-SA"/>
        </w:rPr>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3"/>
      </w:tblGrid>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(1)招标文件；</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(2)乙方提供的响应文件和报价表；</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(3)供货一览表；</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(4)交货一览表；</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(5)技术规格响应表；</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 乙方承诺；</w:t>
            </w:r>
            <w:r>
              <w:rPr>
                <w:rFonts w:hint="eastAsia" w:ascii="宋体" w:hAnsi="Courier New" w:eastAsia="宋体" w:cs="Times New Roman"/>
                <w:color w:val="000000"/>
                <w:sz w:val="20"/>
                <w:szCs w:val="20"/>
                <w:highlight w:val="none"/>
                <w:lang w:val="en-US" w:eastAsia="zh-CN" w:bidi="ar-SA"/>
              </w:rPr>
            </w:r>
            <w:r/>
          </w:p>
        </w:tc>
      </w:tr>
      <w:tr>
        <w:trPr/>
        <w:tc>
          <w:tcPr>
            <w:tcW w:w="4956"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(7)成交通知书；</w:t>
            </w:r>
            <w:r>
              <w:rPr>
                <w:rFonts w:hint="eastAsia" w:ascii="宋体" w:hAnsi="Courier New" w:eastAsia="宋体" w:cs="Times New Roman"/>
                <w:color w:val="000000"/>
                <w:sz w:val="20"/>
                <w:szCs w:val="20"/>
                <w:highlight w:val="none"/>
                <w:lang w:val="en-US" w:eastAsia="zh-CN" w:bidi="ar-SA"/>
              </w:rPr>
            </w:r>
            <w:r/>
          </w:p>
        </w:tc>
        <w:tc>
          <w:tcPr>
            <w:tcW w:w="4957" w:type="dxa"/>
            <w:vAlign w:val="top"/>
            <w:textDirection w:val="lrTb"/>
            <w:noWrap w:val="false"/>
          </w:tcPr>
          <w:p>
            <w:pPr>
              <w:pStyle w:val="696"/>
              <w:jc w:val="left"/>
              <w:spacing w:before="9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(8)甲乙双方商定的其他文件等。</w:t>
            </w:r>
            <w:r>
              <w:rPr>
                <w:rFonts w:hint="eastAsia" w:ascii="宋体" w:hAnsi="Courier New" w:eastAsia="宋体" w:cs="Times New Roman"/>
                <w:color w:val="000000"/>
                <w:sz w:val="20"/>
                <w:szCs w:val="20"/>
                <w:highlight w:val="none"/>
                <w:lang w:val="en-US" w:eastAsia="zh-CN" w:bidi="ar-SA"/>
              </w:rPr>
            </w:r>
            <w:r/>
          </w:p>
        </w:tc>
      </w:tr>
    </w:tbl>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第四条 权利保证</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乙方应保证甲方在使用该货物或其任何一部分时不受第三方提出侵犯其专利权、版权、 商标权或其他权利的起诉。一旦出现侵权，乙方应承担全部责任，如造成甲方损失的，乙方还应当赔偿甲方全部损失。</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第五条 质量保证</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1.乙方严格执行国家质量安全标准，符合《中华人民共和国药典2020版》要求，医用气体纯度≥99.5%，液态氮纯度≥99.99%。</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3.货物经甲方验收后，在质量保证期内，乙方应对由于设计、工艺或材料的缺陷所发生的任何不足或故障负责并负责维修或无偿更换，所需费用由乙方承担。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第六条 包装要求</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除合同另有规定外，乙方提供的全部货物均应按标准保护措施进行包装。该包装应适应于远距离运输、防潮、防震、防锈和防野蛮装卸，以确保货物安全无损运抵指定地点。包装和运输的费用及相关风险由乙方承担，由于包装不善所引起的货物损失均由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2.每一包装单元内应附详细的装箱单和质量合格凭证。</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第七条 交货和验收</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1.乙方按照本合同或招投标文件规定的时间和方式向甲方交付货物，交货地点由甲方指定。</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交货时间：按甲方通知</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交货地点：江苏省省级机关医院院区内院方指定地点</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因本合同中货物的特殊性，乙方须依据投标文件中提供的供货及时性承诺书实际执行，如未按照承诺书执行，甲方有权解除合同。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3.货物的到货验收包括：型号、规格、数量、外观质量及货物包装是否完好等。</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5.甲方应当在到货后的1个工作日内对货物进行验收；需要乙方对货物或系统进行安装调试的，甲方应在货物安装调试完毕后的1个工作日内进行质量验收。招标文件对检验期限另有规定的，从其规定。</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6.货物和系统调试验收的标准：按行业通行标准、厂方出厂标准和乙方投标文件的承诺 (详见合同附件载明的标准，并不低于国家相关标准)。如各标准存在不一致时，以更为严格的标准为准。</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7.验收交货前存放及保管概由乙方负责。凡由于装卸不良、瓶体自身质量原因等造成的损失和由此产生的费用均由乙方承担。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8.在气体运输和灌装过程中如发生意外事故均由中标供应商负责。</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第八条伴随服务/售后服务</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1.乙方应按照国家有关法律法规规章和“三包”规定以及合同所附的“服务承诺”提供 服务。</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2.乙方具备多车辆送货，每次送货到甲方贮罐现场进行专业性供气安全检查和供气技 术指导，需确保氧气加注安全。</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3.除前款规定外，乙方还应提供下列服务：</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3.1货物的现场安装、调试和/或启动监督；</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3.2就货物的安装、启动、运行及维护等对甲方人员进行免费培训。</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4.若招标文件中不包含有关伴随服务或售后服务的承诺，双方作如下约定：</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4.1乙方应为甲方提供免费培训服务，并指派专人负责与甲方联系售后服务事宜。主要培训内容为货物的基本结构、性能、主要部件的构造及处理，日常使用操作、保养与管理、 常见故障的排除、紧急情况的处理等，如甲方未使用过同类型货物，乙方还需就货物的功能 对甲方人员进行相应的技术培训，培训地点主要在货物安装现场或由甲方安排。</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4.2质保期壹年，自甲方验收合同之日起计算。质保期内出现质量问题，应在20分钟  内电话响应，1小时电话沟通不能解决的问题，在3小时内派专业技术人员到达故障现场、 提供故障救援。一般故障情况于8小时内解决，特殊情况不超过24小时。</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4.3所购货物按乙方投标承诺提供免费维护和质量保证，保修费用计入合同价。</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4.4质保期内，乙方负责对其提供的货物进行维修和系统维护，不再收取任何费用，但 不可抗力(如火灾、雷击等)造成的故障除外。</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4.5货物故障报修的响应时间按乙方投标承诺执行。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4.6若货物故障在检修12小时后仍无法排除，乙方应在24小时内免费提供不低于故障 货物规格型号档次的备用货物供甲方使用，直至故障货物修复。</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4.7所有货物保修服务方式均为乙方上门保修，即由乙方派员到货物使用现场维修，由 此产生的一切费用均由乙方承担。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4.8保修期后的货物维护由双方协商再定。</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第九条 违约责任</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1.甲方无正当理由拒收货物、拒付货款的，由甲方向乙方偿付合同总价的5%违约金。</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2.如乙方不能交付货物，乙方应向甲方支付合同总价5%的违约金。如乙方逾期交付货 物给甲方造成损失的，乙方还应承担赔偿责任。</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3.乙方逾期交付货物的，每逾期1天，乙方向甲方偿付逾期交货部分货款总额的5‰的 滞纳金。如乙方逾期交货达(30)天，甲方有权解除合同，解除合同的通知自到达乙方时生 效。</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4.乙方所交付的货物品种、型号、规格不符合合同规定的，甲方有权拒收。甲方拒收的， 乙方应向甲方支付货款总额5%的违约金。</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5.在乙方承诺的或国家规定的质量保证期内(取两者中最长的期限),如经乙方两次维 修或更换，货物仍不能达到合同约定的质量标准，甲方有权退货，乙方应退回全部货款，并 按第3款处理，同时，乙方还须赔偿甲方因此遭受的损失。</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6.乙方未按本合同的规定和“服务承诺”提供伴随服务/售后服务的，应按合同总价款 的5%向甲方承担违约责任。同时甲方有权委托第三方提供相关服务，由此产生的费用，由 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7.乙方在承担上述3-6款一项或多项违约责任后，仍应继续履行合同规定的义务(甲方 解除合同除外)。甲方未能及时追究乙方的任何一项违约责任并不表明甲方放弃追究乙方该 项或其他违约责任。</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8.乙方响应属虚假承诺，或经相关部门检测提供的货物不能满足文件要求， 或是由于乙方的过错造成合同无法继续履行的，应向甲方支付不少于合同总价30%赔偿金。</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9.如乙方违反合同任一条款，经催告后仍不改正或履行的，甲方有权解除合同，合同自 解除通知到达时解除。</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第十条 合同的转让</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未经甲方书面同意，乙方不得以任何方式擅自部分或全部转让其应履行的合同义务，如 有转让和未经甲方同意的分包行为，甲方有权予以终止合同。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第十一条 保密条款</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对合同履行过程中，双方应对所获得或了解的对方的商业秘密，承担保密义务，未经对 方事先的书面许可，不得利用或披露这些信息，否则对方有权追究其法律责任。</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第十二条 争议的解决</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1.因货物的质量问题发生争议的，应当邀请国家认可的质量检测机构对货物质量进行鉴 定。货物符合标准的，鉴定费由甲方承担；货物不符合质量标准的，鉴定费由乙方承担。</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2.因履行本合同引起的或与本合同有关的争议，甲、乙双方应首先通过友好协商解决， 如果协商不能解决争议，则向甲方所在地有管辖权的人民法院提起诉讼。</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3.在诉讼期间，本合同应继续履行。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第十三条 诚实信用</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乙方应诚实信用，严格按照招标文件要求和投标承诺履行合同，不向甲方进行商业贿赂 或者提供其他不正当利益。</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第十四条 合同生效及其他</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1.本合同自双方法人或授权代表签字盖章之日起生效。</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2.本合同未尽事宜，遵照《民法典》有关条文执行。</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3.本合同一式四份，具有同等法律效力，甲方执叁份、乙方执壹份。</w:t>
      </w: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甲方(采购人):(盖章) </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乙方(供应商):(盖章)</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法定代表人：</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委托代表人：</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委托代理人：</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项目负责人：</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电话：</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电话：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开户银行：</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开户银行：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账号：</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账号：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单位地址：</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单位地址： </w:t>
            </w:r>
            <w:r>
              <w:rPr>
                <w:rFonts w:hint="eastAsia" w:ascii="宋体" w:hAnsi="Courier New" w:eastAsia="宋体" w:cs="Times New Roman"/>
                <w:color w:val="000000"/>
                <w:sz w:val="20"/>
                <w:szCs w:val="20"/>
                <w:highlight w:val="none"/>
                <w:lang w:val="en-US" w:eastAsia="zh-CN" w:bidi="ar-SA"/>
              </w:rPr>
            </w:r>
            <w:r/>
          </w:p>
        </w:tc>
      </w:tr>
      <w:tr>
        <w:trPr/>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日期：</w:t>
            </w:r>
            <w:r>
              <w:rPr>
                <w:rFonts w:hint="eastAsia" w:ascii="宋体" w:hAnsi="Courier New" w:eastAsia="宋体" w:cs="Times New Roman"/>
                <w:color w:val="000000"/>
                <w:sz w:val="20"/>
                <w:szCs w:val="20"/>
                <w:highlight w:val="none"/>
                <w:lang w:val="en-US" w:eastAsia="zh-CN" w:bidi="ar-SA"/>
              </w:rPr>
            </w:r>
            <w:r/>
          </w:p>
        </w:tc>
        <w:tc>
          <w:tcPr>
            <w:tcW w:w="4261" w:type="dxa"/>
            <w:vAlign w:val="top"/>
            <w:textDirection w:val="lrTb"/>
            <w:noWrap w:val="false"/>
          </w:tcPr>
          <w:p>
            <w:pPr>
              <w:pStyle w:val="678"/>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日期：</w:t>
            </w:r>
            <w:r>
              <w:rPr>
                <w:rFonts w:hint="eastAsia" w:ascii="宋体" w:hAnsi="Courier New" w:eastAsia="宋体" w:cs="Times New Roman"/>
                <w:color w:val="000000"/>
                <w:sz w:val="20"/>
                <w:szCs w:val="20"/>
                <w:highlight w:val="none"/>
                <w:lang w:val="en-US" w:eastAsia="zh-CN" w:bidi="ar-SA"/>
              </w:rPr>
            </w:r>
            <w:r/>
          </w:p>
        </w:tc>
      </w:tr>
    </w:tbl>
    <w:p>
      <w:pPr>
        <w:pStyle w:val="678"/>
        <w:ind w:firstLine="400"/>
        <w:keepLines w:val="0"/>
        <w:keepNext w:val="0"/>
        <w:pageBreakBefore w:val="0"/>
        <w:spacing w:line="360" w:lineRule="auto"/>
        <w:widowControl w:val="off"/>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678"/>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681"/>
        <w:ind w:right="177"/>
        <w:jc w:val="center"/>
        <w:spacing w:line="360" w:lineRule="auto"/>
        <w:tabs>
          <w:tab w:val="left" w:pos="1279" w:leader="none"/>
        </w:tabs>
        <w:rPr>
          <w:rFonts w:hint="eastAsia" w:ascii="宋体" w:hAnsi="宋体" w:eastAsia="宋体"/>
          <w:color w:val="000000"/>
          <w:highlight w:val="none"/>
          <w:lang w:eastAsia="zh-CN"/>
        </w:rPr>
      </w:pPr>
      <w:r/>
      <w:bookmarkStart w:id="44" w:name="_bookmark10"/>
      <w:r/>
      <w:bookmarkEnd w:id="44"/>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678"/>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8"/>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8"/>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6"/>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8"/>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8"/>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8"/>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8"/>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eastAsia="zh-CN"/>
        </w:rPr>
      </w:pPr>
      <w:r/>
      <w:bookmarkStart w:id="45" w:name="_Toc504573083"/>
      <w:r/>
      <w:bookmarkStart w:id="46" w:name="_Toc504056868"/>
      <w:r/>
      <w:bookmarkStart w:id="47" w:name="_Toc504044380"/>
      <w:r>
        <w:rPr>
          <w:rFonts w:hint="eastAsia" w:ascii="宋体" w:hAnsi="宋体" w:eastAsia="宋体" w:cs="宋体"/>
          <w:b/>
          <w:bCs/>
          <w:color w:val="000000"/>
          <w:szCs w:val="21"/>
          <w:highlight w:val="none"/>
          <w:lang w:eastAsia="zh-CN"/>
        </w:rPr>
        <w:br w:type="page" w:clear="all"/>
      </w:r>
      <w:bookmarkEnd w:id="45"/>
      <w:r/>
      <w:bookmarkEnd w:id="46"/>
      <w:r/>
      <w:bookmarkEnd w:id="47"/>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8"/>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8"/>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致：江苏省省级机关医院     </w:t>
      </w:r>
      <w:r>
        <w:rPr>
          <w:rFonts w:ascii="宋体" w:hAnsi="宋体" w:eastAsia="宋体"/>
          <w:color w:val="000000"/>
          <w:szCs w:val="21"/>
          <w:highlight w:val="none"/>
          <w:lang w:eastAsia="zh-CN"/>
        </w:rPr>
      </w:r>
      <w:r/>
    </w:p>
    <w:p>
      <w:pPr>
        <w:pStyle w:val="678"/>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w:t>
      </w:r>
      <w:r>
        <w:rPr>
          <w:rFonts w:hint="eastAsia" w:hAnsi="宋体"/>
          <w:color w:val="000000"/>
          <w:sz w:val="22"/>
          <w:szCs w:val="21"/>
          <w:highlight w:val="none"/>
          <w:lang w:val="en-US" w:eastAsia="zh-CN"/>
        </w:rPr>
        <w:t xml:space="preserve">报价</w:t>
      </w:r>
      <w:r>
        <w:rPr>
          <w:rFonts w:hint="eastAsia" w:hAnsi="宋体"/>
          <w:color w:val="000000"/>
          <w:sz w:val="22"/>
          <w:szCs w:val="21"/>
          <w:highlight w:val="none"/>
          <w:lang w:eastAsia="zh-CN"/>
        </w:rPr>
        <w:t xml:space="preserve">为人民币（</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万元/年，两年总计：</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u w:val="none"/>
          <w:lang w:val="en-US" w:eastAsia="zh-CN"/>
        </w:rPr>
        <w:t xml:space="preserve">万</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8"/>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48" w:name="_Toc22356585"/>
      <w:r/>
      <w:bookmarkStart w:id="49" w:name="_Toc26554105"/>
      <w:r/>
      <w:bookmarkStart w:id="50" w:name="_Toc513029283"/>
      <w:r/>
      <w:bookmarkStart w:id="51" w:name="_Toc120614292"/>
      <w:r/>
      <w:bookmarkStart w:id="52" w:name="_Toc23828485"/>
      <w:r/>
      <w:bookmarkStart w:id="53" w:name="_Toc49090584"/>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江苏省省级机关医院 </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8"/>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8"/>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4"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48"/>
      <w:r/>
      <w:bookmarkEnd w:id="49"/>
      <w:r/>
      <w:bookmarkEnd w:id="50"/>
      <w:r/>
      <w:bookmarkEnd w:id="51"/>
      <w:r/>
      <w:bookmarkEnd w:id="52"/>
      <w:r/>
      <w:bookmarkEnd w:id="53"/>
      <w:r/>
      <w:bookmarkEnd w:id="54"/>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w:t>
            </w:r>
            <w:r>
              <w:rPr>
                <w:rFonts w:hint="eastAsia" w:ascii="宋体" w:hAnsi="宋体" w:eastAsia="宋体" w:cs="Calibri"/>
                <w:color w:val="000000"/>
                <w:sz w:val="21"/>
                <w:szCs w:val="21"/>
                <w:highlight w:val="none"/>
                <w:lang w:val="en-US" w:eastAsia="zh-CN"/>
              </w:rPr>
              <w:t xml:space="preserve">万</w:t>
            </w:r>
            <w:r>
              <w:rPr>
                <w:rFonts w:hint="eastAsia" w:ascii="宋体" w:hAnsi="宋体" w:eastAsia="宋体" w:cs="Calibri"/>
                <w:color w:val="000000"/>
                <w:sz w:val="21"/>
                <w:szCs w:val="21"/>
                <w:highlight w:val="none"/>
                <w:lang w:val="zh-CN"/>
              </w:rPr>
              <w:t xml:space="preserve">元</w:t>
            </w:r>
            <w:r>
              <w:rPr>
                <w:rFonts w:hint="eastAsia" w:ascii="宋体" w:hAnsi="宋体" w:eastAsia="宋体" w:cs="Calibri"/>
                <w:color w:val="000000"/>
                <w:sz w:val="21"/>
                <w:szCs w:val="21"/>
                <w:highlight w:val="none"/>
                <w:lang w:val="en-US" w:eastAsia="zh-CN"/>
              </w:rPr>
              <w:t xml:space="preserve">/年</w:t>
            </w:r>
            <w:r>
              <w:rPr>
                <w:rFonts w:hint="eastAsia" w:ascii="宋体" w:hAnsi="宋体" w:eastAsia="宋体" w:cs="Calibri"/>
                <w:color w:val="000000"/>
                <w:sz w:val="21"/>
                <w:szCs w:val="21"/>
                <w:highlight w:val="none"/>
                <w:lang w:val="zh-CN"/>
              </w:rPr>
              <w:t xml:space="preserve">）</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w:t>
            </w:r>
            <w:r>
              <w:rPr>
                <w:rFonts w:hint="eastAsia" w:ascii="宋体" w:hAnsi="宋体" w:eastAsia="宋体" w:cs="Calibri"/>
                <w:color w:val="000000"/>
                <w:sz w:val="21"/>
                <w:szCs w:val="21"/>
                <w:highlight w:val="none"/>
                <w:lang w:val="en-US" w:eastAsia="zh-CN"/>
              </w:rPr>
              <w:t xml:space="preserve">万</w:t>
            </w:r>
            <w:r>
              <w:rPr>
                <w:rFonts w:hint="eastAsia" w:ascii="宋体" w:hAnsi="宋体" w:eastAsia="宋体" w:cs="Calibri"/>
                <w:color w:val="000000"/>
                <w:sz w:val="21"/>
                <w:szCs w:val="21"/>
                <w:highlight w:val="none"/>
                <w:lang w:val="zh-CN"/>
              </w:rPr>
              <w:t xml:space="preserve">元</w:t>
            </w:r>
            <w:r>
              <w:rPr>
                <w:rFonts w:hint="eastAsia" w:ascii="宋体" w:hAnsi="宋体" w:eastAsia="宋体" w:cs="Calibri"/>
                <w:color w:val="000000"/>
                <w:sz w:val="21"/>
                <w:szCs w:val="21"/>
                <w:highlight w:val="none"/>
                <w:lang w:val="en-US" w:eastAsia="zh-CN"/>
              </w:rPr>
              <w:t xml:space="preserve">/年</w:t>
            </w:r>
            <w:r>
              <w:rPr>
                <w:rFonts w:hint="eastAsia" w:ascii="宋体" w:hAnsi="宋体" w:eastAsia="宋体" w:cs="宋体"/>
                <w:b/>
                <w:color w:val="000000"/>
                <w:sz w:val="21"/>
                <w:szCs w:val="21"/>
                <w:highlight w:val="none"/>
                <w:lang w:eastAsia="zh-CN"/>
              </w:rPr>
              <w:t xml:space="preserve">）</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两年</w:t>
            </w:r>
            <w:r>
              <w:rPr>
                <w:rFonts w:hint="eastAsia" w:ascii="宋体" w:hAnsi="宋体" w:eastAsia="宋体" w:cs="宋体"/>
                <w:color w:val="000000"/>
                <w:sz w:val="21"/>
                <w:szCs w:val="21"/>
                <w:highlight w:val="none"/>
                <w:lang w:val="zh-CN" w:eastAsia="zh-CN"/>
              </w:rPr>
              <w:t xml:space="preserve">总价（人民币）</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8"/>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8"/>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8"/>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8"/>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8"/>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8"/>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5"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67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1705"/>
        <w:gridCol w:w="1514"/>
        <w:gridCol w:w="936"/>
        <w:gridCol w:w="799"/>
        <w:gridCol w:w="936"/>
        <w:gridCol w:w="936"/>
        <w:gridCol w:w="898"/>
      </w:tblGrid>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序号</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名称</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规格</w:t>
            </w:r>
            <w:r>
              <w:rPr>
                <w:rFonts w:hint="eastAsia"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单位</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p>
            <w:pPr>
              <w:pStyle w:val="678"/>
              <w:ind w:firstLine="0"/>
              <w:jc w:val="center"/>
              <w:rPr>
                <w:color w:val="000000"/>
                <w:highlight w:val="none"/>
                <w:lang w:val="en-US" w:eastAsia="zh-CN"/>
              </w:rPr>
            </w:pPr>
            <w:r>
              <w:rPr>
                <w:rFonts w:hint="eastAsia"/>
                <w:color w:val="000000"/>
                <w:highlight w:val="none"/>
                <w:lang w:val="en-US" w:eastAsia="zh-CN"/>
              </w:rPr>
              <w:t xml:space="preserve">数量</w:t>
            </w:r>
            <w:r>
              <w:rPr>
                <w:color w:val="000000"/>
                <w:highlight w:val="none"/>
                <w:lang w:val="en-US" w:eastAsia="zh-CN"/>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单价（元）</w:t>
            </w: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总价（元）</w:t>
            </w: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杜瓦瓶液氧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210L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2</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3</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10L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02"/>
        </w:trPr>
        <w:tc>
          <w:tcPr>
            <w:tcW w:w="1507"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w:t>
            </w:r>
            <w:r>
              <w:rPr>
                <w:rFonts w:hint="eastAsia"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8L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5</w:t>
            </w:r>
            <w:r>
              <w:rPr>
                <w:rFonts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瓶氧</w:t>
            </w:r>
            <w:r>
              <w:rPr>
                <w:rFonts w:hint="eastAsia"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4L</w:t>
            </w:r>
            <w:r>
              <w:rPr>
                <w:rFonts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瓶</w:t>
            </w: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tcW w:w="1507"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6</w:t>
            </w:r>
            <w:r>
              <w:rPr>
                <w:rFonts w:ascii="宋体" w:hAnsi="Courier New" w:eastAsia="宋体" w:cs="Times New Roman"/>
                <w:color w:val="000000"/>
                <w:sz w:val="20"/>
                <w:szCs w:val="20"/>
                <w:highlight w:val="none"/>
                <w:lang w:val="en-US" w:eastAsia="zh-CN" w:bidi="ar-SA"/>
              </w:rPr>
            </w:r>
            <w:r/>
          </w:p>
        </w:tc>
        <w:tc>
          <w:tcPr>
            <w:tcW w:w="1705"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w:t>
            </w:r>
            <w:r>
              <w:rPr>
                <w:rFonts w:ascii="宋体" w:hAnsi="Courier New" w:eastAsia="宋体" w:cs="Times New Roman"/>
                <w:color w:val="000000"/>
                <w:sz w:val="20"/>
                <w:szCs w:val="20"/>
                <w:highlight w:val="none"/>
                <w:lang w:val="en-US" w:eastAsia="zh-CN" w:bidi="ar-SA"/>
              </w:rPr>
            </w:r>
            <w:r/>
          </w:p>
        </w:tc>
        <w:tc>
          <w:tcPr>
            <w:tcW w:w="1514"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2"/>
            <w:tcW w:w="1735"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c>
          <w:tcPr>
            <w:tcW w:w="898"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ascii="宋体" w:hAnsi="Courier New" w:eastAsia="宋体" w:cs="Times New Roman"/>
                <w:color w:val="000000"/>
                <w:sz w:val="20"/>
                <w:szCs w:val="20"/>
                <w:highlight w:val="none"/>
                <w:lang w:val="en-US" w:eastAsia="zh-CN" w:bidi="ar-SA"/>
              </w:rPr>
            </w:r>
            <w:r/>
          </w:p>
        </w:tc>
      </w:tr>
      <w:tr>
        <w:trPr>
          <w:trHeight w:val="310"/>
        </w:trPr>
        <w:tc>
          <w:tcPr>
            <w:gridSpan w:val="3"/>
            <w:tcW w:w="472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一年总价</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4"/>
            <w:tcW w:w="3569"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元</w:t>
            </w:r>
            <w:r>
              <w:rPr>
                <w:rFonts w:ascii="宋体" w:hAnsi="Courier New" w:eastAsia="宋体" w:cs="Times New Roman"/>
                <w:color w:val="000000"/>
                <w:sz w:val="20"/>
                <w:szCs w:val="20"/>
                <w:highlight w:val="none"/>
                <w:lang w:val="en-US" w:eastAsia="zh-CN" w:bidi="ar-SA"/>
              </w:rPr>
            </w:r>
            <w:r/>
          </w:p>
        </w:tc>
      </w:tr>
      <w:tr>
        <w:trPr>
          <w:trHeight w:val="310"/>
        </w:trPr>
        <w:tc>
          <w:tcPr>
            <w:gridSpan w:val="3"/>
            <w:tcW w:w="4726"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两年总价</w:t>
            </w:r>
            <w:r>
              <w:rPr>
                <w:rFonts w:ascii="宋体" w:hAnsi="Courier New" w:eastAsia="宋体" w:cs="Times New Roman"/>
                <w:color w:val="000000"/>
                <w:sz w:val="20"/>
                <w:szCs w:val="20"/>
                <w:highlight w:val="none"/>
                <w:lang w:val="en-US" w:eastAsia="zh-CN" w:bidi="ar-SA"/>
              </w:rPr>
            </w:r>
            <w:r/>
          </w:p>
        </w:tc>
        <w:tc>
          <w:tcPr>
            <w:tcW w:w="936" w:type="dxa"/>
            <w:vAlign w:val="top"/>
            <w:textDirection w:val="lrTb"/>
            <w:noWrap w:val="false"/>
          </w:tcPr>
          <w:p>
            <w:pPr>
              <w:pStyle w:val="714"/>
              <w:jc w:val="center"/>
              <w:spacing w:before="0" w:beforeAutospacing="0" w:after="0" w:afterAutospacing="0" w:line="360" w:lineRule="auto"/>
              <w:rPr>
                <w:rFonts w:hint="eastAsia"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r>
            <w:r/>
          </w:p>
        </w:tc>
        <w:tc>
          <w:tcPr>
            <w:gridSpan w:val="4"/>
            <w:tcW w:w="3569" w:type="dxa"/>
            <w:vAlign w:val="top"/>
            <w:textDirection w:val="lrTb"/>
            <w:noWrap w:val="false"/>
          </w:tcPr>
          <w:p>
            <w:pPr>
              <w:pStyle w:val="714"/>
              <w:jc w:val="center"/>
              <w:spacing w:before="0" w:beforeAutospacing="0" w:after="0" w:afterAutospacing="0" w:line="360" w:lineRule="auto"/>
              <w:rPr>
                <w:rFonts w:ascii="宋体" w:hAnsi="Courier New" w:eastAsia="宋体" w:cs="Times New Roman"/>
                <w:color w:val="000000"/>
                <w:sz w:val="20"/>
                <w:szCs w:val="20"/>
                <w:highlight w:val="none"/>
                <w:lang w:val="en-US" w:eastAsia="zh-CN" w:bidi="ar-SA"/>
              </w:rPr>
            </w:pPr>
            <w:r>
              <w:rPr>
                <w:rFonts w:hint="eastAsia" w:ascii="宋体" w:hAnsi="Courier New" w:eastAsia="宋体" w:cs="Times New Roman"/>
                <w:color w:val="000000"/>
                <w:sz w:val="20"/>
                <w:szCs w:val="20"/>
                <w:highlight w:val="none"/>
                <w:lang w:val="en-US" w:eastAsia="zh-CN" w:bidi="ar-SA"/>
              </w:rPr>
              <w:t xml:space="preserve">元</w:t>
            </w:r>
            <w:r>
              <w:rPr>
                <w:rFonts w:ascii="宋体" w:hAnsi="Courier New" w:eastAsia="宋体" w:cs="Times New Roman"/>
                <w:color w:val="000000"/>
                <w:sz w:val="20"/>
                <w:szCs w:val="20"/>
                <w:highlight w:val="none"/>
                <w:lang w:val="en-US" w:eastAsia="zh-CN" w:bidi="ar-SA"/>
              </w:rPr>
            </w:r>
            <w:r/>
          </w:p>
        </w:tc>
      </w:tr>
    </w:tbl>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b/>
          <w:color w:val="000000"/>
          <w:sz w:val="21"/>
          <w:szCs w:val="21"/>
          <w:highlight w:val="none"/>
          <w:lang w:val="zh-CN" w:eastAsia="zh-CN"/>
        </w:rPr>
      </w:r>
      <w:r/>
    </w:p>
    <w:p>
      <w:pPr>
        <w:pStyle w:val="679"/>
        <w:rPr>
          <w:color w:val="000000"/>
          <w:highlight w:val="none"/>
          <w:lang w:val="en-US" w:eastAsia="zh-CN"/>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eastAsia="zh-CN"/>
        </w:rPr>
        <w:t xml:space="preserve">如上述内容不够，供应商可自行添加。</w:t>
      </w:r>
      <w:r>
        <w:rPr>
          <w:color w:val="000000"/>
          <w:highlight w:val="none"/>
          <w:lang w:val="en-US" w:eastAsia="zh-CN"/>
        </w:rPr>
      </w:r>
      <w:r/>
    </w:p>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8"/>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678"/>
        <w:ind w:firstLine="420"/>
        <w:jc w:val="both"/>
        <w:spacing w:line="360" w:lineRule="auto"/>
        <w:rPr>
          <w:rFonts w:hint="eastAsia" w:ascii="Times New Roman" w:hAnsi="Times New Roman" w:eastAsia="宋体" w:cs="宋体"/>
          <w:b/>
          <w:color w:val="000000"/>
          <w:highlight w:val="none"/>
          <w:lang w:val="zh-CN" w:eastAsia="zh-CN"/>
        </w:rPr>
      </w:pPr>
      <w:r/>
      <w:bookmarkEnd w:id="55"/>
      <w:r>
        <w:rPr>
          <w:rFonts w:eastAsia="宋体" w:cs="宋体"/>
          <w:b/>
          <w:color w:val="000000"/>
          <w:highlight w:val="none"/>
          <w:lang w:eastAsia="zh-CN"/>
        </w:rPr>
        <w:br w:type="page" w:clear="all"/>
      </w:r>
      <w:r>
        <w:rPr>
          <w:rFonts w:hint="eastAsia" w:ascii="Times New Roman" w:hAnsi="Times New Roman" w:eastAsia="宋体" w:cs="宋体"/>
          <w:b/>
          <w:color w:val="000000"/>
          <w:highlight w:val="none"/>
          <w:lang w:eastAsia="zh-CN"/>
        </w:rPr>
        <w:t xml:space="preserve">格式四：</w:t>
      </w:r>
      <w:bookmarkStart w:id="56" w:name="_Toc11016"/>
      <w:r>
        <w:rPr>
          <w:rFonts w:hint="eastAsia" w:ascii="Times New Roman" w:hAnsi="Times New Roman" w:eastAsia="宋体" w:cs="宋体"/>
          <w:b/>
          <w:color w:val="000000"/>
          <w:highlight w:val="none"/>
          <w:lang w:eastAsia="zh-CN"/>
        </w:rPr>
        <w:t xml:space="preserve">响应</w:t>
      </w:r>
      <w:r>
        <w:rPr>
          <w:rFonts w:hint="eastAsia" w:ascii="Times New Roman" w:hAnsi="Times New Roman" w:eastAsia="宋体" w:cs="宋体"/>
          <w:b/>
          <w:color w:val="000000"/>
          <w:highlight w:val="none"/>
          <w:lang w:val="zh-CN" w:eastAsia="zh-CN"/>
        </w:rPr>
        <w:t xml:space="preserve">承诺函</w:t>
      </w:r>
      <w:bookmarkEnd w:id="56"/>
      <w:r>
        <w:rPr>
          <w:rFonts w:hint="eastAsia" w:ascii="Times New Roman" w:hAnsi="Times New Roman" w:eastAsia="宋体" w:cs="宋体"/>
          <w:b/>
          <w:color w:val="000000"/>
          <w:highlight w:val="none"/>
          <w:lang w:val="zh-CN" w:eastAsia="zh-CN"/>
        </w:rPr>
      </w:r>
      <w:r/>
    </w:p>
    <w:p>
      <w:pPr>
        <w:pStyle w:val="682"/>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val="zh-CN" w:eastAsia="zh-CN"/>
        </w:rPr>
      </w:r>
      <w:r/>
    </w:p>
    <w:p>
      <w:pPr>
        <w:pStyle w:val="678"/>
        <w:jc w:val="center"/>
        <w:spacing w:line="360" w:lineRule="auto"/>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lang w:val="zh-CN" w:eastAsia="zh-CN"/>
        </w:rPr>
        <w:t xml:space="preserve">承诺函</w:t>
      </w:r>
      <w:r>
        <w:rPr>
          <w:rFonts w:hint="eastAsia" w:ascii="宋体" w:hAnsi="宋体" w:eastAsia="宋体" w:cs="宋体"/>
          <w:b/>
          <w:color w:val="000000"/>
          <w:sz w:val="36"/>
          <w:szCs w:val="36"/>
          <w:highlight w:val="none"/>
          <w:lang w:val="zh-CN" w:eastAsia="zh-CN"/>
        </w:rPr>
      </w:r>
      <w:r/>
    </w:p>
    <w:p>
      <w:pPr>
        <w:pStyle w:val="682"/>
        <w:rPr>
          <w:rFonts w:hint="eastAsia"/>
          <w:color w:val="000000"/>
          <w:highlight w:val="none"/>
          <w:lang w:val="zh-CN"/>
        </w:rPr>
      </w:pPr>
      <w:r>
        <w:rPr>
          <w:rFonts w:hint="eastAsia"/>
          <w:color w:val="000000"/>
          <w:highlight w:val="none"/>
          <w:lang w:val="zh-CN"/>
        </w:rPr>
      </w:r>
      <w:r/>
    </w:p>
    <w:p>
      <w:pPr>
        <w:pStyle w:val="67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rPr>
        <w:t xml:space="preserve">江苏省省级机关医院</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1.我方的资格条件符合政府采购法和本次采购要求，我方同意并向贵方提供了与采购有关的所有证据和资料。</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2.我方参加本次采购活动前三年内，在经营活动中没有重大违法记录。</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6.我方与参与本次采购活动的其他供应商的授权代理人(或法定代表人、项目经理、项目总监、项目负责人等)，在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发布日上月至投标截止日当月未在同一单位执业或缴纳社会保险。 </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7.我方与参与本次采购活动的其他供应商的法定代表人或委托代理人无夫妻、直系血亲关系。</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9.我方已详细审阅全部</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及其有效补充文件，放弃对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任何误解的权利，提交投标（响应）文件后，不对</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10.我方同意从规定的开标日期起遵循本投标（响应）文件，并在规定的投标有效期期满之前均具有约束力。</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11.一旦我方中标，将根据</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r>
        <w:rPr>
          <w:rFonts w:hint="eastAsia" w:ascii="宋体" w:hAnsi="宋体" w:eastAsia="宋体" w:cs="宋体"/>
          <w:color w:val="000000"/>
          <w:sz w:val="21"/>
          <w:szCs w:val="21"/>
          <w:highlight w:val="none"/>
        </w:rPr>
      </w:r>
      <w:r/>
    </w:p>
    <w:p>
      <w:pPr>
        <w:pStyle w:val="67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698"/>
        <w:ind w:left="1470" w:right="14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7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8"/>
        <w:ind w:firstLine="3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73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733"/>
        <w:ind w:firstLine="482"/>
        <w:spacing w:line="360" w:lineRule="auto"/>
        <w:rPr>
          <w:rFonts w:hint="eastAsia" w:eastAsia="宋体" w:cs="宋体"/>
          <w:b/>
          <w:bCs/>
          <w:color w:val="000000"/>
          <w:highlight w:val="none"/>
          <w:lang w:eastAsia="zh-CN"/>
        </w:rPr>
      </w:pPr>
      <w:r>
        <w:rPr>
          <w:rFonts w:hint="eastAsia" w:eastAsia="宋体" w:cs="宋体"/>
          <w:b/>
          <w:bCs/>
          <w:color w:val="000000"/>
          <w:highlight w:val="none"/>
          <w:lang w:eastAsia="zh-CN"/>
        </w:rPr>
      </w:r>
      <w:r/>
    </w:p>
    <w:p>
      <w:pPr>
        <w:pStyle w:val="733"/>
        <w:ind w:firstLine="482"/>
        <w:spacing w:line="360" w:lineRule="auto"/>
        <w:rPr>
          <w:rFonts w:hint="eastAsia" w:eastAsia="宋体"/>
          <w:b/>
          <w:color w:val="000000"/>
          <w:highlight w:val="none"/>
          <w:lang w:eastAsia="zh-CN"/>
        </w:rPr>
      </w:pPr>
      <w:r>
        <w:rPr>
          <w:rFonts w:hint="eastAsia" w:eastAsia="宋体" w:cs="宋体"/>
          <w:b/>
          <w:bCs/>
          <w:color w:val="000000"/>
          <w:highlight w:val="none"/>
          <w:lang w:val="en-US" w:eastAsia="zh-CN"/>
        </w:rPr>
        <w:t xml:space="preserve">格式</w:t>
      </w:r>
      <w:r>
        <w:rPr>
          <w:rFonts w:hint="eastAsia" w:eastAsia="宋体" w:cs="宋体"/>
          <w:b/>
          <w:bCs/>
          <w:color w:val="000000"/>
          <w:highlight w:val="none"/>
          <w:lang w:val="en-US" w:eastAsia="zh-CN"/>
        </w:rPr>
        <w:t xml:space="preserve">五、</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78"/>
        <w:jc w:val="center"/>
        <w:spacing w:line="360" w:lineRule="auto"/>
        <w:widowControl/>
        <w:rPr>
          <w:rFonts w:ascii="宋体" w:hAnsi="宋体" w:cs="宋体"/>
          <w:b/>
          <w:color w:val="000000"/>
          <w:sz w:val="28"/>
          <w:szCs w:val="28"/>
          <w:highlight w:val="none"/>
        </w:rPr>
      </w:pPr>
      <w:r/>
      <w:bookmarkStart w:id="57" w:name="OLE_LINK13"/>
      <w:r/>
      <w:bookmarkStart w:id="58" w:name="OLE_LINK14"/>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678"/>
        <w:spacing w:line="360" w:lineRule="auto"/>
        <w:widowControl/>
        <w:rPr>
          <w:rFonts w:ascii="宋体" w:hAnsi="宋体" w:cs="宋体"/>
          <w:color w:val="000000"/>
          <w:highlight w:val="none"/>
        </w:rPr>
      </w:pPr>
      <w:r>
        <w:rPr>
          <w:rFonts w:ascii="宋体" w:hAnsi="宋体" w:cs="宋体"/>
          <w:color w:val="000000"/>
          <w:highlight w:val="none"/>
        </w:rPr>
      </w:r>
      <w:r/>
    </w:p>
    <w:p>
      <w:pPr>
        <w:pStyle w:val="67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678"/>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 xml:space="preserve">（标的名称）</w:t>
      </w:r>
      <w:r>
        <w:rPr>
          <w:rFonts w:ascii="宋体" w:hAnsi="宋体"/>
          <w:color w:val="000000"/>
          <w:szCs w:val="22"/>
          <w:highlight w:val="none"/>
        </w:rPr>
        <w:t xml:space="preserve">，属于</w:t>
      </w:r>
      <w:r>
        <w:rPr>
          <w:rFonts w:ascii="宋体" w:hAnsi="宋体"/>
          <w:color w:val="000000"/>
          <w:szCs w:val="22"/>
          <w:highlight w:val="none"/>
          <w:u w:val="single"/>
        </w:rPr>
        <w:t xml:space="preserve">（采购文件中明确的所属行业）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w:t>
      </w:r>
      <w:r>
        <w:rPr>
          <w:rFonts w:ascii="宋体" w:hAnsi="宋体"/>
          <w:color w:val="000000"/>
          <w:szCs w:val="22"/>
          <w:highlight w:val="none"/>
          <w:vertAlign w:val="superscript"/>
        </w:rPr>
        <w:t xml:space="preserve">【1】</w:t>
      </w:r>
      <w:r>
        <w:rPr>
          <w:rFonts w:ascii="宋体" w:hAnsi="宋体"/>
          <w:color w:val="000000"/>
          <w:szCs w:val="22"/>
          <w:highlight w:val="none"/>
        </w:rPr>
        <w:t xml:space="preserve">，属于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67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w:t>
      </w:r>
      <w:r>
        <w:rPr>
          <w:rFonts w:ascii="宋体" w:hAnsi="宋体"/>
          <w:color w:val="000000"/>
          <w:szCs w:val="22"/>
          <w:highlight w:val="none"/>
        </w:rPr>
      </w:r>
      <w:r/>
    </w:p>
    <w:p>
      <w:pPr>
        <w:pStyle w:val="678"/>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678"/>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33"/>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8"/>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8"/>
        <w:ind w:firstLine="440"/>
        <w:spacing w:line="360" w:lineRule="auto"/>
        <w:widowControl/>
        <w:rPr>
          <w:rFonts w:hint="eastAsia" w:ascii="宋体" w:hAnsi="宋体" w:eastAsia="宋体" w:cs="宋体"/>
          <w:color w:val="000000"/>
          <w:szCs w:val="21"/>
          <w:highlight w:val="none"/>
          <w:lang w:eastAsia="zh-CN"/>
        </w:rPr>
      </w:pPr>
      <w:r/>
      <w:bookmarkEnd w:id="57"/>
      <w:r/>
      <w:bookmarkEnd w:id="5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8"/>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8"/>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lang w:eastAsia="zh-CN"/>
        </w:rPr>
        <w:t xml:space="preserve">、拟投入本项目人员表</w:t>
      </w: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8"/>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color w:val="000000"/>
          <w:szCs w:val="21"/>
          <w:highlight w:val="none"/>
          <w:lang w:val="en-US" w:eastAsia="zh-CN"/>
        </w:rPr>
        <w:t xml:space="preserve">九、</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lang w:eastAsia="zh-CN"/>
        </w:rPr>
        <w:t xml:space="preserve">、资格证明文件</w:t>
      </w:r>
      <w:r>
        <w:rPr>
          <w:rFonts w:hint="eastAsia" w:ascii="宋体" w:hAnsi="宋体" w:eastAsia="宋体" w:cs="宋体"/>
          <w:b/>
          <w:color w:val="000000"/>
          <w:highlight w:val="none"/>
          <w:lang w:eastAsia="zh-CN"/>
        </w:rPr>
      </w:r>
      <w:r/>
    </w:p>
    <w:p>
      <w:pPr>
        <w:pStyle w:val="73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（1）具有独立承担民事责任的能力（提供法人或者其他组织的营业执照等证明文件加盖公章）；</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提供参加本次政府采购活动前半年内任意一个月（2025年11月以来）的财务报表复印件（包含资产负债表、现金流量表）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733"/>
        <w:ind w:firstLine="42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2.本项目的特定资格要求：</w:t>
      </w:r>
      <w:r>
        <w:rPr>
          <w:rFonts w:hint="eastAsia" w:ascii="Times New Roman" w:hAnsi="Times New Roman" w:eastAsia="宋体" w:cs="Times New Roman"/>
          <w:bCs/>
          <w:color w:val="000000"/>
          <w:sz w:val="21"/>
          <w:szCs w:val="21"/>
          <w:highlight w:val="none"/>
          <w:lang w:val="en-US" w:eastAsia="zh-CN" w:bidi="ar-SA"/>
        </w:rPr>
      </w:r>
      <w:r/>
    </w:p>
    <w:p>
      <w:pPr>
        <w:pStyle w:val="733"/>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1）供应商为生产（含充装）企业须具有有效的中华人民共和国药品生产许可证，危险化学品经营许可证，药品注册批件（或药品再注册批件）、气瓶充装许可证（充装介质为冷冻或低温液化气体，包含液氧等）。（提供相关证书加盖公章）</w:t>
      </w:r>
      <w:r>
        <w:rPr>
          <w:rFonts w:hint="eastAsia" w:ascii="Times New Roman" w:hAnsi="Times New Roman" w:eastAsia="宋体" w:cs="Times New Roman"/>
          <w:bCs/>
          <w:color w:val="000000"/>
          <w:sz w:val="21"/>
          <w:szCs w:val="21"/>
          <w:highlight w:val="none"/>
          <w:lang w:val="en-US" w:eastAsia="zh-CN" w:bidi="ar-SA"/>
        </w:rPr>
      </w:r>
      <w:r/>
    </w:p>
    <w:p>
      <w:pPr>
        <w:pStyle w:val="733"/>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（2）供应商为经营企业的须具有有效的中华人民共和国药品经营许可证、危险化学品经营许可证。（提供相关证书加盖公章）</w:t>
      </w:r>
      <w:r>
        <w:rPr>
          <w:rFonts w:hint="eastAsia" w:ascii="Times New Roman" w:hAnsi="Times New Roman" w:eastAsia="宋体" w:cs="Times New Roman"/>
          <w:bCs/>
          <w:color w:val="000000"/>
          <w:sz w:val="21"/>
          <w:szCs w:val="21"/>
          <w:highlight w:val="none"/>
          <w:lang w:val="en-US" w:eastAsia="zh-CN" w:bidi="ar-SA"/>
        </w:rPr>
      </w:r>
      <w:r/>
    </w:p>
    <w:p>
      <w:pPr>
        <w:pStyle w:val="733"/>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3）供应商须具有有效的危化品运输许可证、运送人员具备危化品运输相关资质；如供应商自身不具备相关运输资质，须提供与承运单位签署的有效委托运输协议，承运单位须具有有效的危化品运输许可证、运送人员具备危化品运输相关资质；（提供相关证书、协议加盖公章）</w:t>
      </w:r>
      <w:r>
        <w:rPr>
          <w:rFonts w:hint="eastAsia" w:ascii="Times New Roman" w:hAnsi="Times New Roman" w:eastAsia="宋体" w:cs="Times New Roman"/>
          <w:bCs/>
          <w:color w:val="000000"/>
          <w:sz w:val="21"/>
          <w:szCs w:val="21"/>
          <w:highlight w:val="none"/>
          <w:lang w:val="en-US" w:eastAsia="zh-CN" w:bidi="ar-SA"/>
        </w:rPr>
      </w:r>
      <w:r/>
    </w:p>
    <w:p>
      <w:pPr>
        <w:pStyle w:val="733"/>
        <w:ind w:firstLine="422"/>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（4）供应商拟派人员具备运输危险化学品从业人员资格证书（提供相关加盖公章）。</w:t>
      </w:r>
      <w:r>
        <w:rPr>
          <w:rFonts w:hint="eastAsia" w:ascii="Times New Roman" w:hAnsi="Times New Roman" w:eastAsia="宋体" w:cs="Times New Roman"/>
          <w:bCs/>
          <w:color w:val="000000"/>
          <w:sz w:val="21"/>
          <w:szCs w:val="21"/>
          <w:highlight w:val="none"/>
          <w:lang w:val="en-US" w:eastAsia="zh-CN" w:bidi="ar-SA"/>
        </w:rPr>
      </w:r>
      <w:r/>
    </w:p>
    <w:p>
      <w:pPr>
        <w:pStyle w:val="733"/>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67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8"/>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bCs/>
          <w:color w:val="000000"/>
          <w:sz w:val="24"/>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8"/>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8"/>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8"/>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江苏省省级机关医院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bookmarkStart w:id="59" w:name="_Toc5441"/>
      <w:r>
        <w:rPr>
          <w:rFonts w:hint="eastAsia" w:ascii="宋体" w:hAnsi="宋体" w:eastAsia="宋体" w:cs="宋体"/>
          <w:b/>
          <w:color w:val="000000"/>
          <w:highlight w:val="none"/>
          <w:lang w:eastAsia="zh-CN"/>
        </w:rPr>
      </w:r>
      <w:r/>
    </w:p>
    <w:p>
      <w:pPr>
        <w:pStyle w:val="678"/>
        <w:spacing w:line="360" w:lineRule="auto"/>
        <w:rPr>
          <w:rFonts w:eastAsia="宋体"/>
          <w:b/>
          <w:bCs/>
          <w:color w:val="000000"/>
          <w:sz w:val="21"/>
          <w:szCs w:val="21"/>
          <w:highlight w:val="none"/>
          <w:lang w:val="en-US"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val="en-US" w:eastAsia="zh-CN"/>
        </w:rPr>
        <w:t xml:space="preserve"> 本项目的特定资格要求</w:t>
      </w:r>
      <w:r>
        <w:rPr>
          <w:rFonts w:hint="eastAsia" w:eastAsia="宋体"/>
          <w:b/>
          <w:bCs/>
          <w:color w:val="000000"/>
          <w:sz w:val="21"/>
          <w:szCs w:val="21"/>
          <w:highlight w:val="none"/>
          <w:lang w:val="en-US" w:eastAsia="zh-CN"/>
        </w:rPr>
        <w:t xml:space="preserve">其他证明材料</w:t>
      </w:r>
      <w:r>
        <w:rPr>
          <w:rFonts w:eastAsia="宋体"/>
          <w:b/>
          <w:bCs/>
          <w:color w:val="000000"/>
          <w:sz w:val="21"/>
          <w:szCs w:val="21"/>
          <w:highlight w:val="none"/>
          <w:lang w:val="en-US" w:eastAsia="zh-CN"/>
        </w:rPr>
      </w:r>
      <w:r/>
    </w:p>
    <w:p>
      <w:pPr>
        <w:pStyle w:val="733"/>
        <w:ind w:firstLine="422"/>
        <w:spacing w:line="360" w:lineRule="auto"/>
        <w:rPr>
          <w:rFonts w:hint="eastAsia" w:eastAsia="宋体"/>
          <w:b/>
          <w:bCs/>
          <w:color w:val="000000"/>
          <w:sz w:val="21"/>
          <w:szCs w:val="21"/>
          <w:highlight w:val="none"/>
          <w:lang w:val="en-US"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四</w:t>
      </w:r>
      <w:r>
        <w:rPr>
          <w:rFonts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承诺书</w:t>
      </w:r>
      <w:r>
        <w:rPr>
          <w:rFonts w:hint="eastAsia" w:eastAsia="宋体"/>
          <w:b/>
          <w:bCs/>
          <w:color w:val="000000"/>
          <w:sz w:val="21"/>
          <w:szCs w:val="21"/>
          <w:highlight w:val="none"/>
          <w:lang w:val="en-US" w:eastAsia="zh-CN"/>
        </w:rPr>
      </w:r>
      <w:r/>
    </w:p>
    <w:p>
      <w:pPr>
        <w:pStyle w:val="67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67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承诺书</w:t>
      </w:r>
      <w:r>
        <w:rPr>
          <w:rFonts w:hint="eastAsia" w:ascii="宋体" w:hAnsi="宋体" w:eastAsia="宋体" w:cs="宋体"/>
          <w:b/>
          <w:color w:val="000000"/>
          <w:sz w:val="24"/>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江苏省省级机关医院：</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对于项目编号为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项目，我司承诺如下：</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本次采购（调研）过程中所提供的材料均为真实有效的，对采购（调研）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   </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2、凡贵院或贵院委托代理机构组织的招标采购活动符合国家和贵院相关规定的，无论本项目中标结果如何，我司均无条件尊重贵院的最终选择，不扰乱医院的正常采购活动。 若不尊重医院选择、扰乱医院正常采购活动的，贵院可按照医院的《关于违纪违规投标人认定及管理办法》（医院官网已公布）进行处理。          </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特此承诺。</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67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承诺人（单位盖章）：</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法定代表人签字：</w:t>
      </w:r>
      <w:r>
        <w:rPr>
          <w:rFonts w:ascii="宋体" w:hAnsi="宋体" w:eastAsia="宋体" w:cs="宋体"/>
          <w:color w:val="000000"/>
          <w:sz w:val="21"/>
          <w:szCs w:val="21"/>
          <w:highlight w:val="none"/>
          <w:lang w:eastAsia="zh-CN"/>
        </w:rPr>
      </w:r>
      <w:r/>
    </w:p>
    <w:p>
      <w:pPr>
        <w:pStyle w:val="678"/>
        <w:ind w:firstLine="420"/>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授权代表签字：</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r>
      <w:r/>
    </w:p>
    <w:p>
      <w:pPr>
        <w:pStyle w:val="67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日期：      年    月    日</w:t>
      </w:r>
      <w:r>
        <w:rPr>
          <w:rFonts w:ascii="宋体" w:hAnsi="宋体" w:eastAsia="宋体" w:cs="宋体"/>
          <w:color w:val="000000"/>
          <w:sz w:val="21"/>
          <w:szCs w:val="21"/>
          <w:highlight w:val="none"/>
          <w:lang w:eastAsia="zh-CN"/>
        </w:rPr>
      </w:r>
      <w:r/>
    </w:p>
    <w:p>
      <w:pPr>
        <w:pStyle w:val="733"/>
        <w:ind w:firstLine="422"/>
        <w:spacing w:line="360" w:lineRule="auto"/>
        <w:rPr>
          <w:rFonts w:eastAsia="宋体"/>
          <w:b/>
          <w:bCs/>
          <w:color w:val="000000"/>
          <w:sz w:val="21"/>
          <w:szCs w:val="21"/>
          <w:highlight w:val="none"/>
          <w:lang w:val="en-US" w:eastAsia="zh-CN"/>
        </w:rPr>
      </w:pPr>
      <w:r>
        <w:rPr>
          <w:rFonts w:eastAsia="宋体"/>
          <w:b/>
          <w:bCs/>
          <w:color w:val="000000"/>
          <w:sz w:val="21"/>
          <w:szCs w:val="21"/>
          <w:highlight w:val="none"/>
          <w:lang w:val="en-US" w:eastAsia="zh-CN"/>
        </w:rPr>
      </w:r>
      <w:r/>
    </w:p>
    <w:p>
      <w:pPr>
        <w:pStyle w:val="678"/>
        <w:jc w:val="center"/>
        <w:spacing w:line="360" w:lineRule="auto"/>
        <w:rPr>
          <w:rFonts w:hint="eastAsia" w:ascii="宋体" w:hAnsi="宋体" w:eastAsia="宋体" w:cs="宋体"/>
          <w:b/>
          <w:color w:val="000000"/>
          <w:highlight w:val="none"/>
          <w:lang w:eastAsia="zh-CN"/>
        </w:rPr>
        <w:outlineLvl w:val="1"/>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59"/>
      <w:r>
        <w:rPr>
          <w:rFonts w:hint="eastAsia" w:ascii="宋体" w:hAnsi="宋体" w:eastAsia="宋体" w:cs="宋体"/>
          <w:b/>
          <w:color w:val="000000"/>
          <w:highlight w:val="none"/>
          <w:lang w:eastAsia="zh-CN"/>
        </w:rPr>
      </w:r>
      <w:r/>
    </w:p>
    <w:p>
      <w:pPr>
        <w:pStyle w:val="733"/>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33"/>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8"/>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691"/>
      <w:isLgl w:val="false"/>
      <w:suff w:val="tab"/>
      <w:lvlText w:val=""/>
      <w:lvlJc w:val="left"/>
      <w:pPr>
        <w:pStyle w:val="67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41"/>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uiPriority w:val="1"/>
    <w:qFormat/>
    <w:pPr>
      <w:widowControl w:val="off"/>
    </w:pPr>
    <w:rPr>
      <w:rFonts w:eastAsia="Calibri"/>
      <w:sz w:val="22"/>
      <w:szCs w:val="22"/>
      <w:lang w:val="en-US" w:eastAsia="en-US" w:bidi="ar-SA"/>
    </w:rPr>
  </w:style>
  <w:style w:type="paragraph" w:styleId="679">
    <w:name w:val="标题 1"/>
    <w:basedOn w:val="678"/>
    <w:next w:val="678"/>
    <w:link w:val="685"/>
    <w:uiPriority w:val="9"/>
    <w:qFormat/>
    <w:pPr>
      <w:outlineLvl w:val="0"/>
    </w:pPr>
    <w:rPr>
      <w:rFonts w:ascii="黑体" w:hAnsi="黑体" w:eastAsia="黑体"/>
      <w:sz w:val="72"/>
      <w:szCs w:val="72"/>
    </w:rPr>
  </w:style>
  <w:style w:type="paragraph" w:styleId="680">
    <w:name w:val="标题 2"/>
    <w:basedOn w:val="678"/>
    <w:next w:val="678"/>
    <w:link w:val="686"/>
    <w:qFormat/>
    <w:pPr>
      <w:ind w:left="1558"/>
      <w:outlineLvl w:val="1"/>
    </w:pPr>
    <w:rPr>
      <w:rFonts w:ascii="黑体" w:hAnsi="黑体" w:eastAsia="黑体"/>
      <w:b/>
      <w:bCs/>
      <w:sz w:val="36"/>
      <w:szCs w:val="36"/>
    </w:rPr>
  </w:style>
  <w:style w:type="paragraph" w:styleId="681">
    <w:name w:val="标题 3"/>
    <w:basedOn w:val="678"/>
    <w:next w:val="678"/>
    <w:link w:val="687"/>
    <w:qFormat/>
    <w:pPr>
      <w:outlineLvl w:val="2"/>
    </w:pPr>
    <w:rPr>
      <w:rFonts w:ascii="黑体" w:hAnsi="黑体" w:eastAsia="黑体"/>
      <w:sz w:val="32"/>
      <w:szCs w:val="32"/>
    </w:rPr>
  </w:style>
  <w:style w:type="paragraph" w:styleId="682">
    <w:name w:val="标题 4"/>
    <w:basedOn w:val="678"/>
    <w:next w:val="678"/>
    <w:link w:val="688"/>
    <w:uiPriority w:val="1"/>
    <w:qFormat/>
    <w:pPr>
      <w:ind w:left="358"/>
      <w:spacing w:before="34"/>
      <w:outlineLvl w:val="3"/>
    </w:pPr>
    <w:rPr>
      <w:rFonts w:ascii="宋体" w:hAnsi="宋体" w:eastAsia="宋体"/>
      <w:b/>
      <w:bCs/>
      <w:sz w:val="24"/>
      <w:szCs w:val="24"/>
    </w:rPr>
  </w:style>
  <w:style w:type="character" w:styleId="683">
    <w:name w:val="默认段落字体"/>
    <w:next w:val="683"/>
    <w:link w:val="678"/>
    <w:uiPriority w:val="1"/>
    <w:unhideWhenUsed/>
    <w:qFormat/>
  </w:style>
  <w:style w:type="table" w:styleId="684">
    <w:name w:val="普通表格"/>
    <w:next w:val="684"/>
    <w:link w:val="678"/>
    <w:semiHidden/>
    <w:tblPr/>
  </w:style>
  <w:style w:type="character" w:styleId="685">
    <w:name w:val="标题 1 字符1"/>
    <w:next w:val="685"/>
    <w:link w:val="679"/>
    <w:uiPriority w:val="9"/>
    <w:rPr>
      <w:rFonts w:ascii="黑体" w:hAnsi="黑体" w:eastAsia="黑体"/>
      <w:sz w:val="72"/>
      <w:szCs w:val="72"/>
      <w:lang w:eastAsia="en-US"/>
    </w:rPr>
  </w:style>
  <w:style w:type="character" w:styleId="686">
    <w:name w:val="标题 2 字符1"/>
    <w:next w:val="686"/>
    <w:link w:val="680"/>
    <w:rPr>
      <w:rFonts w:ascii="黑体" w:hAnsi="黑体" w:eastAsia="黑体"/>
      <w:b/>
      <w:bCs/>
      <w:sz w:val="36"/>
      <w:szCs w:val="36"/>
      <w:lang w:eastAsia="en-US"/>
    </w:rPr>
  </w:style>
  <w:style w:type="character" w:styleId="687">
    <w:name w:val="标题 3 字符1"/>
    <w:next w:val="687"/>
    <w:link w:val="681"/>
    <w:rPr>
      <w:rFonts w:ascii="黑体" w:hAnsi="黑体" w:eastAsia="黑体"/>
      <w:sz w:val="32"/>
      <w:szCs w:val="32"/>
      <w:lang w:eastAsia="en-US"/>
    </w:rPr>
  </w:style>
  <w:style w:type="character" w:styleId="688">
    <w:name w:val="标题 4 字符1"/>
    <w:next w:val="688"/>
    <w:link w:val="682"/>
    <w:uiPriority w:val="1"/>
    <w:rPr>
      <w:rFonts w:ascii="宋体" w:hAnsi="宋体"/>
      <w:b/>
      <w:bCs/>
      <w:sz w:val="24"/>
      <w:szCs w:val="24"/>
      <w:lang w:eastAsia="en-US"/>
    </w:rPr>
  </w:style>
  <w:style w:type="paragraph" w:styleId="689">
    <w:name w:val="正文缩进"/>
    <w:basedOn w:val="678"/>
    <w:next w:val="689"/>
    <w:link w:val="690"/>
    <w:qFormat/>
    <w:pPr>
      <w:ind w:firstLine="420"/>
    </w:pPr>
  </w:style>
  <w:style w:type="character" w:styleId="690">
    <w:name w:val="正文缩进 字符"/>
    <w:next w:val="690"/>
    <w:link w:val="689"/>
    <w:rPr>
      <w:rFonts w:eastAsia="Calibri"/>
      <w:sz w:val="22"/>
      <w:szCs w:val="22"/>
      <w:lang w:eastAsia="en-US"/>
    </w:rPr>
  </w:style>
  <w:style w:type="paragraph" w:styleId="691">
    <w:name w:val="列表项目符号"/>
    <w:basedOn w:val="678"/>
    <w:next w:val="691"/>
    <w:link w:val="678"/>
    <w:pPr>
      <w:numPr>
        <w:ilvl w:val="0"/>
        <w:numId w:val="1"/>
      </w:numPr>
      <w:tabs>
        <w:tab w:val="left" w:pos="360" w:leader="none"/>
      </w:tabs>
    </w:pPr>
  </w:style>
  <w:style w:type="paragraph" w:styleId="692">
    <w:name w:val="文档结构图"/>
    <w:basedOn w:val="678"/>
    <w:next w:val="692"/>
    <w:link w:val="693"/>
    <w:rPr>
      <w:rFonts w:ascii="宋体" w:hAnsi="Calibri" w:eastAsia="宋体"/>
      <w:sz w:val="18"/>
      <w:szCs w:val="18"/>
    </w:rPr>
  </w:style>
  <w:style w:type="character" w:styleId="693">
    <w:name w:val="文档结构图 字符1"/>
    <w:next w:val="693"/>
    <w:link w:val="692"/>
    <w:rPr>
      <w:rFonts w:ascii="宋体" w:hAnsi="Calibri" w:cs="Calibri"/>
      <w:sz w:val="18"/>
      <w:szCs w:val="18"/>
      <w:lang w:eastAsia="en-US"/>
    </w:rPr>
  </w:style>
  <w:style w:type="paragraph" w:styleId="694">
    <w:name w:val="批注文字"/>
    <w:basedOn w:val="678"/>
    <w:next w:val="694"/>
    <w:link w:val="695"/>
    <w:qFormat/>
    <w:pPr>
      <w:jc w:val="left"/>
    </w:pPr>
    <w:rPr>
      <w:sz w:val="20"/>
    </w:rPr>
  </w:style>
  <w:style w:type="character" w:styleId="695">
    <w:name w:val="批注文字 字符1"/>
    <w:next w:val="695"/>
    <w:link w:val="694"/>
    <w:qFormat/>
    <w:rPr>
      <w:rFonts w:eastAsia="Calibri"/>
      <w:szCs w:val="22"/>
      <w:lang w:eastAsia="en-US"/>
    </w:rPr>
  </w:style>
  <w:style w:type="paragraph" w:styleId="696">
    <w:name w:val="正文文本"/>
    <w:basedOn w:val="678"/>
    <w:next w:val="696"/>
    <w:link w:val="697"/>
    <w:uiPriority w:val="1"/>
    <w:qFormat/>
    <w:pPr>
      <w:ind w:left="118"/>
      <w:spacing w:before="34"/>
    </w:pPr>
    <w:rPr>
      <w:rFonts w:ascii="宋体" w:hAnsi="宋体" w:eastAsia="宋体"/>
      <w:sz w:val="24"/>
      <w:szCs w:val="24"/>
    </w:rPr>
  </w:style>
  <w:style w:type="character" w:styleId="697">
    <w:name w:val="正文文本 字符1"/>
    <w:next w:val="697"/>
    <w:link w:val="696"/>
    <w:uiPriority w:val="1"/>
    <w:rPr>
      <w:rFonts w:ascii="宋体" w:hAnsi="宋体"/>
      <w:sz w:val="24"/>
      <w:szCs w:val="24"/>
      <w:lang w:eastAsia="en-US"/>
    </w:rPr>
  </w:style>
  <w:style w:type="paragraph" w:styleId="698">
    <w:name w:val="文本块"/>
    <w:basedOn w:val="678"/>
    <w:next w:val="698"/>
    <w:link w:val="678"/>
    <w:unhideWhenUsed/>
    <w:qFormat/>
    <w:pPr>
      <w:ind w:left="1440" w:right="700"/>
      <w:spacing w:after="120"/>
    </w:pPr>
    <w:rPr>
      <w:rFonts w:ascii="Verdana" w:hAnsi="Verdana"/>
      <w:szCs w:val="20"/>
    </w:rPr>
  </w:style>
  <w:style w:type="paragraph" w:styleId="699">
    <w:name w:val="目录 3"/>
    <w:basedOn w:val="678"/>
    <w:next w:val="678"/>
    <w:link w:val="678"/>
    <w:uiPriority w:val="39"/>
    <w:pPr>
      <w:ind w:left="840"/>
      <w:jc w:val="both"/>
    </w:pPr>
    <w:rPr>
      <w:rFonts w:ascii="Calibri" w:hAnsi="Calibri" w:eastAsia="宋体"/>
      <w:sz w:val="21"/>
      <w:lang w:eastAsia="zh-CN"/>
    </w:rPr>
  </w:style>
  <w:style w:type="paragraph" w:styleId="700">
    <w:name w:val="纯文本"/>
    <w:basedOn w:val="678"/>
    <w:next w:val="700"/>
    <w:link w:val="701"/>
    <w:qFormat/>
    <w:pPr>
      <w:jc w:val="both"/>
    </w:pPr>
    <w:rPr>
      <w:rFonts w:ascii="宋体" w:hAnsi="Courier New" w:eastAsia="宋体"/>
      <w:sz w:val="20"/>
      <w:szCs w:val="20"/>
    </w:rPr>
  </w:style>
  <w:style w:type="character" w:styleId="701">
    <w:name w:val="纯文本 字符"/>
    <w:next w:val="701"/>
    <w:link w:val="700"/>
    <w:qFormat/>
    <w:rPr>
      <w:rFonts w:ascii="宋体" w:hAnsi="Courier New"/>
    </w:rPr>
  </w:style>
  <w:style w:type="paragraph" w:styleId="702">
    <w:name w:val="日期"/>
    <w:basedOn w:val="678"/>
    <w:next w:val="678"/>
    <w:link w:val="703"/>
    <w:pPr>
      <w:ind w:left="100"/>
      <w:jc w:val="both"/>
    </w:pPr>
    <w:rPr>
      <w:rFonts w:ascii="Calibri" w:hAnsi="Calibri" w:eastAsia="宋体"/>
      <w:sz w:val="21"/>
      <w:szCs w:val="24"/>
    </w:rPr>
  </w:style>
  <w:style w:type="character" w:styleId="703">
    <w:name w:val="日期 字符1"/>
    <w:next w:val="703"/>
    <w:link w:val="702"/>
    <w:rPr>
      <w:rFonts w:ascii="Calibri" w:hAnsi="Calibri" w:cs="Calibri"/>
      <w:sz w:val="21"/>
      <w:szCs w:val="24"/>
      <w:lang w:eastAsia="en-US"/>
    </w:rPr>
  </w:style>
  <w:style w:type="paragraph" w:styleId="704">
    <w:name w:val="批注框文本"/>
    <w:basedOn w:val="678"/>
    <w:next w:val="704"/>
    <w:link w:val="705"/>
    <w:uiPriority w:val="99"/>
    <w:rPr>
      <w:sz w:val="18"/>
      <w:szCs w:val="18"/>
    </w:rPr>
  </w:style>
  <w:style w:type="character" w:styleId="705">
    <w:name w:val="批注框文本 字符1"/>
    <w:next w:val="705"/>
    <w:link w:val="704"/>
    <w:uiPriority w:val="99"/>
    <w:rPr>
      <w:rFonts w:eastAsia="Calibri"/>
      <w:sz w:val="18"/>
      <w:szCs w:val="18"/>
      <w:lang w:eastAsia="en-US"/>
    </w:rPr>
  </w:style>
  <w:style w:type="paragraph" w:styleId="706">
    <w:name w:val="页脚"/>
    <w:basedOn w:val="678"/>
    <w:next w:val="706"/>
    <w:link w:val="707"/>
    <w:pPr>
      <w:jc w:val="left"/>
      <w:tabs>
        <w:tab w:val="center" w:pos="4153" w:leader="none"/>
        <w:tab w:val="right" w:pos="8306" w:leader="none"/>
      </w:tabs>
    </w:pPr>
    <w:rPr>
      <w:sz w:val="18"/>
    </w:rPr>
  </w:style>
  <w:style w:type="character" w:styleId="707">
    <w:name w:val="页脚 字符1"/>
    <w:next w:val="707"/>
    <w:link w:val="706"/>
    <w:rPr>
      <w:rFonts w:eastAsia="Calibri"/>
      <w:sz w:val="18"/>
      <w:szCs w:val="22"/>
      <w:lang w:eastAsia="en-US"/>
    </w:rPr>
  </w:style>
  <w:style w:type="paragraph" w:styleId="708">
    <w:name w:val="页眉"/>
    <w:basedOn w:val="678"/>
    <w:next w:val="708"/>
    <w:link w:val="70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9">
    <w:name w:val="页眉 字符1"/>
    <w:next w:val="709"/>
    <w:link w:val="708"/>
    <w:rPr>
      <w:rFonts w:eastAsia="Calibri"/>
      <w:sz w:val="18"/>
      <w:szCs w:val="22"/>
      <w:lang w:eastAsia="en-US"/>
    </w:rPr>
  </w:style>
  <w:style w:type="paragraph" w:styleId="710">
    <w:name w:val="目录 1"/>
    <w:basedOn w:val="678"/>
    <w:next w:val="678"/>
    <w:link w:val="678"/>
    <w:uiPriority w:val="39"/>
    <w:qFormat/>
    <w:pPr>
      <w:spacing w:before="271"/>
    </w:pPr>
    <w:rPr>
      <w:rFonts w:ascii="宋体" w:hAnsi="宋体" w:eastAsia="宋体"/>
      <w:b/>
      <w:bCs/>
      <w:sz w:val="24"/>
      <w:szCs w:val="24"/>
    </w:rPr>
  </w:style>
  <w:style w:type="paragraph" w:styleId="711">
    <w:name w:val="目录 2"/>
    <w:basedOn w:val="678"/>
    <w:next w:val="678"/>
    <w:link w:val="678"/>
    <w:uiPriority w:val="39"/>
    <w:qFormat/>
    <w:pPr>
      <w:ind w:left="327"/>
      <w:spacing w:before="151"/>
    </w:pPr>
    <w:rPr>
      <w:rFonts w:ascii="宋体" w:hAnsi="宋体" w:eastAsia="宋体"/>
      <w:sz w:val="24"/>
      <w:szCs w:val="24"/>
    </w:rPr>
  </w:style>
  <w:style w:type="paragraph" w:styleId="712">
    <w:name w:val="HTML 预设格式"/>
    <w:basedOn w:val="678"/>
    <w:next w:val="712"/>
    <w:link w:val="71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3">
    <w:name w:val="HTML 预设格式 字符1"/>
    <w:next w:val="713"/>
    <w:link w:val="712"/>
    <w:uiPriority w:val="99"/>
    <w:rPr>
      <w:rFonts w:ascii="Arial" w:hAnsi="Arial" w:cs="Calibri"/>
      <w:sz w:val="11"/>
      <w:szCs w:val="11"/>
      <w:lang w:eastAsia="en-US"/>
    </w:rPr>
  </w:style>
  <w:style w:type="paragraph" w:styleId="714">
    <w:name w:val="普通(网站)"/>
    <w:basedOn w:val="678"/>
    <w:next w:val="714"/>
    <w:link w:val="678"/>
    <w:uiPriority w:val="99"/>
    <w:unhideWhenUsed/>
    <w:pPr>
      <w:spacing w:before="100" w:beforeAutospacing="1" w:after="100" w:afterAutospacing="1"/>
      <w:widowControl/>
    </w:pPr>
    <w:rPr>
      <w:rFonts w:ascii="宋体" w:hAnsi="宋体" w:eastAsia="宋体" w:cs="宋体"/>
      <w:sz w:val="24"/>
      <w:lang w:eastAsia="zh-CN"/>
    </w:rPr>
  </w:style>
  <w:style w:type="paragraph" w:styleId="715">
    <w:name w:val="标题"/>
    <w:basedOn w:val="678"/>
    <w:next w:val="678"/>
    <w:link w:val="716"/>
    <w:qFormat/>
    <w:pPr>
      <w:jc w:val="center"/>
      <w:spacing w:before="240" w:after="60"/>
      <w:outlineLvl w:val="0"/>
    </w:pPr>
    <w:rPr>
      <w:rFonts w:ascii="Cambria" w:hAnsi="Cambria" w:eastAsia="宋体"/>
      <w:b/>
      <w:bCs/>
      <w:sz w:val="32"/>
      <w:szCs w:val="32"/>
    </w:rPr>
  </w:style>
  <w:style w:type="character" w:styleId="716">
    <w:name w:val="标题 字符1"/>
    <w:next w:val="716"/>
    <w:link w:val="715"/>
    <w:rPr>
      <w:rFonts w:ascii="Cambria" w:hAnsi="Cambria"/>
      <w:b/>
      <w:bCs/>
      <w:sz w:val="32"/>
      <w:szCs w:val="32"/>
      <w:lang w:eastAsia="en-US"/>
    </w:rPr>
  </w:style>
  <w:style w:type="paragraph" w:styleId="717">
    <w:name w:val="批注主题"/>
    <w:basedOn w:val="694"/>
    <w:next w:val="694"/>
    <w:link w:val="718"/>
    <w:rPr>
      <w:b/>
      <w:bCs/>
      <w:sz w:val="22"/>
    </w:rPr>
  </w:style>
  <w:style w:type="character" w:styleId="718">
    <w:name w:val="批注主题 字符1"/>
    <w:next w:val="718"/>
    <w:link w:val="717"/>
    <w:rPr>
      <w:rFonts w:eastAsia="Calibri"/>
      <w:b/>
      <w:bCs/>
      <w:sz w:val="22"/>
      <w:szCs w:val="22"/>
      <w:lang w:eastAsia="en-US"/>
    </w:rPr>
  </w:style>
  <w:style w:type="paragraph" w:styleId="719">
    <w:name w:val="正文首行缩进"/>
    <w:basedOn w:val="696"/>
    <w:next w:val="719"/>
    <w:link w:val="720"/>
    <w:pPr>
      <w:ind w:left="0" w:firstLine="420"/>
      <w:spacing w:before="0" w:after="120"/>
    </w:pPr>
    <w:rPr>
      <w:rFonts w:eastAsia="Calibri"/>
      <w:sz w:val="22"/>
      <w:szCs w:val="22"/>
    </w:rPr>
  </w:style>
  <w:style w:type="character" w:styleId="720">
    <w:name w:val="正文文本首行缩进 字符1"/>
    <w:next w:val="720"/>
    <w:link w:val="719"/>
    <w:rPr>
      <w:rFonts w:ascii="宋体" w:hAnsi="宋体" w:eastAsia="Calibri"/>
      <w:sz w:val="22"/>
      <w:szCs w:val="22"/>
      <w:lang w:eastAsia="en-US"/>
    </w:rPr>
  </w:style>
  <w:style w:type="table" w:styleId="721">
    <w:name w:val="网格型"/>
    <w:basedOn w:val="684"/>
    <w:next w:val="721"/>
    <w:link w:val="678"/>
    <w:uiPriority w:val="59"/>
    <w:tblPr/>
  </w:style>
  <w:style w:type="character" w:styleId="722">
    <w:name w:val="要点"/>
    <w:next w:val="722"/>
    <w:link w:val="678"/>
    <w:uiPriority w:val="22"/>
    <w:qFormat/>
    <w:rPr>
      <w:b/>
      <w:bCs/>
    </w:rPr>
  </w:style>
  <w:style w:type="character" w:styleId="723">
    <w:name w:val="页码"/>
    <w:basedOn w:val="683"/>
    <w:next w:val="723"/>
    <w:link w:val="678"/>
    <w:qFormat/>
  </w:style>
  <w:style w:type="character" w:styleId="724">
    <w:name w:val="已访问的超链接"/>
    <w:next w:val="724"/>
    <w:link w:val="678"/>
    <w:unhideWhenUsed/>
    <w:rPr>
      <w:color w:val="954f72"/>
      <w:u w:val="single"/>
    </w:rPr>
  </w:style>
  <w:style w:type="character" w:styleId="725">
    <w:name w:val="强调"/>
    <w:next w:val="725"/>
    <w:link w:val="678"/>
    <w:uiPriority w:val="20"/>
    <w:qFormat/>
    <w:rPr>
      <w:i/>
      <w:iCs/>
    </w:rPr>
  </w:style>
  <w:style w:type="character" w:styleId="726">
    <w:name w:val="HTML 打字机"/>
    <w:next w:val="726"/>
    <w:link w:val="678"/>
    <w:rPr>
      <w:rFonts w:ascii="monospace" w:hAnsi="monospace" w:eastAsia="monospace" w:cs="monospace"/>
      <w:sz w:val="20"/>
    </w:rPr>
  </w:style>
  <w:style w:type="character" w:styleId="727">
    <w:name w:val="HTML 缩写"/>
    <w:basedOn w:val="683"/>
    <w:next w:val="727"/>
    <w:link w:val="678"/>
  </w:style>
  <w:style w:type="character" w:styleId="728">
    <w:name w:val="超链接"/>
    <w:next w:val="728"/>
    <w:link w:val="678"/>
    <w:uiPriority w:val="99"/>
    <w:rPr>
      <w:color w:val="0000ff"/>
      <w:u w:val="none"/>
    </w:rPr>
  </w:style>
  <w:style w:type="character" w:styleId="729">
    <w:name w:val="HTML 代码"/>
    <w:next w:val="729"/>
    <w:link w:val="678"/>
    <w:rPr>
      <w:rFonts w:ascii="monospace" w:hAnsi="monospace" w:eastAsia="monospace" w:cs="monospace"/>
      <w:sz w:val="20"/>
    </w:rPr>
  </w:style>
  <w:style w:type="character" w:styleId="730">
    <w:name w:val="批注引用"/>
    <w:next w:val="730"/>
    <w:link w:val="678"/>
    <w:rPr>
      <w:sz w:val="21"/>
      <w:szCs w:val="21"/>
    </w:rPr>
  </w:style>
  <w:style w:type="character" w:styleId="731">
    <w:name w:val="HTML 键盘"/>
    <w:next w:val="731"/>
    <w:link w:val="678"/>
    <w:rPr>
      <w:rFonts w:ascii="monospace" w:hAnsi="monospace" w:eastAsia="monospace" w:cs="monospace"/>
      <w:sz w:val="20"/>
    </w:rPr>
  </w:style>
  <w:style w:type="character" w:styleId="732">
    <w:name w:val="HTML 样本"/>
    <w:next w:val="732"/>
    <w:link w:val="678"/>
    <w:rPr>
      <w:rFonts w:ascii="monospace" w:hAnsi="monospace" w:eastAsia="monospace" w:cs="monospace"/>
    </w:rPr>
  </w:style>
  <w:style w:type="paragraph" w:styleId="733">
    <w:name w:val="首行缩进"/>
    <w:basedOn w:val="678"/>
    <w:next w:val="733"/>
    <w:link w:val="678"/>
    <w:qFormat/>
    <w:pPr>
      <w:ind w:firstLine="480"/>
      <w:jc w:val="left"/>
      <w:spacing w:line="360" w:lineRule="auto"/>
    </w:pPr>
    <w:rPr>
      <w:rFonts w:ascii="宋体" w:hAnsi="宋体"/>
      <w:sz w:val="24"/>
      <w:szCs w:val="24"/>
    </w:rPr>
  </w:style>
  <w:style w:type="character" w:styleId="734">
    <w:name w:val="NormalCharacter1"/>
    <w:next w:val="734"/>
    <w:link w:val="678"/>
    <w:qFormat/>
  </w:style>
  <w:style w:type="character" w:styleId="735">
    <w:name w:val="UserStyle_1"/>
    <w:next w:val="735"/>
    <w:link w:val="736"/>
    <w:rPr>
      <w:sz w:val="21"/>
      <w:szCs w:val="24"/>
    </w:rPr>
  </w:style>
  <w:style w:type="paragraph" w:styleId="736">
    <w:name w:val="NormalIndent1"/>
    <w:basedOn w:val="678"/>
    <w:next w:val="736"/>
    <w:link w:val="735"/>
    <w:pPr>
      <w:ind w:firstLine="420"/>
      <w:jc w:val="both"/>
      <w:widowControl/>
    </w:pPr>
    <w:rPr>
      <w:rFonts w:eastAsia="宋体"/>
      <w:sz w:val="21"/>
      <w:szCs w:val="24"/>
    </w:rPr>
  </w:style>
  <w:style w:type="character" w:styleId="737">
    <w:name w:val="无"/>
    <w:next w:val="737"/>
    <w:link w:val="678"/>
    <w:uiPriority w:val="99"/>
    <w:qFormat/>
  </w:style>
  <w:style w:type="character" w:styleId="738">
    <w:name w:val="纯文本 Char1"/>
    <w:next w:val="738"/>
    <w:link w:val="678"/>
    <w:rPr>
      <w:rFonts w:ascii="宋体" w:hAnsi="Courier New" w:cs="Courier New"/>
      <w:sz w:val="21"/>
      <w:szCs w:val="21"/>
      <w:lang w:eastAsia="en-US"/>
    </w:rPr>
  </w:style>
  <w:style w:type="paragraph" w:styleId="739">
    <w:name w:val="Table Paragraph"/>
    <w:basedOn w:val="678"/>
    <w:next w:val="739"/>
    <w:link w:val="678"/>
    <w:uiPriority w:val="1"/>
    <w:qFormat/>
  </w:style>
  <w:style w:type="paragraph" w:styleId="740">
    <w:name w:val="Default"/>
    <w:next w:val="740"/>
    <w:link w:val="678"/>
    <w:qFormat/>
    <w:pPr>
      <w:widowControl w:val="off"/>
    </w:pPr>
    <w:rPr>
      <w:rFonts w:ascii="宋体" w:cs="宋体"/>
      <w:color w:val="000000"/>
      <w:sz w:val="24"/>
      <w:szCs w:val="24"/>
      <w:lang w:val="en-US" w:eastAsia="zh-CN" w:bidi="ar-SA"/>
    </w:rPr>
  </w:style>
  <w:style w:type="paragraph" w:styleId="741">
    <w:name w:val="Heading 1"/>
    <w:basedOn w:val="678"/>
    <w:next w:val="741"/>
    <w:link w:val="678"/>
    <w:uiPriority w:val="1"/>
    <w:qFormat/>
    <w:pPr>
      <w:ind w:left="39"/>
      <w:outlineLvl w:val="0"/>
    </w:pPr>
    <w:rPr>
      <w:rFonts w:ascii="宋体" w:hAnsi="Times New Roman" w:eastAsia="宋体" w:cs="宋体"/>
      <w:b/>
      <w:bCs/>
      <w:sz w:val="21"/>
      <w:szCs w:val="21"/>
      <w:lang w:eastAsia="zh-CN"/>
    </w:rPr>
  </w:style>
  <w:style w:type="paragraph" w:styleId="742">
    <w:name w:val="正文_0_1"/>
    <w:next w:val="742"/>
    <w:link w:val="678"/>
    <w:qFormat/>
    <w:pPr>
      <w:jc w:val="both"/>
      <w:widowControl w:val="off"/>
    </w:pPr>
    <w:rPr>
      <w:sz w:val="21"/>
      <w:szCs w:val="22"/>
      <w:lang w:val="en-US" w:eastAsia="zh-CN" w:bidi="ar-SA"/>
    </w:rPr>
  </w:style>
  <w:style w:type="paragraph" w:styleId="743">
    <w:name w:val="列出段落1"/>
    <w:next w:val="743"/>
    <w:link w:val="67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4">
    <w:name w:val="Normal_26"/>
    <w:next w:val="744"/>
    <w:link w:val="678"/>
    <w:pPr>
      <w:jc w:val="both"/>
      <w:spacing w:before="120" w:after="240"/>
    </w:pPr>
    <w:rPr>
      <w:rFonts w:eastAsia="Times New Roman"/>
      <w:sz w:val="22"/>
      <w:szCs w:val="22"/>
      <w:lang w:val="en-US" w:eastAsia="en-US" w:bidi="ar-SA"/>
    </w:rPr>
  </w:style>
  <w:style w:type="paragraph" w:styleId="745">
    <w:name w:val="普通正文"/>
    <w:basedOn w:val="678"/>
    <w:next w:val="745"/>
    <w:link w:val="678"/>
    <w:pPr>
      <w:ind w:firstLine="480"/>
      <w:spacing w:before="120" w:after="120" w:line="360" w:lineRule="auto"/>
    </w:pPr>
    <w:rPr>
      <w:rFonts w:ascii="Arial" w:hAnsi="Arial" w:eastAsia="宋体"/>
      <w:sz w:val="24"/>
      <w:szCs w:val="24"/>
      <w:lang w:eastAsia="zh-CN"/>
    </w:rPr>
  </w:style>
  <w:style w:type="paragraph" w:styleId="746">
    <w:name w:val="正文（绿盟科技）"/>
    <w:next w:val="746"/>
    <w:link w:val="678"/>
    <w:qFormat/>
    <w:pPr>
      <w:spacing w:line="300" w:lineRule="auto"/>
    </w:pPr>
    <w:rPr>
      <w:rFonts w:ascii="Arial" w:hAnsi="Arial" w:cs="黑体"/>
      <w:sz w:val="21"/>
      <w:szCs w:val="21"/>
      <w:lang w:val="en-US" w:eastAsia="zh-CN" w:bidi="ar-SA"/>
    </w:rPr>
  </w:style>
  <w:style w:type="paragraph" w:styleId="747">
    <w:name w:val="列表段落"/>
    <w:basedOn w:val="678"/>
    <w:next w:val="678"/>
    <w:link w:val="678"/>
    <w:uiPriority w:val="34"/>
    <w:qFormat/>
  </w:style>
  <w:style w:type="paragraph" w:styleId="748">
    <w:name w:val="正文 A"/>
    <w:next w:val="733"/>
    <w:link w:val="67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9">
    <w:name w:val="Table Normal"/>
    <w:next w:val="749"/>
    <w:link w:val="678"/>
    <w:uiPriority w:val="2"/>
    <w:unhideWhenUsed/>
    <w:qFormat/>
    <w:rPr>
      <w:lang w:val="en-US" w:eastAsia="zh-CN" w:bidi="ar-SA"/>
    </w:rPr>
    <w:tblPr/>
  </w:style>
  <w:style w:type="character" w:styleId="750">
    <w:name w:val="标题 2 字符"/>
    <w:next w:val="750"/>
    <w:link w:val="678"/>
    <w:uiPriority w:val="9"/>
    <w:semiHidden/>
    <w:rPr>
      <w:rFonts w:ascii="等线 Light" w:hAnsi="等线 Light" w:eastAsia="等线 Light" w:cs="Times New Roman"/>
      <w:b/>
      <w:bCs/>
      <w:sz w:val="32"/>
      <w:szCs w:val="32"/>
      <w:lang w:eastAsia="en-US"/>
    </w:rPr>
  </w:style>
  <w:style w:type="character" w:styleId="751">
    <w:name w:val="标题 4 字符"/>
    <w:next w:val="751"/>
    <w:link w:val="678"/>
    <w:uiPriority w:val="9"/>
    <w:semiHidden/>
    <w:rPr>
      <w:rFonts w:ascii="等线 Light" w:hAnsi="等线 Light" w:eastAsia="等线 Light" w:cs="Times New Roman"/>
      <w:b/>
      <w:bCs/>
      <w:sz w:val="28"/>
      <w:szCs w:val="28"/>
      <w:lang w:eastAsia="en-US"/>
    </w:rPr>
  </w:style>
  <w:style w:type="character" w:styleId="752">
    <w:name w:val="p21"/>
    <w:next w:val="752"/>
    <w:link w:val="678"/>
    <w:rPr>
      <w:sz w:val="9"/>
      <w:szCs w:val="9"/>
    </w:rPr>
  </w:style>
  <w:style w:type="character" w:styleId="753">
    <w:name w:val="HTML 预设格式 字符"/>
    <w:next w:val="753"/>
    <w:link w:val="678"/>
    <w:uiPriority w:val="99"/>
    <w:rPr>
      <w:rFonts w:ascii="Courier New" w:hAnsi="Courier New" w:eastAsia="Calibri" w:cs="Courier New"/>
      <w:lang w:eastAsia="en-US"/>
    </w:rPr>
  </w:style>
  <w:style w:type="character" w:styleId="754">
    <w:name w:val="文档结构图 字符"/>
    <w:next w:val="754"/>
    <w:link w:val="678"/>
    <w:uiPriority w:val="99"/>
    <w:rPr>
      <w:rFonts w:ascii="Microsoft YaHei UI" w:eastAsia="Microsoft YaHei UI"/>
      <w:sz w:val="18"/>
      <w:szCs w:val="18"/>
      <w:lang w:eastAsia="en-US"/>
    </w:rPr>
  </w:style>
  <w:style w:type="character" w:styleId="755">
    <w:name w:val="批注框文本 字符"/>
    <w:next w:val="755"/>
    <w:link w:val="678"/>
    <w:uiPriority w:val="99"/>
    <w:semiHidden/>
    <w:rPr>
      <w:rFonts w:ascii="Times New Roman" w:hAnsi="Times New Roman" w:eastAsia="Calibri" w:cs="Times New Roman"/>
      <w:sz w:val="18"/>
      <w:szCs w:val="18"/>
      <w:lang w:eastAsia="en-US"/>
    </w:rPr>
  </w:style>
  <w:style w:type="character" w:styleId="756">
    <w:name w:val="标题 字符"/>
    <w:next w:val="756"/>
    <w:link w:val="678"/>
    <w:uiPriority w:val="10"/>
    <w:rPr>
      <w:rFonts w:ascii="等线 Light" w:hAnsi="等线 Light" w:eastAsia="等线 Light" w:cs="Times New Roman"/>
      <w:b/>
      <w:bCs/>
      <w:sz w:val="32"/>
      <w:szCs w:val="32"/>
      <w:lang w:eastAsia="en-US"/>
    </w:rPr>
  </w:style>
  <w:style w:type="character" w:styleId="757">
    <w:name w:val="纯文本 Char_0"/>
    <w:next w:val="757"/>
    <w:link w:val="758"/>
    <w:uiPriority w:val="99"/>
    <w:rPr>
      <w:rFonts w:ascii="宋体" w:hAnsi="Courier New"/>
      <w:szCs w:val="21"/>
    </w:rPr>
  </w:style>
  <w:style w:type="paragraph" w:styleId="758">
    <w:name w:val="纯文本_0"/>
    <w:basedOn w:val="759"/>
    <w:next w:val="758"/>
    <w:link w:val="757"/>
    <w:uiPriority w:val="99"/>
    <w:unhideWhenUsed/>
    <w:rPr>
      <w:rFonts w:ascii="宋体" w:hAnsi="Courier New" w:cs="Times New Roman"/>
      <w:szCs w:val="21"/>
    </w:rPr>
  </w:style>
  <w:style w:type="paragraph" w:styleId="759">
    <w:name w:val="正文_1_0"/>
    <w:next w:val="759"/>
    <w:link w:val="678"/>
    <w:qFormat/>
    <w:pPr>
      <w:jc w:val="both"/>
      <w:widowControl w:val="off"/>
    </w:pPr>
    <w:rPr>
      <w:rFonts w:ascii="Calibri" w:hAnsi="Calibri" w:cs="Calibri"/>
      <w:lang w:val="en-US" w:eastAsia="zh-CN" w:bidi="ar-SA"/>
    </w:rPr>
  </w:style>
  <w:style w:type="character" w:styleId="760">
    <w:name w:val="ca-10"/>
    <w:next w:val="760"/>
    <w:link w:val="678"/>
    <w:rPr>
      <w:rFonts w:eastAsia="Times New Roman"/>
    </w:rPr>
  </w:style>
  <w:style w:type="character" w:styleId="761">
    <w:name w:val="批注文字 Char1"/>
    <w:next w:val="761"/>
    <w:link w:val="678"/>
    <w:uiPriority w:val="99"/>
    <w:semiHidden/>
    <w:rPr>
      <w:rFonts w:eastAsia="Calibri"/>
      <w:sz w:val="22"/>
      <w:szCs w:val="22"/>
      <w:lang w:eastAsia="en-US"/>
    </w:rPr>
  </w:style>
  <w:style w:type="character" w:styleId="762">
    <w:name w:val="批注主题 字符"/>
    <w:next w:val="762"/>
    <w:link w:val="678"/>
    <w:uiPriority w:val="99"/>
    <w:rPr>
      <w:rFonts w:eastAsia="Calibri"/>
      <w:b/>
      <w:bCs/>
      <w:sz w:val="22"/>
      <w:szCs w:val="22"/>
      <w:lang w:eastAsia="en-US"/>
    </w:rPr>
  </w:style>
  <w:style w:type="character" w:styleId="763">
    <w:name w:val="apple-converted-space"/>
    <w:next w:val="763"/>
    <w:link w:val="678"/>
    <w:rPr>
      <w:rFonts w:eastAsia="Times New Roman"/>
    </w:rPr>
  </w:style>
  <w:style w:type="character" w:styleId="764">
    <w:name w:val="ca-2"/>
    <w:next w:val="764"/>
    <w:link w:val="678"/>
    <w:rPr>
      <w:rFonts w:eastAsia="Times New Roman"/>
    </w:rPr>
  </w:style>
  <w:style w:type="character" w:styleId="765">
    <w:name w:val="标题3 Char_0"/>
    <w:next w:val="765"/>
    <w:link w:val="766"/>
    <w:rPr>
      <w:rFonts w:ascii="黑体" w:hAnsi="黑体" w:eastAsia="黑体"/>
      <w:b/>
      <w:sz w:val="32"/>
      <w:szCs w:val="32"/>
    </w:rPr>
  </w:style>
  <w:style w:type="paragraph" w:styleId="766">
    <w:name w:val="标题3_0"/>
    <w:basedOn w:val="767"/>
    <w:next w:val="766"/>
    <w:link w:val="765"/>
    <w:qFormat/>
    <w:pPr>
      <w:jc w:val="center"/>
      <w:outlineLvl w:val="2"/>
    </w:pPr>
    <w:rPr>
      <w:rFonts w:ascii="黑体" w:hAnsi="黑体" w:eastAsia="黑体" w:cs="Times New Roman"/>
      <w:b/>
      <w:sz w:val="32"/>
      <w:szCs w:val="32"/>
    </w:rPr>
  </w:style>
  <w:style w:type="paragraph" w:styleId="767">
    <w:name w:val="正文_1"/>
    <w:next w:val="767"/>
    <w:link w:val="678"/>
    <w:qFormat/>
    <w:pPr>
      <w:jc w:val="both"/>
      <w:widowControl w:val="off"/>
    </w:pPr>
    <w:rPr>
      <w:rFonts w:ascii="Calibri" w:hAnsi="Calibri" w:cs="Calibri"/>
      <w:szCs w:val="24"/>
      <w:lang w:val="en-US" w:eastAsia="zh-CN" w:bidi="ar-SA"/>
    </w:rPr>
  </w:style>
  <w:style w:type="character" w:styleId="768">
    <w:name w:val="正文文本 字符"/>
    <w:next w:val="768"/>
    <w:link w:val="678"/>
    <w:uiPriority w:val="99"/>
    <w:semiHidden/>
    <w:rPr>
      <w:rFonts w:ascii="Times New Roman" w:hAnsi="Times New Roman" w:eastAsia="Calibri" w:cs="Times New Roman"/>
      <w:sz w:val="22"/>
      <w:lang w:eastAsia="en-US"/>
    </w:rPr>
  </w:style>
  <w:style w:type="character" w:styleId="769">
    <w:name w:val="标题3 Char"/>
    <w:next w:val="769"/>
    <w:link w:val="770"/>
    <w:rPr>
      <w:rFonts w:ascii="黑体" w:hAnsi="黑体" w:eastAsia="黑体"/>
      <w:b/>
      <w:sz w:val="32"/>
      <w:szCs w:val="32"/>
    </w:rPr>
  </w:style>
  <w:style w:type="paragraph" w:styleId="770">
    <w:name w:val="标题3"/>
    <w:basedOn w:val="678"/>
    <w:next w:val="770"/>
    <w:link w:val="769"/>
    <w:qFormat/>
    <w:pPr>
      <w:jc w:val="center"/>
      <w:pageBreakBefore/>
      <w:outlineLvl w:val="2"/>
    </w:pPr>
    <w:rPr>
      <w:rFonts w:ascii="黑体" w:hAnsi="黑体" w:eastAsia="黑体"/>
      <w:b/>
      <w:sz w:val="32"/>
      <w:szCs w:val="32"/>
    </w:rPr>
  </w:style>
  <w:style w:type="character" w:styleId="771">
    <w:name w:val="批注主题 Char1"/>
    <w:next w:val="771"/>
    <w:link w:val="678"/>
    <w:uiPriority w:val="99"/>
    <w:semiHidden/>
    <w:rPr>
      <w:rFonts w:eastAsia="Calibri"/>
      <w:b/>
      <w:bCs/>
      <w:sz w:val="22"/>
      <w:szCs w:val="22"/>
      <w:lang w:eastAsia="en-US"/>
    </w:rPr>
  </w:style>
  <w:style w:type="character" w:styleId="772">
    <w:name w:val="标题 1 字符"/>
    <w:next w:val="772"/>
    <w:link w:val="678"/>
    <w:uiPriority w:val="9"/>
    <w:rPr>
      <w:rFonts w:ascii="Times New Roman" w:hAnsi="Times New Roman" w:eastAsia="Calibri" w:cs="Times New Roman"/>
      <w:b/>
      <w:bCs/>
      <w:sz w:val="44"/>
      <w:szCs w:val="44"/>
      <w:lang w:eastAsia="en-US"/>
    </w:rPr>
  </w:style>
  <w:style w:type="character" w:styleId="773">
    <w:name w:val="正文文本首行缩进 字符"/>
    <w:next w:val="773"/>
    <w:link w:val="678"/>
    <w:uiPriority w:val="99"/>
    <w:semiHidden/>
    <w:rPr>
      <w:rFonts w:ascii="Times New Roman" w:hAnsi="Times New Roman" w:eastAsia="Calibri" w:cs="Times New Roman"/>
      <w:sz w:val="22"/>
      <w:szCs w:val="24"/>
      <w:lang w:eastAsia="en-US"/>
    </w:rPr>
  </w:style>
  <w:style w:type="character" w:styleId="774">
    <w:name w:val="批注文字 字符"/>
    <w:next w:val="774"/>
    <w:link w:val="678"/>
    <w:uiPriority w:val="99"/>
    <w:semiHidden/>
    <w:rPr>
      <w:rFonts w:ascii="Times New Roman" w:hAnsi="Times New Roman" w:eastAsia="Calibri" w:cs="Times New Roman"/>
      <w:sz w:val="22"/>
      <w:lang w:eastAsia="en-US"/>
    </w:rPr>
  </w:style>
  <w:style w:type="character" w:styleId="775">
    <w:name w:val="标题 3 字符"/>
    <w:next w:val="775"/>
    <w:link w:val="678"/>
    <w:uiPriority w:val="9"/>
    <w:semiHidden/>
    <w:rPr>
      <w:rFonts w:ascii="Times New Roman" w:hAnsi="Times New Roman" w:eastAsia="Calibri" w:cs="Times New Roman"/>
      <w:b/>
      <w:bCs/>
      <w:sz w:val="32"/>
      <w:szCs w:val="32"/>
      <w:lang w:eastAsia="en-US"/>
    </w:rPr>
  </w:style>
  <w:style w:type="character" w:styleId="776">
    <w:name w:val="批注框文本 Char1"/>
    <w:next w:val="776"/>
    <w:link w:val="678"/>
    <w:uiPriority w:val="99"/>
    <w:semiHidden/>
    <w:rPr>
      <w:rFonts w:eastAsia="Calibri"/>
      <w:sz w:val="18"/>
      <w:szCs w:val="18"/>
      <w:lang w:eastAsia="en-US"/>
    </w:rPr>
  </w:style>
  <w:style w:type="character" w:styleId="777">
    <w:name w:val="日期 字符"/>
    <w:next w:val="777"/>
    <w:link w:val="678"/>
    <w:uiPriority w:val="99"/>
    <w:rPr>
      <w:rFonts w:eastAsia="Calibri"/>
      <w:sz w:val="22"/>
      <w:szCs w:val="22"/>
      <w:lang w:eastAsia="en-US"/>
    </w:rPr>
  </w:style>
  <w:style w:type="character" w:styleId="778">
    <w:name w:val="页眉 字符"/>
    <w:next w:val="778"/>
    <w:link w:val="678"/>
    <w:uiPriority w:val="99"/>
    <w:semiHidden/>
    <w:rPr>
      <w:rFonts w:ascii="Times New Roman" w:hAnsi="Times New Roman" w:eastAsia="Calibri" w:cs="Times New Roman"/>
      <w:sz w:val="18"/>
      <w:szCs w:val="18"/>
      <w:lang w:eastAsia="en-US"/>
    </w:rPr>
  </w:style>
  <w:style w:type="character" w:styleId="779">
    <w:name w:val="页脚 字符"/>
    <w:next w:val="779"/>
    <w:link w:val="678"/>
    <w:uiPriority w:val="99"/>
    <w:semiHidden/>
    <w:rPr>
      <w:rFonts w:ascii="Times New Roman" w:hAnsi="Times New Roman" w:eastAsia="Calibri" w:cs="Times New Roman"/>
      <w:sz w:val="18"/>
      <w:szCs w:val="18"/>
      <w:lang w:eastAsia="en-US"/>
    </w:rPr>
  </w:style>
  <w:style w:type="paragraph" w:styleId="780">
    <w:name w:val="Plain Text_0"/>
    <w:basedOn w:val="759"/>
    <w:next w:val="780"/>
    <w:link w:val="678"/>
    <w:rPr>
      <w:rFonts w:ascii="宋体" w:hAnsi="Courier New" w:eastAsia="Times New Roman" w:cs="Courier New"/>
      <w:szCs w:val="21"/>
    </w:rPr>
  </w:style>
  <w:style w:type="paragraph" w:styleId="781">
    <w:name w:val="contentarticle"/>
    <w:basedOn w:val="678"/>
    <w:next w:val="781"/>
    <w:link w:val="678"/>
    <w:pPr>
      <w:spacing w:before="100" w:beforeAutospacing="1" w:after="100" w:afterAutospacing="1"/>
      <w:widowControl/>
    </w:pPr>
    <w:rPr>
      <w:rFonts w:ascii="宋体" w:hAnsi="宋体" w:eastAsia="宋体" w:cs="宋体"/>
      <w:sz w:val="24"/>
      <w:lang w:eastAsia="zh-CN"/>
    </w:rPr>
  </w:style>
  <w:style w:type="paragraph" w:styleId="782">
    <w:name w:val="无间隔"/>
    <w:next w:val="782"/>
    <w:link w:val="678"/>
    <w:uiPriority w:val="1"/>
    <w:qFormat/>
    <w:pPr>
      <w:jc w:val="center"/>
      <w:widowControl w:val="off"/>
    </w:pPr>
    <w:rPr>
      <w:rFonts w:ascii="Calibri" w:hAnsi="Calibri" w:eastAsia="黑体" w:cs="Calibri"/>
      <w:sz w:val="30"/>
      <w:szCs w:val="24"/>
      <w:lang w:val="en-US" w:eastAsia="zh-CN" w:bidi="ar-SA"/>
    </w:rPr>
  </w:style>
  <w:style w:type="paragraph" w:styleId="783">
    <w:name w:val="修订"/>
    <w:next w:val="783"/>
    <w:link w:val="678"/>
    <w:uiPriority w:val="99"/>
    <w:unhideWhenUsed/>
    <w:rPr>
      <w:rFonts w:ascii="Calibri" w:hAnsi="Calibri" w:eastAsia="Calibri" w:cs="Calibri"/>
      <w:sz w:val="22"/>
      <w:szCs w:val="22"/>
      <w:lang w:val="en-US" w:eastAsia="en-US" w:bidi="ar-SA"/>
    </w:rPr>
  </w:style>
  <w:style w:type="paragraph" w:styleId="784">
    <w:name w:val="图标题"/>
    <w:basedOn w:val="678"/>
    <w:next w:val="784"/>
    <w:link w:val="678"/>
    <w:qFormat/>
    <w:pPr>
      <w:jc w:val="center"/>
      <w:spacing w:line="360" w:lineRule="auto"/>
    </w:pPr>
    <w:rPr>
      <w:rFonts w:ascii="Calibri" w:hAnsi="Calibri" w:eastAsia="宋体" w:cs="Calibri"/>
      <w:b/>
      <w:sz w:val="24"/>
      <w:szCs w:val="20"/>
      <w:lang w:eastAsia="zh-CN"/>
    </w:rPr>
  </w:style>
  <w:style w:type="paragraph" w:styleId="785">
    <w:name w:val="_Style 29"/>
    <w:basedOn w:val="678"/>
    <w:next w:val="678"/>
    <w:link w:val="678"/>
    <w:uiPriority w:val="39"/>
    <w:pPr>
      <w:ind w:left="840"/>
      <w:jc w:val="both"/>
    </w:pPr>
    <w:rPr>
      <w:rFonts w:ascii="Calibri" w:hAnsi="Calibri" w:eastAsia="宋体" w:cs="Calibri"/>
      <w:sz w:val="21"/>
      <w:lang w:eastAsia="zh-CN"/>
    </w:rPr>
  </w:style>
  <w:style w:type="paragraph" w:styleId="786">
    <w:name w:val="正文2"/>
    <w:next w:val="786"/>
    <w:link w:val="678"/>
    <w:qFormat/>
    <w:pPr>
      <w:jc w:val="both"/>
      <w:widowControl w:val="off"/>
    </w:pPr>
    <w:rPr>
      <w:rFonts w:ascii="Calibri" w:hAnsi="Calibri" w:cs="Calibri"/>
      <w:lang w:val="en-US" w:eastAsia="zh-CN" w:bidi="ar-SA"/>
    </w:rPr>
  </w:style>
  <w:style w:type="paragraph" w:styleId="787">
    <w:name w:val="正文1"/>
    <w:next w:val="787"/>
    <w:link w:val="678"/>
    <w:uiPriority w:val="99"/>
    <w:qFormat/>
    <w:pPr>
      <w:jc w:val="both"/>
      <w:widowControl w:val="off"/>
    </w:pPr>
    <w:rPr>
      <w:rFonts w:ascii="Calibri" w:hAnsi="Calibri" w:cs="Calibri"/>
      <w:lang w:val="en-US" w:eastAsia="zh-CN" w:bidi="ar-SA"/>
    </w:rPr>
  </w:style>
  <w:style w:type="paragraph" w:styleId="788">
    <w:name w:val="Normal_0"/>
    <w:next w:val="788"/>
    <w:link w:val="678"/>
    <w:qFormat/>
    <w:pPr>
      <w:jc w:val="both"/>
      <w:widowControl w:val="off"/>
    </w:pPr>
    <w:rPr>
      <w:rFonts w:ascii="Calibri" w:hAnsi="Calibri" w:cs="Calibri"/>
      <w:lang w:val="en-US" w:eastAsia="zh-CN" w:bidi="ar-SA"/>
    </w:rPr>
  </w:style>
  <w:style w:type="paragraph" w:styleId="789">
    <w:name w:val="pa-15"/>
    <w:basedOn w:val="759"/>
    <w:next w:val="789"/>
    <w:link w:val="678"/>
    <w:pPr>
      <w:jc w:val="left"/>
      <w:spacing w:before="100" w:beforeAutospacing="1" w:after="100" w:afterAutospacing="1"/>
      <w:widowControl/>
    </w:pPr>
    <w:rPr>
      <w:rFonts w:ascii="宋体" w:hAnsi="宋体" w:eastAsia="Times New Roman" w:cs="宋体"/>
      <w:sz w:val="24"/>
      <w:szCs w:val="24"/>
    </w:rPr>
  </w:style>
  <w:style w:type="paragraph" w:styleId="790">
    <w:name w:val="正文_0_0_0_0"/>
    <w:next w:val="790"/>
    <w:link w:val="678"/>
    <w:qFormat/>
    <w:pPr>
      <w:jc w:val="both"/>
      <w:widowControl w:val="off"/>
    </w:pPr>
    <w:rPr>
      <w:rFonts w:ascii="Calibri" w:hAnsi="Calibri" w:cs="Calibri"/>
      <w:lang w:val="en-US" w:eastAsia="zh-CN" w:bidi="ar-SA"/>
    </w:rPr>
  </w:style>
  <w:style w:type="paragraph" w:styleId="791">
    <w:name w:val="正文_2"/>
    <w:next w:val="791"/>
    <w:link w:val="678"/>
    <w:qFormat/>
    <w:pPr>
      <w:spacing w:after="200" w:line="276" w:lineRule="auto"/>
      <w:widowControl w:val="off"/>
    </w:pPr>
    <w:rPr>
      <w:rFonts w:ascii="Calibri" w:hAnsi="Calibri" w:cs="Calibri"/>
      <w:lang w:val="en-US" w:eastAsia="zh-CN" w:bidi="ar-SA"/>
    </w:rPr>
  </w:style>
  <w:style w:type="paragraph" w:styleId="792">
    <w:name w:val="pa-13"/>
    <w:basedOn w:val="759"/>
    <w:next w:val="792"/>
    <w:link w:val="678"/>
    <w:pPr>
      <w:jc w:val="left"/>
      <w:spacing w:before="100" w:beforeAutospacing="1" w:after="100" w:afterAutospacing="1"/>
      <w:widowControl/>
    </w:pPr>
    <w:rPr>
      <w:rFonts w:ascii="宋体" w:hAnsi="宋体" w:eastAsia="Times New Roman" w:cs="宋体"/>
      <w:sz w:val="24"/>
      <w:szCs w:val="24"/>
    </w:rPr>
  </w:style>
  <w:style w:type="paragraph" w:styleId="793">
    <w:name w:val="TOC 标题"/>
    <w:basedOn w:val="679"/>
    <w:next w:val="678"/>
    <w:link w:val="67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794">
    <w:name w:val="Normal1"/>
    <w:next w:val="794"/>
    <w:link w:val="678"/>
    <w:qFormat/>
    <w:pPr>
      <w:jc w:val="both"/>
      <w:widowControl w:val="off"/>
    </w:pPr>
    <w:rPr>
      <w:rFonts w:ascii="Calibri" w:hAnsi="Calibri" w:cs="Calibri"/>
      <w:lang w:val="en-US" w:eastAsia="zh-CN" w:bidi="ar-SA"/>
    </w:rPr>
  </w:style>
  <w:style w:type="paragraph" w:styleId="795">
    <w:name w:val="样式 标题 3 + (中文) 黑体 小四 非加粗 段前: 7.8 磅 段后: 0 磅 行距: 固定值 20 磅"/>
    <w:basedOn w:val="681"/>
    <w:next w:val="795"/>
    <w:link w:val="678"/>
    <w:pPr>
      <w:jc w:val="both"/>
      <w:keepLines/>
      <w:keepNext/>
      <w:spacing w:line="400" w:lineRule="exact"/>
    </w:pPr>
    <w:rPr>
      <w:rFonts w:ascii="Times New Roman" w:hAnsi="Times New Roman" w:cs="宋体"/>
      <w:sz w:val="24"/>
      <w:szCs w:val="20"/>
    </w:rPr>
  </w:style>
  <w:style w:type="paragraph" w:styleId="796">
    <w:name w:val="pa-16"/>
    <w:basedOn w:val="759"/>
    <w:next w:val="796"/>
    <w:link w:val="678"/>
    <w:pPr>
      <w:jc w:val="left"/>
      <w:spacing w:before="100" w:beforeAutospacing="1" w:after="100" w:afterAutospacing="1"/>
      <w:widowControl/>
    </w:pPr>
    <w:rPr>
      <w:rFonts w:ascii="宋体" w:hAnsi="宋体" w:eastAsia="Times New Roman" w:cs="宋体"/>
      <w:sz w:val="24"/>
      <w:szCs w:val="24"/>
    </w:rPr>
  </w:style>
  <w:style w:type="paragraph" w:styleId="797">
    <w:name w:val="正文文本缩进 22"/>
    <w:basedOn w:val="759"/>
    <w:next w:val="797"/>
    <w:link w:val="678"/>
    <w:pPr>
      <w:ind w:left="420"/>
      <w:spacing w:after="120" w:line="480" w:lineRule="auto"/>
    </w:pPr>
    <w:rPr>
      <w:rFonts w:eastAsia="Times New Roman"/>
      <w:szCs w:val="24"/>
    </w:rPr>
  </w:style>
  <w:style w:type="paragraph" w:styleId="798">
    <w:name w:val="正文1_2"/>
    <w:next w:val="798"/>
    <w:link w:val="678"/>
    <w:qFormat/>
    <w:pPr>
      <w:jc w:val="both"/>
      <w:widowControl w:val="off"/>
    </w:pPr>
    <w:rPr>
      <w:rFonts w:ascii="Calibri" w:hAnsi="Calibri" w:cs="Calibri"/>
      <w:lang w:val="en-US" w:eastAsia="zh-CN" w:bidi="ar-SA"/>
    </w:rPr>
  </w:style>
  <w:style w:type="paragraph" w:styleId="799">
    <w:name w:val="t_black_12_b"/>
    <w:basedOn w:val="678"/>
    <w:next w:val="799"/>
    <w:link w:val="678"/>
    <w:pPr>
      <w:widowControl/>
    </w:pPr>
    <w:rPr>
      <w:rFonts w:ascii="宋体" w:hAnsi="宋体" w:eastAsia="宋体" w:cs="宋体"/>
      <w:b/>
      <w:bCs/>
      <w:color w:val="212121"/>
      <w:sz w:val="9"/>
      <w:szCs w:val="9"/>
      <w:lang w:eastAsia="zh-CN"/>
    </w:rPr>
  </w:style>
  <w:style w:type="paragraph" w:styleId="800">
    <w:name w:val="正文_0_2"/>
    <w:next w:val="800"/>
    <w:link w:val="678"/>
    <w:qFormat/>
    <w:pPr>
      <w:jc w:val="both"/>
      <w:widowControl w:val="off"/>
    </w:pPr>
    <w:rPr>
      <w:rFonts w:ascii="Calibri" w:hAnsi="Calibri" w:cs="Calibri"/>
      <w:szCs w:val="24"/>
      <w:lang w:val="en-US" w:eastAsia="zh-CN" w:bidi="ar-SA"/>
    </w:rPr>
  </w:style>
  <w:style w:type="paragraph" w:styleId="801">
    <w:name w:val="pa-14"/>
    <w:basedOn w:val="759"/>
    <w:next w:val="801"/>
    <w:link w:val="678"/>
    <w:pPr>
      <w:jc w:val="left"/>
      <w:spacing w:before="100" w:beforeAutospacing="1" w:after="100" w:afterAutospacing="1"/>
      <w:widowControl/>
    </w:pPr>
    <w:rPr>
      <w:rFonts w:ascii="宋体" w:hAnsi="宋体" w:eastAsia="Times New Roman" w:cs="宋体"/>
      <w:sz w:val="24"/>
      <w:szCs w:val="24"/>
    </w:rPr>
  </w:style>
  <w:style w:type="paragraph" w:styleId="802">
    <w:name w:val="0"/>
    <w:basedOn w:val="696"/>
    <w:next w:val="802"/>
    <w:link w:val="678"/>
    <w:qFormat/>
    <w:pPr>
      <w:ind w:left="0" w:firstLine="560"/>
      <w:spacing w:before="0" w:line="360" w:lineRule="auto"/>
    </w:pPr>
    <w:rPr>
      <w:rFonts w:ascii="Times New Roman" w:hAnsi="Times New Roman" w:cs="Calibri"/>
      <w:sz w:val="28"/>
      <w:szCs w:val="28"/>
      <w:lang w:val="zh-CN" w:eastAsia="zh-CN"/>
    </w:rPr>
  </w:style>
  <w:style w:type="paragraph" w:styleId="803">
    <w:name w:val="正文_0"/>
    <w:next w:val="803"/>
    <w:link w:val="678"/>
    <w:qFormat/>
    <w:pPr>
      <w:jc w:val="both"/>
      <w:widowControl w:val="off"/>
    </w:pPr>
    <w:rPr>
      <w:rFonts w:ascii="Calibri" w:hAnsi="Calibri" w:cs="Calibri"/>
      <w:sz w:val="21"/>
      <w:szCs w:val="24"/>
      <w:lang w:val="en-US" w:eastAsia="zh-CN" w:bidi="ar-SA"/>
    </w:rPr>
  </w:style>
  <w:style w:type="table" w:styleId="804">
    <w:name w:val="网格型1"/>
    <w:basedOn w:val="684"/>
    <w:next w:val="804"/>
    <w:link w:val="678"/>
    <w:rPr>
      <w:rFonts w:ascii="Calibri" w:hAnsi="Calibri" w:cs="Calibri"/>
    </w:rPr>
    <w:tblPr/>
  </w:style>
  <w:style w:type="table" w:styleId="805">
    <w:name w:val="网格型2"/>
    <w:basedOn w:val="684"/>
    <w:next w:val="805"/>
    <w:link w:val="678"/>
    <w:tblPr/>
  </w:style>
  <w:style w:type="paragraph" w:styleId="806">
    <w:name w:val="Normal_1"/>
    <w:next w:val="806"/>
    <w:link w:val="678"/>
    <w:qFormat/>
    <w:pPr>
      <w:jc w:val="both"/>
      <w:widowControl w:val="off"/>
    </w:pPr>
    <w:rPr>
      <w:rFonts w:ascii="Calibri" w:hAnsi="Calibri"/>
      <w:lang w:val="en-US" w:eastAsia="zh-CN" w:bidi="ar-SA"/>
    </w:rPr>
  </w:style>
  <w:style w:type="paragraph" w:styleId="807">
    <w:name w:val="_Style 21"/>
    <w:basedOn w:val="678"/>
    <w:next w:val="747"/>
    <w:link w:val="678"/>
    <w:uiPriority w:val="1"/>
    <w:qFormat/>
    <w:pPr>
      <w:ind w:left="323" w:firstLine="420"/>
      <w:jc w:val="left"/>
    </w:pPr>
    <w:rPr>
      <w:rFonts w:ascii="宋体" w:hAnsi="宋体" w:cs="宋体"/>
      <w:sz w:val="22"/>
      <w:szCs w:val="22"/>
      <w:lang w:val="zh-CN" w:bidi="zh-CN"/>
    </w:rPr>
  </w:style>
  <w:style w:type="paragraph" w:styleId="808">
    <w:name w:val="样式 标题 2 + Times New Roman 四号 非加粗 段前: 5 磅 段后: 0 磅 行距: 固定值 20..."/>
    <w:basedOn w:val="680"/>
    <w:next w:val="808"/>
    <w:link w:val="678"/>
    <w:qFormat/>
    <w:pPr>
      <w:spacing w:before="100" w:after="0" w:line="400" w:lineRule="exact"/>
    </w:pPr>
    <w:rPr>
      <w:rFonts w:ascii="Times New Roman" w:hAnsi="Times New Roman" w:eastAsia="黑体"/>
      <w:b w:val="0"/>
      <w:bCs w:val="0"/>
      <w:sz w:val="28"/>
      <w:szCs w:val="20"/>
      <w:lang w:val="en-US" w:eastAsia="zh-CN"/>
    </w:rPr>
  </w:style>
  <w:style w:type="paragraph" w:styleId="809">
    <w:name w:val="Blockquote"/>
    <w:basedOn w:val="678"/>
    <w:next w:val="809"/>
    <w:link w:val="678"/>
    <w:qFormat/>
    <w:pPr>
      <w:ind w:left="360" w:right="360"/>
      <w:jc w:val="left"/>
      <w:spacing w:before="100" w:after="100"/>
    </w:pPr>
    <w:rPr>
      <w:rFonts w:ascii="Times New Roman" w:hAnsi="Times New Roman" w:eastAsia="宋体" w:cs="Times New Roman"/>
      <w:sz w:val="24"/>
      <w:szCs w:val="20"/>
    </w:rPr>
  </w:style>
  <w:style w:type="paragraph" w:styleId="810">
    <w:name w:val="_Style 35"/>
    <w:basedOn w:val="678"/>
    <w:next w:val="678"/>
    <w:link w:val="678"/>
    <w:uiPriority w:val="39"/>
    <w:qFormat/>
    <w:pPr>
      <w:jc w:val="center"/>
      <w:spacing w:line="440" w:lineRule="exact"/>
    </w:pPr>
    <w:rPr>
      <w:rFonts w:ascii="Times New Roman" w:hAnsi="Times New Roman" w:eastAsia="宋体" w:cs="Times New Roman"/>
      <w:szCs w:val="20"/>
    </w:rPr>
  </w:style>
  <w:style w:type="character" w:styleId="10671" w:default="1">
    <w:name w:val="Default Paragraph Font"/>
    <w:uiPriority w:val="1"/>
    <w:semiHidden/>
    <w:unhideWhenUsed/>
  </w:style>
  <w:style w:type="numbering" w:styleId="10672" w:default="1">
    <w:name w:val="No List"/>
    <w:uiPriority w:val="99"/>
    <w:semiHidden/>
    <w:unhideWhenUsed/>
  </w:style>
  <w:style w:type="table" w:styleId="106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2026-05-29T07:48:46Z</dcterms:modified>
</cp:coreProperties>
</file>