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C9C36F">
      <w:pPr>
        <w:pStyle w:val="34"/>
        <w:spacing w:before="120" w:beforeAutospacing="0" w:after="120" w:afterAutospacing="0" w:line="360" w:lineRule="auto"/>
        <w:rPr>
          <w:highlight w:val="none"/>
        </w:rPr>
      </w:pPr>
    </w:p>
    <w:p w14:paraId="404EBC3A">
      <w:pPr>
        <w:spacing w:before="120" w:after="120" w:line="300" w:lineRule="auto"/>
        <w:jc w:val="center"/>
        <w:rPr>
          <w:b/>
          <w:sz w:val="84"/>
          <w:szCs w:val="21"/>
        </w:rPr>
      </w:pPr>
    </w:p>
    <w:p w14:paraId="49635542">
      <w:pPr>
        <w:pStyle w:val="36"/>
      </w:pPr>
    </w:p>
    <w:p w14:paraId="579EDC1E">
      <w:pPr>
        <w:spacing w:before="120" w:after="120" w:line="300" w:lineRule="auto"/>
        <w:jc w:val="center"/>
        <w:rPr>
          <w:b/>
          <w:sz w:val="84"/>
          <w:szCs w:val="21"/>
        </w:rPr>
      </w:pPr>
      <w:r>
        <w:rPr>
          <w:rFonts w:hint="eastAsia"/>
          <w:b/>
          <w:sz w:val="84"/>
          <w:szCs w:val="21"/>
        </w:rPr>
        <w:t>招 标 文 件</w:t>
      </w:r>
    </w:p>
    <w:p w14:paraId="26A0B158">
      <w:pPr>
        <w:spacing w:line="300" w:lineRule="auto"/>
        <w:rPr>
          <w:b/>
          <w:bCs/>
          <w:sz w:val="28"/>
        </w:rPr>
      </w:pPr>
    </w:p>
    <w:p w14:paraId="32044EAE">
      <w:pPr>
        <w:pStyle w:val="44"/>
        <w:rPr>
          <w:b/>
          <w:bCs/>
          <w:sz w:val="28"/>
        </w:rPr>
      </w:pPr>
    </w:p>
    <w:p w14:paraId="350FF5BE">
      <w:pPr>
        <w:pStyle w:val="45"/>
      </w:pPr>
    </w:p>
    <w:p w14:paraId="4EF8B342">
      <w:pPr>
        <w:pStyle w:val="44"/>
        <w:rPr>
          <w:b/>
          <w:bCs/>
          <w:sz w:val="28"/>
        </w:rPr>
      </w:pPr>
    </w:p>
    <w:p w14:paraId="6DA6804B">
      <w:pPr>
        <w:rPr>
          <w:rFonts w:ascii="宋体"/>
          <w:b/>
          <w:sz w:val="32"/>
          <w:szCs w:val="32"/>
        </w:rPr>
      </w:pPr>
    </w:p>
    <w:p w14:paraId="500A9F66">
      <w:pPr>
        <w:ind w:firstLine="640" w:firstLineChars="200"/>
        <w:jc w:val="both"/>
        <w:rPr>
          <w:rFonts w:hint="eastAsia" w:ascii="宋体" w:hAnsi="宋体" w:eastAsia="宋体" w:cs="宋体"/>
          <w:sz w:val="32"/>
          <w:szCs w:val="22"/>
          <w:lang w:eastAsia="zh-CN"/>
        </w:rPr>
      </w:pPr>
      <w:r>
        <w:rPr>
          <w:rFonts w:hint="eastAsia" w:ascii="宋体"/>
          <w:b/>
          <w:sz w:val="32"/>
          <w:szCs w:val="32"/>
        </w:rPr>
        <w:t>项</w:t>
      </w:r>
      <w:r>
        <w:rPr>
          <w:rFonts w:hint="eastAsia" w:ascii="宋体" w:hAnsi="宋体" w:cs="宋体"/>
          <w:b/>
          <w:sz w:val="32"/>
          <w:szCs w:val="32"/>
        </w:rPr>
        <w:t>目</w:t>
      </w:r>
      <w:r>
        <w:rPr>
          <w:rFonts w:hint="eastAsia" w:ascii="宋体" w:hAnsi="宋体" w:eastAsia="宋体" w:cs="宋体"/>
          <w:b/>
          <w:sz w:val="32"/>
          <w:szCs w:val="32"/>
          <w:lang w:val="en-US" w:eastAsia="zh-CN"/>
        </w:rPr>
        <w:t>名称</w:t>
      </w:r>
      <w:r>
        <w:rPr>
          <w:rFonts w:hint="eastAsia" w:ascii="宋体" w:hAnsi="宋体" w:cs="宋体"/>
          <w:b/>
          <w:sz w:val="32"/>
          <w:szCs w:val="32"/>
        </w:rPr>
        <w:t>：</w:t>
      </w:r>
      <w:r>
        <w:rPr>
          <w:rFonts w:hint="eastAsia" w:ascii="Arial" w:hAnsi="Arial" w:eastAsia="宋体" w:cs="Arial"/>
          <w:b/>
          <w:sz w:val="32"/>
          <w:szCs w:val="32"/>
          <w:lang w:eastAsia="zh-CN"/>
        </w:rPr>
        <w:t>县城照明设备及楼宇亮化维护服务（二次）</w:t>
      </w:r>
    </w:p>
    <w:p w14:paraId="6AC0A0AC">
      <w:pPr>
        <w:pStyle w:val="44"/>
        <w:ind w:left="840" w:leftChars="400" w:firstLine="0" w:firstLineChars="0"/>
      </w:pPr>
    </w:p>
    <w:p w14:paraId="30FFF7DD">
      <w:pPr>
        <w:spacing w:line="300" w:lineRule="auto"/>
        <w:ind w:left="840" w:leftChars="400" w:firstLine="0" w:firstLineChars="0"/>
        <w:jc w:val="center"/>
        <w:rPr>
          <w:b/>
          <w:bCs/>
          <w:sz w:val="24"/>
          <w:szCs w:val="22"/>
        </w:rPr>
      </w:pPr>
    </w:p>
    <w:p w14:paraId="142B3579">
      <w:pPr>
        <w:spacing w:line="480" w:lineRule="auto"/>
        <w:ind w:firstLine="640" w:firstLineChars="200"/>
        <w:jc w:val="both"/>
        <w:rPr>
          <w:rFonts w:ascii="宋体"/>
          <w:b/>
          <w:sz w:val="32"/>
          <w:szCs w:val="22"/>
        </w:rPr>
      </w:pPr>
      <w:r>
        <w:rPr>
          <w:rFonts w:hint="eastAsia" w:ascii="宋体"/>
          <w:b/>
          <w:sz w:val="32"/>
          <w:szCs w:val="22"/>
        </w:rPr>
        <w:t>项目</w:t>
      </w:r>
      <w:r>
        <w:rPr>
          <w:rFonts w:hint="eastAsia" w:ascii="宋体" w:eastAsia="宋体"/>
          <w:b/>
          <w:sz w:val="32"/>
          <w:szCs w:val="22"/>
          <w:lang w:val="en-US" w:eastAsia="zh-CN"/>
        </w:rPr>
        <w:t>编号</w:t>
      </w:r>
      <w:r>
        <w:rPr>
          <w:rFonts w:hint="eastAsia" w:ascii="宋体"/>
          <w:b/>
          <w:sz w:val="32"/>
          <w:szCs w:val="22"/>
        </w:rPr>
        <w:t>：</w:t>
      </w:r>
      <w:r>
        <w:rPr>
          <w:rFonts w:hint="eastAsia" w:ascii="Arial" w:hAnsi="Arial" w:eastAsia="宋体" w:cs="Arial"/>
          <w:b/>
          <w:sz w:val="32"/>
          <w:szCs w:val="32"/>
          <w:lang w:eastAsia="zh-CN"/>
        </w:rPr>
        <w:t>JSZC-320922-JSQG-G2026-0003</w:t>
      </w:r>
      <w:bookmarkStart w:id="196" w:name="_GoBack"/>
      <w:bookmarkEnd w:id="196"/>
    </w:p>
    <w:p w14:paraId="101BC1FE">
      <w:pPr>
        <w:spacing w:line="480" w:lineRule="auto"/>
        <w:jc w:val="center"/>
        <w:rPr>
          <w:rFonts w:eastAsia="黑体"/>
          <w:b/>
          <w:sz w:val="32"/>
        </w:rPr>
      </w:pPr>
    </w:p>
    <w:p w14:paraId="3137F9AF">
      <w:pPr>
        <w:spacing w:line="480" w:lineRule="auto"/>
        <w:jc w:val="center"/>
        <w:rPr>
          <w:rFonts w:eastAsia="黑体"/>
          <w:b/>
          <w:sz w:val="32"/>
        </w:rPr>
      </w:pPr>
    </w:p>
    <w:p w14:paraId="29447EAB">
      <w:pPr>
        <w:spacing w:line="480" w:lineRule="auto"/>
        <w:jc w:val="center"/>
        <w:rPr>
          <w:rFonts w:eastAsia="黑体"/>
          <w:b/>
          <w:sz w:val="32"/>
        </w:rPr>
      </w:pPr>
    </w:p>
    <w:p w14:paraId="590C0406">
      <w:pPr>
        <w:rPr>
          <w:rFonts w:ascii="宋体"/>
          <w:b/>
          <w:sz w:val="32"/>
        </w:rPr>
      </w:pPr>
    </w:p>
    <w:p w14:paraId="01167A57">
      <w:pPr>
        <w:rPr>
          <w:rFonts w:ascii="宋体"/>
          <w:b/>
          <w:sz w:val="32"/>
        </w:rPr>
      </w:pPr>
    </w:p>
    <w:p w14:paraId="4A8E01CC">
      <w:pPr>
        <w:rPr>
          <w:rFonts w:ascii="宋体"/>
          <w:b/>
          <w:sz w:val="32"/>
        </w:rPr>
      </w:pPr>
    </w:p>
    <w:p w14:paraId="1A0A3BD3">
      <w:pPr>
        <w:pStyle w:val="34"/>
        <w:spacing w:before="120" w:beforeAutospacing="0" w:after="120" w:afterAutospacing="0" w:line="360" w:lineRule="auto"/>
        <w:jc w:val="center"/>
        <w:rPr>
          <w:rFonts w:ascii="Arial" w:hAnsi="Arial" w:cs="Arial"/>
          <w:b/>
          <w:sz w:val="32"/>
          <w:szCs w:val="32"/>
        </w:rPr>
      </w:pPr>
      <w:r>
        <w:rPr>
          <w:rFonts w:hint="eastAsia" w:ascii="Arial" w:hAnsi="Arial" w:cs="Arial"/>
          <w:b/>
          <w:sz w:val="32"/>
          <w:szCs w:val="32"/>
        </w:rPr>
        <w:t>滨海县城市管理局</w:t>
      </w:r>
    </w:p>
    <w:p w14:paraId="675B5B78">
      <w:pPr>
        <w:pBdr>
          <w:top w:val="none" w:color="000000" w:sz="0" w:space="0"/>
          <w:left w:val="none" w:color="000000" w:sz="0" w:space="0"/>
          <w:bottom w:val="none" w:color="000000" w:sz="0" w:space="0"/>
          <w:right w:val="none" w:color="000000" w:sz="0" w:space="0"/>
        </w:pBdr>
        <w:spacing w:after="120"/>
        <w:jc w:val="center"/>
        <w:rPr>
          <w:rFonts w:hint="eastAsia" w:ascii="宋体"/>
          <w:b/>
          <w:sz w:val="32"/>
          <w:szCs w:val="22"/>
          <w:lang w:eastAsia="zh-CN"/>
        </w:rPr>
      </w:pPr>
      <w:r>
        <w:rPr>
          <w:rFonts w:hint="eastAsia" w:ascii="宋体"/>
          <w:b/>
          <w:sz w:val="32"/>
          <w:szCs w:val="22"/>
          <w:lang w:eastAsia="zh-CN"/>
        </w:rPr>
        <w:t>202</w:t>
      </w:r>
      <w:r>
        <w:rPr>
          <w:rFonts w:hint="eastAsia" w:ascii="宋体"/>
          <w:b/>
          <w:sz w:val="32"/>
          <w:szCs w:val="22"/>
          <w:lang w:val="en-US" w:eastAsia="zh-CN"/>
        </w:rPr>
        <w:t>6</w:t>
      </w:r>
      <w:r>
        <w:rPr>
          <w:rFonts w:hint="eastAsia" w:ascii="宋体"/>
          <w:b/>
          <w:sz w:val="32"/>
          <w:szCs w:val="22"/>
          <w:lang w:eastAsia="zh-CN"/>
        </w:rPr>
        <w:t>年</w:t>
      </w:r>
      <w:r>
        <w:rPr>
          <w:rFonts w:hint="eastAsia" w:ascii="宋体"/>
          <w:b/>
          <w:sz w:val="32"/>
          <w:szCs w:val="22"/>
          <w:lang w:val="en-US" w:eastAsia="zh-CN"/>
        </w:rPr>
        <w:t>04</w:t>
      </w:r>
      <w:r>
        <w:rPr>
          <w:rFonts w:hint="eastAsia" w:ascii="宋体"/>
          <w:b/>
          <w:sz w:val="32"/>
          <w:szCs w:val="22"/>
          <w:lang w:eastAsia="zh-CN"/>
        </w:rPr>
        <w:t>月</w:t>
      </w:r>
    </w:p>
    <w:p w14:paraId="6F839D76">
      <w:pPr>
        <w:pStyle w:val="34"/>
        <w:spacing w:before="120" w:beforeAutospacing="0" w:after="120" w:afterAutospacing="0" w:line="360" w:lineRule="auto"/>
        <w:jc w:val="center"/>
        <w:rPr>
          <w:highlight w:val="none"/>
        </w:rPr>
      </w:pPr>
    </w:p>
    <w:p w14:paraId="65608611">
      <w:pPr>
        <w:pStyle w:val="34"/>
        <w:spacing w:before="120" w:beforeAutospacing="0" w:after="120" w:afterAutospacing="0" w:line="360" w:lineRule="auto"/>
        <w:jc w:val="center"/>
        <w:rPr>
          <w:highlight w:val="none"/>
        </w:rPr>
      </w:pPr>
    </w:p>
    <w:p w14:paraId="2EB4485A">
      <w:pPr>
        <w:pStyle w:val="34"/>
        <w:spacing w:beforeAutospacing="0" w:afterAutospacing="0" w:line="480" w:lineRule="auto"/>
        <w:jc w:val="center"/>
        <w:rPr>
          <w:rFonts w:ascii="Times New Roman" w:hAnsi="Times New Roman"/>
          <w:color w:val="000000"/>
          <w:sz w:val="21"/>
          <w:szCs w:val="21"/>
          <w:highlight w:val="none"/>
        </w:rPr>
        <w:sectPr>
          <w:footerReference r:id="rId3" w:type="default"/>
          <w:pgSz w:w="11906" w:h="16838"/>
          <w:pgMar w:top="1440" w:right="1706" w:bottom="1440" w:left="1800" w:header="851" w:footer="992" w:gutter="0"/>
          <w:cols w:space="425" w:num="1"/>
          <w:docGrid w:linePitch="360" w:charSpace="0"/>
        </w:sectPr>
      </w:pPr>
    </w:p>
    <w:p w14:paraId="013CCDC5">
      <w:pPr>
        <w:pStyle w:val="34"/>
        <w:spacing w:beforeAutospacing="0" w:afterAutospacing="0" w:line="480" w:lineRule="auto"/>
        <w:jc w:val="center"/>
        <w:rPr>
          <w:highlight w:val="none"/>
        </w:rPr>
      </w:pPr>
      <w:r>
        <w:rPr>
          <w:rFonts w:ascii="Times New Roman" w:hAnsi="Times New Roman"/>
          <w:color w:val="000000"/>
          <w:sz w:val="21"/>
          <w:szCs w:val="21"/>
          <w:highlight w:val="none"/>
        </w:rPr>
        <w:t> </w:t>
      </w:r>
      <w:bookmarkStart w:id="0" w:name="_Toc479757206"/>
      <w:bookmarkStart w:id="1" w:name="_Toc20823272"/>
      <w:bookmarkStart w:id="2" w:name="_Toc513029200"/>
      <w:bookmarkStart w:id="3" w:name="_Toc523127445"/>
      <w:bookmarkStart w:id="4" w:name="_Toc120614210"/>
      <w:bookmarkStart w:id="5" w:name="_Toc16938516"/>
      <w:r>
        <w:rPr>
          <w:rFonts w:ascii="黑体" w:hAnsi="宋体" w:eastAsia="黑体" w:cs="黑体"/>
          <w:b/>
          <w:color w:val="000000"/>
          <w:sz w:val="44"/>
          <w:szCs w:val="44"/>
          <w:highlight w:val="none"/>
        </w:rPr>
        <w:t>总</w:t>
      </w:r>
      <w:r>
        <w:rPr>
          <w:rFonts w:hint="eastAsia" w:ascii="黑体" w:hAnsi="宋体" w:eastAsia="黑体" w:cs="黑体"/>
          <w:b/>
          <w:color w:val="000000"/>
          <w:sz w:val="44"/>
          <w:szCs w:val="44"/>
          <w:highlight w:val="none"/>
          <w:lang w:val="en-US" w:eastAsia="zh-CN"/>
        </w:rPr>
        <w:t xml:space="preserve"> </w:t>
      </w:r>
      <w:r>
        <w:rPr>
          <w:rFonts w:ascii="黑体" w:hAnsi="宋体" w:eastAsia="黑体" w:cs="黑体"/>
          <w:b/>
          <w:color w:val="000000"/>
          <w:sz w:val="44"/>
          <w:szCs w:val="44"/>
          <w:highlight w:val="none"/>
        </w:rPr>
        <w:t xml:space="preserve"> 目</w:t>
      </w:r>
      <w:r>
        <w:rPr>
          <w:rFonts w:hint="eastAsia" w:ascii="黑体" w:hAnsi="宋体" w:eastAsia="黑体" w:cs="黑体"/>
          <w:b/>
          <w:color w:val="000000"/>
          <w:sz w:val="44"/>
          <w:szCs w:val="44"/>
          <w:highlight w:val="none"/>
          <w:lang w:val="en-US" w:eastAsia="zh-CN"/>
        </w:rPr>
        <w:t xml:space="preserve"> </w:t>
      </w:r>
      <w:r>
        <w:rPr>
          <w:rFonts w:ascii="黑体" w:hAnsi="宋体" w:eastAsia="黑体" w:cs="黑体"/>
          <w:b/>
          <w:color w:val="000000"/>
          <w:sz w:val="44"/>
          <w:szCs w:val="44"/>
          <w:highlight w:val="none"/>
        </w:rPr>
        <w:t xml:space="preserve"> 录</w:t>
      </w:r>
      <w:bookmarkEnd w:id="0"/>
      <w:bookmarkEnd w:id="1"/>
      <w:bookmarkEnd w:id="2"/>
      <w:bookmarkEnd w:id="3"/>
      <w:bookmarkEnd w:id="4"/>
      <w:bookmarkEnd w:id="5"/>
    </w:p>
    <w:p w14:paraId="5FFF50AD">
      <w:pPr>
        <w:pStyle w:val="34"/>
        <w:spacing w:beforeAutospacing="0" w:afterAutospacing="0" w:line="480" w:lineRule="auto"/>
        <w:jc w:val="both"/>
        <w:rPr>
          <w:highlight w:val="none"/>
        </w:rPr>
      </w:pPr>
    </w:p>
    <w:p w14:paraId="4FBE9598">
      <w:pPr>
        <w:pStyle w:val="34"/>
        <w:tabs>
          <w:tab w:val="left" w:pos="1441"/>
        </w:tabs>
        <w:spacing w:beforeAutospacing="0" w:afterAutospacing="0" w:line="480" w:lineRule="auto"/>
        <w:ind w:left="2160" w:leftChars="0" w:hanging="1740" w:firstLineChars="0"/>
        <w:jc w:val="both"/>
        <w:rPr>
          <w:rFonts w:hint="eastAsia" w:eastAsia="黑体"/>
          <w:highlight w:val="none"/>
          <w:lang w:val="en-US" w:eastAsia="zh-CN"/>
        </w:rPr>
      </w:pPr>
      <w:r>
        <w:rPr>
          <w:rFonts w:hint="eastAsia" w:ascii="黑体" w:hAnsi="宋体" w:eastAsia="黑体" w:cs="黑体"/>
          <w:color w:val="000000"/>
          <w:sz w:val="36"/>
          <w:szCs w:val="36"/>
          <w:highlight w:val="none"/>
          <w:lang w:val="en-US" w:eastAsia="zh-CN"/>
        </w:rPr>
        <w:t>第一章  招标公告</w:t>
      </w:r>
      <w:r>
        <w:rPr>
          <w:rFonts w:hint="eastAsia" w:ascii="黑体" w:hAnsi="宋体" w:eastAsia="黑体" w:cs="黑体"/>
          <w:color w:val="000000"/>
          <w:sz w:val="36"/>
          <w:szCs w:val="36"/>
          <w:highlight w:val="none"/>
        </w:rPr>
        <w:t>………………………………</w:t>
      </w:r>
      <w:r>
        <w:rPr>
          <w:rFonts w:hint="eastAsia" w:ascii="黑体" w:hAnsi="宋体" w:eastAsia="黑体" w:cs="黑体"/>
          <w:color w:val="000000"/>
          <w:sz w:val="36"/>
          <w:szCs w:val="36"/>
          <w:highlight w:val="none"/>
          <w:lang w:val="en-US" w:eastAsia="zh-CN"/>
        </w:rPr>
        <w:t>3</w:t>
      </w:r>
    </w:p>
    <w:p w14:paraId="2FDCB6AD">
      <w:pPr>
        <w:pStyle w:val="34"/>
        <w:tabs>
          <w:tab w:val="left" w:pos="1441"/>
        </w:tabs>
        <w:spacing w:beforeAutospacing="0" w:afterAutospacing="0" w:line="480" w:lineRule="auto"/>
        <w:ind w:left="2160" w:leftChars="0" w:hanging="1740" w:firstLineChars="0"/>
        <w:jc w:val="both"/>
        <w:rPr>
          <w:rFonts w:hint="eastAsia" w:eastAsia="黑体"/>
          <w:highlight w:val="none"/>
          <w:lang w:val="en-US" w:eastAsia="zh-CN"/>
        </w:rPr>
      </w:pPr>
      <w:r>
        <w:rPr>
          <w:rFonts w:hint="eastAsia" w:ascii="黑体" w:hAnsi="宋体" w:eastAsia="黑体" w:cs="黑体"/>
          <w:color w:val="000000"/>
          <w:sz w:val="36"/>
          <w:szCs w:val="36"/>
          <w:highlight w:val="none"/>
          <w:lang w:val="en-US" w:eastAsia="zh-CN"/>
        </w:rPr>
        <w:t xml:space="preserve">第二章  </w:t>
      </w:r>
      <w:r>
        <w:rPr>
          <w:rFonts w:hint="eastAsia" w:ascii="黑体" w:hAnsi="宋体" w:eastAsia="黑体" w:cs="黑体"/>
          <w:color w:val="000000"/>
          <w:sz w:val="36"/>
          <w:szCs w:val="36"/>
          <w:highlight w:val="none"/>
        </w:rPr>
        <w:t>投标人须知……………………………</w:t>
      </w:r>
      <w:r>
        <w:rPr>
          <w:rFonts w:hint="eastAsia" w:ascii="黑体" w:hAnsi="宋体" w:eastAsia="黑体" w:cs="黑体"/>
          <w:color w:val="000000"/>
          <w:sz w:val="36"/>
          <w:szCs w:val="36"/>
          <w:highlight w:val="none"/>
          <w:lang w:val="en-US" w:eastAsia="zh-CN"/>
        </w:rPr>
        <w:t>7</w:t>
      </w:r>
    </w:p>
    <w:p w14:paraId="67C74D5F">
      <w:pPr>
        <w:pStyle w:val="34"/>
        <w:tabs>
          <w:tab w:val="left" w:pos="1441"/>
        </w:tabs>
        <w:spacing w:beforeAutospacing="0" w:afterAutospacing="0" w:line="480" w:lineRule="auto"/>
        <w:ind w:left="2160" w:leftChars="0" w:hanging="1740" w:firstLineChars="0"/>
        <w:jc w:val="both"/>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第三章  </w:t>
      </w:r>
      <w:r>
        <w:rPr>
          <w:rFonts w:hint="eastAsia" w:ascii="黑体" w:hAnsi="宋体" w:eastAsia="黑体" w:cs="黑体"/>
          <w:color w:val="000000"/>
          <w:sz w:val="36"/>
          <w:szCs w:val="36"/>
          <w:highlight w:val="none"/>
        </w:rPr>
        <w:t>合同</w:t>
      </w:r>
      <w:r>
        <w:rPr>
          <w:rFonts w:hint="eastAsia" w:ascii="黑体" w:hAnsi="宋体" w:eastAsia="黑体" w:cs="黑体"/>
          <w:color w:val="000000"/>
          <w:sz w:val="36"/>
          <w:szCs w:val="36"/>
          <w:highlight w:val="none"/>
          <w:lang w:val="en-US" w:eastAsia="zh-CN"/>
        </w:rPr>
        <w:t>文本</w:t>
      </w:r>
      <w:r>
        <w:rPr>
          <w:rFonts w:hint="eastAsia" w:ascii="黑体" w:hAnsi="宋体" w:eastAsia="黑体" w:cs="黑体"/>
          <w:color w:val="000000"/>
          <w:sz w:val="36"/>
          <w:szCs w:val="36"/>
          <w:highlight w:val="none"/>
        </w:rPr>
        <w:t>………………………………</w:t>
      </w:r>
      <w:r>
        <w:rPr>
          <w:rFonts w:hint="eastAsia" w:ascii="黑体" w:hAnsi="宋体" w:eastAsia="黑体" w:cs="黑体"/>
          <w:color w:val="000000"/>
          <w:sz w:val="36"/>
          <w:szCs w:val="36"/>
          <w:highlight w:val="none"/>
          <w:lang w:val="en-US" w:eastAsia="zh-CN"/>
        </w:rPr>
        <w:t>21</w:t>
      </w:r>
    </w:p>
    <w:p w14:paraId="470FDAB6">
      <w:pPr>
        <w:pStyle w:val="34"/>
        <w:tabs>
          <w:tab w:val="left" w:pos="1441"/>
        </w:tabs>
        <w:spacing w:beforeAutospacing="0" w:afterAutospacing="0" w:line="480" w:lineRule="auto"/>
        <w:ind w:left="2160" w:leftChars="0" w:hanging="1740" w:firstLineChars="0"/>
        <w:jc w:val="both"/>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第四章  </w:t>
      </w:r>
      <w:r>
        <w:rPr>
          <w:rFonts w:hint="eastAsia" w:ascii="黑体" w:hAnsi="宋体" w:eastAsia="黑体" w:cs="黑体"/>
          <w:color w:val="000000"/>
          <w:sz w:val="36"/>
          <w:szCs w:val="36"/>
          <w:highlight w:val="none"/>
        </w:rPr>
        <w:t>采购需求………………………………</w:t>
      </w:r>
      <w:r>
        <w:rPr>
          <w:rFonts w:hint="eastAsia" w:ascii="黑体" w:hAnsi="宋体" w:eastAsia="黑体" w:cs="黑体"/>
          <w:color w:val="000000"/>
          <w:sz w:val="36"/>
          <w:szCs w:val="36"/>
          <w:highlight w:val="none"/>
          <w:lang w:val="en-US" w:eastAsia="zh-CN"/>
        </w:rPr>
        <w:t>31</w:t>
      </w:r>
    </w:p>
    <w:p w14:paraId="64DF0B57">
      <w:pPr>
        <w:pStyle w:val="34"/>
        <w:tabs>
          <w:tab w:val="left" w:pos="1441"/>
        </w:tabs>
        <w:spacing w:beforeAutospacing="0" w:afterAutospacing="0" w:line="480" w:lineRule="auto"/>
        <w:ind w:left="2160" w:leftChars="0" w:hanging="1740" w:firstLineChars="0"/>
        <w:jc w:val="both"/>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第五章  </w:t>
      </w:r>
      <w:r>
        <w:rPr>
          <w:rFonts w:hint="eastAsia" w:ascii="黑体" w:hAnsi="宋体" w:eastAsia="黑体" w:cs="黑体"/>
          <w:color w:val="000000"/>
          <w:sz w:val="36"/>
          <w:szCs w:val="36"/>
          <w:highlight w:val="none"/>
        </w:rPr>
        <w:t>评标方法与评标标准…………………</w:t>
      </w:r>
      <w:r>
        <w:rPr>
          <w:rFonts w:hint="eastAsia" w:ascii="黑体" w:hAnsi="宋体" w:eastAsia="黑体" w:cs="黑体"/>
          <w:color w:val="000000"/>
          <w:sz w:val="36"/>
          <w:szCs w:val="36"/>
          <w:highlight w:val="none"/>
          <w:lang w:val="en-US" w:eastAsia="zh-CN"/>
        </w:rPr>
        <w:t>41</w:t>
      </w:r>
    </w:p>
    <w:p w14:paraId="5B4EF6B6">
      <w:pPr>
        <w:pStyle w:val="34"/>
        <w:tabs>
          <w:tab w:val="left" w:pos="1441"/>
        </w:tabs>
        <w:spacing w:beforeAutospacing="0" w:afterAutospacing="0" w:line="480" w:lineRule="auto"/>
        <w:ind w:left="2160" w:leftChars="0" w:hanging="1740" w:firstLineChars="0"/>
        <w:jc w:val="both"/>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第六章  </w:t>
      </w:r>
      <w:r>
        <w:rPr>
          <w:rFonts w:hint="eastAsia" w:ascii="黑体" w:hAnsi="宋体" w:eastAsia="黑体" w:cs="黑体"/>
          <w:color w:val="000000"/>
          <w:sz w:val="36"/>
          <w:szCs w:val="36"/>
          <w:highlight w:val="none"/>
        </w:rPr>
        <w:t>投标文件格式…………………………</w:t>
      </w:r>
      <w:r>
        <w:rPr>
          <w:rFonts w:hint="eastAsia" w:ascii="黑体" w:hAnsi="宋体" w:eastAsia="黑体" w:cs="黑体"/>
          <w:color w:val="000000"/>
          <w:sz w:val="36"/>
          <w:szCs w:val="36"/>
          <w:highlight w:val="none"/>
          <w:lang w:val="en-US" w:eastAsia="zh-CN"/>
        </w:rPr>
        <w:t>47</w:t>
      </w:r>
    </w:p>
    <w:p w14:paraId="7B6B0EF0">
      <w:pPr>
        <w:pStyle w:val="34"/>
        <w:keepNext/>
        <w:keepLines/>
        <w:pageBreakBefore w:val="0"/>
        <w:widowControl w:val="0"/>
        <w:spacing w:beforeAutospacing="0" w:afterAutospacing="0" w:line="360" w:lineRule="auto"/>
        <w:ind w:firstLine="0"/>
        <w:jc w:val="center"/>
        <w:rPr>
          <w:rFonts w:hint="eastAsia" w:ascii="黑体" w:hAnsi="宋体" w:eastAsia="黑体" w:cs="黑体"/>
          <w:b/>
          <w:color w:val="000000"/>
          <w:sz w:val="44"/>
          <w:szCs w:val="44"/>
          <w:highlight w:val="none"/>
        </w:rPr>
        <w:sectPr>
          <w:footerReference r:id="rId4" w:type="default"/>
          <w:pgSz w:w="11906" w:h="16838"/>
          <w:pgMar w:top="1440" w:right="1706" w:bottom="1440" w:left="1800" w:header="851" w:footer="992" w:gutter="0"/>
          <w:pgNumType w:start="2"/>
          <w:cols w:space="425" w:num="1"/>
          <w:docGrid w:linePitch="360" w:charSpace="0"/>
        </w:sectPr>
      </w:pPr>
      <w:bookmarkStart w:id="6" w:name="_Toc28359086"/>
    </w:p>
    <w:p w14:paraId="0DCF526B">
      <w:pPr>
        <w:pStyle w:val="34"/>
        <w:keepNext/>
        <w:keepLines/>
        <w:pageBreakBefore w:val="0"/>
        <w:widowControl w:val="0"/>
        <w:spacing w:beforeAutospacing="0" w:afterAutospacing="0" w:line="360" w:lineRule="auto"/>
        <w:ind w:firstLine="0"/>
        <w:jc w:val="center"/>
        <w:rPr>
          <w:rFonts w:hint="default" w:ascii="黑体" w:hAnsi="宋体" w:eastAsia="黑体" w:cs="黑体"/>
          <w:b/>
          <w:color w:val="000000"/>
          <w:sz w:val="36"/>
          <w:szCs w:val="36"/>
          <w:highlight w:val="none"/>
          <w:lang w:val="en-US" w:eastAsia="zh-CN"/>
        </w:rPr>
      </w:pPr>
      <w:r>
        <w:rPr>
          <w:rFonts w:hint="eastAsia" w:ascii="黑体" w:hAnsi="宋体" w:eastAsia="黑体" w:cs="黑体"/>
          <w:b/>
          <w:color w:val="000000"/>
          <w:sz w:val="36"/>
          <w:szCs w:val="36"/>
          <w:highlight w:val="none"/>
        </w:rPr>
        <w:t>第一章</w:t>
      </w:r>
      <w:r>
        <w:rPr>
          <w:rFonts w:hint="eastAsia" w:ascii="黑体" w:hAnsi="宋体" w:eastAsia="黑体" w:cs="黑体"/>
          <w:b/>
          <w:color w:val="000000"/>
          <w:sz w:val="36"/>
          <w:szCs w:val="36"/>
          <w:highlight w:val="none"/>
          <w:lang w:val="en-US" w:eastAsia="zh-CN"/>
        </w:rPr>
        <w:t xml:space="preserve">  招标公告</w:t>
      </w:r>
    </w:p>
    <w:p w14:paraId="05F94BF9">
      <w:pPr>
        <w:pStyle w:val="34"/>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项目概况</w:t>
      </w:r>
    </w:p>
    <w:p w14:paraId="6E8D3395">
      <w:pPr>
        <w:pStyle w:val="34"/>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u w:val="single"/>
          <w:lang w:eastAsia="zh-CN"/>
        </w:rPr>
        <w:t>县城照明设备及楼宇亮化维护服务（二次）</w:t>
      </w:r>
      <w:r>
        <w:rPr>
          <w:rFonts w:hint="eastAsia" w:ascii="宋体" w:hAnsi="宋体" w:eastAsia="宋体" w:cs="宋体"/>
          <w:color w:val="000000"/>
          <w:sz w:val="24"/>
          <w:szCs w:val="24"/>
          <w:highlight w:val="none"/>
          <w:u w:val="none"/>
          <w:lang w:val="en-US" w:eastAsia="zh-CN"/>
        </w:rPr>
        <w:t>JSZC-320922-JSQG-G2026-0003</w:t>
      </w:r>
      <w:r>
        <w:rPr>
          <w:rFonts w:hint="eastAsia" w:ascii="宋体" w:hAnsi="宋体" w:eastAsia="宋体" w:cs="宋体"/>
          <w:color w:val="000000"/>
          <w:sz w:val="24"/>
          <w:szCs w:val="24"/>
          <w:highlight w:val="none"/>
        </w:rPr>
        <w:t>招标项目的潜在投标人</w:t>
      </w:r>
      <w:r>
        <w:rPr>
          <w:rFonts w:hint="eastAsia" w:ascii="宋体" w:hAnsi="宋体" w:eastAsia="宋体" w:cs="宋体"/>
          <w:color w:val="000000"/>
          <w:sz w:val="24"/>
          <w:szCs w:val="24"/>
          <w:highlight w:val="none"/>
          <w:lang w:val="en-US" w:eastAsia="zh-CN"/>
        </w:rPr>
        <w:t>可</w:t>
      </w:r>
      <w:r>
        <w:rPr>
          <w:rFonts w:hint="eastAsia" w:ascii="宋体" w:hAnsi="宋体" w:eastAsia="宋体" w:cs="宋体"/>
          <w:color w:val="000000"/>
          <w:sz w:val="24"/>
          <w:szCs w:val="24"/>
          <w:highlight w:val="none"/>
        </w:rPr>
        <w:t>在“苏采云”系统内免费下载（投标人必须在苏采云系统中获取采购文件，方能参与政府采购项目），</w:t>
      </w:r>
      <w:r>
        <w:rPr>
          <w:rFonts w:hint="eastAsia" w:ascii="宋体" w:hAnsi="宋体" w:eastAsia="宋体" w:cs="宋体"/>
          <w:color w:val="auto"/>
          <w:sz w:val="24"/>
          <w:szCs w:val="24"/>
          <w:highlight w:val="none"/>
        </w:rPr>
        <w:t>并于</w:t>
      </w:r>
      <w:r>
        <w:rPr>
          <w:rFonts w:hint="eastAsia" w:ascii="宋体" w:hAnsi="宋体" w:eastAsia="宋体" w:cs="宋体"/>
          <w:color w:val="auto"/>
          <w:sz w:val="24"/>
          <w:szCs w:val="24"/>
          <w:highlight w:val="none"/>
          <w:u w:val="single"/>
          <w:lang w:val="en-US" w:eastAsia="zh-CN"/>
        </w:rPr>
        <w:t>2026</w:t>
      </w:r>
      <w:r>
        <w:rPr>
          <w:rFonts w:hint="eastAsia" w:ascii="宋体" w:hAnsi="宋体" w:eastAsia="宋体" w:cs="宋体"/>
          <w:color w:val="auto"/>
          <w:sz w:val="24"/>
          <w:szCs w:val="24"/>
          <w:highlight w:val="none"/>
          <w:u w:val="single"/>
        </w:rPr>
        <w:t>年</w:t>
      </w:r>
      <w:r>
        <w:rPr>
          <w:rFonts w:hint="eastAsia" w:ascii="宋体" w:hAnsi="宋体" w:eastAsia="宋体" w:cs="宋体"/>
          <w:color w:val="auto"/>
          <w:sz w:val="24"/>
          <w:szCs w:val="24"/>
          <w:highlight w:val="none"/>
          <w:u w:val="single"/>
          <w:lang w:val="en-US" w:eastAsia="zh-CN"/>
        </w:rPr>
        <w:t>05</w:t>
      </w:r>
      <w:r>
        <w:rPr>
          <w:rFonts w:hint="eastAsia" w:ascii="宋体" w:hAnsi="宋体" w:eastAsia="宋体" w:cs="宋体"/>
          <w:color w:val="auto"/>
          <w:sz w:val="24"/>
          <w:szCs w:val="24"/>
          <w:highlight w:val="none"/>
          <w:u w:val="single"/>
        </w:rPr>
        <w:t>月</w:t>
      </w:r>
      <w:r>
        <w:rPr>
          <w:rFonts w:hint="eastAsia" w:ascii="宋体" w:hAnsi="宋体" w:eastAsia="宋体" w:cs="宋体"/>
          <w:color w:val="auto"/>
          <w:sz w:val="24"/>
          <w:szCs w:val="24"/>
          <w:highlight w:val="none"/>
          <w:u w:val="single"/>
          <w:lang w:val="en-US" w:eastAsia="zh-CN"/>
        </w:rPr>
        <w:t>06</w:t>
      </w:r>
      <w:r>
        <w:rPr>
          <w:rFonts w:hint="eastAsia" w:ascii="宋体" w:hAnsi="宋体" w:eastAsia="宋体" w:cs="宋体"/>
          <w:color w:val="auto"/>
          <w:sz w:val="24"/>
          <w:szCs w:val="24"/>
          <w:highlight w:val="none"/>
          <w:u w:val="single"/>
        </w:rPr>
        <w:t>日</w:t>
      </w:r>
      <w:r>
        <w:rPr>
          <w:rFonts w:hint="eastAsia" w:ascii="宋体" w:hAnsi="宋体" w:eastAsia="宋体" w:cs="宋体"/>
          <w:color w:val="auto"/>
          <w:sz w:val="24"/>
          <w:szCs w:val="24"/>
          <w:highlight w:val="none"/>
          <w:u w:val="single"/>
          <w:lang w:val="en-US" w:eastAsia="zh-CN"/>
        </w:rPr>
        <w:t>09</w:t>
      </w:r>
      <w:r>
        <w:rPr>
          <w:rFonts w:hint="eastAsia" w:ascii="宋体" w:hAnsi="宋体" w:eastAsia="宋体" w:cs="宋体"/>
          <w:color w:val="auto"/>
          <w:sz w:val="24"/>
          <w:szCs w:val="24"/>
          <w:highlight w:val="none"/>
          <w:u w:val="single"/>
        </w:rPr>
        <w:t>点</w:t>
      </w:r>
      <w:r>
        <w:rPr>
          <w:rFonts w:hint="eastAsia" w:ascii="宋体" w:hAnsi="宋体" w:eastAsia="宋体" w:cs="宋体"/>
          <w:color w:val="auto"/>
          <w:sz w:val="24"/>
          <w:szCs w:val="24"/>
          <w:highlight w:val="none"/>
          <w:u w:val="single"/>
          <w:lang w:val="en-US" w:eastAsia="zh-CN"/>
        </w:rPr>
        <w:t>00</w:t>
      </w:r>
      <w:r>
        <w:rPr>
          <w:rFonts w:hint="eastAsia" w:ascii="宋体" w:hAnsi="宋体" w:eastAsia="宋体" w:cs="宋体"/>
          <w:color w:val="auto"/>
          <w:sz w:val="24"/>
          <w:szCs w:val="24"/>
          <w:highlight w:val="none"/>
          <w:u w:val="single"/>
        </w:rPr>
        <w:t>分</w:t>
      </w:r>
      <w:r>
        <w:rPr>
          <w:rFonts w:hint="eastAsia" w:ascii="宋体" w:hAnsi="宋体" w:eastAsia="宋体" w:cs="宋体"/>
          <w:color w:val="auto"/>
          <w:sz w:val="24"/>
          <w:szCs w:val="24"/>
          <w:highlight w:val="none"/>
          <w:u w:val="none"/>
        </w:rPr>
        <w:t>（</w:t>
      </w:r>
      <w:r>
        <w:rPr>
          <w:rFonts w:hint="eastAsia" w:ascii="宋体" w:hAnsi="宋体" w:eastAsia="宋体" w:cs="宋体"/>
          <w:color w:val="auto"/>
          <w:sz w:val="24"/>
          <w:szCs w:val="24"/>
          <w:highlight w:val="none"/>
        </w:rPr>
        <w:t>北京时间）前递交投标文件。</w:t>
      </w:r>
    </w:p>
    <w:p w14:paraId="20286D92">
      <w:pPr>
        <w:pStyle w:val="34"/>
        <w:keepNext/>
        <w:keepLines/>
        <w:pageBreakBefore w:val="0"/>
        <w:widowControl w:val="0"/>
        <w:kinsoku/>
        <w:wordWrap/>
        <w:overflowPunct/>
        <w:topLinePunct w:val="0"/>
        <w:autoSpaceDE/>
        <w:autoSpaceDN/>
        <w:bidi w:val="0"/>
        <w:adjustRightInd/>
        <w:snapToGrid/>
        <w:spacing w:beforeAutospacing="0" w:afterAutospacing="0" w:line="360" w:lineRule="auto"/>
        <w:ind w:firstLine="482"/>
        <w:jc w:val="both"/>
        <w:textAlignment w:val="auto"/>
        <w:rPr>
          <w:rFonts w:hint="eastAsia" w:ascii="宋体" w:hAnsi="宋体" w:eastAsia="宋体" w:cs="宋体"/>
          <w:color w:val="auto"/>
          <w:sz w:val="24"/>
          <w:szCs w:val="24"/>
          <w:highlight w:val="none"/>
        </w:rPr>
      </w:pPr>
      <w:bookmarkStart w:id="7" w:name="_Toc35393790"/>
      <w:bookmarkStart w:id="8" w:name="_Toc28359002"/>
      <w:bookmarkStart w:id="9" w:name="_Toc35393621"/>
      <w:bookmarkStart w:id="10" w:name="_Toc38985263"/>
      <w:bookmarkStart w:id="11" w:name="_Toc28359079"/>
      <w:bookmarkStart w:id="12" w:name="_Hlk24379207"/>
      <w:r>
        <w:rPr>
          <w:rFonts w:hint="eastAsia" w:ascii="宋体" w:hAnsi="宋体" w:eastAsia="宋体" w:cs="宋体"/>
          <w:b/>
          <w:color w:val="auto"/>
          <w:sz w:val="24"/>
          <w:szCs w:val="24"/>
          <w:highlight w:val="none"/>
        </w:rPr>
        <w:t>一、项目基本情况</w:t>
      </w:r>
      <w:bookmarkEnd w:id="7"/>
      <w:bookmarkEnd w:id="8"/>
      <w:bookmarkEnd w:id="9"/>
      <w:bookmarkEnd w:id="10"/>
      <w:bookmarkEnd w:id="11"/>
      <w:bookmarkEnd w:id="12"/>
    </w:p>
    <w:p w14:paraId="147F853C">
      <w:pPr>
        <w:pStyle w:val="3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rPr>
        <w:t>1.项目编号：</w:t>
      </w:r>
      <w:r>
        <w:rPr>
          <w:rFonts w:hint="eastAsia" w:ascii="宋体" w:hAnsi="宋体" w:eastAsia="宋体" w:cs="宋体"/>
          <w:i w:val="0"/>
          <w:iCs w:val="0"/>
          <w:caps w:val="0"/>
          <w:color w:val="auto"/>
          <w:spacing w:val="0"/>
          <w:sz w:val="24"/>
          <w:szCs w:val="24"/>
          <w:highlight w:val="none"/>
          <w:shd w:val="clear" w:color="auto" w:fill="FFFFFF"/>
          <w:lang w:eastAsia="zh-CN"/>
        </w:rPr>
        <w:t>JSZC-320922-JSQG-G2026-0003</w:t>
      </w:r>
    </w:p>
    <w:p w14:paraId="6CBF898B">
      <w:pPr>
        <w:pStyle w:val="3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rPr>
        <w:t>2.项</w:t>
      </w:r>
      <w:r>
        <w:rPr>
          <w:rFonts w:hint="eastAsia" w:ascii="宋体" w:hAnsi="宋体" w:eastAsia="宋体" w:cs="宋体"/>
          <w:color w:val="auto"/>
          <w:sz w:val="24"/>
          <w:szCs w:val="24"/>
          <w:highlight w:val="none"/>
          <w:shd w:val="clear" w:color="auto" w:fill="auto"/>
        </w:rPr>
        <w:t>目名称：</w:t>
      </w:r>
      <w:r>
        <w:rPr>
          <w:rFonts w:hint="eastAsia" w:ascii="宋体" w:hAnsi="宋体" w:eastAsia="宋体" w:cs="宋体"/>
          <w:color w:val="auto"/>
          <w:sz w:val="24"/>
          <w:szCs w:val="24"/>
          <w:highlight w:val="none"/>
          <w:shd w:val="clear" w:color="auto" w:fill="auto"/>
          <w:lang w:eastAsia="zh-CN"/>
        </w:rPr>
        <w:t>县城照明设备及楼宇亮化维护服务（二次）</w:t>
      </w:r>
    </w:p>
    <w:p w14:paraId="6B3697BA">
      <w:pPr>
        <w:pStyle w:val="3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3.</w:t>
      </w:r>
      <w:r>
        <w:rPr>
          <w:rFonts w:hint="eastAsia" w:ascii="宋体" w:hAnsi="宋体" w:eastAsia="宋体" w:cs="宋体"/>
          <w:i w:val="0"/>
          <w:iCs w:val="0"/>
          <w:caps w:val="0"/>
          <w:color w:val="auto"/>
          <w:spacing w:val="0"/>
          <w:sz w:val="24"/>
          <w:szCs w:val="24"/>
          <w:highlight w:val="none"/>
          <w:shd w:val="clear" w:color="auto" w:fill="FFFFFF"/>
        </w:rPr>
        <w:t>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公开招标</w:t>
      </w:r>
    </w:p>
    <w:p w14:paraId="304804EA">
      <w:pPr>
        <w:pStyle w:val="3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.预算金额：</w:t>
      </w:r>
      <w:r>
        <w:rPr>
          <w:rFonts w:hint="eastAsia" w:ascii="宋体" w:hAnsi="宋体" w:eastAsia="宋体" w:cs="宋体"/>
          <w:color w:val="auto"/>
          <w:sz w:val="24"/>
          <w:szCs w:val="24"/>
          <w:highlight w:val="none"/>
          <w:lang w:val="en-US" w:eastAsia="zh-CN"/>
        </w:rPr>
        <w:t>300万元</w:t>
      </w:r>
    </w:p>
    <w:p w14:paraId="5B1CAE79">
      <w:pPr>
        <w:pStyle w:val="3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shd w:val="clear" w:color="FFFFFF" w:fill="D9D9D9"/>
        </w:rPr>
      </w:pPr>
      <w:r>
        <w:rPr>
          <w:rFonts w:hint="eastAsia" w:ascii="宋体" w:hAnsi="宋体" w:eastAsia="宋体" w:cs="宋体"/>
          <w:i w:val="0"/>
          <w:iCs w:val="0"/>
          <w:caps w:val="0"/>
          <w:color w:val="auto"/>
          <w:spacing w:val="0"/>
          <w:sz w:val="24"/>
          <w:szCs w:val="24"/>
          <w:highlight w:val="none"/>
          <w:shd w:val="clear" w:color="auto" w:fill="FFFFFF"/>
          <w:lang w:val="en-US" w:eastAsia="zh-CN"/>
        </w:rPr>
        <w:t>5.</w:t>
      </w:r>
      <w:r>
        <w:rPr>
          <w:rFonts w:hint="eastAsia" w:ascii="宋体" w:hAnsi="宋体" w:eastAsia="宋体" w:cs="宋体"/>
          <w:i w:val="0"/>
          <w:iCs w:val="0"/>
          <w:caps w:val="0"/>
          <w:color w:val="auto"/>
          <w:spacing w:val="0"/>
          <w:sz w:val="24"/>
          <w:szCs w:val="24"/>
          <w:highlight w:val="none"/>
          <w:shd w:val="clear" w:color="auto" w:fill="FFFFFF"/>
        </w:rPr>
        <w:t>最高限价</w:t>
      </w:r>
      <w:r>
        <w:rPr>
          <w:rFonts w:hint="eastAsia" w:ascii="宋体" w:hAnsi="宋体" w:eastAsia="宋体" w:cs="宋体"/>
          <w:i w:val="0"/>
          <w:iCs w:val="0"/>
          <w:caps w:val="0"/>
          <w:color w:val="auto"/>
          <w:spacing w:val="0"/>
          <w:sz w:val="24"/>
          <w:szCs w:val="24"/>
          <w:highlight w:val="none"/>
          <w:shd w:val="clear" w:color="auto" w:fill="FFFFFF"/>
          <w:lang w:eastAsia="zh-CN"/>
        </w:rPr>
        <w:t>：</w:t>
      </w:r>
      <w:r>
        <w:rPr>
          <w:rFonts w:hint="eastAsia" w:ascii="宋体" w:hAnsi="宋体" w:eastAsia="宋体" w:cs="宋体"/>
          <w:color w:val="auto"/>
          <w:sz w:val="24"/>
          <w:szCs w:val="24"/>
          <w:highlight w:val="none"/>
          <w:lang w:val="en-US" w:eastAsia="zh-CN"/>
        </w:rPr>
        <w:t>300万元</w:t>
      </w:r>
    </w:p>
    <w:p w14:paraId="1E80BD9D">
      <w:pPr>
        <w:pStyle w:val="3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yellow"/>
          <w:lang w:eastAsia="zh-CN"/>
        </w:rPr>
      </w:pPr>
      <w:r>
        <w:rPr>
          <w:rFonts w:hint="eastAsia" w:ascii="宋体" w:hAnsi="宋体" w:eastAsia="宋体" w:cs="宋体"/>
          <w:color w:val="auto"/>
          <w:sz w:val="24"/>
          <w:szCs w:val="24"/>
          <w:highlight w:val="none"/>
          <w:shd w:val="clear" w:color="auto" w:fill="auto"/>
          <w:lang w:val="en-US" w:eastAsia="zh-CN"/>
        </w:rPr>
        <w:t>6.采购需求：</w:t>
      </w:r>
      <w:r>
        <w:rPr>
          <w:rFonts w:hint="eastAsia" w:ascii="宋体" w:hAnsi="宋体" w:eastAsia="宋体" w:cs="宋体"/>
          <w:color w:val="auto"/>
          <w:sz w:val="24"/>
          <w:szCs w:val="24"/>
          <w:highlight w:val="none"/>
          <w:shd w:val="clear" w:color="auto" w:fill="auto"/>
          <w:lang w:eastAsia="zh-CN"/>
        </w:rPr>
        <w:t>县城照明设备及楼宇亮化维护服务（二次）</w:t>
      </w:r>
      <w:r>
        <w:rPr>
          <w:rFonts w:hint="eastAsia" w:ascii="宋体" w:hAnsi="宋体" w:eastAsia="宋体" w:cs="宋体"/>
          <w:color w:val="auto"/>
          <w:sz w:val="24"/>
          <w:szCs w:val="24"/>
          <w:highlight w:val="none"/>
          <w:shd w:val="clear" w:color="auto" w:fill="auto"/>
          <w:lang w:val="en-US" w:eastAsia="zh-CN"/>
        </w:rPr>
        <w:t>，包含：</w:t>
      </w:r>
      <w:r>
        <w:rPr>
          <w:rFonts w:hint="eastAsia" w:ascii="宋体" w:hAnsi="宋体" w:eastAsia="宋体" w:cs="宋体"/>
          <w:color w:val="auto"/>
          <w:sz w:val="24"/>
          <w:szCs w:val="24"/>
          <w:highlight w:val="none"/>
          <w:lang w:val="en-US" w:eastAsia="zh-CN"/>
        </w:rPr>
        <w:t>照明控制设备采购，县城内124栋楼宇亮化维护服务。</w:t>
      </w:r>
      <w:r>
        <w:rPr>
          <w:rFonts w:hint="eastAsia" w:ascii="宋体" w:hAnsi="宋体" w:eastAsia="宋体" w:cs="宋体"/>
          <w:color w:val="auto"/>
          <w:sz w:val="24"/>
          <w:szCs w:val="24"/>
          <w:highlight w:val="none"/>
          <w:shd w:val="clear" w:color="auto" w:fill="auto"/>
          <w:lang w:val="en-US" w:eastAsia="zh-CN"/>
        </w:rPr>
        <w:t>具体服务内容及要求详见招标文件第四章采购需求。</w:t>
      </w:r>
    </w:p>
    <w:p w14:paraId="1CF423B6">
      <w:pPr>
        <w:pStyle w:val="3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.合同履行期限：</w:t>
      </w:r>
      <w:r>
        <w:rPr>
          <w:rFonts w:hint="eastAsia" w:ascii="宋体" w:hAnsi="宋体" w:eastAsia="宋体" w:cs="宋体"/>
          <w:color w:val="auto"/>
          <w:sz w:val="24"/>
          <w:szCs w:val="24"/>
          <w:highlight w:val="none"/>
          <w:shd w:val="clear" w:color="auto" w:fill="auto"/>
          <w:lang w:eastAsia="zh-CN"/>
        </w:rPr>
        <w:t>合同签订之日起一年。</w:t>
      </w:r>
    </w:p>
    <w:p w14:paraId="530017E6">
      <w:pPr>
        <w:pStyle w:val="3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shd w:val="clear" w:color="auto" w:fill="FFFF00"/>
        </w:rPr>
      </w:pPr>
      <w:r>
        <w:rPr>
          <w:rFonts w:hint="eastAsia" w:ascii="宋体" w:hAnsi="宋体" w:eastAsia="宋体" w:cs="宋体"/>
          <w:i w:val="0"/>
          <w:iCs w:val="0"/>
          <w:caps w:val="0"/>
          <w:color w:val="auto"/>
          <w:spacing w:val="0"/>
          <w:sz w:val="24"/>
          <w:szCs w:val="24"/>
          <w:highlight w:val="none"/>
          <w:shd w:val="clear" w:color="auto" w:fill="FFFFFF"/>
          <w:lang w:val="en-US" w:eastAsia="zh-CN"/>
        </w:rPr>
        <w:t>8.本项目（是/否）接受联合体投标：否</w:t>
      </w:r>
    </w:p>
    <w:p w14:paraId="07EB040A">
      <w:pPr>
        <w:pStyle w:val="34"/>
        <w:keepNext/>
        <w:keepLines/>
        <w:pageBreakBefore w:val="0"/>
        <w:widowControl w:val="0"/>
        <w:kinsoku/>
        <w:wordWrap/>
        <w:overflowPunct/>
        <w:topLinePunct w:val="0"/>
        <w:autoSpaceDE/>
        <w:autoSpaceDN/>
        <w:bidi w:val="0"/>
        <w:adjustRightInd/>
        <w:snapToGrid/>
        <w:spacing w:beforeAutospacing="0" w:afterAutospacing="0" w:line="360" w:lineRule="auto"/>
        <w:ind w:firstLine="482"/>
        <w:jc w:val="both"/>
        <w:textAlignment w:val="auto"/>
        <w:rPr>
          <w:rFonts w:hint="eastAsia" w:ascii="宋体" w:hAnsi="宋体" w:eastAsia="宋体" w:cs="宋体"/>
          <w:color w:val="auto"/>
          <w:sz w:val="24"/>
          <w:szCs w:val="24"/>
          <w:highlight w:val="none"/>
        </w:rPr>
      </w:pPr>
      <w:bookmarkStart w:id="13" w:name="_Toc28359003"/>
      <w:bookmarkStart w:id="14" w:name="_Toc38985264"/>
      <w:bookmarkStart w:id="15" w:name="_Toc35393622"/>
      <w:bookmarkStart w:id="16" w:name="_Toc35393791"/>
      <w:bookmarkStart w:id="17" w:name="_Toc28359080"/>
      <w:r>
        <w:rPr>
          <w:rFonts w:hint="eastAsia" w:ascii="宋体" w:hAnsi="宋体" w:eastAsia="宋体" w:cs="宋体"/>
          <w:b/>
          <w:color w:val="auto"/>
          <w:sz w:val="24"/>
          <w:szCs w:val="24"/>
          <w:highlight w:val="none"/>
        </w:rPr>
        <w:t>二、申请人的资格要求：</w:t>
      </w:r>
      <w:bookmarkEnd w:id="13"/>
      <w:bookmarkEnd w:id="14"/>
      <w:bookmarkEnd w:id="15"/>
      <w:bookmarkEnd w:id="16"/>
      <w:bookmarkEnd w:id="17"/>
    </w:p>
    <w:p w14:paraId="4EF4654D">
      <w:pPr>
        <w:pStyle w:val="3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仿宋"/>
          <w:sz w:val="24"/>
        </w:rPr>
      </w:pPr>
      <w:r>
        <w:rPr>
          <w:rFonts w:hint="eastAsia" w:ascii="宋体" w:hAnsi="宋体" w:eastAsia="宋体" w:cs="仿宋"/>
          <w:sz w:val="24"/>
          <w:lang w:val="en-US" w:eastAsia="zh-CN"/>
        </w:rPr>
        <w:t>1.</w:t>
      </w:r>
      <w:r>
        <w:rPr>
          <w:rFonts w:hint="eastAsia" w:ascii="宋体" w:hAnsi="宋体" w:eastAsia="宋体" w:cs="仿宋"/>
          <w:sz w:val="24"/>
        </w:rPr>
        <w:t>满足《中华人民共和国政府采购法》第二十二条规定</w:t>
      </w:r>
      <w:r>
        <w:rPr>
          <w:rFonts w:hint="eastAsia" w:ascii="宋体" w:hAnsi="宋体" w:eastAsia="宋体" w:cs="宋体"/>
          <w:sz w:val="24"/>
          <w:szCs w:val="24"/>
        </w:rPr>
        <w:t>，并提供下列材料</w:t>
      </w:r>
      <w:r>
        <w:rPr>
          <w:rFonts w:hint="eastAsia" w:ascii="宋体" w:hAnsi="宋体" w:eastAsia="宋体" w:cs="仿宋"/>
          <w:sz w:val="24"/>
        </w:rPr>
        <w:t>：</w:t>
      </w:r>
    </w:p>
    <w:p w14:paraId="645510FE">
      <w:pPr>
        <w:spacing w:line="360" w:lineRule="auto"/>
        <w:ind w:firstLine="480" w:firstLineChars="200"/>
        <w:jc w:val="left"/>
        <w:rPr>
          <w:rFonts w:hint="eastAsia" w:ascii="宋体" w:hAnsi="宋体" w:eastAsia="宋体" w:cs="仿宋"/>
          <w:sz w:val="24"/>
          <w:lang w:eastAsia="zh-CN"/>
        </w:rPr>
      </w:pPr>
      <w:r>
        <w:rPr>
          <w:rFonts w:hint="eastAsia" w:ascii="宋体" w:hAnsi="宋体" w:eastAsia="宋体" w:cs="仿宋"/>
          <w:sz w:val="24"/>
        </w:rPr>
        <w:t>1.</w:t>
      </w:r>
      <w:r>
        <w:rPr>
          <w:rFonts w:hint="eastAsia" w:ascii="宋体" w:hAnsi="宋体" w:eastAsia="宋体" w:cs="仿宋"/>
          <w:sz w:val="24"/>
          <w:lang w:val="en-US" w:eastAsia="zh-CN"/>
        </w:rPr>
        <w:t>1</w:t>
      </w:r>
      <w:r>
        <w:rPr>
          <w:rFonts w:hint="eastAsia" w:ascii="宋体" w:hAnsi="宋体" w:eastAsia="宋体" w:cs="仿宋"/>
          <w:sz w:val="24"/>
        </w:rPr>
        <w:t>法人或者其他组织的营业执照等证明文件，自然人的身份证明</w:t>
      </w:r>
      <w:r>
        <w:rPr>
          <w:rFonts w:hint="eastAsia" w:ascii="宋体" w:hAnsi="宋体" w:eastAsia="宋体" w:cs="仿宋"/>
          <w:sz w:val="24"/>
          <w:lang w:eastAsia="zh-CN"/>
        </w:rPr>
        <w:t>；</w:t>
      </w:r>
    </w:p>
    <w:p w14:paraId="50737040">
      <w:pPr>
        <w:spacing w:line="360" w:lineRule="auto"/>
        <w:ind w:firstLine="480" w:firstLineChars="200"/>
        <w:jc w:val="left"/>
        <w:rPr>
          <w:rFonts w:hint="eastAsia" w:ascii="宋体" w:hAnsi="宋体" w:eastAsia="宋体" w:cs="仿宋"/>
          <w:sz w:val="24"/>
          <w:lang w:eastAsia="zh-CN"/>
        </w:rPr>
      </w:pPr>
      <w:r>
        <w:rPr>
          <w:rFonts w:hint="eastAsia" w:ascii="宋体" w:hAnsi="宋体" w:eastAsia="宋体" w:cs="仿宋"/>
          <w:sz w:val="24"/>
          <w:lang w:val="en-US" w:eastAsia="zh-CN"/>
        </w:rPr>
        <w:t>1.2</w:t>
      </w:r>
      <w:r>
        <w:rPr>
          <w:rFonts w:hint="eastAsia" w:ascii="宋体" w:hAnsi="宋体" w:eastAsia="宋体" w:cs="仿宋"/>
          <w:sz w:val="24"/>
        </w:rPr>
        <w:t>上一年度的财务状况</w:t>
      </w:r>
      <w:r>
        <w:rPr>
          <w:rFonts w:hint="eastAsia" w:ascii="宋体" w:hAnsi="宋体" w:eastAsia="宋体" w:cs="仿宋"/>
          <w:sz w:val="24"/>
          <w:lang w:val="en-US" w:eastAsia="zh-CN"/>
        </w:rPr>
        <w:t>报告</w:t>
      </w:r>
      <w:r>
        <w:rPr>
          <w:rFonts w:hint="eastAsia" w:ascii="宋体" w:hAnsi="宋体" w:eastAsia="宋体" w:cs="仿宋"/>
          <w:sz w:val="24"/>
        </w:rPr>
        <w:t>（成立不满一年不需提供）</w:t>
      </w:r>
      <w:r>
        <w:rPr>
          <w:rFonts w:hint="eastAsia" w:ascii="宋体" w:hAnsi="宋体" w:eastAsia="宋体" w:cs="仿宋"/>
          <w:sz w:val="24"/>
          <w:lang w:eastAsia="zh-CN"/>
        </w:rPr>
        <w:t>；</w:t>
      </w:r>
    </w:p>
    <w:p w14:paraId="51D4CE8D">
      <w:pPr>
        <w:spacing w:line="360" w:lineRule="auto"/>
        <w:ind w:firstLine="480" w:firstLineChars="200"/>
        <w:jc w:val="left"/>
        <w:rPr>
          <w:rFonts w:hint="eastAsia" w:ascii="宋体" w:hAnsi="宋体" w:eastAsia="宋体" w:cs="仿宋"/>
          <w:sz w:val="24"/>
          <w:highlight w:val="none"/>
          <w:lang w:eastAsia="zh-CN"/>
        </w:rPr>
      </w:pPr>
      <w:r>
        <w:rPr>
          <w:rFonts w:hint="eastAsia" w:ascii="宋体" w:hAnsi="宋体" w:eastAsia="宋体" w:cs="仿宋"/>
          <w:sz w:val="24"/>
          <w:highlight w:val="none"/>
          <w:lang w:val="en-US" w:eastAsia="zh-CN"/>
        </w:rPr>
        <w:t>1.3</w:t>
      </w:r>
      <w:r>
        <w:rPr>
          <w:rFonts w:hint="eastAsia" w:ascii="宋体" w:hAnsi="宋体" w:eastAsia="宋体" w:cs="仿宋"/>
          <w:sz w:val="24"/>
          <w:highlight w:val="none"/>
        </w:rPr>
        <w:t>具备履行合同所必需的设备和专业技术能力的书面声明</w:t>
      </w:r>
      <w:r>
        <w:rPr>
          <w:rFonts w:hint="eastAsia" w:ascii="宋体" w:hAnsi="宋体" w:eastAsia="宋体" w:cs="仿宋"/>
          <w:sz w:val="24"/>
          <w:highlight w:val="none"/>
          <w:lang w:eastAsia="zh-CN"/>
        </w:rPr>
        <w:t>；</w:t>
      </w:r>
    </w:p>
    <w:p w14:paraId="7875D3DD">
      <w:pPr>
        <w:spacing w:line="360" w:lineRule="auto"/>
        <w:ind w:firstLine="480" w:firstLineChars="200"/>
        <w:jc w:val="left"/>
        <w:rPr>
          <w:rFonts w:hint="eastAsia" w:ascii="宋体" w:hAnsi="宋体" w:eastAsia="宋体" w:cs="仿宋"/>
          <w:sz w:val="24"/>
          <w:highlight w:val="none"/>
          <w:lang w:eastAsia="zh-CN"/>
        </w:rPr>
      </w:pPr>
      <w:r>
        <w:rPr>
          <w:rFonts w:hint="eastAsia" w:ascii="宋体" w:hAnsi="宋体" w:eastAsia="宋体" w:cs="仿宋"/>
          <w:sz w:val="24"/>
          <w:highlight w:val="none"/>
          <w:lang w:val="en-US" w:eastAsia="zh-CN"/>
        </w:rPr>
        <w:t>1.4</w:t>
      </w:r>
      <w:r>
        <w:rPr>
          <w:rFonts w:hint="eastAsia" w:ascii="宋体" w:hAnsi="宋体" w:eastAsia="宋体" w:cs="宋体"/>
          <w:sz w:val="24"/>
          <w:szCs w:val="24"/>
        </w:rPr>
        <w:t>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sz w:val="24"/>
          <w:szCs w:val="24"/>
          <w:lang w:eastAsia="zh-CN"/>
        </w:rPr>
        <w:t>；</w:t>
      </w:r>
    </w:p>
    <w:p w14:paraId="7A9C3C4E">
      <w:pPr>
        <w:spacing w:line="360" w:lineRule="auto"/>
        <w:ind w:firstLine="480" w:firstLineChars="200"/>
        <w:jc w:val="left"/>
        <w:rPr>
          <w:rFonts w:ascii="宋体" w:hAnsi="宋体" w:eastAsia="宋体" w:cs="仿宋"/>
          <w:sz w:val="24"/>
          <w:highlight w:val="none"/>
        </w:rPr>
      </w:pPr>
      <w:r>
        <w:rPr>
          <w:rFonts w:hint="eastAsia" w:ascii="宋体" w:hAnsi="宋体" w:eastAsia="宋体" w:cs="仿宋"/>
          <w:sz w:val="24"/>
          <w:highlight w:val="none"/>
          <w:lang w:val="en-US" w:eastAsia="zh-CN"/>
        </w:rPr>
        <w:t>1.5</w:t>
      </w:r>
      <w:r>
        <w:rPr>
          <w:rFonts w:hint="eastAsia" w:ascii="宋体" w:hAnsi="宋体" w:eastAsia="宋体" w:cs="仿宋"/>
          <w:sz w:val="24"/>
          <w:highlight w:val="none"/>
        </w:rPr>
        <w:t>参加政府采购活动前3年内在经营活动中没有重大违法记录的书面声明。</w:t>
      </w:r>
    </w:p>
    <w:p w14:paraId="301BCBF0">
      <w:pPr>
        <w:spacing w:line="360" w:lineRule="auto"/>
        <w:ind w:firstLine="480" w:firstLineChars="200"/>
        <w:jc w:val="left"/>
        <w:rPr>
          <w:rFonts w:ascii="宋体" w:hAnsi="宋体" w:eastAsia="宋体" w:cs="仿宋"/>
          <w:sz w:val="24"/>
          <w:highlight w:val="none"/>
        </w:rPr>
      </w:pPr>
      <w:r>
        <w:rPr>
          <w:rFonts w:hint="eastAsia" w:ascii="宋体" w:hAnsi="宋体" w:eastAsia="宋体" w:cs="仿宋"/>
          <w:sz w:val="24"/>
          <w:highlight w:val="none"/>
          <w:lang w:val="en-US" w:eastAsia="zh-CN"/>
        </w:rPr>
        <w:t>1.6</w:t>
      </w:r>
      <w:r>
        <w:rPr>
          <w:rFonts w:hint="eastAsia" w:ascii="宋体" w:hAnsi="宋体" w:eastAsia="宋体" w:cs="仿宋"/>
          <w:sz w:val="24"/>
          <w:highlight w:val="none"/>
        </w:rPr>
        <w:t>法律、行政法规规定的其他条件。</w:t>
      </w:r>
    </w:p>
    <w:p w14:paraId="38F0B0C6">
      <w:pPr>
        <w:spacing w:line="360" w:lineRule="auto"/>
        <w:ind w:firstLine="480" w:firstLineChars="200"/>
        <w:jc w:val="left"/>
        <w:rPr>
          <w:rFonts w:ascii="宋体" w:hAnsi="宋体" w:eastAsia="宋体" w:cs="仿宋"/>
          <w:sz w:val="24"/>
        </w:rPr>
      </w:pPr>
      <w:r>
        <w:rPr>
          <w:rFonts w:hint="eastAsia" w:ascii="宋体" w:hAnsi="宋体" w:eastAsia="宋体" w:cs="仿宋"/>
          <w:sz w:val="24"/>
          <w:lang w:val="en-US" w:eastAsia="zh-CN"/>
        </w:rPr>
        <w:t>1.7</w:t>
      </w:r>
      <w:r>
        <w:rPr>
          <w:rFonts w:hint="eastAsia" w:ascii="宋体" w:hAnsi="宋体" w:eastAsia="宋体" w:cs="仿宋"/>
          <w:sz w:val="24"/>
        </w:rPr>
        <w:t>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sz w:val="24"/>
          <w:szCs w:val="24"/>
        </w:rPr>
        <w:t>响应</w:t>
      </w:r>
      <w:r>
        <w:rPr>
          <w:rFonts w:hint="eastAsia" w:ascii="宋体" w:hAnsi="宋体" w:eastAsia="宋体" w:cs="仿宋"/>
          <w:sz w:val="24"/>
        </w:rPr>
        <w:t>文件中无需提供证明材料）</w:t>
      </w:r>
    </w:p>
    <w:p w14:paraId="64FABB53">
      <w:pPr>
        <w:spacing w:line="360" w:lineRule="auto"/>
        <w:ind w:firstLine="480" w:firstLineChars="200"/>
        <w:jc w:val="left"/>
        <w:rPr>
          <w:rFonts w:ascii="宋体" w:hAnsi="宋体" w:eastAsia="宋体" w:cs="仿宋"/>
          <w:sz w:val="24"/>
        </w:rPr>
      </w:pPr>
      <w:r>
        <w:rPr>
          <w:rFonts w:hint="eastAsia" w:ascii="宋体" w:hAnsi="宋体" w:eastAsia="宋体" w:cs="仿宋"/>
          <w:sz w:val="24"/>
          <w:lang w:val="en-US" w:eastAsia="zh-CN"/>
        </w:rPr>
        <w:t>1.8</w:t>
      </w:r>
      <w:r>
        <w:rPr>
          <w:rFonts w:hint="eastAsia" w:ascii="宋体" w:hAnsi="宋体" w:eastAsia="宋体" w:cs="仿宋"/>
          <w:sz w:val="24"/>
        </w:rPr>
        <w:t>单位负责人为同一人或者存在直接控股、管理关系的不同供应商，不得参加同一合同项下的政府采购活动。</w:t>
      </w:r>
    </w:p>
    <w:p w14:paraId="1BFB3D49">
      <w:pPr>
        <w:pStyle w:val="3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仿宋"/>
          <w:sz w:val="24"/>
          <w:szCs w:val="24"/>
          <w:lang w:val="en-US" w:eastAsia="zh-CN"/>
        </w:rPr>
      </w:pPr>
      <w:r>
        <w:rPr>
          <w:rFonts w:hint="eastAsia" w:ascii="宋体" w:hAnsi="宋体" w:eastAsia="宋体" w:cs="仿宋"/>
          <w:sz w:val="24"/>
          <w:szCs w:val="24"/>
          <w:lang w:val="en-US" w:eastAsia="zh-CN"/>
        </w:rPr>
        <w:t>2.</w:t>
      </w:r>
      <w:r>
        <w:rPr>
          <w:rFonts w:hint="eastAsia" w:ascii="宋体" w:hAnsi="宋体" w:eastAsia="宋体" w:cs="仿宋"/>
          <w:sz w:val="24"/>
          <w:szCs w:val="24"/>
        </w:rPr>
        <w:t>落实政府采购政策需满足的资格要求：</w:t>
      </w:r>
      <w:r>
        <w:rPr>
          <w:rFonts w:hint="eastAsia" w:ascii="宋体" w:hAnsi="宋体" w:eastAsia="宋体" w:cs="仿宋"/>
          <w:sz w:val="24"/>
          <w:szCs w:val="24"/>
          <w:lang w:val="en-US" w:eastAsia="zh-CN"/>
        </w:rPr>
        <w:t>无</w:t>
      </w:r>
    </w:p>
    <w:p w14:paraId="4190AD29">
      <w:pPr>
        <w:spacing w:line="360" w:lineRule="auto"/>
        <w:ind w:firstLine="482" w:firstLineChars="200"/>
        <w:jc w:val="left"/>
        <w:rPr>
          <w:rFonts w:hint="eastAsia" w:ascii="宋体" w:hAnsi="宋体" w:eastAsia="宋体" w:cs="仿宋"/>
          <w:color w:val="auto"/>
          <w:sz w:val="24"/>
        </w:rPr>
      </w:pPr>
      <w:r>
        <w:rPr>
          <w:rFonts w:hint="eastAsia" w:ascii="宋体" w:hAnsi="宋体" w:eastAsia="宋体" w:cs="仿宋"/>
          <w:b/>
          <w:bCs/>
          <w:color w:val="auto"/>
          <w:sz w:val="24"/>
          <w:lang w:val="en-US" w:eastAsia="zh-CN"/>
        </w:rPr>
        <w:t>3.</w:t>
      </w:r>
      <w:r>
        <w:rPr>
          <w:rFonts w:hint="eastAsia" w:ascii="宋体" w:hAnsi="宋体" w:eastAsia="宋体" w:cs="仿宋"/>
          <w:b/>
          <w:bCs/>
          <w:color w:val="auto"/>
          <w:sz w:val="24"/>
        </w:rPr>
        <w:t>本项目的特定资格要求：</w:t>
      </w:r>
    </w:p>
    <w:p w14:paraId="27A9A678">
      <w:pPr>
        <w:spacing w:line="360" w:lineRule="auto"/>
        <w:ind w:firstLine="480" w:firstLineChars="200"/>
        <w:jc w:val="left"/>
        <w:rPr>
          <w:rFonts w:hint="eastAsia" w:ascii="宋体" w:hAnsi="宋体" w:eastAsia="宋体" w:cs="仿宋"/>
          <w:color w:val="auto"/>
          <w:sz w:val="24"/>
          <w:lang w:val="en-US" w:eastAsia="zh-CN"/>
        </w:rPr>
      </w:pPr>
      <w:r>
        <w:rPr>
          <w:rFonts w:hint="eastAsia" w:ascii="宋体" w:hAnsi="宋体" w:eastAsia="宋体" w:cs="仿宋"/>
          <w:color w:val="auto"/>
          <w:sz w:val="24"/>
          <w:lang w:val="en-US" w:eastAsia="zh-CN"/>
        </w:rPr>
        <w:t>1.投标人须具备有效期内的建设行政主管部门核发的城市及道路照明工程专业承包贰级及以上资质，并具有有效的安全生产许可证。</w:t>
      </w:r>
    </w:p>
    <w:p w14:paraId="5FE29CF3">
      <w:pPr>
        <w:spacing w:line="360" w:lineRule="auto"/>
        <w:ind w:firstLine="480" w:firstLineChars="200"/>
        <w:jc w:val="left"/>
        <w:rPr>
          <w:rFonts w:hint="eastAsia" w:ascii="宋体" w:hAnsi="宋体" w:eastAsia="宋体" w:cs="仿宋"/>
          <w:sz w:val="24"/>
          <w:lang w:val="en-US" w:eastAsia="zh-CN"/>
        </w:rPr>
      </w:pPr>
      <w:r>
        <w:rPr>
          <w:rFonts w:hint="eastAsia" w:ascii="宋体" w:hAnsi="宋体" w:eastAsia="宋体" w:cs="仿宋"/>
          <w:color w:val="auto"/>
          <w:sz w:val="24"/>
          <w:lang w:val="en-US" w:eastAsia="zh-CN"/>
        </w:rPr>
        <w:t>2.项目负责人须具有【机电工程】贰级及以上注册建造师资格，并取得B类安全生产考核合格证书。</w:t>
      </w:r>
    </w:p>
    <w:p w14:paraId="68FF0ACA">
      <w:pPr>
        <w:spacing w:line="360" w:lineRule="auto"/>
        <w:ind w:firstLine="482" w:firstLineChars="200"/>
        <w:jc w:val="lef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三、获取招标文件</w:t>
      </w:r>
    </w:p>
    <w:p w14:paraId="3F85CFD5">
      <w:pPr>
        <w:pStyle w:val="3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lang w:eastAsia="zh-CN"/>
        </w:rPr>
      </w:pPr>
      <w:bookmarkStart w:id="18" w:name="_Toc35393793"/>
      <w:bookmarkStart w:id="19" w:name="_Toc28359082"/>
      <w:bookmarkStart w:id="20" w:name="_Toc28359005"/>
      <w:bookmarkStart w:id="21" w:name="_Toc38985266"/>
      <w:bookmarkStart w:id="22" w:name="_Toc35393624"/>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时间：</w:t>
      </w:r>
      <w:bookmarkEnd w:id="18"/>
      <w:bookmarkEnd w:id="19"/>
      <w:bookmarkEnd w:id="20"/>
      <w:bookmarkEnd w:id="21"/>
      <w:bookmarkEnd w:id="22"/>
      <w:r>
        <w:rPr>
          <w:rFonts w:hint="eastAsia" w:ascii="宋体" w:hAnsi="宋体" w:eastAsia="宋体" w:cs="宋体"/>
          <w:color w:val="auto"/>
          <w:sz w:val="24"/>
          <w:szCs w:val="24"/>
          <w:highlight w:val="none"/>
        </w:rPr>
        <w:t>自招标文件公告发布之日起5个工作日</w:t>
      </w:r>
      <w:r>
        <w:rPr>
          <w:rFonts w:hint="eastAsia" w:ascii="宋体" w:hAnsi="宋体" w:eastAsia="宋体" w:cs="宋体"/>
          <w:color w:val="auto"/>
          <w:sz w:val="24"/>
          <w:szCs w:val="24"/>
          <w:highlight w:val="none"/>
          <w:lang w:eastAsia="zh-CN"/>
        </w:rPr>
        <w:t>。</w:t>
      </w:r>
    </w:p>
    <w:p w14:paraId="2F46BE3A">
      <w:pPr>
        <w:pStyle w:val="3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2.地点：“苏采云”系统内免费下载（投标人必须在苏采云系统中获取采购文件，方能参与政府采购项目）；</w:t>
      </w:r>
    </w:p>
    <w:p w14:paraId="1ABA23A2">
      <w:pPr>
        <w:pStyle w:val="3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3.方式：本项目采用网上注册登记方式。</w:t>
      </w:r>
    </w:p>
    <w:p w14:paraId="32B5C939">
      <w:pPr>
        <w:pStyle w:val="3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4.售价：</w:t>
      </w:r>
      <w:r>
        <w:rPr>
          <w:rFonts w:hint="eastAsia" w:ascii="宋体" w:hAnsi="宋体" w:eastAsia="宋体" w:cs="仿宋"/>
          <w:sz w:val="24"/>
          <w:szCs w:val="24"/>
          <w:lang w:val="en-US" w:eastAsia="zh-CN"/>
        </w:rPr>
        <w:t>0</w:t>
      </w:r>
      <w:r>
        <w:rPr>
          <w:rFonts w:hint="eastAsia" w:ascii="宋体" w:hAnsi="宋体" w:eastAsia="宋体" w:cs="宋体"/>
          <w:color w:val="auto"/>
          <w:sz w:val="24"/>
          <w:szCs w:val="24"/>
          <w:highlight w:val="none"/>
          <w:lang w:val="en-US" w:eastAsia="zh-CN"/>
        </w:rPr>
        <w:t>元</w:t>
      </w:r>
    </w:p>
    <w:p w14:paraId="72B040E9">
      <w:pPr>
        <w:pStyle w:val="34"/>
        <w:keepNext/>
        <w:keepLines/>
        <w:pageBreakBefore w:val="0"/>
        <w:widowControl w:val="0"/>
        <w:kinsoku/>
        <w:wordWrap/>
        <w:overflowPunct/>
        <w:topLinePunct w:val="0"/>
        <w:autoSpaceDE/>
        <w:autoSpaceDN/>
        <w:bidi w:val="0"/>
        <w:adjustRightInd/>
        <w:snapToGrid/>
        <w:spacing w:beforeAutospacing="0" w:afterAutospacing="0" w:line="360" w:lineRule="auto"/>
        <w:ind w:firstLine="482"/>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四、提交投标文件截止时间、开标时间和地点</w:t>
      </w:r>
    </w:p>
    <w:p w14:paraId="3A47EC68">
      <w:pPr>
        <w:pStyle w:val="3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lang w:val="en-US" w:eastAsia="zh-CN"/>
        </w:rPr>
      </w:pPr>
      <w:bookmarkStart w:id="23" w:name="_Toc28359007"/>
      <w:bookmarkStart w:id="24" w:name="_Toc38985267"/>
      <w:bookmarkStart w:id="25" w:name="_Toc35393794"/>
      <w:bookmarkStart w:id="26" w:name="_Toc35393625"/>
      <w:bookmarkStart w:id="27" w:name="_Toc28359084"/>
      <w:r>
        <w:rPr>
          <w:rFonts w:hint="eastAsia" w:ascii="宋体" w:hAnsi="宋体" w:eastAsia="宋体" w:cs="宋体"/>
          <w:color w:val="auto"/>
          <w:sz w:val="24"/>
          <w:szCs w:val="24"/>
          <w:highlight w:val="none"/>
          <w:lang w:val="en-US" w:eastAsia="zh-CN"/>
        </w:rPr>
        <w:t>1.时间：2026年05月06日09点00分（北京时间）。</w:t>
      </w:r>
    </w:p>
    <w:p w14:paraId="4CF5E261">
      <w:pPr>
        <w:pStyle w:val="3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2.地点：苏采云“不见面”开标大厅。</w:t>
      </w:r>
    </w:p>
    <w:p w14:paraId="40ADA4D6">
      <w:pPr>
        <w:pStyle w:val="34"/>
        <w:keepNext/>
        <w:keepLines/>
        <w:pageBreakBefore w:val="0"/>
        <w:widowControl w:val="0"/>
        <w:kinsoku/>
        <w:wordWrap/>
        <w:overflowPunct/>
        <w:topLinePunct w:val="0"/>
        <w:autoSpaceDE/>
        <w:autoSpaceDN/>
        <w:bidi w:val="0"/>
        <w:adjustRightInd/>
        <w:snapToGrid/>
        <w:spacing w:beforeAutospacing="0" w:afterAutospacing="0" w:line="360" w:lineRule="auto"/>
        <w:ind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五、公告期限</w:t>
      </w:r>
      <w:bookmarkEnd w:id="23"/>
      <w:bookmarkEnd w:id="24"/>
      <w:bookmarkEnd w:id="25"/>
      <w:bookmarkEnd w:id="26"/>
      <w:bookmarkEnd w:id="27"/>
    </w:p>
    <w:p w14:paraId="60BF5587">
      <w:pPr>
        <w:pStyle w:val="3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lang w:val="en-US" w:eastAsia="zh-CN"/>
        </w:rPr>
      </w:pPr>
      <w:bookmarkStart w:id="28" w:name="_Toc35393795"/>
      <w:bookmarkStart w:id="29" w:name="_Toc38985268"/>
      <w:bookmarkStart w:id="30" w:name="_Toc35393626"/>
      <w:r>
        <w:rPr>
          <w:rFonts w:hint="eastAsia" w:ascii="宋体" w:hAnsi="宋体" w:eastAsia="宋体" w:cs="宋体"/>
          <w:color w:val="auto"/>
          <w:sz w:val="24"/>
          <w:szCs w:val="24"/>
          <w:highlight w:val="none"/>
          <w:lang w:val="en-US" w:eastAsia="zh-CN"/>
        </w:rPr>
        <w:t>自本公告发布之日起5个工作日。</w:t>
      </w:r>
      <w:bookmarkEnd w:id="28"/>
      <w:bookmarkEnd w:id="29"/>
      <w:bookmarkEnd w:id="30"/>
    </w:p>
    <w:p w14:paraId="31D2EF14">
      <w:pPr>
        <w:pStyle w:val="34"/>
        <w:keepNext/>
        <w:keepLines/>
        <w:pageBreakBefore w:val="0"/>
        <w:widowControl w:val="0"/>
        <w:kinsoku/>
        <w:wordWrap/>
        <w:overflowPunct/>
        <w:topLinePunct w:val="0"/>
        <w:autoSpaceDE/>
        <w:autoSpaceDN/>
        <w:bidi w:val="0"/>
        <w:adjustRightInd/>
        <w:snapToGrid/>
        <w:spacing w:beforeAutospacing="0" w:afterAutospacing="0" w:line="360" w:lineRule="auto"/>
        <w:ind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六、其他补充事宜</w:t>
      </w:r>
    </w:p>
    <w:p w14:paraId="4E143EBE">
      <w:pPr>
        <w:pStyle w:val="3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lang w:val="en-US" w:eastAsia="zh-CN"/>
        </w:rPr>
      </w:pPr>
      <w:bookmarkStart w:id="31" w:name="_Toc28359018"/>
      <w:r>
        <w:rPr>
          <w:rFonts w:hint="eastAsia" w:ascii="宋体" w:hAnsi="宋体" w:eastAsia="宋体" w:cs="宋体"/>
          <w:color w:val="auto"/>
          <w:sz w:val="24"/>
          <w:szCs w:val="24"/>
          <w:highlight w:val="none"/>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5A7A7A84">
      <w:pPr>
        <w:pStyle w:val="3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auto"/>
          <w:sz w:val="24"/>
          <w:szCs w:val="24"/>
          <w:highlight w:val="none"/>
          <w:lang w:val="en-US" w:eastAsia="zh-CN"/>
        </w:rPr>
        <w:t>领取CA和办理电子签章（请至盐城市府西路1号盐城市公共资源交易中心四楼大厅10号，11号窗口办理，联系电话：15051556883，办理邮箱：yancheng@ideabank.net.cn</w:t>
      </w:r>
      <w:r>
        <w:rPr>
          <w:rFonts w:hint="eastAsia" w:ascii="宋体" w:hAnsi="宋体" w:eastAsia="宋体" w:cs="宋体"/>
          <w:color w:val="000000"/>
          <w:sz w:val="24"/>
          <w:szCs w:val="24"/>
          <w:highlight w:val="none"/>
          <w:lang w:val="en-US" w:eastAsia="zh-CN"/>
        </w:rPr>
        <w:t>，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66E10D1F">
      <w:pPr>
        <w:pStyle w:val="3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2.潜在供应商访问电子招标响应交易平台的网络地址和方法： </w:t>
      </w:r>
    </w:p>
    <w:p w14:paraId="191DCC67">
      <w:pPr>
        <w:pStyle w:val="3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4D00CC92">
      <w:pPr>
        <w:pStyle w:val="3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 潜在投标人访问“苏采云”系统方法：江苏省政府采购网首页-“苏采云”链接。 </w:t>
      </w:r>
    </w:p>
    <w:p w14:paraId="751E26BE">
      <w:pPr>
        <w:pStyle w:val="3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 采购文件（后缀名为“.kedt”）、供应商操作手册及政府采购客户端 工具可通过“苏采云”系统相应链接进行下载。 </w:t>
      </w:r>
    </w:p>
    <w:p w14:paraId="67214146">
      <w:pPr>
        <w:pStyle w:val="3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 采购代理机构将数据电文形式的采购文件加载至“苏采云”系统，供潜在供应商下载或者查阅。 </w:t>
      </w:r>
    </w:p>
    <w:p w14:paraId="79088538">
      <w:pPr>
        <w:pStyle w:val="3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 请潜在投标单位提前安装相应的控件（详见《“苏采云”系统供应商操作手册》）并使用谷歌浏览器登录“苏采云”系统参与不见面开评标。 </w:t>
      </w:r>
    </w:p>
    <w:p w14:paraId="6532F1F8">
      <w:pPr>
        <w:pStyle w:val="3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如潜在投标人未按上述要求操作，将自行承担所产生的风险。</w:t>
      </w:r>
    </w:p>
    <w:p w14:paraId="40C4D5A0">
      <w:pPr>
        <w:pStyle w:val="3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3.有关本次招标的事项若存在变动或修改，敬请及时关注</w:t>
      </w:r>
      <w:r>
        <w:rPr>
          <w:rFonts w:hint="eastAsia" w:ascii="宋体" w:hAnsi="宋体" w:eastAsia="宋体" w:cs="宋体"/>
          <w:bCs/>
          <w:sz w:val="24"/>
          <w:highlight w:val="none"/>
        </w:rPr>
        <w:t>招标代理机构</w:t>
      </w:r>
      <w:r>
        <w:rPr>
          <w:rFonts w:hint="eastAsia" w:ascii="宋体" w:hAnsi="宋体" w:eastAsia="宋体" w:cs="宋体"/>
          <w:color w:val="000000"/>
          <w:sz w:val="24"/>
          <w:szCs w:val="24"/>
          <w:highlight w:val="none"/>
          <w:lang w:val="en-US" w:eastAsia="zh-CN"/>
        </w:rPr>
        <w:t>在“中国政府采购网”、“江苏政府采购网”、“盐城市政府采购网”发布的更正公告。</w:t>
      </w:r>
    </w:p>
    <w:p w14:paraId="68A29C1F">
      <w:pPr>
        <w:pStyle w:val="3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4.本次招标不收取投标保证金，不收取质量保证金。</w:t>
      </w:r>
    </w:p>
    <w:p w14:paraId="43C10E2A">
      <w:pPr>
        <w:pStyle w:val="34"/>
        <w:keepNext/>
        <w:keepLines/>
        <w:pageBreakBefore w:val="0"/>
        <w:widowControl w:val="0"/>
        <w:kinsoku/>
        <w:wordWrap/>
        <w:overflowPunct/>
        <w:topLinePunct w:val="0"/>
        <w:autoSpaceDE/>
        <w:autoSpaceDN/>
        <w:bidi w:val="0"/>
        <w:adjustRightInd/>
        <w:snapToGrid/>
        <w:spacing w:beforeAutospacing="0" w:afterAutospacing="0" w:line="360" w:lineRule="auto"/>
        <w:ind w:firstLine="482"/>
        <w:jc w:val="both"/>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七</w:t>
      </w:r>
      <w:r>
        <w:rPr>
          <w:rFonts w:hint="eastAsia" w:ascii="宋体" w:hAnsi="宋体" w:eastAsia="宋体" w:cs="宋体"/>
          <w:b/>
          <w:color w:val="000000"/>
          <w:sz w:val="24"/>
          <w:szCs w:val="24"/>
          <w:highlight w:val="none"/>
        </w:rPr>
        <w:t>、对本次</w:t>
      </w:r>
      <w:r>
        <w:rPr>
          <w:rFonts w:hint="eastAsia" w:ascii="宋体" w:hAnsi="宋体" w:eastAsia="宋体" w:cs="宋体"/>
          <w:b/>
          <w:color w:val="000000"/>
          <w:sz w:val="24"/>
          <w:szCs w:val="24"/>
          <w:highlight w:val="none"/>
          <w:lang w:val="en-US" w:eastAsia="zh-CN"/>
        </w:rPr>
        <w:t>招标</w:t>
      </w:r>
      <w:r>
        <w:rPr>
          <w:rFonts w:hint="eastAsia" w:ascii="宋体" w:hAnsi="宋体" w:eastAsia="宋体" w:cs="宋体"/>
          <w:b/>
          <w:color w:val="000000"/>
          <w:sz w:val="24"/>
          <w:szCs w:val="24"/>
          <w:highlight w:val="none"/>
        </w:rPr>
        <w:t>提出询问，请按以下方式联系。</w:t>
      </w:r>
      <w:bookmarkEnd w:id="31"/>
    </w:p>
    <w:p w14:paraId="0D54DCF2">
      <w:pPr>
        <w:pStyle w:val="3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1.采购人信息</w:t>
      </w:r>
    </w:p>
    <w:p w14:paraId="0A4CDF9A">
      <w:pPr>
        <w:pStyle w:val="3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名    称：</w:t>
      </w:r>
      <w:r>
        <w:rPr>
          <w:rFonts w:hint="eastAsia" w:ascii="宋体" w:hAnsi="宋体" w:eastAsia="宋体" w:cs="宋体"/>
          <w:sz w:val="24"/>
          <w:szCs w:val="24"/>
          <w:shd w:val="clear" w:color="auto" w:fill="FFFFFF"/>
        </w:rPr>
        <w:t>滨海县城市管理局</w:t>
      </w:r>
    </w:p>
    <w:p w14:paraId="7BD01777">
      <w:pPr>
        <w:pStyle w:val="3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地    址：盐城市滨海县港城路666号</w:t>
      </w:r>
    </w:p>
    <w:p w14:paraId="2C35B735">
      <w:pPr>
        <w:pStyle w:val="3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联 系 人：</w:t>
      </w:r>
      <w:r>
        <w:rPr>
          <w:rFonts w:hint="eastAsia" w:ascii="宋体" w:hAnsi="宋体" w:eastAsia="宋体" w:cs="宋体"/>
          <w:shd w:val="clear" w:color="auto" w:fill="FFFFFF"/>
        </w:rPr>
        <w:t>吕先生</w:t>
      </w:r>
      <w:r>
        <w:rPr>
          <w:rFonts w:hint="eastAsia" w:ascii="宋体" w:hAnsi="宋体" w:eastAsia="宋体" w:cs="宋体"/>
          <w:shd w:val="clear" w:color="auto" w:fill="FFFFFF"/>
          <w:lang w:val="en-US" w:eastAsia="zh-CN"/>
        </w:rPr>
        <w:t xml:space="preserve">          </w:t>
      </w:r>
      <w:r>
        <w:rPr>
          <w:rFonts w:hint="eastAsia" w:ascii="宋体" w:hAnsi="宋体" w:eastAsia="宋体" w:cs="宋体"/>
          <w:sz w:val="24"/>
          <w:szCs w:val="24"/>
          <w:shd w:val="clear" w:color="auto" w:fill="FFFFFF"/>
        </w:rPr>
        <w:t>陈先生</w:t>
      </w:r>
    </w:p>
    <w:p w14:paraId="3D3D3A9F">
      <w:pPr>
        <w:pStyle w:val="3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联系方式：</w:t>
      </w:r>
      <w:r>
        <w:rPr>
          <w:rFonts w:hint="eastAsia" w:ascii="宋体" w:hAnsi="宋体" w:eastAsia="宋体" w:cs="宋体"/>
          <w:shd w:val="clear" w:color="auto" w:fill="FFFFFF"/>
        </w:rPr>
        <w:t>15195170908</w:t>
      </w:r>
      <w:r>
        <w:rPr>
          <w:rFonts w:hint="eastAsia" w:ascii="宋体" w:hAnsi="宋体" w:eastAsia="宋体" w:cs="宋体"/>
          <w:shd w:val="clear" w:color="auto" w:fill="FFFFFF"/>
          <w:lang w:val="en-US" w:eastAsia="zh-CN"/>
        </w:rPr>
        <w:t xml:space="preserve">     </w:t>
      </w:r>
      <w:r>
        <w:rPr>
          <w:rFonts w:hint="eastAsia" w:ascii="宋体" w:hAnsi="宋体" w:eastAsia="宋体" w:cs="宋体"/>
          <w:sz w:val="24"/>
          <w:szCs w:val="24"/>
          <w:shd w:val="clear" w:color="auto" w:fill="FFFFFF"/>
        </w:rPr>
        <w:t>18205118785</w:t>
      </w:r>
    </w:p>
    <w:p w14:paraId="47F014AA">
      <w:pPr>
        <w:pStyle w:val="3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2.采购代理机构信息</w:t>
      </w:r>
    </w:p>
    <w:p w14:paraId="69C6B320">
      <w:pPr>
        <w:pStyle w:val="3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名    称：江苏乾高项目管理咨询有限公司</w:t>
      </w:r>
    </w:p>
    <w:p w14:paraId="46C77025">
      <w:pPr>
        <w:pStyle w:val="3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地    址：盐城市盐都区鹿鸣路988号金航财富大厦9楼901室</w:t>
      </w:r>
    </w:p>
    <w:p w14:paraId="750D3E97">
      <w:pPr>
        <w:pStyle w:val="3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联 系 人：许女士</w:t>
      </w:r>
    </w:p>
    <w:p w14:paraId="289AD527">
      <w:pPr>
        <w:pStyle w:val="3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highlight w:val="none"/>
          <w:lang w:val="en-US" w:eastAsia="zh-CN"/>
        </w:rPr>
      </w:pPr>
      <w:bookmarkStart w:id="32" w:name="_Toc28359010"/>
      <w:bookmarkStart w:id="33" w:name="_Toc28359087"/>
      <w:r>
        <w:rPr>
          <w:rFonts w:hint="eastAsia" w:ascii="宋体" w:hAnsi="宋体" w:eastAsia="宋体" w:cs="宋体"/>
          <w:color w:val="000000"/>
          <w:sz w:val="24"/>
          <w:szCs w:val="24"/>
          <w:highlight w:val="none"/>
          <w:lang w:val="en-US" w:eastAsia="zh-CN"/>
        </w:rPr>
        <w:t>联系方式：1</w:t>
      </w:r>
      <w:bookmarkEnd w:id="32"/>
      <w:bookmarkEnd w:id="33"/>
      <w:r>
        <w:rPr>
          <w:rFonts w:hint="eastAsia" w:ascii="宋体" w:hAnsi="宋体" w:eastAsia="宋体" w:cs="宋体"/>
          <w:color w:val="000000"/>
          <w:sz w:val="24"/>
          <w:szCs w:val="24"/>
          <w:highlight w:val="none"/>
          <w:lang w:val="en-US" w:eastAsia="zh-CN"/>
        </w:rPr>
        <w:t>8633774365</w:t>
      </w:r>
    </w:p>
    <w:p w14:paraId="046E67B9">
      <w:pPr>
        <w:pStyle w:val="3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highlight w:val="none"/>
          <w:lang w:val="en-US" w:eastAsia="zh-CN"/>
        </w:rPr>
      </w:pPr>
      <w:bookmarkStart w:id="34" w:name="_Toc28359021"/>
      <w:r>
        <w:rPr>
          <w:rFonts w:hint="eastAsia" w:ascii="宋体" w:hAnsi="宋体" w:eastAsia="宋体" w:cs="宋体"/>
          <w:color w:val="000000"/>
          <w:sz w:val="24"/>
          <w:szCs w:val="24"/>
          <w:highlight w:val="none"/>
          <w:lang w:val="en-US" w:eastAsia="zh-CN"/>
        </w:rPr>
        <w:t>3.</w:t>
      </w:r>
      <w:bookmarkEnd w:id="34"/>
      <w:r>
        <w:rPr>
          <w:rFonts w:hint="eastAsia" w:ascii="宋体" w:hAnsi="宋体" w:eastAsia="宋体" w:cs="宋体"/>
          <w:color w:val="000000"/>
          <w:sz w:val="24"/>
          <w:szCs w:val="24"/>
          <w:highlight w:val="none"/>
          <w:lang w:val="en-US" w:eastAsia="zh-CN"/>
        </w:rPr>
        <w:t>项目联系方式</w:t>
      </w:r>
    </w:p>
    <w:p w14:paraId="43AD4FA5">
      <w:pPr>
        <w:pStyle w:val="3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项目联系人：</w:t>
      </w:r>
      <w:r>
        <w:rPr>
          <w:rFonts w:hint="eastAsia" w:ascii="宋体" w:hAnsi="宋体" w:eastAsia="宋体" w:cs="宋体"/>
          <w:sz w:val="24"/>
          <w:szCs w:val="24"/>
          <w:shd w:val="clear" w:color="auto" w:fill="FFFFFF"/>
        </w:rPr>
        <w:t>陈先生</w:t>
      </w:r>
    </w:p>
    <w:p w14:paraId="07801B85">
      <w:pPr>
        <w:pStyle w:val="3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电      话：</w:t>
      </w:r>
      <w:r>
        <w:rPr>
          <w:rFonts w:hint="eastAsia" w:ascii="宋体" w:hAnsi="宋体" w:eastAsia="宋体" w:cs="宋体"/>
          <w:sz w:val="24"/>
          <w:szCs w:val="24"/>
          <w:shd w:val="clear" w:color="auto" w:fill="FFFFFF"/>
        </w:rPr>
        <w:t>18205118785</w:t>
      </w:r>
    </w:p>
    <w:p w14:paraId="5A877947">
      <w:pPr>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br w:type="page" w:clear="all"/>
      </w:r>
      <w:bookmarkStart w:id="35" w:name="_Toc120614211"/>
    </w:p>
    <w:p w14:paraId="6B765586">
      <w:pPr>
        <w:pStyle w:val="34"/>
        <w:keepNext/>
        <w:keepLines/>
        <w:pageBreakBefore w:val="0"/>
        <w:widowControl w:val="0"/>
        <w:spacing w:beforeAutospacing="0" w:afterAutospacing="0" w:line="360" w:lineRule="auto"/>
        <w:ind w:firstLine="0"/>
        <w:jc w:val="center"/>
        <w:rPr>
          <w:rFonts w:hint="eastAsia" w:ascii="黑体" w:hAnsi="宋体" w:eastAsia="黑体" w:cs="黑体"/>
          <w:b/>
          <w:color w:val="000000"/>
          <w:sz w:val="36"/>
          <w:szCs w:val="36"/>
          <w:highlight w:val="none"/>
        </w:rPr>
      </w:pPr>
      <w:r>
        <w:rPr>
          <w:rFonts w:hint="eastAsia" w:ascii="黑体" w:hAnsi="宋体" w:eastAsia="黑体" w:cs="黑体"/>
          <w:b/>
          <w:color w:val="000000"/>
          <w:sz w:val="36"/>
          <w:szCs w:val="36"/>
          <w:highlight w:val="none"/>
        </w:rPr>
        <w:t>第二章</w:t>
      </w:r>
      <w:bookmarkEnd w:id="35"/>
      <w:bookmarkStart w:id="36" w:name="_Toc16938518"/>
      <w:bookmarkStart w:id="37" w:name="_Toc20823274"/>
      <w:bookmarkStart w:id="38" w:name="_Toc513029202"/>
      <w:bookmarkStart w:id="39" w:name="_Toc120614213"/>
      <w:r>
        <w:rPr>
          <w:rFonts w:hint="eastAsia" w:ascii="黑体" w:hAnsi="宋体" w:eastAsia="黑体" w:cs="黑体"/>
          <w:b/>
          <w:color w:val="000000"/>
          <w:sz w:val="36"/>
          <w:szCs w:val="36"/>
          <w:highlight w:val="none"/>
          <w:lang w:val="en-US" w:eastAsia="zh-CN"/>
        </w:rPr>
        <w:t xml:space="preserve">  </w:t>
      </w:r>
      <w:r>
        <w:rPr>
          <w:rFonts w:hint="eastAsia" w:ascii="黑体" w:hAnsi="宋体" w:eastAsia="黑体" w:cs="黑体"/>
          <w:b/>
          <w:color w:val="000000"/>
          <w:sz w:val="36"/>
          <w:szCs w:val="36"/>
          <w:highlight w:val="none"/>
        </w:rPr>
        <w:t>投标人须知</w:t>
      </w:r>
      <w:bookmarkEnd w:id="36"/>
      <w:bookmarkEnd w:id="37"/>
      <w:bookmarkEnd w:id="38"/>
      <w:bookmarkEnd w:id="39"/>
    </w:p>
    <w:p w14:paraId="19D1CB0F">
      <w:pPr>
        <w:pStyle w:val="34"/>
        <w:keepNext/>
        <w:keepLines/>
        <w:pageBreakBefore w:val="0"/>
        <w:widowControl w:val="0"/>
        <w:kinsoku/>
        <w:wordWrap/>
        <w:overflowPunct/>
        <w:topLinePunct w:val="0"/>
        <w:autoSpaceDE/>
        <w:autoSpaceDN/>
        <w:bidi w:val="0"/>
        <w:spacing w:beforeAutospacing="0" w:afterAutospacing="0" w:line="360" w:lineRule="auto"/>
        <w:ind w:left="0" w:firstLine="482"/>
        <w:jc w:val="both"/>
        <w:textAlignment w:val="auto"/>
        <w:rPr>
          <w:rFonts w:hint="eastAsia" w:ascii="宋体" w:hAnsi="宋体" w:eastAsia="宋体" w:cs="宋体"/>
          <w:sz w:val="24"/>
          <w:szCs w:val="24"/>
          <w:highlight w:val="none"/>
        </w:rPr>
      </w:pPr>
      <w:bookmarkStart w:id="40" w:name="_Toc20823275"/>
      <w:bookmarkStart w:id="41" w:name="_Toc513029203"/>
      <w:bookmarkStart w:id="42" w:name="_Toc16938519"/>
      <w:bookmarkStart w:id="43" w:name="_Toc120614214"/>
      <w:r>
        <w:rPr>
          <w:rFonts w:hint="eastAsia" w:ascii="宋体" w:hAnsi="宋体" w:eastAsia="宋体" w:cs="宋体"/>
          <w:b/>
          <w:color w:val="000000"/>
          <w:sz w:val="24"/>
          <w:szCs w:val="24"/>
          <w:highlight w:val="none"/>
        </w:rPr>
        <w:t>一、总则</w:t>
      </w:r>
      <w:bookmarkEnd w:id="40"/>
      <w:bookmarkEnd w:id="41"/>
      <w:bookmarkEnd w:id="42"/>
      <w:bookmarkEnd w:id="43"/>
    </w:p>
    <w:p w14:paraId="56C178AB">
      <w:pPr>
        <w:pStyle w:val="34"/>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bookmarkStart w:id="44" w:name="_Toc20823276"/>
      <w:bookmarkStart w:id="45" w:name="_Toc513029204"/>
      <w:bookmarkStart w:id="46" w:name="_Toc458694821"/>
      <w:bookmarkStart w:id="47" w:name="_Toc16938520"/>
      <w:bookmarkStart w:id="48" w:name="_Hlt16619475"/>
      <w:r>
        <w:rPr>
          <w:rFonts w:hint="eastAsia" w:ascii="宋体" w:hAnsi="宋体" w:eastAsia="宋体" w:cs="宋体"/>
          <w:color w:val="000000"/>
          <w:sz w:val="24"/>
          <w:szCs w:val="24"/>
          <w:highlight w:val="none"/>
        </w:rPr>
        <w:t>1</w:t>
      </w:r>
      <w:bookmarkEnd w:id="44"/>
      <w:r>
        <w:rPr>
          <w:rFonts w:hint="eastAsia" w:ascii="宋体" w:hAnsi="宋体" w:eastAsia="宋体" w:cs="宋体"/>
          <w:color w:val="000000"/>
          <w:sz w:val="24"/>
          <w:szCs w:val="24"/>
          <w:highlight w:val="none"/>
        </w:rPr>
        <w:t>、招标方式</w:t>
      </w:r>
      <w:bookmarkEnd w:id="45"/>
      <w:bookmarkEnd w:id="46"/>
      <w:bookmarkEnd w:id="47"/>
    </w:p>
    <w:p w14:paraId="07E96633">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1.1 本次招标采取公开招标方式，本招标文件仅适用于招标公告中所述项目。</w:t>
      </w:r>
    </w:p>
    <w:p w14:paraId="74E0B1EA">
      <w:pPr>
        <w:pStyle w:val="34"/>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bookmarkStart w:id="49" w:name="_Toc16938521"/>
      <w:bookmarkStart w:id="50" w:name="_Toc20823277"/>
      <w:bookmarkStart w:id="51" w:name="_Toc513029205"/>
      <w:r>
        <w:rPr>
          <w:rFonts w:hint="eastAsia" w:ascii="宋体" w:hAnsi="宋体" w:eastAsia="宋体" w:cs="宋体"/>
          <w:color w:val="000000"/>
          <w:sz w:val="24"/>
          <w:szCs w:val="24"/>
          <w:highlight w:val="none"/>
        </w:rPr>
        <w:t>2、合格的投标人</w:t>
      </w:r>
      <w:bookmarkEnd w:id="49"/>
      <w:bookmarkEnd w:id="50"/>
      <w:bookmarkEnd w:id="51"/>
    </w:p>
    <w:p w14:paraId="617B6120">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2.1满足招标公告中供应商的资格要求的规定。</w:t>
      </w:r>
    </w:p>
    <w:p w14:paraId="4B663F3D">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2.2 满足本文件实质性要求和条件的规定。</w:t>
      </w:r>
    </w:p>
    <w:p w14:paraId="5817C456">
      <w:pPr>
        <w:pStyle w:val="34"/>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bookmarkStart w:id="52" w:name="_Toc513029206"/>
      <w:bookmarkStart w:id="53" w:name="_Toc20823278"/>
      <w:bookmarkStart w:id="54" w:name="_Toc16938522"/>
      <w:r>
        <w:rPr>
          <w:rFonts w:hint="eastAsia" w:ascii="宋体" w:hAnsi="宋体" w:eastAsia="宋体" w:cs="宋体"/>
          <w:color w:val="000000"/>
          <w:sz w:val="24"/>
          <w:szCs w:val="24"/>
          <w:highlight w:val="none"/>
        </w:rPr>
        <w:t>3、适用法律</w:t>
      </w:r>
      <w:bookmarkEnd w:id="52"/>
      <w:bookmarkEnd w:id="53"/>
      <w:bookmarkEnd w:id="54"/>
    </w:p>
    <w:p w14:paraId="7ED34501">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3.1 本次招标及由此产生的合同受中华人民共和国有关的法律法规制约和保护。</w:t>
      </w:r>
    </w:p>
    <w:p w14:paraId="2916340E">
      <w:pPr>
        <w:pStyle w:val="34"/>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bookmarkStart w:id="55" w:name="_Toc462564067"/>
      <w:bookmarkStart w:id="56" w:name="_Toc16938523"/>
      <w:bookmarkStart w:id="57" w:name="_Toc20823279"/>
      <w:bookmarkStart w:id="58" w:name="_Toc513029207"/>
      <w:r>
        <w:rPr>
          <w:rFonts w:hint="eastAsia" w:ascii="宋体" w:hAnsi="宋体" w:eastAsia="宋体" w:cs="宋体"/>
          <w:color w:val="000000"/>
          <w:sz w:val="24"/>
          <w:szCs w:val="24"/>
          <w:highlight w:val="none"/>
        </w:rPr>
        <w:t>4、投标费用</w:t>
      </w:r>
      <w:bookmarkEnd w:id="55"/>
      <w:bookmarkEnd w:id="56"/>
      <w:bookmarkEnd w:id="57"/>
      <w:bookmarkEnd w:id="58"/>
    </w:p>
    <w:p w14:paraId="0AAD1CDA">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 </w:t>
      </w:r>
      <w:r>
        <w:rPr>
          <w:rFonts w:hint="eastAsia" w:ascii="宋体" w:hAnsi="宋体" w:eastAsia="宋体" w:cs="宋体"/>
          <w:sz w:val="24"/>
          <w:szCs w:val="24"/>
        </w:rPr>
        <w:t>投标人应自行承担所有与参加投标有关的费用，无论投标过程中的做法和结果如何，</w:t>
      </w:r>
      <w:r>
        <w:rPr>
          <w:rFonts w:hint="eastAsia" w:ascii="宋体" w:hAnsi="宋体" w:eastAsia="宋体" w:cs="宋体"/>
          <w:color w:val="000000" w:themeColor="text1"/>
          <w:sz w:val="24"/>
          <w:szCs w:val="24"/>
          <w:lang w:val="en-US" w:eastAsia="zh-CN"/>
          <w14:textFill>
            <w14:solidFill>
              <w14:schemeClr w14:val="tx1"/>
            </w14:solidFill>
          </w14:textFill>
        </w:rPr>
        <w:t>采购代理机构</w:t>
      </w:r>
      <w:r>
        <w:rPr>
          <w:rFonts w:hint="eastAsia" w:ascii="宋体" w:hAnsi="宋体" w:eastAsia="宋体" w:cs="宋体"/>
          <w:color w:val="000000" w:themeColor="text1"/>
          <w:sz w:val="24"/>
          <w:szCs w:val="24"/>
          <w14:textFill>
            <w14:solidFill>
              <w14:schemeClr w14:val="tx1"/>
            </w14:solidFill>
          </w14:textFill>
        </w:rPr>
        <w:t>在任何情况下均无义务和责任承担这些费用。</w:t>
      </w:r>
    </w:p>
    <w:p w14:paraId="4FC344B2">
      <w:pPr>
        <w:pageBreakBefore w:val="0"/>
        <w:widowControl w:val="0"/>
        <w:kinsoku/>
        <w:wordWrap/>
        <w:overflowPunct/>
        <w:topLinePunct w:val="0"/>
        <w:autoSpaceDE/>
        <w:autoSpaceDN/>
        <w:bidi w:val="0"/>
        <w:adjustRightInd w:val="0"/>
        <w:snapToGrid w:val="0"/>
        <w:spacing w:line="360" w:lineRule="auto"/>
        <w:ind w:firstLine="475" w:firstLineChars="197"/>
        <w:textAlignment w:val="auto"/>
        <w:rPr>
          <w:rFonts w:hint="eastAsia" w:ascii="宋体" w:hAnsi="宋体" w:eastAsia="宋体" w:cs="宋体"/>
          <w:color w:val="000000"/>
          <w:sz w:val="24"/>
          <w:szCs w:val="24"/>
          <w:highlight w:val="none"/>
        </w:rPr>
      </w:pPr>
      <w:r>
        <w:rPr>
          <w:rFonts w:hint="eastAsia" w:ascii="宋体" w:hAnsi="宋体" w:eastAsia="宋体" w:cs="宋体"/>
          <w:b/>
          <w:bCs/>
          <w:color w:val="000000" w:themeColor="text1"/>
          <w:sz w:val="24"/>
          <w:szCs w:val="24"/>
          <w14:textFill>
            <w14:solidFill>
              <w14:schemeClr w14:val="tx1"/>
            </w14:solidFill>
          </w14:textFill>
        </w:rPr>
        <w:t>4.2本项目的招标代理服务费：参照苏招协〔2022〕002号文取费标准</w:t>
      </w:r>
      <w:r>
        <w:rPr>
          <w:rFonts w:hint="eastAsia" w:ascii="宋体" w:hAnsi="宋体" w:eastAsia="宋体" w:cs="宋体"/>
          <w:b/>
          <w:bCs/>
          <w:color w:val="000000" w:themeColor="text1"/>
          <w:sz w:val="24"/>
          <w:szCs w:val="24"/>
          <w:lang w:val="en-US" w:eastAsia="zh-CN"/>
          <w14:textFill>
            <w14:solidFill>
              <w14:schemeClr w14:val="tx1"/>
            </w14:solidFill>
          </w14:textFill>
        </w:rPr>
        <w:t>*60%计</w:t>
      </w:r>
      <w:r>
        <w:rPr>
          <w:rFonts w:hint="eastAsia" w:ascii="宋体" w:hAnsi="宋体" w:eastAsia="宋体" w:cs="宋体"/>
          <w:b/>
          <w:bCs/>
          <w:color w:val="000000" w:themeColor="text1"/>
          <w:sz w:val="24"/>
          <w:szCs w:val="24"/>
          <w14:textFill>
            <w14:solidFill>
              <w14:schemeClr w14:val="tx1"/>
            </w14:solidFill>
          </w14:textFill>
        </w:rPr>
        <w:t>取</w:t>
      </w:r>
      <w:r>
        <w:rPr>
          <w:rFonts w:hint="eastAsia" w:ascii="宋体" w:hAnsi="宋体" w:eastAsia="宋体" w:cs="宋体"/>
          <w:b/>
          <w:bCs/>
          <w:color w:val="000000" w:themeColor="text1"/>
          <w:sz w:val="24"/>
          <w:szCs w:val="24"/>
          <w:lang w:val="en-US"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该费用由中标人支付，投标人投标时综合考虑进报价中，不得单列，凡漏项或少计均视为优惠采购人，不另行增加费用。中标后中标单位在领取中标通知书前直接将招标代理服务费向招标代理公司一次性以现金或转账方式付清。</w:t>
      </w:r>
    </w:p>
    <w:p w14:paraId="5ED80950">
      <w:pPr>
        <w:pStyle w:val="34"/>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5、招标文件的约束力</w:t>
      </w:r>
    </w:p>
    <w:p w14:paraId="5C2156E1">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5.1 投标人一旦参加本项目采购活动，即被认为接受了本招标文件的规定和约束。</w:t>
      </w:r>
    </w:p>
    <w:p w14:paraId="750C55A8">
      <w:pPr>
        <w:pStyle w:val="34"/>
        <w:keepNext/>
        <w:keepLines/>
        <w:pageBreakBefore w:val="0"/>
        <w:widowControl w:val="0"/>
        <w:kinsoku/>
        <w:wordWrap/>
        <w:overflowPunct/>
        <w:topLinePunct w:val="0"/>
        <w:autoSpaceDE/>
        <w:autoSpaceDN/>
        <w:bidi w:val="0"/>
        <w:spacing w:beforeAutospacing="0" w:afterAutospacing="0" w:line="360" w:lineRule="auto"/>
        <w:ind w:left="0" w:firstLine="482"/>
        <w:jc w:val="both"/>
        <w:textAlignment w:val="auto"/>
        <w:rPr>
          <w:rFonts w:hint="eastAsia" w:ascii="宋体" w:hAnsi="宋体" w:eastAsia="宋体" w:cs="宋体"/>
          <w:sz w:val="24"/>
          <w:szCs w:val="24"/>
          <w:highlight w:val="none"/>
        </w:rPr>
      </w:pPr>
      <w:bookmarkStart w:id="59" w:name="_Toc120614215"/>
      <w:bookmarkStart w:id="60" w:name="_Toc513029209"/>
      <w:bookmarkStart w:id="61" w:name="_Toc20823281"/>
      <w:bookmarkStart w:id="62" w:name="_Toc16938525"/>
      <w:r>
        <w:rPr>
          <w:rFonts w:hint="eastAsia" w:ascii="宋体" w:hAnsi="宋体" w:eastAsia="宋体" w:cs="宋体"/>
          <w:b/>
          <w:color w:val="000000"/>
          <w:sz w:val="24"/>
          <w:szCs w:val="24"/>
          <w:highlight w:val="none"/>
        </w:rPr>
        <w:t>二、招标文件</w:t>
      </w:r>
      <w:bookmarkEnd w:id="59"/>
      <w:bookmarkEnd w:id="60"/>
      <w:bookmarkEnd w:id="61"/>
      <w:bookmarkEnd w:id="62"/>
    </w:p>
    <w:p w14:paraId="18EB6AEA">
      <w:pPr>
        <w:pStyle w:val="34"/>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bookmarkStart w:id="63" w:name="_Toc513029210"/>
      <w:bookmarkStart w:id="64" w:name="_Toc20823282"/>
      <w:bookmarkStart w:id="65" w:name="_Toc16938526"/>
      <w:r>
        <w:rPr>
          <w:rFonts w:hint="eastAsia" w:ascii="宋体" w:hAnsi="宋体" w:eastAsia="宋体" w:cs="宋体"/>
          <w:color w:val="000000"/>
          <w:sz w:val="24"/>
          <w:szCs w:val="24"/>
          <w:highlight w:val="none"/>
        </w:rPr>
        <w:t>6、招标文件构成</w:t>
      </w:r>
      <w:bookmarkEnd w:id="63"/>
      <w:bookmarkEnd w:id="64"/>
      <w:bookmarkEnd w:id="65"/>
    </w:p>
    <w:p w14:paraId="74E41B41">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6.1 招标文件由以下部分组成：</w:t>
      </w:r>
    </w:p>
    <w:p w14:paraId="547BD958">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招标公告</w:t>
      </w:r>
    </w:p>
    <w:p w14:paraId="7714C364">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（2）投标人须知</w:t>
      </w:r>
    </w:p>
    <w:p w14:paraId="6A72209D">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（3）合同文本</w:t>
      </w:r>
    </w:p>
    <w:p w14:paraId="5C2C2EA9">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（4）采购需求</w:t>
      </w:r>
    </w:p>
    <w:p w14:paraId="21DDA6F3">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（5）评标方法与评标标准</w:t>
      </w:r>
    </w:p>
    <w:p w14:paraId="0DDE8245">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（6）投标文件格式</w:t>
      </w:r>
    </w:p>
    <w:p w14:paraId="291E9212">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请仔细检查招标文件是否齐全，如有缺漏请立即与采购代理机构联系解决。</w:t>
      </w:r>
    </w:p>
    <w:p w14:paraId="7155B7BE">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EB32EF0">
      <w:pPr>
        <w:pStyle w:val="34"/>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bookmarkStart w:id="66" w:name="_Toc513029211"/>
      <w:bookmarkStart w:id="67" w:name="_Toc16938527"/>
      <w:bookmarkStart w:id="68" w:name="_Toc20823283"/>
      <w:bookmarkStart w:id="69" w:name="_Toc462564070"/>
      <w:r>
        <w:rPr>
          <w:rFonts w:hint="eastAsia" w:ascii="宋体" w:hAnsi="宋体" w:eastAsia="宋体" w:cs="宋体"/>
          <w:color w:val="000000"/>
          <w:sz w:val="24"/>
          <w:szCs w:val="24"/>
          <w:highlight w:val="none"/>
        </w:rPr>
        <w:t>7、招标文件的澄清</w:t>
      </w:r>
      <w:bookmarkEnd w:id="66"/>
      <w:bookmarkEnd w:id="67"/>
      <w:bookmarkEnd w:id="68"/>
      <w:bookmarkEnd w:id="69"/>
    </w:p>
    <w:p w14:paraId="7E6C2A2D">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7.1 任何要求对招标文件进行澄清的投标人，应在投标截止期</w:t>
      </w:r>
      <w:r>
        <w:rPr>
          <w:rFonts w:hint="eastAsia" w:ascii="宋体" w:hAnsi="宋体" w:eastAsia="宋体" w:cs="宋体"/>
          <w:b/>
          <w:color w:val="000000"/>
          <w:sz w:val="24"/>
          <w:szCs w:val="24"/>
          <w:highlight w:val="none"/>
        </w:rPr>
        <w:t>十日</w:t>
      </w:r>
      <w:r>
        <w:rPr>
          <w:rFonts w:hint="eastAsia" w:ascii="宋体" w:hAnsi="宋体" w:eastAsia="宋体" w:cs="宋体"/>
          <w:color w:val="000000"/>
          <w:sz w:val="24"/>
          <w:szCs w:val="24"/>
          <w:highlight w:val="none"/>
        </w:rPr>
        <w:t>前按招标公告中的通讯地址，以书面形式通知采购代理机构。</w:t>
      </w:r>
    </w:p>
    <w:p w14:paraId="13ED0CA9">
      <w:pPr>
        <w:pStyle w:val="34"/>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bookmarkStart w:id="70" w:name="_Toc513029212"/>
      <w:bookmarkStart w:id="71" w:name="_Toc462564071"/>
      <w:bookmarkStart w:id="72" w:name="_Toc20823284"/>
      <w:bookmarkStart w:id="73" w:name="_Toc16938528"/>
      <w:r>
        <w:rPr>
          <w:rFonts w:hint="eastAsia" w:ascii="宋体" w:hAnsi="宋体" w:eastAsia="宋体" w:cs="宋体"/>
          <w:color w:val="000000"/>
          <w:sz w:val="24"/>
          <w:szCs w:val="24"/>
          <w:highlight w:val="none"/>
        </w:rPr>
        <w:t>8、招标文件的修改</w:t>
      </w:r>
      <w:bookmarkEnd w:id="70"/>
      <w:bookmarkEnd w:id="71"/>
      <w:bookmarkEnd w:id="72"/>
      <w:bookmarkEnd w:id="73"/>
    </w:p>
    <w:p w14:paraId="4EF0B643">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8.1 在投标截止时间前，采购</w:t>
      </w:r>
      <w:r>
        <w:rPr>
          <w:rFonts w:hint="eastAsia" w:ascii="宋体" w:hAnsi="宋体" w:eastAsia="宋体" w:cs="宋体"/>
          <w:color w:val="000000"/>
          <w:sz w:val="24"/>
          <w:szCs w:val="24"/>
          <w:highlight w:val="none"/>
          <w:lang w:val="en-US" w:eastAsia="zh-CN"/>
        </w:rPr>
        <w:t>人</w:t>
      </w:r>
      <w:r>
        <w:rPr>
          <w:rFonts w:hint="eastAsia" w:ascii="宋体" w:hAnsi="宋体" w:eastAsia="宋体" w:cs="宋体"/>
          <w:color w:val="000000"/>
          <w:sz w:val="24"/>
          <w:szCs w:val="24"/>
          <w:highlight w:val="none"/>
        </w:rPr>
        <w:t>可以对招标文件进行修改。</w:t>
      </w:r>
    </w:p>
    <w:p w14:paraId="0A91A3ED">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8.2 采购</w:t>
      </w:r>
      <w:r>
        <w:rPr>
          <w:rFonts w:hint="eastAsia" w:ascii="宋体" w:hAnsi="宋体" w:eastAsia="宋体" w:cs="宋体"/>
          <w:color w:val="000000"/>
          <w:sz w:val="24"/>
          <w:szCs w:val="24"/>
          <w:highlight w:val="none"/>
          <w:lang w:val="en-US" w:eastAsia="zh-CN"/>
        </w:rPr>
        <w:t>人</w:t>
      </w:r>
      <w:r>
        <w:rPr>
          <w:rFonts w:hint="eastAsia" w:ascii="宋体" w:hAnsi="宋体" w:eastAsia="宋体" w:cs="宋体"/>
          <w:color w:val="000000"/>
          <w:sz w:val="24"/>
          <w:szCs w:val="24"/>
          <w:highlight w:val="none"/>
        </w:rPr>
        <w:t>有权按照法定的要求推迟投标截止日期和开标日期。</w:t>
      </w:r>
    </w:p>
    <w:p w14:paraId="309FB776">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8.3 招标文件的修改将在</w:t>
      </w:r>
      <w:r>
        <w:rPr>
          <w:rFonts w:hint="eastAsia" w:ascii="宋体" w:hAnsi="宋体" w:eastAsia="宋体" w:cs="宋体"/>
          <w:color w:val="000000"/>
          <w:sz w:val="24"/>
          <w:szCs w:val="24"/>
          <w:highlight w:val="none"/>
          <w:lang w:val="en-US" w:eastAsia="zh-CN" w:bidi="ar-SA"/>
        </w:rPr>
        <w:t>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w:t>
      </w:r>
      <w:r>
        <w:rPr>
          <w:rFonts w:hint="eastAsia" w:ascii="宋体" w:hAnsi="宋体" w:eastAsia="宋体" w:cs="宋体"/>
          <w:color w:val="000000"/>
          <w:sz w:val="24"/>
          <w:szCs w:val="24"/>
          <w:highlight w:val="none"/>
        </w:rPr>
        <w:t>江苏政府采购网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盐城市政府采购网</w:t>
      </w:r>
      <w:r>
        <w:rPr>
          <w:rFonts w:hint="eastAsia" w:ascii="宋体" w:hAnsi="宋体" w:eastAsia="宋体" w:cs="宋体"/>
          <w:color w:val="000000"/>
          <w:sz w:val="24"/>
          <w:szCs w:val="24"/>
          <w:highlight w:val="none"/>
        </w:rPr>
        <w:t>公布，补充文件将作为招标文件的组成部分，并对投标人具有约束力。</w:t>
      </w:r>
    </w:p>
    <w:p w14:paraId="507335F1">
      <w:pPr>
        <w:pStyle w:val="34"/>
        <w:keepNext/>
        <w:keepLines/>
        <w:pageBreakBefore w:val="0"/>
        <w:widowControl w:val="0"/>
        <w:kinsoku/>
        <w:wordWrap/>
        <w:overflowPunct/>
        <w:topLinePunct w:val="0"/>
        <w:autoSpaceDE/>
        <w:autoSpaceDN/>
        <w:bidi w:val="0"/>
        <w:spacing w:beforeAutospacing="0" w:afterAutospacing="0" w:line="360" w:lineRule="auto"/>
        <w:ind w:left="0" w:firstLine="482"/>
        <w:jc w:val="both"/>
        <w:textAlignment w:val="auto"/>
        <w:rPr>
          <w:rFonts w:hint="eastAsia" w:ascii="宋体" w:hAnsi="宋体" w:eastAsia="宋体" w:cs="宋体"/>
          <w:sz w:val="24"/>
          <w:szCs w:val="24"/>
          <w:highlight w:val="none"/>
        </w:rPr>
      </w:pPr>
      <w:bookmarkStart w:id="74" w:name="_Toc462564072"/>
      <w:bookmarkStart w:id="75" w:name="_Toc513029213"/>
      <w:bookmarkStart w:id="76" w:name="_Toc120614216"/>
      <w:bookmarkStart w:id="77" w:name="_Toc20823285"/>
      <w:bookmarkStart w:id="78" w:name="_Toc16938529"/>
      <w:r>
        <w:rPr>
          <w:rFonts w:hint="eastAsia" w:ascii="宋体" w:hAnsi="宋体" w:eastAsia="宋体" w:cs="宋体"/>
          <w:b/>
          <w:color w:val="000000"/>
          <w:sz w:val="24"/>
          <w:szCs w:val="24"/>
          <w:highlight w:val="none"/>
        </w:rPr>
        <w:t>三、投标文件的编制</w:t>
      </w:r>
      <w:bookmarkEnd w:id="74"/>
      <w:bookmarkEnd w:id="75"/>
      <w:bookmarkEnd w:id="76"/>
      <w:bookmarkEnd w:id="77"/>
      <w:bookmarkEnd w:id="78"/>
    </w:p>
    <w:p w14:paraId="78528AE2">
      <w:pPr>
        <w:pStyle w:val="34"/>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bookmarkStart w:id="79" w:name="_Toc513029214"/>
      <w:bookmarkStart w:id="80" w:name="_Toc16938530"/>
      <w:bookmarkStart w:id="81" w:name="_Toc20823286"/>
      <w:bookmarkStart w:id="82" w:name="_Toc462564073"/>
      <w:r>
        <w:rPr>
          <w:rFonts w:hint="eastAsia" w:ascii="宋体" w:hAnsi="宋体" w:eastAsia="宋体" w:cs="宋体"/>
          <w:color w:val="000000"/>
          <w:sz w:val="24"/>
          <w:szCs w:val="24"/>
          <w:highlight w:val="none"/>
        </w:rPr>
        <w:t>9、投标文件的语言及度量衡单位</w:t>
      </w:r>
      <w:bookmarkEnd w:id="79"/>
      <w:bookmarkEnd w:id="80"/>
      <w:bookmarkEnd w:id="81"/>
      <w:bookmarkEnd w:id="82"/>
    </w:p>
    <w:p w14:paraId="5512AA93">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9.1 投标人提交的投标文件以及投标人与采购</w:t>
      </w:r>
      <w:r>
        <w:rPr>
          <w:rFonts w:hint="eastAsia" w:ascii="宋体" w:hAnsi="宋体" w:eastAsia="宋体" w:cs="宋体"/>
          <w:color w:val="000000"/>
          <w:sz w:val="24"/>
          <w:szCs w:val="24"/>
          <w:highlight w:val="none"/>
          <w:lang w:val="en-US" w:eastAsia="zh-CN"/>
        </w:rPr>
        <w:t>人活采购代理机构</w:t>
      </w:r>
      <w:r>
        <w:rPr>
          <w:rFonts w:hint="eastAsia" w:ascii="宋体" w:hAnsi="宋体" w:eastAsia="宋体" w:cs="宋体"/>
          <w:color w:val="000000"/>
          <w:sz w:val="24"/>
          <w:szCs w:val="24"/>
          <w:highlight w:val="none"/>
        </w:rPr>
        <w:t>就有关投标的所有来往通知、函件和文件均应使用</w:t>
      </w:r>
      <w:r>
        <w:rPr>
          <w:rFonts w:hint="eastAsia" w:ascii="宋体" w:hAnsi="宋体" w:eastAsia="宋体" w:cs="宋体"/>
          <w:b/>
          <w:color w:val="000000"/>
          <w:sz w:val="24"/>
          <w:szCs w:val="24"/>
          <w:highlight w:val="none"/>
        </w:rPr>
        <w:t>简体中文</w:t>
      </w:r>
      <w:r>
        <w:rPr>
          <w:rFonts w:hint="eastAsia" w:ascii="宋体" w:hAnsi="宋体" w:eastAsia="宋体" w:cs="宋体"/>
          <w:color w:val="000000"/>
          <w:sz w:val="24"/>
          <w:szCs w:val="24"/>
          <w:highlight w:val="none"/>
        </w:rPr>
        <w:t>。</w:t>
      </w:r>
    </w:p>
    <w:p w14:paraId="131412D5">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9.2 除技术性能另有规定外，投标文件所使用的度量衡单位，均须采用国家法定计量单位。</w:t>
      </w:r>
    </w:p>
    <w:p w14:paraId="1CCD32AE">
      <w:pPr>
        <w:pStyle w:val="34"/>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bookmarkStart w:id="83" w:name="_Toc513029215"/>
      <w:bookmarkStart w:id="84" w:name="_Toc16938531"/>
      <w:bookmarkStart w:id="85" w:name="_Toc462564074"/>
      <w:bookmarkStart w:id="86" w:name="_Toc20823287"/>
      <w:r>
        <w:rPr>
          <w:rFonts w:hint="eastAsia" w:ascii="宋体" w:hAnsi="宋体" w:eastAsia="宋体" w:cs="宋体"/>
          <w:color w:val="000000"/>
          <w:sz w:val="24"/>
          <w:szCs w:val="24"/>
          <w:highlight w:val="none"/>
        </w:rPr>
        <w:t>10、投标文件构成</w:t>
      </w:r>
      <w:bookmarkEnd w:id="83"/>
      <w:bookmarkEnd w:id="84"/>
      <w:bookmarkEnd w:id="85"/>
      <w:bookmarkEnd w:id="86"/>
    </w:p>
    <w:p w14:paraId="0C40D655">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10.1 投标人编写的投标文件应包括资格证明文件、符合性证明文件、投标分项报价表、技术要求响应及偏离表、商务要求响应及偏离表、其他证明文件、投标函、开标一览表等部分。</w:t>
      </w:r>
    </w:p>
    <w:p w14:paraId="014CCD39">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10.2 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w:t>
      </w:r>
      <w:r>
        <w:rPr>
          <w:rFonts w:hint="eastAsia" w:ascii="宋体" w:hAnsi="宋体" w:eastAsia="宋体" w:cs="宋体"/>
          <w:color w:val="000000"/>
          <w:sz w:val="24"/>
          <w:szCs w:val="24"/>
          <w:highlight w:val="none"/>
          <w:lang w:val="en-US" w:eastAsia="zh-CN" w:bidi="ar-SA"/>
        </w:rPr>
        <w:t>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w:t>
      </w:r>
      <w:r>
        <w:rPr>
          <w:rFonts w:hint="eastAsia" w:ascii="宋体" w:hAnsi="宋体" w:eastAsia="宋体" w:cs="宋体"/>
          <w:color w:val="000000"/>
          <w:sz w:val="24"/>
          <w:szCs w:val="24"/>
          <w:highlight w:val="none"/>
        </w:rPr>
        <w:t>“江苏政府采购网”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w:t>
      </w:r>
      <w:r>
        <w:rPr>
          <w:rFonts w:hint="eastAsia" w:ascii="宋体" w:hAnsi="宋体" w:eastAsia="宋体" w:cs="宋体"/>
          <w:color w:val="000000"/>
          <w:sz w:val="24"/>
          <w:szCs w:val="24"/>
          <w:highlight w:val="none"/>
        </w:rPr>
        <w:t>发布的招标文件不一致，请以</w:t>
      </w:r>
      <w:r>
        <w:rPr>
          <w:rFonts w:hint="eastAsia" w:ascii="宋体" w:hAnsi="宋体" w:eastAsia="宋体" w:cs="宋体"/>
          <w:color w:val="000000"/>
          <w:sz w:val="24"/>
          <w:szCs w:val="24"/>
          <w:highlight w:val="none"/>
          <w:lang w:val="en-US" w:eastAsia="zh-CN" w:bidi="ar-SA"/>
        </w:rPr>
        <w:t>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w:t>
      </w:r>
      <w:r>
        <w:rPr>
          <w:rFonts w:hint="eastAsia" w:ascii="宋体" w:hAnsi="宋体" w:eastAsia="宋体" w:cs="宋体"/>
          <w:color w:val="000000"/>
          <w:sz w:val="24"/>
          <w:szCs w:val="24"/>
          <w:highlight w:val="none"/>
        </w:rPr>
        <w:t>“江苏政府采购网”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w:t>
      </w:r>
      <w:r>
        <w:rPr>
          <w:rFonts w:hint="eastAsia" w:ascii="宋体" w:hAnsi="宋体" w:eastAsia="宋体" w:cs="宋体"/>
          <w:color w:val="000000"/>
          <w:sz w:val="24"/>
          <w:szCs w:val="24"/>
          <w:highlight w:val="none"/>
        </w:rPr>
        <w:t>发布的招标文件为准。</w:t>
      </w:r>
    </w:p>
    <w:p w14:paraId="1C7594DA">
      <w:pPr>
        <w:pStyle w:val="34"/>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bookmarkStart w:id="87" w:name="_Toc513029219"/>
      <w:bookmarkStart w:id="88" w:name="_Toc14577355"/>
      <w:bookmarkStart w:id="89" w:name="_Toc513029216"/>
      <w:bookmarkStart w:id="90" w:name="_Toc49090507"/>
      <w:bookmarkStart w:id="91" w:name="_Toc49090508"/>
      <w:bookmarkStart w:id="92" w:name="_Toc49090509"/>
      <w:bookmarkStart w:id="93" w:name="_Toc14577354"/>
      <w:bookmarkStart w:id="94" w:name="_Toc14577357"/>
      <w:bookmarkStart w:id="95" w:name="_Hlt26668975"/>
      <w:bookmarkStart w:id="96" w:name="_Hlt26954838"/>
      <w:bookmarkStart w:id="97" w:name="_Hlt26670360"/>
      <w:r>
        <w:rPr>
          <w:rFonts w:hint="eastAsia" w:ascii="宋体" w:hAnsi="宋体" w:eastAsia="宋体" w:cs="宋体"/>
          <w:color w:val="000000"/>
          <w:sz w:val="24"/>
          <w:szCs w:val="24"/>
          <w:highlight w:val="none"/>
        </w:rPr>
        <w:t>11、证明投标人及投标标的符合招标文件规定的文件</w:t>
      </w:r>
      <w:bookmarkEnd w:id="87"/>
      <w:bookmarkEnd w:id="88"/>
      <w:bookmarkEnd w:id="89"/>
      <w:bookmarkEnd w:id="90"/>
      <w:bookmarkEnd w:id="91"/>
      <w:bookmarkEnd w:id="92"/>
      <w:bookmarkEnd w:id="93"/>
      <w:bookmarkEnd w:id="94"/>
    </w:p>
    <w:p w14:paraId="33726FF9">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11.1 投标人应按照招标文件要求提交证明文件，证明其及投标标的符合招标文件规定。</w:t>
      </w:r>
    </w:p>
    <w:p w14:paraId="7B272491">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11.2招标文件对证明文件无明确形式要求的，证明文件可以以文字资料、图纸和数据等形式提交。</w:t>
      </w:r>
    </w:p>
    <w:p w14:paraId="4FD185CE">
      <w:pPr>
        <w:pStyle w:val="34"/>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12、投标分项报价表</w:t>
      </w:r>
    </w:p>
    <w:p w14:paraId="1874491F">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12.1 投标人应按照招标文件规定格式填报投标分项报价表。</w:t>
      </w:r>
    </w:p>
    <w:p w14:paraId="3742E159">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12.2投标货币。投标文件中的单价和总价无特殊规定的采用人民币报价，以元为单位标注。招标文件中另有规定的按规定执行。</w:t>
      </w:r>
    </w:p>
    <w:p w14:paraId="35689D82">
      <w:pPr>
        <w:pStyle w:val="34"/>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bookmarkStart w:id="98" w:name="_Hlt26954731"/>
      <w:bookmarkStart w:id="99" w:name="_Hlt26670486"/>
      <w:bookmarkStart w:id="100" w:name="_Hlt26954846"/>
      <w:bookmarkStart w:id="101" w:name="_Hlt26954848"/>
      <w:bookmarkStart w:id="102" w:name="_Hlt26670482"/>
      <w:r>
        <w:rPr>
          <w:rFonts w:hint="eastAsia" w:ascii="宋体" w:hAnsi="宋体" w:eastAsia="宋体" w:cs="宋体"/>
          <w:color w:val="000000"/>
          <w:sz w:val="24"/>
          <w:szCs w:val="24"/>
          <w:highlight w:val="none"/>
        </w:rPr>
        <w:t>13、技术要求响应及偏离表、商务要求响应及偏离表</w:t>
      </w:r>
    </w:p>
    <w:p w14:paraId="553C18EC">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13.1 投标人需对招标文件中的技术要求与商务要求逐项作出响应或偏离，并说明原因。</w:t>
      </w:r>
    </w:p>
    <w:p w14:paraId="0DC2C501">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13.2 投标人可在投标文件中提供认为需要的其他技术文件或说明。</w:t>
      </w:r>
    </w:p>
    <w:p w14:paraId="1A6CF418">
      <w:pPr>
        <w:pStyle w:val="34"/>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bookmarkStart w:id="103" w:name="_Toc49090510"/>
      <w:bookmarkStart w:id="104" w:name="_Toc14577359"/>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、投标函和开标一览表</w:t>
      </w:r>
      <w:bookmarkEnd w:id="103"/>
      <w:bookmarkEnd w:id="104"/>
    </w:p>
    <w:p w14:paraId="204EF439">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.1 投标人应按照招标文件中提供的格式完整、正确填写投标函、开标一览表。</w:t>
      </w:r>
    </w:p>
    <w:p w14:paraId="1A3F4D1A">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.2 对于采用货币报价的项目，开标一览表中的投标总报价应与投标分项报价表中的投标总报价一致，如不一致，不作为无效投标处理，但评标时按开标一览表中价格为准。</w:t>
      </w:r>
    </w:p>
    <w:p w14:paraId="57F2C1DD">
      <w:pPr>
        <w:pStyle w:val="34"/>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bookmarkStart w:id="105" w:name="_Toc14577360"/>
      <w:bookmarkStart w:id="106" w:name="_Toc49090511"/>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、投标有效期</w:t>
      </w:r>
      <w:bookmarkEnd w:id="105"/>
      <w:bookmarkEnd w:id="106"/>
    </w:p>
    <w:p w14:paraId="1DB9AD98">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.1投标有效期为采购</w:t>
      </w:r>
      <w:r>
        <w:rPr>
          <w:rFonts w:hint="eastAsia" w:ascii="宋体" w:hAnsi="宋体" w:eastAsia="宋体" w:cs="宋体"/>
          <w:color w:val="000000"/>
          <w:sz w:val="24"/>
          <w:szCs w:val="24"/>
          <w:highlight w:val="none"/>
          <w:lang w:val="en-US" w:eastAsia="zh-CN"/>
        </w:rPr>
        <w:t>人</w:t>
      </w:r>
      <w:r>
        <w:rPr>
          <w:rFonts w:hint="eastAsia" w:ascii="宋体" w:hAnsi="宋体" w:eastAsia="宋体" w:cs="宋体"/>
          <w:color w:val="000000"/>
          <w:sz w:val="24"/>
          <w:szCs w:val="24"/>
          <w:highlight w:val="none"/>
        </w:rPr>
        <w:t>规定的开标之日后</w:t>
      </w:r>
      <w:r>
        <w:rPr>
          <w:rFonts w:hint="eastAsia" w:ascii="宋体" w:hAnsi="宋体" w:eastAsia="宋体" w:cs="宋体"/>
          <w:b/>
          <w:color w:val="auto"/>
          <w:sz w:val="24"/>
          <w:szCs w:val="24"/>
          <w:highlight w:val="none"/>
          <w:u w:val="single"/>
          <w:lang w:val="en-US" w:eastAsia="zh-CN"/>
        </w:rPr>
        <w:t>九</w:t>
      </w:r>
      <w:r>
        <w:rPr>
          <w:rFonts w:hint="eastAsia" w:ascii="宋体" w:hAnsi="宋体" w:eastAsia="宋体" w:cs="宋体"/>
          <w:b/>
          <w:color w:val="auto"/>
          <w:sz w:val="24"/>
          <w:szCs w:val="24"/>
          <w:highlight w:val="none"/>
          <w:u w:val="single"/>
        </w:rPr>
        <w:t>十（</w:t>
      </w:r>
      <w:r>
        <w:rPr>
          <w:rFonts w:hint="eastAsia" w:ascii="宋体" w:hAnsi="宋体" w:eastAsia="宋体" w:cs="宋体"/>
          <w:b/>
          <w:color w:val="auto"/>
          <w:sz w:val="24"/>
          <w:szCs w:val="24"/>
          <w:highlight w:val="none"/>
          <w:u w:val="single"/>
          <w:lang w:val="en-US" w:eastAsia="zh-CN"/>
        </w:rPr>
        <w:t>9</w:t>
      </w:r>
      <w:r>
        <w:rPr>
          <w:rFonts w:hint="eastAsia" w:ascii="宋体" w:hAnsi="宋体" w:eastAsia="宋体" w:cs="宋体"/>
          <w:b/>
          <w:color w:val="auto"/>
          <w:sz w:val="24"/>
          <w:szCs w:val="24"/>
          <w:highlight w:val="none"/>
          <w:u w:val="single"/>
        </w:rPr>
        <w:t>0）天</w:t>
      </w:r>
      <w:r>
        <w:rPr>
          <w:rFonts w:hint="eastAsia" w:ascii="宋体" w:hAnsi="宋体" w:eastAsia="宋体" w:cs="宋体"/>
          <w:color w:val="000000"/>
          <w:sz w:val="24"/>
          <w:szCs w:val="24"/>
          <w:highlight w:val="none"/>
        </w:rPr>
        <w:t>。投标有效期比规定短的将被视为未实质性响应招标文件而予以拒绝。</w:t>
      </w:r>
    </w:p>
    <w:p w14:paraId="10389111">
      <w:pPr>
        <w:pStyle w:val="34"/>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、投标有效期的延长</w:t>
      </w:r>
    </w:p>
    <w:p w14:paraId="1804D1FD">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.1在特殊情况下，采购</w:t>
      </w:r>
      <w:r>
        <w:rPr>
          <w:rFonts w:hint="eastAsia" w:ascii="宋体" w:hAnsi="宋体" w:eastAsia="宋体" w:cs="宋体"/>
          <w:color w:val="000000"/>
          <w:sz w:val="24"/>
          <w:szCs w:val="24"/>
          <w:highlight w:val="none"/>
          <w:lang w:val="en-US" w:eastAsia="zh-CN"/>
        </w:rPr>
        <w:t>人或采购代理机构</w:t>
      </w:r>
      <w:r>
        <w:rPr>
          <w:rFonts w:hint="eastAsia" w:ascii="宋体" w:hAnsi="宋体" w:eastAsia="宋体" w:cs="宋体"/>
          <w:color w:val="000000"/>
          <w:sz w:val="24"/>
          <w:szCs w:val="24"/>
          <w:highlight w:val="none"/>
        </w:rPr>
        <w:t>于原投标有效期满之前，可向投标人提出延长投标有效期的要求。这种要求与答复均应采用书面形式。投标人可以拒绝采购</w:t>
      </w:r>
      <w:r>
        <w:rPr>
          <w:rFonts w:hint="eastAsia" w:ascii="宋体" w:hAnsi="宋体" w:eastAsia="宋体" w:cs="宋体"/>
          <w:color w:val="000000"/>
          <w:sz w:val="24"/>
          <w:szCs w:val="24"/>
          <w:highlight w:val="none"/>
          <w:lang w:val="en-US" w:eastAsia="zh-CN"/>
        </w:rPr>
        <w:t>人或采购代理机构</w:t>
      </w:r>
      <w:r>
        <w:rPr>
          <w:rFonts w:hint="eastAsia" w:ascii="宋体" w:hAnsi="宋体" w:eastAsia="宋体" w:cs="宋体"/>
          <w:color w:val="000000"/>
          <w:sz w:val="24"/>
          <w:szCs w:val="24"/>
          <w:highlight w:val="none"/>
        </w:rPr>
        <w:t>的这一要求而放弃投标，同意延长投标有效期的投标人既不能要求也不允许修改其投标文件。受投标有效期约束的所有权利与义务均延长至新的有效期。</w:t>
      </w:r>
      <w:bookmarkStart w:id="107" w:name="_Toc120614217"/>
      <w:bookmarkStart w:id="108" w:name="_Toc16938540"/>
      <w:bookmarkStart w:id="109" w:name="_Toc20823296"/>
      <w:bookmarkStart w:id="110" w:name="_Toc513029224"/>
      <w:bookmarkStart w:id="111" w:name="_Hlt26954739"/>
      <w:bookmarkStart w:id="112" w:name="_Hlt26954852"/>
    </w:p>
    <w:p w14:paraId="13117FD8">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四、投标文件的递交</w:t>
      </w:r>
      <w:bookmarkEnd w:id="107"/>
      <w:bookmarkEnd w:id="108"/>
      <w:bookmarkEnd w:id="109"/>
      <w:bookmarkEnd w:id="110"/>
    </w:p>
    <w:p w14:paraId="5DFFAD97">
      <w:pPr>
        <w:pStyle w:val="34"/>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bookmarkStart w:id="113" w:name="_Toc20823297"/>
      <w:bookmarkStart w:id="114" w:name="_Toc462564084"/>
      <w:bookmarkStart w:id="115" w:name="_Toc513029225"/>
      <w:bookmarkStart w:id="116" w:name="_Toc16938541"/>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、电子投标文件</w:t>
      </w:r>
      <w:bookmarkEnd w:id="113"/>
      <w:bookmarkEnd w:id="114"/>
      <w:bookmarkEnd w:id="115"/>
      <w:bookmarkEnd w:id="116"/>
      <w:r>
        <w:rPr>
          <w:rFonts w:hint="eastAsia" w:ascii="宋体" w:hAnsi="宋体" w:eastAsia="宋体" w:cs="宋体"/>
          <w:color w:val="000000"/>
          <w:sz w:val="24"/>
          <w:szCs w:val="24"/>
          <w:highlight w:val="none"/>
        </w:rPr>
        <w:t>的递交</w:t>
      </w:r>
    </w:p>
    <w:p w14:paraId="561D9325">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.1投标人应当按照《操作手册》规定，在投标截止时间前制作并上传电子投标文件。</w:t>
      </w:r>
      <w:bookmarkStart w:id="117" w:name="_Toc20823298"/>
      <w:bookmarkEnd w:id="117"/>
      <w:bookmarkStart w:id="118" w:name="_Toc16938542"/>
      <w:bookmarkEnd w:id="118"/>
      <w:bookmarkStart w:id="119" w:name="_Toc513029226"/>
    </w:p>
    <w:p w14:paraId="2A8F495E">
      <w:pPr>
        <w:pStyle w:val="34"/>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、投标截止日期</w:t>
      </w:r>
    </w:p>
    <w:p w14:paraId="1F070C09">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1</w:t>
      </w:r>
      <w:r>
        <w:rPr>
          <w:rFonts w:hint="eastAsia" w:ascii="宋体" w:hAnsi="宋体" w:eastAsia="宋体" w:cs="宋体"/>
          <w:i/>
          <w:color w:val="000000"/>
          <w:sz w:val="24"/>
          <w:szCs w:val="24"/>
          <w:highlight w:val="none"/>
          <w:u w:val="single"/>
          <w:lang w:val="en-US" w:eastAsia="zh-CN"/>
        </w:rPr>
        <w:t>8</w:t>
      </w:r>
      <w:r>
        <w:rPr>
          <w:rFonts w:hint="eastAsia" w:ascii="宋体" w:hAnsi="宋体" w:eastAsia="宋体" w:cs="宋体"/>
          <w:i/>
          <w:color w:val="000000"/>
          <w:sz w:val="24"/>
          <w:szCs w:val="24"/>
          <w:highlight w:val="none"/>
          <w:u w:val="single"/>
        </w:rPr>
        <w:t>.1 投标人上传电子投标文件的时间不得迟于招标公告中规定的投标截止时间。</w:t>
      </w:r>
    </w:p>
    <w:p w14:paraId="078E055C">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投标人应充分考虑到网络环境、网络带宽等风险因素，如因投标人自身原因造成的电子投标文件上传不成功的按照本招标文件第二章第27.1.2条规定做无效投标处理。</w:t>
      </w:r>
    </w:p>
    <w:p w14:paraId="5DBEB89D">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.2 采购</w:t>
      </w:r>
      <w:r>
        <w:rPr>
          <w:rFonts w:hint="eastAsia" w:ascii="宋体" w:hAnsi="宋体" w:eastAsia="宋体" w:cs="宋体"/>
          <w:color w:val="000000"/>
          <w:sz w:val="24"/>
          <w:szCs w:val="24"/>
          <w:highlight w:val="none"/>
          <w:lang w:val="en-US" w:eastAsia="zh-CN"/>
        </w:rPr>
        <w:t>人或采购代理机构</w:t>
      </w:r>
      <w:r>
        <w:rPr>
          <w:rFonts w:hint="eastAsia" w:ascii="宋体" w:hAnsi="宋体" w:eastAsia="宋体" w:cs="宋体"/>
          <w:color w:val="000000"/>
          <w:sz w:val="24"/>
          <w:szCs w:val="24"/>
          <w:highlight w:val="none"/>
        </w:rPr>
        <w:t>可以按照规定，通过修改招标文件酌情延长投标截止日期，在此情况下，投标人的所有权利和义务以及投标人受制的截止日期均应以延长后新的截止日期为准。</w:t>
      </w:r>
    </w:p>
    <w:p w14:paraId="660517A4">
      <w:pPr>
        <w:pStyle w:val="34"/>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bookmarkStart w:id="120" w:name="_Toc20823299"/>
      <w:bookmarkStart w:id="121" w:name="_Toc16938543"/>
      <w:bookmarkStart w:id="122" w:name="_Toc513029227"/>
      <w:r>
        <w:rPr>
          <w:rFonts w:hint="eastAsia" w:ascii="宋体" w:hAnsi="宋体" w:eastAsia="宋体" w:cs="宋体"/>
          <w:color w:val="000000"/>
          <w:sz w:val="24"/>
          <w:szCs w:val="24"/>
          <w:highlight w:val="none"/>
          <w:lang w:val="en-US" w:eastAsia="zh-CN"/>
        </w:rPr>
        <w:t>19</w:t>
      </w:r>
      <w:r>
        <w:rPr>
          <w:rFonts w:hint="eastAsia" w:ascii="宋体" w:hAnsi="宋体" w:eastAsia="宋体" w:cs="宋体"/>
          <w:color w:val="000000"/>
          <w:sz w:val="24"/>
          <w:szCs w:val="24"/>
          <w:highlight w:val="none"/>
        </w:rPr>
        <w:t>、投标文件</w:t>
      </w:r>
      <w:bookmarkEnd w:id="120"/>
      <w:bookmarkEnd w:id="121"/>
      <w:bookmarkEnd w:id="122"/>
      <w:r>
        <w:rPr>
          <w:rFonts w:hint="eastAsia" w:ascii="宋体" w:hAnsi="宋体" w:eastAsia="宋体" w:cs="宋体"/>
          <w:color w:val="000000"/>
          <w:sz w:val="24"/>
          <w:szCs w:val="24"/>
          <w:highlight w:val="none"/>
        </w:rPr>
        <w:t>的拒收</w:t>
      </w:r>
    </w:p>
    <w:p w14:paraId="6FCE230F">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19</w:t>
      </w:r>
      <w:r>
        <w:rPr>
          <w:rFonts w:hint="eastAsia" w:ascii="宋体" w:hAnsi="宋体" w:eastAsia="宋体" w:cs="宋体"/>
          <w:color w:val="000000"/>
          <w:sz w:val="24"/>
          <w:szCs w:val="24"/>
          <w:highlight w:val="none"/>
        </w:rPr>
        <w:t>.1 采购</w:t>
      </w:r>
      <w:r>
        <w:rPr>
          <w:rFonts w:hint="eastAsia" w:ascii="宋体" w:hAnsi="宋体" w:eastAsia="宋体" w:cs="宋体"/>
          <w:color w:val="000000"/>
          <w:sz w:val="24"/>
          <w:szCs w:val="24"/>
          <w:highlight w:val="none"/>
          <w:lang w:val="en-US" w:eastAsia="zh-CN"/>
        </w:rPr>
        <w:t>人及采购代理机构</w:t>
      </w:r>
      <w:r>
        <w:rPr>
          <w:rFonts w:hint="eastAsia" w:ascii="宋体" w:hAnsi="宋体" w:eastAsia="宋体" w:cs="宋体"/>
          <w:color w:val="000000"/>
          <w:sz w:val="24"/>
          <w:szCs w:val="24"/>
          <w:highlight w:val="none"/>
        </w:rPr>
        <w:t>拒绝接收在其规定的投标截止时间后上传的任何投标文件。</w:t>
      </w:r>
    </w:p>
    <w:p w14:paraId="29D7CF7C">
      <w:pPr>
        <w:pStyle w:val="34"/>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bookmarkStart w:id="123" w:name="_Toc16938544"/>
      <w:bookmarkStart w:id="124" w:name="_Toc513029228"/>
      <w:bookmarkStart w:id="125" w:name="_Toc20823300"/>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rPr>
        <w:t>、投标文件的撤回和修改</w:t>
      </w:r>
      <w:bookmarkEnd w:id="123"/>
      <w:bookmarkEnd w:id="124"/>
      <w:bookmarkEnd w:id="125"/>
    </w:p>
    <w:p w14:paraId="5AE9A3D2">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rPr>
        <w:t>.1 投标文件的撤回</w:t>
      </w:r>
    </w:p>
    <w:p w14:paraId="6C36F670">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rPr>
        <w:t>.1.1 电子投标文件的撤回</w:t>
      </w:r>
    </w:p>
    <w:p w14:paraId="63CC21C5">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投标人可在投标截止时间前，撤回其电子投标文件，具体操作方法见《操作手册》。</w:t>
      </w:r>
    </w:p>
    <w:p w14:paraId="1EDCCCB7">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rPr>
        <w:t>.1.2 投标人撤回电子投标文件，则认为其不再参与本项目投标活动。</w:t>
      </w:r>
    </w:p>
    <w:p w14:paraId="0AD9E64F">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rPr>
        <w:t>.2 投标文件的修改</w:t>
      </w:r>
    </w:p>
    <w:p w14:paraId="0C63FC3A">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rPr>
        <w:t>.2.1投标人可在投标截止时间前，对其电子投标文件进行修改，具体操作方法见《操作手册》。</w:t>
      </w:r>
    </w:p>
    <w:p w14:paraId="63CF99DD">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rPr>
        <w:t>.2.2 在投标截止时间之后，投标人不得对其电子投标文件作任何修改。</w:t>
      </w:r>
    </w:p>
    <w:p w14:paraId="14A3CA9A">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rPr>
        <w:t>.3 在投标截止时间至招标文件中规定的投标有效期满之间的这段时间内，投标人不得撤回其投标。</w:t>
      </w:r>
    </w:p>
    <w:p w14:paraId="4DB3DEC4">
      <w:pPr>
        <w:pStyle w:val="34"/>
        <w:keepNext/>
        <w:keepLines/>
        <w:pageBreakBefore w:val="0"/>
        <w:widowControl w:val="0"/>
        <w:kinsoku/>
        <w:wordWrap/>
        <w:overflowPunct/>
        <w:topLinePunct w:val="0"/>
        <w:autoSpaceDE/>
        <w:autoSpaceDN/>
        <w:bidi w:val="0"/>
        <w:spacing w:beforeAutospacing="0" w:afterAutospacing="0" w:line="360" w:lineRule="auto"/>
        <w:ind w:left="0" w:firstLine="482"/>
        <w:jc w:val="both"/>
        <w:textAlignment w:val="auto"/>
        <w:rPr>
          <w:rFonts w:hint="eastAsia" w:ascii="宋体" w:hAnsi="宋体" w:eastAsia="宋体" w:cs="宋体"/>
          <w:sz w:val="24"/>
          <w:szCs w:val="24"/>
          <w:highlight w:val="none"/>
        </w:rPr>
      </w:pPr>
      <w:bookmarkStart w:id="126" w:name="_Toc120614218"/>
      <w:bookmarkStart w:id="127" w:name="_Toc20823301"/>
      <w:bookmarkStart w:id="128" w:name="_Toc16938545"/>
      <w:bookmarkStart w:id="129" w:name="_Toc513029229"/>
      <w:r>
        <w:rPr>
          <w:rFonts w:hint="eastAsia" w:ascii="宋体" w:hAnsi="宋体" w:eastAsia="宋体" w:cs="宋体"/>
          <w:b/>
          <w:color w:val="000000"/>
          <w:sz w:val="24"/>
          <w:szCs w:val="24"/>
          <w:highlight w:val="none"/>
        </w:rPr>
        <w:t>五、开标与评标</w:t>
      </w:r>
      <w:bookmarkEnd w:id="126"/>
      <w:bookmarkEnd w:id="127"/>
      <w:bookmarkEnd w:id="128"/>
      <w:bookmarkEnd w:id="129"/>
    </w:p>
    <w:p w14:paraId="68D41415">
      <w:pPr>
        <w:pStyle w:val="34"/>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bookmarkStart w:id="130" w:name="_Toc16938546"/>
      <w:bookmarkStart w:id="131" w:name="_Toc513029230"/>
      <w:bookmarkStart w:id="132" w:name="_Toc20823302"/>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、开标</w:t>
      </w:r>
      <w:bookmarkEnd w:id="130"/>
      <w:bookmarkEnd w:id="131"/>
      <w:bookmarkEnd w:id="132"/>
    </w:p>
    <w:p w14:paraId="0AEFA428">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.1 采购</w:t>
      </w:r>
      <w:r>
        <w:rPr>
          <w:rFonts w:hint="eastAsia" w:ascii="宋体" w:hAnsi="宋体" w:eastAsia="宋体" w:cs="宋体"/>
          <w:color w:val="000000"/>
          <w:sz w:val="24"/>
          <w:szCs w:val="24"/>
          <w:highlight w:val="none"/>
          <w:lang w:val="en-US" w:eastAsia="zh-CN"/>
        </w:rPr>
        <w:t>人或采购代理机构</w:t>
      </w:r>
      <w:r>
        <w:rPr>
          <w:rFonts w:hint="eastAsia" w:ascii="宋体" w:hAnsi="宋体" w:eastAsia="宋体" w:cs="宋体"/>
          <w:color w:val="000000"/>
          <w:sz w:val="24"/>
          <w:szCs w:val="24"/>
          <w:highlight w:val="none"/>
        </w:rPr>
        <w:t>将在招标公告中规定的时间和地点组织公开开标。投标人应当按照《操作手册》规定，参加开标活动</w:t>
      </w:r>
      <w:r>
        <w:rPr>
          <w:rFonts w:hint="eastAsia" w:ascii="宋体" w:hAnsi="宋体" w:eastAsia="宋体" w:cs="宋体"/>
          <w:color w:val="auto"/>
          <w:sz w:val="24"/>
          <w:szCs w:val="24"/>
          <w:highlight w:val="none"/>
        </w:rPr>
        <w:t>和在苏采云系统规定的时间内对投标文件进行解密。</w:t>
      </w:r>
    </w:p>
    <w:p w14:paraId="11183E75">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.2开标仪式由采购</w:t>
      </w:r>
      <w:r>
        <w:rPr>
          <w:rFonts w:hint="eastAsia" w:ascii="宋体" w:hAnsi="宋体" w:eastAsia="宋体" w:cs="宋体"/>
          <w:color w:val="auto"/>
          <w:sz w:val="24"/>
          <w:szCs w:val="24"/>
          <w:highlight w:val="none"/>
          <w:lang w:val="en-US" w:eastAsia="zh-CN"/>
        </w:rPr>
        <w:t>代理机构</w:t>
      </w:r>
      <w:r>
        <w:rPr>
          <w:rFonts w:hint="eastAsia" w:ascii="宋体" w:hAnsi="宋体" w:eastAsia="宋体" w:cs="宋体"/>
          <w:color w:val="auto"/>
          <w:sz w:val="24"/>
          <w:szCs w:val="24"/>
          <w:highlight w:val="none"/>
        </w:rPr>
        <w:t>组织。苏采云系统将自动对项目进行开标，并宣布各投标人名称和投标价格。</w:t>
      </w:r>
    </w:p>
    <w:p w14:paraId="576E25C1">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.3投标人在开标过程中涉及到的投标文件解密、开标结果确认等工作，应按照《操作手册》规定执行。</w:t>
      </w:r>
    </w:p>
    <w:p w14:paraId="3ED85864">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.4投标人如果对开标过程和开标记录有疑义，应当根据《操作手册》规定提出，如苏采云系统中《开标记录表》宣布后5分钟内未提出的</w:t>
      </w:r>
      <w:r>
        <w:rPr>
          <w:rFonts w:hint="eastAsia" w:ascii="宋体" w:hAnsi="宋体" w:eastAsia="宋体" w:cs="宋体"/>
          <w:color w:val="000000"/>
          <w:sz w:val="24"/>
          <w:szCs w:val="24"/>
          <w:highlight w:val="none"/>
        </w:rPr>
        <w:t>，视同认可开标结果。</w:t>
      </w:r>
    </w:p>
    <w:p w14:paraId="129CC50D">
      <w:pPr>
        <w:pStyle w:val="34"/>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bookmarkStart w:id="133" w:name="_Toc513029231"/>
      <w:bookmarkStart w:id="134" w:name="_Toc16938547"/>
      <w:bookmarkStart w:id="135" w:name="_Toc20823303"/>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、评标委员会</w:t>
      </w:r>
      <w:bookmarkEnd w:id="133"/>
      <w:bookmarkEnd w:id="134"/>
      <w:bookmarkEnd w:id="135"/>
    </w:p>
    <w:p w14:paraId="2D1DA6E3">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.1开标后，采购</w:t>
      </w:r>
      <w:r>
        <w:rPr>
          <w:rFonts w:hint="eastAsia" w:ascii="宋体" w:hAnsi="宋体" w:eastAsia="宋体" w:cs="宋体"/>
          <w:color w:val="000000"/>
          <w:sz w:val="24"/>
          <w:szCs w:val="24"/>
          <w:highlight w:val="none"/>
          <w:lang w:val="en-US" w:eastAsia="zh-CN"/>
        </w:rPr>
        <w:t>人或采购代理机构</w:t>
      </w:r>
      <w:r>
        <w:rPr>
          <w:rFonts w:hint="eastAsia" w:ascii="宋体" w:hAnsi="宋体" w:eastAsia="宋体" w:cs="宋体"/>
          <w:color w:val="000000"/>
          <w:sz w:val="24"/>
          <w:szCs w:val="24"/>
          <w:highlight w:val="none"/>
        </w:rPr>
        <w:t>将立即组织评标委员会（以下简称评委会）进行评标。</w:t>
      </w:r>
    </w:p>
    <w:p w14:paraId="785090DD">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.2评委会由采购人代表和有关技术、经济等方面的专家组成，且人员构成符合政府采购有关规定。</w:t>
      </w:r>
    </w:p>
    <w:p w14:paraId="3CD5DC6D">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.3评委会独立工作，负责评审所有投标文件并确定中标侯选人。</w:t>
      </w:r>
    </w:p>
    <w:p w14:paraId="09D358E5">
      <w:pPr>
        <w:pStyle w:val="34"/>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．评标过程的保密与公正</w:t>
      </w:r>
    </w:p>
    <w:p w14:paraId="0EF8A28C">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.1凡是与审查、澄清、评价和比较投标的有关资料以及授标建议等，采购人、评委、采购代理机构均不得向投标人或与评标无关的其他人员透露。</w:t>
      </w:r>
    </w:p>
    <w:p w14:paraId="3634C820">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.2在评标过程中，投标人不得以任何行为影响评标过程，否则其投标文件将被作为无效投标文件。</w:t>
      </w:r>
    </w:p>
    <w:p w14:paraId="6D4C3814">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.3 采购</w:t>
      </w:r>
      <w:r>
        <w:rPr>
          <w:rFonts w:hint="eastAsia" w:ascii="宋体" w:hAnsi="宋体" w:eastAsia="宋体" w:cs="宋体"/>
          <w:color w:val="000000"/>
          <w:sz w:val="24"/>
          <w:szCs w:val="24"/>
          <w:highlight w:val="none"/>
          <w:lang w:val="en-US" w:eastAsia="zh-CN"/>
        </w:rPr>
        <w:t>人、采购代理机构</w:t>
      </w:r>
      <w:r>
        <w:rPr>
          <w:rFonts w:hint="eastAsia" w:ascii="宋体" w:hAnsi="宋体" w:eastAsia="宋体" w:cs="宋体"/>
          <w:color w:val="000000"/>
          <w:sz w:val="24"/>
          <w:szCs w:val="24"/>
          <w:highlight w:val="none"/>
        </w:rPr>
        <w:t>和评标委员会不向未中标的投标人解释未中标原因，也不公布评标过程中的相关</w:t>
      </w:r>
      <w:r>
        <w:rPr>
          <w:rFonts w:hint="eastAsia" w:ascii="宋体" w:hAnsi="宋体" w:eastAsia="宋体" w:cs="宋体"/>
          <w:color w:val="auto"/>
          <w:sz w:val="24"/>
          <w:szCs w:val="24"/>
          <w:highlight w:val="none"/>
        </w:rPr>
        <w:t>细节。</w:t>
      </w:r>
    </w:p>
    <w:p w14:paraId="7AAE7A3F">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.4 采用综合评分法的项目，未中标的投标人可于中标结果公告期限届满之日起通过苏采云系统查看自己的评审得分及</w:t>
      </w:r>
      <w:r>
        <w:rPr>
          <w:rFonts w:hint="eastAsia" w:ascii="宋体" w:hAnsi="宋体" w:eastAsia="宋体" w:cs="宋体"/>
          <w:color w:val="000000"/>
          <w:sz w:val="24"/>
          <w:szCs w:val="24"/>
          <w:highlight w:val="none"/>
        </w:rPr>
        <w:t>排序情况。</w:t>
      </w:r>
    </w:p>
    <w:p w14:paraId="13EAE454">
      <w:pPr>
        <w:pStyle w:val="34"/>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bookmarkStart w:id="136" w:name="_Toc20823304"/>
      <w:bookmarkStart w:id="137" w:name="_Toc513029232"/>
      <w:bookmarkStart w:id="138" w:name="_Toc16938548"/>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．投标文件的澄清</w:t>
      </w:r>
      <w:bookmarkEnd w:id="136"/>
      <w:bookmarkEnd w:id="137"/>
      <w:bookmarkEnd w:id="138"/>
    </w:p>
    <w:p w14:paraId="4A4114EF">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bookmarkStart w:id="139" w:name="_Toc20823305"/>
      <w:bookmarkStart w:id="140" w:name="_Toc16938549"/>
      <w:bookmarkStart w:id="141" w:name="_Toc513029233"/>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.1评标期间，评委会对投标文件中含义不明确、同类问题表述不一致或者有明显文字和计算错误的内容</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有权要求投标人作出必要的澄清、说明或者补正。</w:t>
      </w:r>
      <w:bookmarkEnd w:id="139"/>
      <w:bookmarkEnd w:id="140"/>
      <w:bookmarkEnd w:id="141"/>
    </w:p>
    <w:p w14:paraId="57A13E09">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投标人的澄清、说明或者补正不得超出投标文件的范围或者改变投标文件的实质性内容。</w:t>
      </w:r>
    </w:p>
    <w:p w14:paraId="5317A753">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评标委员会并非对每个投标人都做澄清要求。</w:t>
      </w:r>
    </w:p>
    <w:p w14:paraId="4CBDD583">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1763E932">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.3 接到评委会澄清、说明和补正要求的投标人如未按规定做出澄清、</w:t>
      </w:r>
      <w:r>
        <w:rPr>
          <w:rFonts w:hint="eastAsia" w:ascii="宋体" w:hAnsi="宋体" w:eastAsia="宋体" w:cs="宋体"/>
          <w:color w:val="000000"/>
          <w:sz w:val="24"/>
          <w:szCs w:val="24"/>
          <w:highlight w:val="none"/>
        </w:rPr>
        <w:t>说明和补正，其风险由投标人自行承担。</w:t>
      </w:r>
    </w:p>
    <w:p w14:paraId="6E8497E0">
      <w:pPr>
        <w:pStyle w:val="34"/>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、对投标文件的初审</w:t>
      </w:r>
    </w:p>
    <w:p w14:paraId="7FE04818">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.1投标文件初审分为资格审查和符合性审查。</w:t>
      </w:r>
    </w:p>
    <w:p w14:paraId="6F616E6A">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.1.1 资格审查：依据法律法规和招标文件的规定，由采购人对投标文件中的资格证明文件进行审查。资格审查的结论，采购人以书面形式向评委会进行反馈。</w:t>
      </w:r>
    </w:p>
    <w:p w14:paraId="50D128F7">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采购人在进行资格性审查的同时，将在“信用中国”网站（www.creditchina.gov.cn）查询投标人的信用记录，以确定投标人是否具备投标资格,查询结果留存并归档。</w:t>
      </w:r>
    </w:p>
    <w:p w14:paraId="51655AEA">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3EE3C627">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.1.2 符合性审查：依据招标文件的规定，由评委会从投标文件的有效性、完整性和对招标文件的响应程度进行审查，以确定是否对招标文件的实质性要求作出响应。</w:t>
      </w:r>
    </w:p>
    <w:p w14:paraId="58E3381A">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.1.3 未通过资格审查或符合性审查的投标人，采购</w:t>
      </w:r>
      <w:r>
        <w:rPr>
          <w:rFonts w:hint="eastAsia" w:ascii="宋体" w:hAnsi="宋体" w:eastAsia="宋体" w:cs="宋体"/>
          <w:color w:val="000000"/>
          <w:sz w:val="24"/>
          <w:szCs w:val="24"/>
          <w:highlight w:val="none"/>
          <w:lang w:val="en-US" w:eastAsia="zh-CN"/>
        </w:rPr>
        <w:t>人或采购代理机构</w:t>
      </w:r>
      <w:r>
        <w:rPr>
          <w:rFonts w:hint="eastAsia" w:ascii="宋体" w:hAnsi="宋体" w:eastAsia="宋体" w:cs="宋体"/>
          <w:color w:val="000000"/>
          <w:sz w:val="24"/>
          <w:szCs w:val="24"/>
          <w:highlight w:val="none"/>
        </w:rPr>
        <w:t>将</w:t>
      </w:r>
      <w:r>
        <w:rPr>
          <w:rFonts w:hint="eastAsia" w:ascii="宋体" w:hAnsi="宋体" w:eastAsia="宋体" w:cs="宋体"/>
          <w:color w:val="auto"/>
          <w:sz w:val="24"/>
          <w:szCs w:val="24"/>
          <w:highlight w:val="none"/>
        </w:rPr>
        <w:t>在苏采云系统中告知未通过资格审查或符合性审查的原因，评审结束后，采购</w:t>
      </w:r>
      <w:r>
        <w:rPr>
          <w:rFonts w:hint="eastAsia" w:ascii="宋体" w:hAnsi="宋体" w:eastAsia="宋体" w:cs="宋体"/>
          <w:color w:val="auto"/>
          <w:sz w:val="24"/>
          <w:szCs w:val="24"/>
          <w:highlight w:val="none"/>
          <w:lang w:val="en-US" w:eastAsia="zh-CN"/>
        </w:rPr>
        <w:t>人或采购代理机构</w:t>
      </w:r>
      <w:r>
        <w:rPr>
          <w:rFonts w:hint="eastAsia" w:ascii="宋体" w:hAnsi="宋体" w:eastAsia="宋体" w:cs="宋体"/>
          <w:color w:val="auto"/>
          <w:sz w:val="24"/>
          <w:szCs w:val="24"/>
          <w:highlight w:val="none"/>
        </w:rPr>
        <w:t>将不再告知未通过资格审查或符合性审查的原因。</w:t>
      </w:r>
    </w:p>
    <w:p w14:paraId="384AD3AA">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3B2704D8">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所谓重大偏离或保留是指与招标文件规定的实质性要求存在负偏离，或者在实质上与招标文件不一致，而且限制了合同中买方和采购</w:t>
      </w:r>
      <w:r>
        <w:rPr>
          <w:rFonts w:hint="eastAsia" w:ascii="宋体" w:hAnsi="宋体" w:eastAsia="宋体" w:cs="宋体"/>
          <w:color w:val="000000"/>
          <w:sz w:val="24"/>
          <w:szCs w:val="24"/>
          <w:highlight w:val="none"/>
          <w:lang w:val="en-US" w:eastAsia="zh-CN"/>
        </w:rPr>
        <w:t>代理机构</w:t>
      </w:r>
      <w:r>
        <w:rPr>
          <w:rFonts w:hint="eastAsia" w:ascii="宋体" w:hAnsi="宋体" w:eastAsia="宋体" w:cs="宋体"/>
          <w:color w:val="000000"/>
          <w:sz w:val="24"/>
          <w:szCs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0BD53A33">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.3如果投标文件实质上没有响应招标文件的要求，评委会将予以拒绝，投标人不得通过修改或撤销不合要求的偏离或保留而使其投标成为实质性响应的投标。</w:t>
      </w:r>
    </w:p>
    <w:p w14:paraId="6C5C1426">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.4评委会将对确定为实质性响应的投标进行进一步审核，看其是否有计算上或累加上的算术错误，修正错误的原则如下：</w:t>
      </w:r>
    </w:p>
    <w:p w14:paraId="745471BF">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（1）投标文件中开标一览表内容与投标文件中相应内容不一致的，以开标一览表为准。</w:t>
      </w:r>
    </w:p>
    <w:p w14:paraId="36EAF61B">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（2）大写金额和小写金额不一致的，以大写金额为准。</w:t>
      </w:r>
    </w:p>
    <w:p w14:paraId="30CF8595">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（3）单价金额小数点或者百分比有明显错位的，以开标一览表的总价为准，并修改单价。</w:t>
      </w:r>
    </w:p>
    <w:p w14:paraId="1F94EED3">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（4）总价金额与按单价汇总金额不一致的，以单价金额计算结果为准。</w:t>
      </w:r>
    </w:p>
    <w:p w14:paraId="24E21802">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同时出现两种以上错误的，按照前款规定的顺序修正。</w:t>
      </w:r>
    </w:p>
    <w:p w14:paraId="5F00B6E0">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.5评委会将按上述修正错误的方法调整投标文件中的投标报价，并通过苏采云系统告知投标人，调整后的价格应对投标人具有约束力。如果投标人不接受修正后的价格，则其投标将被拒绝。</w:t>
      </w:r>
    </w:p>
    <w:p w14:paraId="0FB56614">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bookmarkStart w:id="142" w:name="_Toc513029234"/>
      <w:bookmarkStart w:id="143" w:name="_Toc16938550"/>
      <w:bookmarkStart w:id="144" w:name="_Toc20823306"/>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.6</w:t>
      </w:r>
      <w:bookmarkEnd w:id="142"/>
      <w:bookmarkEnd w:id="143"/>
      <w:bookmarkEnd w:id="144"/>
      <w:r>
        <w:rPr>
          <w:rFonts w:hint="eastAsia" w:ascii="宋体" w:hAnsi="宋体" w:eastAsia="宋体" w:cs="宋体"/>
          <w:color w:val="auto"/>
          <w:sz w:val="24"/>
          <w:szCs w:val="24"/>
          <w:highlight w:val="none"/>
        </w:rPr>
        <w:t>投标人在开、评标全过程中应保持通讯畅通，及时登录苏采云系统查阅、答复相关信息，并安排专人与采购代理机构及评标委员会联系。</w:t>
      </w:r>
    </w:p>
    <w:p w14:paraId="0321389C">
      <w:pPr>
        <w:pStyle w:val="34"/>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、无效投标条款和废标条款</w:t>
      </w:r>
    </w:p>
    <w:p w14:paraId="3FCAFDD5">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bookmarkStart w:id="145" w:name="_Toc513029235"/>
      <w:bookmarkStart w:id="146" w:name="_Toc20823307"/>
      <w:bookmarkStart w:id="147" w:name="_Toc16938551"/>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.1无效投标条款</w:t>
      </w:r>
      <w:bookmarkEnd w:id="145"/>
      <w:bookmarkEnd w:id="146"/>
      <w:bookmarkEnd w:id="147"/>
    </w:p>
    <w:p w14:paraId="2C4B1B92">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.1.1 投标人在苏采云系统规定的时间内未成功解密电子投标文件的。</w:t>
      </w:r>
    </w:p>
    <w:p w14:paraId="702470A9">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.1.2 投标人未按照招标文件要求上传电子投标文件的。</w:t>
      </w:r>
    </w:p>
    <w:p w14:paraId="55A3E0F3">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.1.3同一投标人提交两个（含两个）以上不同的投标报价的。</w:t>
      </w:r>
    </w:p>
    <w:p w14:paraId="794AFF31">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.1.4投标人不具备招标文件中规定资格要求的。</w:t>
      </w:r>
    </w:p>
    <w:p w14:paraId="6435BD03">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.1.5投标人的报价超过了采购预算或最高限价的。</w:t>
      </w:r>
    </w:p>
    <w:p w14:paraId="6309DACB">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.1.6未通过符合性审查的。</w:t>
      </w:r>
    </w:p>
    <w:p w14:paraId="10FAF2C5">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.1.7不符合招标文件中规定的实质性要求和条件的（</w:t>
      </w:r>
      <w:r>
        <w:rPr>
          <w:rFonts w:hint="eastAsia" w:ascii="宋体" w:hAnsi="宋体" w:eastAsia="宋体" w:cs="宋体"/>
          <w:i/>
          <w:color w:val="000000"/>
          <w:sz w:val="24"/>
          <w:szCs w:val="24"/>
          <w:highlight w:val="none"/>
          <w:u w:val="single"/>
        </w:rPr>
        <w:t>本招标文件中斜体且有下划线部分为实质性要求和条件）。</w:t>
      </w:r>
    </w:p>
    <w:p w14:paraId="305E4AF9">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40BAC237">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.1.9 投标文件含有采购人不能接受的附加条件的。</w:t>
      </w:r>
    </w:p>
    <w:p w14:paraId="5A6A7732">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.1.10投标人不能证明其报价合理性的，评标委员会应当将其作为无效投标处理。</w:t>
      </w:r>
    </w:p>
    <w:p w14:paraId="416B9A32">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（一）评审过程中出现下列情形之一的，评标委员会应当启动异常低价投标审查程序：</w:t>
      </w:r>
    </w:p>
    <w:p w14:paraId="5807529E">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1.投标报价低于采购项目预算50%的，即投标报价&lt;采购项目预算×50%；</w:t>
      </w:r>
    </w:p>
    <w:p w14:paraId="2BF96B2A">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2.投标报价低于采购项目最高限价45%的，即投标报价&lt;采购项目最高限价×45%；</w:t>
      </w:r>
    </w:p>
    <w:p w14:paraId="1A90F616">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3.评标委员会认定的供应商报价过低、有可能影响产品质量或者不能诚信履约的其他情形。</w:t>
      </w:r>
    </w:p>
    <w:p w14:paraId="36037459">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p>
    <w:p w14:paraId="206BEEB3">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.1.11 投标文件未按照招标文件要求加盖CA电子公章的。</w:t>
      </w:r>
    </w:p>
    <w:p w14:paraId="6EB83D91">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其他法律、法规及本招标文件规定的属无效投标的情形。</w:t>
      </w:r>
    </w:p>
    <w:p w14:paraId="3FFC2B65">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.2废标条款</w:t>
      </w:r>
    </w:p>
    <w:p w14:paraId="24ABC6CF">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.2.1符合专业条件的供应商或者对招标文件作实质响应的供应商不足三家的。</w:t>
      </w:r>
    </w:p>
    <w:p w14:paraId="3DE22263">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.2.2出现影响采购公正的违法、违规行为的。</w:t>
      </w:r>
    </w:p>
    <w:p w14:paraId="71E0E814">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.2.3因重大变故，采购任务取消的。</w:t>
      </w:r>
    </w:p>
    <w:p w14:paraId="3FD39E47">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.2.4评标委员会认定招标文件存在歧义、重大缺陷导致评审工作无法进行。</w:t>
      </w:r>
    </w:p>
    <w:p w14:paraId="05CE724B">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.2.5 因苏采云系统系统故障原因造成开标不成功的。</w:t>
      </w:r>
    </w:p>
    <w:p w14:paraId="1EAF4C22">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.3 投标截止时间结束后参加投标的供应商不足三家的处理：</w:t>
      </w:r>
    </w:p>
    <w:p w14:paraId="04A302AA">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.3.1如出现投标截止时间结束后参加投标的供应商或者</w:t>
      </w:r>
      <w:r>
        <w:rPr>
          <w:rFonts w:hint="eastAsia" w:ascii="宋体" w:hAnsi="宋体" w:eastAsia="宋体" w:cs="宋体"/>
          <w:color w:val="000000"/>
          <w:sz w:val="24"/>
          <w:szCs w:val="24"/>
          <w:highlight w:val="none"/>
        </w:rPr>
        <w:t>在评标期间对招标文件做出实质响应的供应商不足三家情况，按政府采购相关规定执行。</w:t>
      </w:r>
    </w:p>
    <w:p w14:paraId="270DBDC4">
      <w:pPr>
        <w:pStyle w:val="34"/>
        <w:keepNext/>
        <w:keepLines/>
        <w:pageBreakBefore w:val="0"/>
        <w:widowControl w:val="0"/>
        <w:kinsoku/>
        <w:wordWrap/>
        <w:overflowPunct/>
        <w:topLinePunct w:val="0"/>
        <w:autoSpaceDE/>
        <w:autoSpaceDN/>
        <w:bidi w:val="0"/>
        <w:spacing w:beforeAutospacing="0" w:afterAutospacing="0" w:line="360" w:lineRule="auto"/>
        <w:ind w:left="0" w:firstLine="482"/>
        <w:jc w:val="both"/>
        <w:textAlignment w:val="auto"/>
        <w:rPr>
          <w:rFonts w:hint="eastAsia" w:ascii="宋体" w:hAnsi="宋体" w:eastAsia="宋体" w:cs="宋体"/>
          <w:sz w:val="24"/>
          <w:szCs w:val="24"/>
          <w:highlight w:val="none"/>
        </w:rPr>
      </w:pPr>
      <w:bookmarkStart w:id="148" w:name="_Toc120614219"/>
      <w:r>
        <w:rPr>
          <w:rFonts w:hint="eastAsia" w:ascii="宋体" w:hAnsi="宋体" w:eastAsia="宋体" w:cs="宋体"/>
          <w:b/>
          <w:color w:val="000000"/>
          <w:sz w:val="24"/>
          <w:szCs w:val="24"/>
          <w:highlight w:val="none"/>
        </w:rPr>
        <w:t>六、定标</w:t>
      </w:r>
      <w:bookmarkEnd w:id="148"/>
    </w:p>
    <w:p w14:paraId="7BB62DEE">
      <w:pPr>
        <w:pStyle w:val="34"/>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bookmarkStart w:id="149" w:name="_Toc20823310"/>
      <w:bookmarkStart w:id="150" w:name="_Toc16938554"/>
      <w:bookmarkStart w:id="151" w:name="_Toc513029238"/>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w:t>
      </w:r>
      <w:bookmarkEnd w:id="149"/>
      <w:r>
        <w:rPr>
          <w:rFonts w:hint="eastAsia" w:ascii="宋体" w:hAnsi="宋体" w:eastAsia="宋体" w:cs="宋体"/>
          <w:color w:val="000000"/>
          <w:sz w:val="24"/>
          <w:szCs w:val="24"/>
          <w:highlight w:val="none"/>
        </w:rPr>
        <w:t>确定</w:t>
      </w:r>
      <w:bookmarkEnd w:id="150"/>
      <w:bookmarkEnd w:id="151"/>
      <w:r>
        <w:rPr>
          <w:rFonts w:hint="eastAsia" w:ascii="宋体" w:hAnsi="宋体" w:eastAsia="宋体" w:cs="宋体"/>
          <w:color w:val="000000"/>
          <w:sz w:val="24"/>
          <w:szCs w:val="24"/>
          <w:highlight w:val="none"/>
        </w:rPr>
        <w:t>中标单位</w:t>
      </w:r>
    </w:p>
    <w:p w14:paraId="4864BD46">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 xml:space="preserve">.1中标候选人的选取原则和数量见招标文件第五章规定。 </w:t>
      </w:r>
    </w:p>
    <w:p w14:paraId="3AB4A4B4">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.2 采购人应根据评委会推荐的中标候选人确定中标人。</w:t>
      </w:r>
    </w:p>
    <w:p w14:paraId="50078945">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.3 采购</w:t>
      </w:r>
      <w:r>
        <w:rPr>
          <w:rFonts w:hint="eastAsia" w:ascii="宋体" w:hAnsi="宋体" w:eastAsia="宋体" w:cs="宋体"/>
          <w:color w:val="000000"/>
          <w:sz w:val="24"/>
          <w:szCs w:val="24"/>
          <w:highlight w:val="none"/>
          <w:lang w:val="en-US" w:eastAsia="zh-CN"/>
        </w:rPr>
        <w:t>代理机构</w:t>
      </w:r>
      <w:r>
        <w:rPr>
          <w:rFonts w:hint="eastAsia" w:ascii="宋体" w:hAnsi="宋体" w:eastAsia="宋体" w:cs="宋体"/>
          <w:color w:val="000000"/>
          <w:sz w:val="24"/>
          <w:szCs w:val="24"/>
          <w:highlight w:val="none"/>
        </w:rPr>
        <w:t>将在</w:t>
      </w:r>
      <w:r>
        <w:rPr>
          <w:rFonts w:hint="eastAsia" w:ascii="宋体" w:hAnsi="宋体" w:eastAsia="宋体" w:cs="宋体"/>
          <w:color w:val="000000"/>
          <w:sz w:val="24"/>
          <w:szCs w:val="24"/>
          <w:highlight w:val="none"/>
          <w:lang w:val="en-US" w:eastAsia="zh-CN" w:bidi="ar-SA"/>
        </w:rPr>
        <w:t>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w:t>
      </w:r>
      <w:r>
        <w:rPr>
          <w:rFonts w:hint="eastAsia" w:ascii="宋体" w:hAnsi="宋体" w:eastAsia="宋体" w:cs="宋体"/>
          <w:color w:val="000000"/>
          <w:sz w:val="24"/>
          <w:szCs w:val="24"/>
          <w:highlight w:val="none"/>
        </w:rPr>
        <w:t>“江苏政府采购网”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w:t>
      </w:r>
      <w:r>
        <w:rPr>
          <w:rFonts w:hint="eastAsia" w:ascii="宋体" w:hAnsi="宋体" w:eastAsia="宋体" w:cs="宋体"/>
          <w:color w:val="000000"/>
          <w:sz w:val="24"/>
          <w:szCs w:val="24"/>
          <w:highlight w:val="none"/>
        </w:rPr>
        <w:t>发布中标公告，公告期限为1个工作日。</w:t>
      </w:r>
    </w:p>
    <w:p w14:paraId="2AB3B68D">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.4若有充分证据证明，中标人出现下列情况之一的，一经查实，将被取消中标资格：</w:t>
      </w:r>
    </w:p>
    <w:p w14:paraId="5C1F237D">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.4.1提供虚假材料谋取中标的。</w:t>
      </w:r>
    </w:p>
    <w:p w14:paraId="6304E768">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.4.2向采购人、采购代理机构行贿或者提供其他不正当利益的。</w:t>
      </w:r>
    </w:p>
    <w:p w14:paraId="668B4A2E">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.4.3属于本文件规定的无效条件，但在评标过程中又未被评委会发现的。</w:t>
      </w:r>
    </w:p>
    <w:p w14:paraId="33F294A7">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.4.4与采购人或者其他供应商恶意串通的。</w:t>
      </w:r>
    </w:p>
    <w:p w14:paraId="3FC9F1D4">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.4.5采取不正当手段诋毁、排挤其他供应商的。</w:t>
      </w:r>
    </w:p>
    <w:p w14:paraId="69E3472C">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bookmarkStart w:id="152" w:name="_Toc200451960"/>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.5.有下列情形之一的，视为投标人串通投标，投标无效：</w:t>
      </w:r>
      <w:bookmarkEnd w:id="152"/>
    </w:p>
    <w:p w14:paraId="56EA4FF3">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.5.1不同投标人的投标文件由同一单位或者个人编制；</w:t>
      </w:r>
    </w:p>
    <w:p w14:paraId="1B0671DF">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.5.2不同投标人委托同一单位或者个人办理投标事宜；</w:t>
      </w:r>
    </w:p>
    <w:p w14:paraId="2AE0DF5E">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.5.3 不同投标人的投标文件载明的项目管理成员或者联系人员为同一人；</w:t>
      </w:r>
    </w:p>
    <w:p w14:paraId="5810DA08">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.5.4不同投标人的投标文件异常一致或者投标报价呈规律性差异；</w:t>
      </w:r>
    </w:p>
    <w:p w14:paraId="34B4BAFA">
      <w:pPr>
        <w:pStyle w:val="34"/>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、质疑处理</w:t>
      </w:r>
    </w:p>
    <w:p w14:paraId="78C680DA">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.1 提出质疑的供应商应当是参与所质疑项目采购活动的供应商。潜在供应商依法获取其可质疑的采购文件的，可以对采购文件提出质疑。</w:t>
      </w:r>
    </w:p>
    <w:p w14:paraId="789C0331">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.2供应商认为采购文件、采购过程和采购结果使自己的权益受到损害的，可以在知道或应知其权益受到损害之日起七个工作日内，以书面形式根据下述2</w:t>
      </w: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.4条款的规定向采购代理机构或采购人提出质疑。上述应知其权益受到损害之日，是指：</w:t>
      </w:r>
    </w:p>
    <w:p w14:paraId="31DE72B1">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.2.1对可以质疑的采购文件提出质疑的，为收到采购文件之日或者采购文件公告期限届满之日；</w:t>
      </w:r>
    </w:p>
    <w:p w14:paraId="6F9D3CCD">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.2.2对采购过程提出质疑的，为各采购程序环节结束之日；</w:t>
      </w:r>
    </w:p>
    <w:p w14:paraId="4E179CDF">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.2.3对中标或者成交结果提出质疑的，为中标或者成交结果公告期限届满之日。</w:t>
      </w:r>
    </w:p>
    <w:p w14:paraId="2A51B855">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6A5B752D">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.3质疑函必须按照本招标文件中《质疑函范本》要求的格式和内容进行填写。供应商如组成联合体参加投标，则《质疑函范本》中要求签字、盖章、加盖公章之处，联合体各方均须按要求签字、盖章、加盖公章。</w:t>
      </w:r>
    </w:p>
    <w:p w14:paraId="21DEB627">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.4 供应</w:t>
      </w:r>
      <w:r>
        <w:rPr>
          <w:rFonts w:hint="eastAsia" w:ascii="宋体" w:hAnsi="宋体" w:eastAsia="宋体" w:cs="宋体"/>
          <w:color w:val="auto"/>
          <w:sz w:val="24"/>
          <w:szCs w:val="24"/>
          <w:highlight w:val="none"/>
        </w:rPr>
        <w:t>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p>
    <w:p w14:paraId="2D42C453">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采购人及采购代理机构只接收以纸质原件形式送达的质疑,采购人和采购代理机构不接受未填写快递运单的快件。</w:t>
      </w:r>
    </w:p>
    <w:p w14:paraId="0201AAFA">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.5 以下情形的质疑不予受理</w:t>
      </w:r>
    </w:p>
    <w:p w14:paraId="1505FFAB">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.5.1 内容不符合《政府采购质疑和投诉办法》第十二条规定的质疑。</w:t>
      </w:r>
    </w:p>
    <w:p w14:paraId="6B06C46A">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.5.2 超出政府采购法定期限的质疑。</w:t>
      </w:r>
    </w:p>
    <w:p w14:paraId="50E58048">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.5.3 以传真、电子邮件等方式递交的非原件形式的质疑。</w:t>
      </w:r>
    </w:p>
    <w:p w14:paraId="2C4352B1">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.5.4 未参加投标活动的供应商或在投标活动中自身权益未受到损害的供应商所提出的质疑。</w:t>
      </w:r>
    </w:p>
    <w:p w14:paraId="08F71F81">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.5.5供应商组成联合体参加投标，联合体中任何一方或多方未按要求签字、盖章、加盖公章的质疑。</w:t>
      </w:r>
    </w:p>
    <w:p w14:paraId="0D563B54">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.6供应商提出书面质疑必须有理、有据，不得捏造事实、提供虚假材料进行恶意质疑。否则，一经查实，采购</w:t>
      </w:r>
      <w:r>
        <w:rPr>
          <w:rFonts w:hint="eastAsia" w:ascii="宋体" w:hAnsi="宋体" w:eastAsia="宋体" w:cs="宋体"/>
          <w:color w:val="000000"/>
          <w:sz w:val="24"/>
          <w:szCs w:val="24"/>
          <w:highlight w:val="none"/>
          <w:lang w:val="en-US" w:eastAsia="zh-CN"/>
        </w:rPr>
        <w:t>人</w:t>
      </w:r>
      <w:r>
        <w:rPr>
          <w:rFonts w:hint="eastAsia" w:ascii="宋体" w:hAnsi="宋体" w:eastAsia="宋体" w:cs="宋体"/>
          <w:color w:val="000000"/>
          <w:sz w:val="24"/>
          <w:szCs w:val="24"/>
          <w:highlight w:val="none"/>
        </w:rPr>
        <w:t>有权依据政府采购的有关规定，报请政府采购监管部门对该供应商进行相应的行政处罚和记录该供应商的失信信息。</w:t>
      </w:r>
    </w:p>
    <w:p w14:paraId="1410546E">
      <w:pPr>
        <w:pStyle w:val="34"/>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29</w:t>
      </w:r>
      <w:r>
        <w:rPr>
          <w:rFonts w:hint="eastAsia" w:ascii="宋体" w:hAnsi="宋体" w:eastAsia="宋体" w:cs="宋体"/>
          <w:color w:val="000000"/>
          <w:sz w:val="24"/>
          <w:szCs w:val="24"/>
          <w:highlight w:val="none"/>
        </w:rPr>
        <w:t>、中标通知书</w:t>
      </w:r>
    </w:p>
    <w:p w14:paraId="2D15CFFA">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29</w:t>
      </w:r>
      <w:r>
        <w:rPr>
          <w:rFonts w:hint="eastAsia" w:ascii="宋体" w:hAnsi="宋体" w:eastAsia="宋体" w:cs="宋体"/>
          <w:color w:val="000000"/>
          <w:sz w:val="24"/>
          <w:szCs w:val="24"/>
          <w:highlight w:val="none"/>
        </w:rPr>
        <w:t>.l中标结果确定后，采购代理机构将向中标人发出中标通知书。请中标人在中标结果公告届满之日起30日内,使用CA数字证书</w:t>
      </w:r>
      <w:r>
        <w:rPr>
          <w:rFonts w:hint="eastAsia" w:ascii="宋体" w:hAnsi="宋体" w:eastAsia="宋体" w:cs="宋体"/>
          <w:color w:val="auto"/>
          <w:sz w:val="24"/>
          <w:szCs w:val="24"/>
          <w:highlight w:val="none"/>
        </w:rPr>
        <w:t>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sz w:val="24"/>
          <w:szCs w:val="24"/>
          <w:highlight w:val="none"/>
        </w:rPr>
        <w:t>标人自行承担。</w:t>
      </w:r>
    </w:p>
    <w:p w14:paraId="3E0E6553">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29</w:t>
      </w:r>
      <w:r>
        <w:rPr>
          <w:rFonts w:hint="eastAsia" w:ascii="宋体" w:hAnsi="宋体" w:eastAsia="宋体" w:cs="宋体"/>
          <w:color w:val="000000"/>
          <w:sz w:val="24"/>
          <w:szCs w:val="24"/>
          <w:highlight w:val="none"/>
        </w:rPr>
        <w:t>.2中标通知书将是合同的一个组成部分。对采购人和中标供应商均具有法律效力。中标通知书发出后，采购人改变中标结果的，或者中标供应商放弃中标项目的，应当依法承担法律责任。</w:t>
      </w:r>
    </w:p>
    <w:p w14:paraId="6714BF0C">
      <w:pPr>
        <w:pStyle w:val="34"/>
        <w:keepNext/>
        <w:keepLines/>
        <w:pageBreakBefore w:val="0"/>
        <w:widowControl w:val="0"/>
        <w:kinsoku/>
        <w:wordWrap/>
        <w:overflowPunct/>
        <w:topLinePunct w:val="0"/>
        <w:autoSpaceDE/>
        <w:autoSpaceDN/>
        <w:bidi w:val="0"/>
        <w:spacing w:beforeAutospacing="0" w:afterAutospacing="0" w:line="360" w:lineRule="auto"/>
        <w:ind w:left="0" w:firstLine="482"/>
        <w:jc w:val="both"/>
        <w:textAlignment w:val="auto"/>
        <w:rPr>
          <w:rFonts w:hint="eastAsia" w:ascii="宋体" w:hAnsi="宋体" w:eastAsia="宋体" w:cs="宋体"/>
          <w:sz w:val="24"/>
          <w:szCs w:val="24"/>
          <w:highlight w:val="none"/>
        </w:rPr>
      </w:pPr>
      <w:bookmarkStart w:id="153" w:name="_Toc16938552"/>
      <w:bookmarkStart w:id="154" w:name="_Toc120614220"/>
      <w:bookmarkStart w:id="155" w:name="_Toc513029236"/>
      <w:bookmarkStart w:id="156" w:name="_Toc20823308"/>
      <w:r>
        <w:rPr>
          <w:rFonts w:hint="eastAsia" w:ascii="宋体" w:hAnsi="宋体" w:eastAsia="宋体" w:cs="宋体"/>
          <w:b/>
          <w:color w:val="000000"/>
          <w:sz w:val="24"/>
          <w:szCs w:val="24"/>
          <w:highlight w:val="none"/>
        </w:rPr>
        <w:t>七、授予合同</w:t>
      </w:r>
      <w:bookmarkEnd w:id="153"/>
      <w:bookmarkEnd w:id="154"/>
      <w:bookmarkEnd w:id="155"/>
      <w:bookmarkEnd w:id="156"/>
    </w:p>
    <w:p w14:paraId="7745A80F">
      <w:pPr>
        <w:pStyle w:val="34"/>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bookmarkStart w:id="157" w:name="_Toc20823309"/>
      <w:bookmarkStart w:id="158" w:name="_Toc513029237"/>
      <w:bookmarkStart w:id="159" w:name="_Toc16938553"/>
      <w:r>
        <w:rPr>
          <w:rFonts w:hint="eastAsia" w:ascii="宋体" w:hAnsi="宋体" w:eastAsia="宋体" w:cs="宋体"/>
          <w:color w:val="000000"/>
          <w:sz w:val="24"/>
          <w:szCs w:val="24"/>
          <w:highlight w:val="none"/>
        </w:rPr>
        <w:t>3</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rPr>
        <w:t>. 签订合同</w:t>
      </w:r>
      <w:bookmarkEnd w:id="157"/>
      <w:bookmarkEnd w:id="158"/>
      <w:bookmarkEnd w:id="159"/>
    </w:p>
    <w:p w14:paraId="2251CDE2">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rPr>
        <w:t>.l中标人应当在中标通知书发出之日起三十日内，按照招标文件确定的事项与采购人签订政府采购合同。</w:t>
      </w:r>
    </w:p>
    <w:p w14:paraId="22EF8F05">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rPr>
        <w:t>.2招标文件、中标人的投标文件及招标过程中有关澄清、承诺文件均应作为合同附件。</w:t>
      </w:r>
    </w:p>
    <w:p w14:paraId="61B540AC">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rPr>
        <w:t>3</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rPr>
        <w:t>.3 签订合同后，</w:t>
      </w:r>
      <w:r>
        <w:rPr>
          <w:rFonts w:hint="eastAsia" w:ascii="宋体" w:hAnsi="宋体" w:eastAsia="宋体" w:cs="宋体"/>
          <w:i/>
          <w:color w:val="000000"/>
          <w:sz w:val="24"/>
          <w:szCs w:val="24"/>
          <w:highlight w:val="none"/>
          <w:u w:val="single"/>
        </w:rPr>
        <w:t>中标人不得将合同标的进行转包</w:t>
      </w:r>
      <w:r>
        <w:rPr>
          <w:rFonts w:hint="eastAsia" w:ascii="宋体" w:hAnsi="宋体" w:eastAsia="宋体" w:cs="宋体"/>
          <w:color w:val="000000"/>
          <w:sz w:val="24"/>
          <w:szCs w:val="24"/>
          <w:highlight w:val="none"/>
        </w:rPr>
        <w:t>。未经采购人同意，中标人也不得采用分包的形式履行合同，否则采购人有权终止合同。转包或分包造成采</w:t>
      </w:r>
      <w:r>
        <w:rPr>
          <w:rFonts w:hint="eastAsia" w:ascii="宋体" w:hAnsi="宋体" w:eastAsia="宋体" w:cs="宋体"/>
          <w:color w:val="000000"/>
          <w:sz w:val="24"/>
          <w:szCs w:val="24"/>
          <w:highlight w:val="none"/>
          <w:shd w:val="clear" w:color="auto" w:fill="auto"/>
        </w:rPr>
        <w:t>购人损失的，中标人应承担相应赔偿责任。</w:t>
      </w:r>
    </w:p>
    <w:p w14:paraId="35EA49AF">
      <w:pPr>
        <w:pStyle w:val="34"/>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、货物（包含与货物相关的服务）的追加</w:t>
      </w:r>
    </w:p>
    <w:p w14:paraId="273C846C">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.1政府采购合同履行中，采购人需追加与合同标的相同的货物（包含与货物相关的服务）的，在不改变合同其他条款的前提下，可以与中标人协商签订补充合同，但所有补充合同的采购金额不超过原合同金额10%。</w:t>
      </w:r>
    </w:p>
    <w:p w14:paraId="6B5E52D8">
      <w:pPr>
        <w:pStyle w:val="34"/>
        <w:pageBreakBefore w:val="0"/>
        <w:widowControl w:val="0"/>
        <w:numPr>
          <w:ilvl w:val="0"/>
          <w:numId w:val="0"/>
        </w:numPr>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32.政府采购政策功能落实</w:t>
      </w:r>
    </w:p>
    <w:p w14:paraId="70025506">
      <w:pPr>
        <w:pStyle w:val="34"/>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32.1</w:t>
      </w:r>
      <w:r>
        <w:rPr>
          <w:rFonts w:hint="eastAsia" w:ascii="宋体" w:hAnsi="宋体" w:eastAsia="宋体" w:cs="宋体"/>
          <w:color w:val="auto"/>
          <w:sz w:val="24"/>
          <w:szCs w:val="24"/>
          <w:highlight w:val="none"/>
        </w:rPr>
        <w:t>政府采购</w:t>
      </w:r>
      <w:r>
        <w:rPr>
          <w:rFonts w:hint="eastAsia" w:ascii="宋体" w:hAnsi="宋体" w:eastAsia="宋体" w:cs="宋体"/>
          <w:color w:val="auto"/>
          <w:sz w:val="24"/>
          <w:szCs w:val="24"/>
          <w:highlight w:val="none"/>
          <w:lang w:eastAsia="zh-CN"/>
        </w:rPr>
        <w:t>线上合同信用融资</w:t>
      </w:r>
      <w:r>
        <w:rPr>
          <w:rFonts w:hint="eastAsia" w:ascii="宋体" w:hAnsi="宋体" w:eastAsia="宋体" w:cs="宋体"/>
          <w:color w:val="auto"/>
          <w:sz w:val="24"/>
          <w:szCs w:val="24"/>
          <w:highlight w:val="none"/>
        </w:rPr>
        <w:t>政策</w:t>
      </w:r>
    </w:p>
    <w:p w14:paraId="178060F4">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转发江苏省财政厅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江苏</w:t>
      </w:r>
      <w:r>
        <w:rPr>
          <w:rFonts w:hint="eastAsia" w:ascii="宋体" w:hAnsi="宋体" w:eastAsia="宋体" w:cs="宋体"/>
          <w:color w:val="auto"/>
          <w:sz w:val="24"/>
          <w:szCs w:val="24"/>
          <w:highlight w:val="none"/>
        </w:rPr>
        <w:t>政府采购网“政采贷”栏目）申请贷款，相关金融机构按照双方自愿的原则提供便捷、优惠的贷款服务；具体操作流程请参考苏采云系统中操作手册。</w:t>
      </w:r>
    </w:p>
    <w:p w14:paraId="53478505">
      <w:pPr>
        <w:pageBreakBefore w:val="0"/>
        <w:widowControl w:val="0"/>
        <w:tabs>
          <w:tab w:val="left" w:pos="1381"/>
        </w:tabs>
        <w:kinsoku/>
        <w:wordWrap/>
        <w:overflowPunct/>
        <w:topLinePunct w:val="0"/>
        <w:autoSpaceDE/>
        <w:autoSpaceDN/>
        <w:bidi w:val="0"/>
        <w:spacing w:line="360" w:lineRule="auto"/>
        <w:ind w:left="0" w:firstLine="48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32.2进口产品</w:t>
      </w:r>
    </w:p>
    <w:p w14:paraId="442F1C4C">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进口产品</w:t>
      </w:r>
      <w:r>
        <w:rPr>
          <w:rFonts w:hint="eastAsia" w:ascii="宋体" w:hAnsi="宋体" w:eastAsia="宋体" w:cs="宋体"/>
          <w:color w:val="auto"/>
          <w:sz w:val="24"/>
          <w:szCs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C1E6608">
      <w:pPr>
        <w:pageBreakBefore w:val="0"/>
        <w:widowControl w:val="0"/>
        <w:tabs>
          <w:tab w:val="left" w:pos="1381"/>
        </w:tabs>
        <w:kinsoku/>
        <w:wordWrap/>
        <w:overflowPunct/>
        <w:topLinePunct w:val="0"/>
        <w:autoSpaceDE/>
        <w:autoSpaceDN/>
        <w:bidi w:val="0"/>
        <w:spacing w:line="360" w:lineRule="auto"/>
        <w:ind w:left="0" w:firstLine="48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32.3中小企业、监狱企业及残疾人福利性单位</w:t>
      </w:r>
    </w:p>
    <w:p w14:paraId="63D588A6">
      <w:pPr>
        <w:pageBreakBefore w:val="0"/>
        <w:widowControl w:val="0"/>
        <w:kinsoku/>
        <w:wordWrap/>
        <w:overflowPunct/>
        <w:topLinePunct w:val="0"/>
        <w:autoSpaceDE/>
        <w:autoSpaceDN/>
        <w:bidi w:val="0"/>
        <w:spacing w:line="360" w:lineRule="auto"/>
        <w:ind w:left="0"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.3.1中小企业定义：</w:t>
      </w:r>
    </w:p>
    <w:p w14:paraId="1C2D037F">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5E60E844">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.3.2供应商提供的货物、工程或者服务符合下列情形的，享受中小企业扶持政策：</w:t>
      </w:r>
    </w:p>
    <w:p w14:paraId="3CBC3BD5">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.3.2.1在货物采购项目中，货物由中小企业制造，即货物由中小企业生产且使用该中小企业商号或者注册商标；</w:t>
      </w:r>
    </w:p>
    <w:p w14:paraId="5B39D0E0">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.3.2.2在工程采购项目中，工程由中小企业承建，即工程施工单位为中小企业；</w:t>
      </w:r>
    </w:p>
    <w:p w14:paraId="36811BFA">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.3.2.3在服务采购项目中，服务由中小企业承接，即提供服务的人员为中小企业依照《中华人民共和国劳动合同法》订立劳动合同的从业人员。</w:t>
      </w:r>
    </w:p>
    <w:p w14:paraId="75C301AD">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.3.3在货物采购项目中，供应商提供的货物既有中小企业制造货物，也有大型企业制造货物的，不享受中小企业扶持政策。</w:t>
      </w:r>
    </w:p>
    <w:p w14:paraId="6E4C03CF">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.3.4以联合体形式参加政府采购活动，联合体各方均为中小企业的，联合体视同中小企业。其中，联合体各方均为小微企业的，联合体视同小微企业。</w:t>
      </w:r>
    </w:p>
    <w:p w14:paraId="6274C90A">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30A53CC">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.3.6残疾人福利单位定义：享受政府采购支持政策的残疾人福利性单位应当同时满足以下条件：</w:t>
      </w:r>
    </w:p>
    <w:p w14:paraId="6624A5E6">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.3.6.1安置的残疾人占本单位在职职工人数的比例不低于25%（含25%），并且安置的残疾人人数不少于10 人（含10 人）；</w:t>
      </w:r>
    </w:p>
    <w:p w14:paraId="0E176E39">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.3.6.2依法与安置的每位残疾人签订了一年以上（含一年）的劳动合同或服务协议；</w:t>
      </w:r>
    </w:p>
    <w:p w14:paraId="4490D7F5">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.3.6.3为安置的每位残疾人按月足额缴纳了基本养老保险、基本医疗保险、失业保险、工伤保险和生育保险等社会保险费；</w:t>
      </w:r>
    </w:p>
    <w:p w14:paraId="706DF338">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.3.6.4通过银行等金融机构向安置的每位残疾人，按月支付了不低于单位所在区县适用的经省级人民政府批准的月最低工资标准的工资；</w:t>
      </w:r>
    </w:p>
    <w:p w14:paraId="68AAA972">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.3.6.5提供本单位制造的货物、承担的工程或者服务（以下简称产品），或者提供其他残疾人福利性单位制造的货物（不包括使用非残疾人福利性单位注册商标的货物）；</w:t>
      </w:r>
    </w:p>
    <w:p w14:paraId="7935B87C">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1AECEE16">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.3.7本项目是否专门面向中小企业预留采购份额见第一章《</w:t>
      </w:r>
      <w:r>
        <w:rPr>
          <w:rFonts w:hint="eastAsia" w:ascii="宋体" w:hAnsi="宋体" w:eastAsia="宋体" w:cs="宋体"/>
          <w:color w:val="auto"/>
          <w:sz w:val="24"/>
          <w:szCs w:val="24"/>
          <w:highlight w:val="none"/>
          <w:lang w:val="en-US" w:eastAsia="zh-CN"/>
        </w:rPr>
        <w:t>招标公告</w:t>
      </w:r>
      <w:r>
        <w:rPr>
          <w:rFonts w:hint="eastAsia" w:ascii="宋体" w:hAnsi="宋体" w:eastAsia="宋体" w:cs="宋体"/>
          <w:color w:val="auto"/>
          <w:sz w:val="24"/>
          <w:szCs w:val="24"/>
          <w:highlight w:val="none"/>
        </w:rPr>
        <w:t>》。</w:t>
      </w:r>
    </w:p>
    <w:p w14:paraId="59181CFB">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w:t>
      </w:r>
      <w:r>
        <w:rPr>
          <w:rFonts w:hint="eastAsia" w:ascii="宋体" w:hAnsi="宋体" w:eastAsia="宋体" w:cs="宋体"/>
          <w:color w:val="auto"/>
          <w:sz w:val="24"/>
          <w:szCs w:val="24"/>
          <w:highlight w:val="none"/>
        </w:rPr>
        <w:t>.3.8采购标的对应的中小企业划分标准所属行业见第四章《采购需求》。</w:t>
      </w:r>
    </w:p>
    <w:p w14:paraId="5DB1B924">
      <w:pPr>
        <w:pStyle w:val="34"/>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.3.9小微企业价格评审优惠的政策：见第五章《评标方法和评标标准》。</w:t>
      </w:r>
    </w:p>
    <w:p w14:paraId="546A9DFC">
      <w:pPr>
        <w:pageBreakBefore w:val="0"/>
        <w:widowControl w:val="0"/>
        <w:tabs>
          <w:tab w:val="left" w:pos="1381"/>
        </w:tabs>
        <w:kinsoku/>
        <w:wordWrap/>
        <w:overflowPunct/>
        <w:topLinePunct w:val="0"/>
        <w:autoSpaceDE/>
        <w:autoSpaceDN/>
        <w:bidi w:val="0"/>
        <w:spacing w:line="360" w:lineRule="auto"/>
        <w:ind w:left="0" w:firstLine="48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32.4政府采购节能产品、环境标志产品</w:t>
      </w:r>
    </w:p>
    <w:p w14:paraId="7DBFFC67">
      <w:pPr>
        <w:pageBreakBefore w:val="0"/>
        <w:widowControl w:val="0"/>
        <w:kinsoku/>
        <w:wordWrap/>
        <w:overflowPunct/>
        <w:topLinePunct w:val="0"/>
        <w:autoSpaceDE/>
        <w:autoSpaceDN/>
        <w:bidi w:val="0"/>
        <w:spacing w:line="360" w:lineRule="auto"/>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.4.1</w:t>
      </w:r>
      <w:r>
        <w:rPr>
          <w:rFonts w:hint="eastAsia" w:ascii="宋体" w:hAnsi="宋体" w:eastAsia="宋体" w:cs="宋体"/>
          <w:color w:val="auto"/>
          <w:sz w:val="24"/>
          <w:szCs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w:t>
      </w:r>
      <w:r>
        <w:rPr>
          <w:rFonts w:hint="eastAsia" w:ascii="宋体" w:hAnsi="宋体" w:eastAsia="宋体" w:cs="宋体"/>
          <w:color w:val="auto"/>
          <w:sz w:val="24"/>
          <w:szCs w:val="24"/>
          <w:highlight w:val="none"/>
        </w:rPr>
        <w:t>其他条件相同情况下，应当优先采购节能产品、环境标志产品。</w:t>
      </w:r>
    </w:p>
    <w:p w14:paraId="44146DA0">
      <w:pPr>
        <w:pageBreakBefore w:val="0"/>
        <w:widowControl w:val="0"/>
        <w:kinsoku/>
        <w:wordWrap/>
        <w:overflowPunct/>
        <w:topLinePunct w:val="0"/>
        <w:autoSpaceDE/>
        <w:autoSpaceDN/>
        <w:bidi w:val="0"/>
        <w:spacing w:line="360" w:lineRule="auto"/>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.4.2</w:t>
      </w:r>
      <w:r>
        <w:rPr>
          <w:rFonts w:hint="eastAsia" w:ascii="宋体" w:hAnsi="宋体" w:eastAsia="宋体" w:cs="宋体"/>
          <w:color w:val="auto"/>
          <w:sz w:val="24"/>
          <w:szCs w:val="24"/>
          <w:highlight w:val="none"/>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74142E49">
      <w:pPr>
        <w:pageBreakBefore w:val="0"/>
        <w:widowControl w:val="0"/>
        <w:tabs>
          <w:tab w:val="left" w:pos="1381"/>
        </w:tabs>
        <w:kinsoku/>
        <w:wordWrap/>
        <w:overflowPunct/>
        <w:topLinePunct w:val="0"/>
        <w:autoSpaceDE/>
        <w:autoSpaceDN/>
        <w:bidi w:val="0"/>
        <w:spacing w:line="360" w:lineRule="auto"/>
        <w:ind w:left="0" w:firstLine="48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32.5绿色包装</w:t>
      </w:r>
    </w:p>
    <w:p w14:paraId="3528D4AD">
      <w:pPr>
        <w:pageBreakBefore w:val="0"/>
        <w:widowControl w:val="0"/>
        <w:kinsoku/>
        <w:wordWrap/>
        <w:overflowPunct/>
        <w:topLinePunct w:val="0"/>
        <w:autoSpaceDE/>
        <w:autoSpaceDN/>
        <w:bidi w:val="0"/>
        <w:spacing w:line="360" w:lineRule="auto"/>
        <w:ind w:left="0" w:firstLine="48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项目中涉及商品的包装应按照“财办库〔2020〕123号《关于印发《商品包装政府采购需求标准（试行）》、《快递包装政府采购需求标准（试行）》的通知》”执行,在供货、安装过程中能做到低碳物流、环保节约、提高资源利用率。</w:t>
      </w:r>
    </w:p>
    <w:p w14:paraId="080DC09C">
      <w:pPr>
        <w:pageBreakBefore w:val="0"/>
        <w:widowControl w:val="0"/>
        <w:tabs>
          <w:tab w:val="left" w:pos="1381"/>
        </w:tabs>
        <w:kinsoku/>
        <w:wordWrap/>
        <w:overflowPunct/>
        <w:topLinePunct w:val="0"/>
        <w:autoSpaceDE/>
        <w:autoSpaceDN/>
        <w:bidi w:val="0"/>
        <w:spacing w:line="360" w:lineRule="auto"/>
        <w:ind w:left="0" w:firstLine="48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32.6政府采购创新产品</w:t>
      </w:r>
    </w:p>
    <w:p w14:paraId="5598AB2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left="0" w:right="0"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lang w:val="en-US" w:eastAsia="zh-CN" w:bidi="ar-SA"/>
        </w:rPr>
        <w:t>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rPr>
        <w:t>。</w:t>
      </w:r>
    </w:p>
    <w:p w14:paraId="5A035427">
      <w:pPr>
        <w:pageBreakBefore w:val="0"/>
        <w:widowControl w:val="0"/>
        <w:tabs>
          <w:tab w:val="left" w:pos="1381"/>
        </w:tabs>
        <w:kinsoku/>
        <w:wordWrap/>
        <w:overflowPunct/>
        <w:topLinePunct w:val="0"/>
        <w:autoSpaceDE/>
        <w:autoSpaceDN/>
        <w:bidi w:val="0"/>
        <w:spacing w:line="360" w:lineRule="auto"/>
        <w:ind w:left="0" w:firstLine="48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32.7绿色数据中心政策 </w:t>
      </w:r>
    </w:p>
    <w:p w14:paraId="063D5B06">
      <w:pPr>
        <w:pageBreakBefore w:val="0"/>
        <w:widowControl w:val="0"/>
        <w:kinsoku/>
        <w:wordWrap/>
        <w:overflowPunct/>
        <w:topLinePunct w:val="0"/>
        <w:autoSpaceDE/>
        <w:autoSpaceDN/>
        <w:bidi w:val="0"/>
        <w:spacing w:line="360" w:lineRule="auto"/>
        <w:ind w:left="0" w:firstLine="48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FCC07E1">
      <w:pPr>
        <w:pageBreakBefore w:val="0"/>
        <w:widowControl w:val="0"/>
        <w:tabs>
          <w:tab w:val="left" w:pos="1381"/>
        </w:tabs>
        <w:kinsoku/>
        <w:wordWrap/>
        <w:overflowPunct/>
        <w:topLinePunct w:val="0"/>
        <w:autoSpaceDE/>
        <w:autoSpaceDN/>
        <w:bidi w:val="0"/>
        <w:spacing w:line="360" w:lineRule="auto"/>
        <w:ind w:left="0" w:firstLine="48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32.8履约保证金政策</w:t>
      </w:r>
    </w:p>
    <w:p w14:paraId="0153BDF3">
      <w:pPr>
        <w:pStyle w:val="203"/>
        <w:pageBreakBefore w:val="0"/>
        <w:widowControl w:val="0"/>
        <w:kinsoku/>
        <w:wordWrap/>
        <w:overflowPunct/>
        <w:topLinePunct w:val="0"/>
        <w:autoSpaceDE/>
        <w:autoSpaceDN/>
        <w:bidi w:val="0"/>
        <w:spacing w:after="0" w:line="360" w:lineRule="auto"/>
        <w:ind w:left="0" w:firstLine="48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确需收取履约保证金的，履约保证金的缴纳形式：</w:t>
      </w:r>
    </w:p>
    <w:p w14:paraId="109B1BBF">
      <w:pPr>
        <w:pageBreakBefore w:val="0"/>
        <w:widowControl w:val="0"/>
        <w:kinsoku/>
        <w:wordWrap/>
        <w:overflowPunct/>
        <w:topLinePunct w:val="0"/>
        <w:autoSpaceDE/>
        <w:autoSpaceDN/>
        <w:bidi w:val="0"/>
        <w:spacing w:line="360" w:lineRule="auto"/>
        <w:ind w:left="0" w:firstLine="48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635AAF77">
      <w:pPr>
        <w:pageBreakBefore w:val="0"/>
        <w:widowControl w:val="0"/>
        <w:kinsoku/>
        <w:wordWrap/>
        <w:overflowPunct/>
        <w:topLinePunct w:val="0"/>
        <w:autoSpaceDE/>
        <w:autoSpaceDN/>
        <w:bidi w:val="0"/>
        <w:spacing w:line="360" w:lineRule="auto"/>
        <w:ind w:left="0" w:firstLine="48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p>
    <w:p w14:paraId="22E61204">
      <w:pPr>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本项目履约保证金为合同金额的10%，采购人对第三方信用服务机构依据标准规范评定为 AA 级及以上的政府采购供应商（需在签订采购合同前提供信用管理部门备案的第三方信用报告，且信用报告通过“信用盐城网”可查实），降低履约保证金缴纳比例至5%</w:t>
      </w:r>
      <w:r>
        <w:rPr>
          <w:rFonts w:hint="eastAsia" w:ascii="宋体" w:hAnsi="宋体" w:eastAsia="宋体" w:cs="宋体"/>
          <w:color w:val="000000" w:themeColor="text1"/>
          <w:sz w:val="24"/>
          <w:szCs w:val="24"/>
          <w:highlight w:val="none"/>
          <w14:textFill>
            <w14:solidFill>
              <w14:schemeClr w14:val="tx1"/>
            </w14:solidFill>
          </w14:textFill>
        </w:rPr>
        <w:t>。</w:t>
      </w:r>
    </w:p>
    <w:p w14:paraId="1E87D924">
      <w:pPr>
        <w:pageBreakBefore w:val="0"/>
        <w:widowControl w:val="0"/>
        <w:tabs>
          <w:tab w:val="left" w:pos="1381"/>
        </w:tabs>
        <w:kinsoku/>
        <w:wordWrap/>
        <w:overflowPunct/>
        <w:topLinePunct w:val="0"/>
        <w:autoSpaceDE/>
        <w:autoSpaceDN/>
        <w:bidi w:val="0"/>
        <w:spacing w:line="360" w:lineRule="auto"/>
        <w:ind w:left="0" w:firstLine="48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33. 预付款制度</w:t>
      </w:r>
    </w:p>
    <w:p w14:paraId="5DC5A8EB">
      <w:pPr>
        <w:pageBreakBefore w:val="0"/>
        <w:widowControl w:val="0"/>
        <w:kinsoku/>
        <w:wordWrap/>
        <w:overflowPunct/>
        <w:topLinePunct w:val="0"/>
        <w:autoSpaceDE/>
        <w:autoSpaceDN/>
        <w:bidi w:val="0"/>
        <w:spacing w:line="360" w:lineRule="auto"/>
        <w:ind w:left="0" w:firstLine="48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本项目落实预付款制度，预付款比例为</w:t>
      </w:r>
      <w:r>
        <w:rPr>
          <w:rFonts w:hint="eastAsia" w:ascii="宋体" w:hAnsi="宋体" w:eastAsia="宋体" w:cs="宋体"/>
          <w:color w:val="auto"/>
          <w:sz w:val="24"/>
          <w:szCs w:val="24"/>
          <w:highlight w:val="none"/>
          <w:u w:val="single"/>
          <w:lang w:val="en-US" w:eastAsia="zh-CN" w:bidi="ar-SA"/>
        </w:rPr>
        <w:t xml:space="preserve">30 </w:t>
      </w:r>
      <w:r>
        <w:rPr>
          <w:rFonts w:hint="eastAsia" w:ascii="宋体" w:hAnsi="宋体" w:eastAsia="宋体" w:cs="宋体"/>
          <w:color w:val="auto"/>
          <w:sz w:val="24"/>
          <w:szCs w:val="24"/>
          <w:highlight w:val="none"/>
          <w:lang w:val="en-US" w:eastAsia="zh-CN" w:bidi="ar-SA"/>
        </w:rPr>
        <w:t>%。在签订合同时，中标、成交供应商明确书面表示无需预付款或者主动要求降低预付款比例的，采购人可就预付款比例作相应调整。</w:t>
      </w:r>
    </w:p>
    <w:p w14:paraId="1F2885BE">
      <w:pPr>
        <w:rPr>
          <w:rFonts w:hint="eastAsia" w:ascii="黑体" w:hAnsi="宋体" w:eastAsia="黑体" w:cs="黑体"/>
          <w:b/>
          <w:color w:val="000000"/>
          <w:sz w:val="44"/>
          <w:szCs w:val="44"/>
          <w:highlight w:val="none"/>
        </w:rPr>
      </w:pPr>
      <w:bookmarkStart w:id="160" w:name="_Toc479757211"/>
      <w:bookmarkStart w:id="161" w:name="_Toc462564139"/>
      <w:bookmarkStart w:id="162" w:name="_Toc120614244"/>
      <w:bookmarkStart w:id="163" w:name="_Hlt16619350"/>
      <w:bookmarkStart w:id="164" w:name="_Toc20823346"/>
      <w:bookmarkStart w:id="165" w:name="_Toc16938590"/>
      <w:bookmarkStart w:id="166" w:name="_Hlt16619369"/>
      <w:r>
        <w:rPr>
          <w:rFonts w:hint="eastAsia" w:ascii="黑体" w:hAnsi="宋体" w:eastAsia="黑体" w:cs="黑体"/>
          <w:b/>
          <w:color w:val="000000"/>
          <w:sz w:val="44"/>
          <w:szCs w:val="44"/>
          <w:highlight w:val="none"/>
        </w:rPr>
        <w:br w:type="page" w:clear="all"/>
      </w:r>
    </w:p>
    <w:p w14:paraId="3477236C">
      <w:pPr>
        <w:pStyle w:val="34"/>
        <w:keepNext/>
        <w:keepLines/>
        <w:pageBreakBefore w:val="0"/>
        <w:widowControl w:val="0"/>
        <w:spacing w:beforeAutospacing="0" w:afterAutospacing="0" w:line="360" w:lineRule="auto"/>
        <w:ind w:firstLine="0"/>
        <w:jc w:val="center"/>
        <w:rPr>
          <w:rFonts w:hint="eastAsia" w:ascii="黑体" w:hAnsi="宋体" w:eastAsia="黑体" w:cs="黑体"/>
          <w:b/>
          <w:color w:val="000000"/>
          <w:sz w:val="36"/>
          <w:szCs w:val="36"/>
          <w:highlight w:val="none"/>
          <w:lang w:val="en-US" w:eastAsia="zh-CN"/>
        </w:rPr>
      </w:pPr>
      <w:r>
        <w:rPr>
          <w:rFonts w:hint="eastAsia" w:ascii="黑体" w:hAnsi="宋体" w:eastAsia="黑体" w:cs="黑体"/>
          <w:b/>
          <w:color w:val="000000"/>
          <w:sz w:val="36"/>
          <w:szCs w:val="36"/>
          <w:highlight w:val="none"/>
        </w:rPr>
        <w:t>第三</w:t>
      </w:r>
      <w:r>
        <w:rPr>
          <w:rFonts w:hint="eastAsia" w:ascii="黑体" w:hAnsi="宋体" w:eastAsia="黑体" w:cs="黑体"/>
          <w:b/>
          <w:color w:val="000000"/>
          <w:sz w:val="36"/>
          <w:szCs w:val="36"/>
          <w:highlight w:val="none"/>
          <w:lang w:eastAsia="zh-CN"/>
        </w:rPr>
        <w:t>章</w:t>
      </w:r>
      <w:r>
        <w:rPr>
          <w:rFonts w:hint="eastAsia" w:ascii="黑体" w:hAnsi="宋体" w:eastAsia="黑体" w:cs="黑体"/>
          <w:b/>
          <w:color w:val="000000"/>
          <w:sz w:val="36"/>
          <w:szCs w:val="36"/>
          <w:highlight w:val="none"/>
          <w:lang w:val="en-US" w:eastAsia="zh-CN"/>
        </w:rPr>
        <w:t xml:space="preserve">  </w:t>
      </w:r>
      <w:r>
        <w:rPr>
          <w:rFonts w:hint="eastAsia" w:ascii="黑体" w:hAnsi="宋体" w:eastAsia="黑体" w:cs="黑体"/>
          <w:b/>
          <w:color w:val="000000"/>
          <w:sz w:val="36"/>
          <w:szCs w:val="36"/>
          <w:highlight w:val="none"/>
        </w:rPr>
        <w:t>合同</w:t>
      </w:r>
      <w:r>
        <w:rPr>
          <w:rFonts w:hint="eastAsia" w:ascii="黑体" w:hAnsi="宋体" w:eastAsia="黑体" w:cs="黑体"/>
          <w:b/>
          <w:color w:val="000000"/>
          <w:sz w:val="36"/>
          <w:szCs w:val="36"/>
          <w:highlight w:val="none"/>
          <w:lang w:val="en-US" w:eastAsia="zh-CN"/>
        </w:rPr>
        <w:t>文本</w:t>
      </w:r>
    </w:p>
    <w:p w14:paraId="3F06138D">
      <w:pPr>
        <w:rPr>
          <w:rFonts w:ascii="宋体" w:hAnsi="宋体" w:cs="宋体"/>
          <w:highlight w:val="none"/>
        </w:rPr>
      </w:pPr>
      <w:bookmarkStart w:id="167" w:name="EB6d2006462e294de090c16e672cecc3bd"/>
      <w:bookmarkEnd w:id="167"/>
    </w:p>
    <w:p w14:paraId="34E51906">
      <w:pPr>
        <w:jc w:val="center"/>
        <w:rPr>
          <w:rFonts w:ascii="宋体" w:hAnsi="宋体" w:cs="宋体"/>
          <w:b/>
          <w:bCs/>
          <w:spacing w:val="-20"/>
          <w:sz w:val="48"/>
          <w:szCs w:val="48"/>
          <w:highlight w:val="none"/>
        </w:rPr>
      </w:pPr>
      <w:bookmarkStart w:id="168" w:name="_Toc3995"/>
    </w:p>
    <w:p w14:paraId="2AF2B3E0">
      <w:pPr>
        <w:jc w:val="center"/>
        <w:rPr>
          <w:rFonts w:ascii="宋体" w:hAnsi="宋体" w:cs="宋体"/>
          <w:b/>
          <w:bCs/>
          <w:spacing w:val="-20"/>
          <w:sz w:val="48"/>
          <w:szCs w:val="48"/>
          <w:highlight w:val="none"/>
        </w:rPr>
      </w:pPr>
    </w:p>
    <w:p w14:paraId="7DAEB877">
      <w:pPr>
        <w:jc w:val="center"/>
        <w:rPr>
          <w:rFonts w:ascii="宋体" w:hAnsi="宋体" w:cs="宋体"/>
          <w:b/>
          <w:bCs/>
          <w:spacing w:val="-20"/>
          <w:sz w:val="48"/>
          <w:szCs w:val="48"/>
          <w:highlight w:val="none"/>
        </w:rPr>
      </w:pPr>
    </w:p>
    <w:p w14:paraId="4A4F97DF">
      <w:pPr>
        <w:jc w:val="center"/>
        <w:rPr>
          <w:rFonts w:hint="eastAsia" w:ascii="宋体" w:hAnsi="宋体" w:eastAsia="宋体" w:cs="宋体"/>
          <w:sz w:val="52"/>
          <w:szCs w:val="52"/>
        </w:rPr>
      </w:pPr>
    </w:p>
    <w:p w14:paraId="4C2480B9">
      <w:pPr>
        <w:jc w:val="center"/>
        <w:rPr>
          <w:rFonts w:hint="eastAsia" w:ascii="宋体" w:hAnsi="宋体" w:eastAsia="宋体" w:cs="宋体"/>
          <w:sz w:val="52"/>
          <w:szCs w:val="52"/>
        </w:rPr>
      </w:pPr>
      <w:r>
        <w:rPr>
          <w:rFonts w:hint="eastAsia" w:ascii="宋体" w:hAnsi="宋体" w:eastAsia="宋体" w:cs="宋体"/>
          <w:sz w:val="52"/>
          <w:szCs w:val="52"/>
        </w:rPr>
        <w:t>政府采购合同</w:t>
      </w:r>
    </w:p>
    <w:p w14:paraId="289CF387">
      <w:pPr>
        <w:jc w:val="center"/>
        <w:rPr>
          <w:rFonts w:ascii="宋体" w:hAnsi="宋体" w:cs="宋体"/>
          <w:sz w:val="30"/>
          <w:highlight w:val="none"/>
        </w:rPr>
      </w:pPr>
    </w:p>
    <w:p w14:paraId="55FE971B">
      <w:pPr>
        <w:rPr>
          <w:rFonts w:ascii="宋体" w:hAnsi="宋体" w:cs="宋体"/>
          <w:sz w:val="30"/>
          <w:highlight w:val="none"/>
        </w:rPr>
      </w:pPr>
    </w:p>
    <w:p w14:paraId="2E9464F9">
      <w:pPr>
        <w:rPr>
          <w:rFonts w:ascii="宋体" w:hAnsi="宋体" w:cs="宋体"/>
          <w:sz w:val="30"/>
          <w:highlight w:val="none"/>
        </w:rPr>
      </w:pPr>
    </w:p>
    <w:p w14:paraId="13338CDF">
      <w:pPr>
        <w:rPr>
          <w:rFonts w:ascii="宋体" w:hAnsi="宋体" w:cs="宋体"/>
          <w:sz w:val="30"/>
          <w:highlight w:val="none"/>
        </w:rPr>
      </w:pPr>
    </w:p>
    <w:p w14:paraId="7F10AEDF">
      <w:pPr>
        <w:spacing w:line="360" w:lineRule="auto"/>
        <w:ind w:left="420"/>
        <w:rPr>
          <w:rFonts w:hint="eastAsia" w:ascii="宋体" w:hAnsi="宋体" w:cs="宋体" w:eastAsiaTheme="minorEastAsia"/>
          <w:sz w:val="30"/>
          <w:highlight w:val="none"/>
          <w:lang w:eastAsia="zh-CN"/>
        </w:rPr>
      </w:pPr>
      <w:r>
        <w:rPr>
          <w:rFonts w:hint="eastAsia" w:ascii="宋体" w:hAnsi="宋体" w:cs="宋体"/>
          <w:sz w:val="30"/>
          <w:highlight w:val="none"/>
        </w:rPr>
        <w:t>项目名称：</w:t>
      </w:r>
      <w:r>
        <w:rPr>
          <w:rFonts w:hint="eastAsia" w:ascii="宋体" w:hAnsi="宋体" w:cs="宋体"/>
          <w:sz w:val="30"/>
          <w:highlight w:val="none"/>
          <w:lang w:eastAsia="zh-CN"/>
        </w:rPr>
        <w:t>县城照明设备及楼宇亮化维护服务（二次）</w:t>
      </w:r>
    </w:p>
    <w:p w14:paraId="4107DC7F">
      <w:pPr>
        <w:spacing w:line="360" w:lineRule="auto"/>
        <w:ind w:left="420"/>
        <w:rPr>
          <w:rFonts w:hint="eastAsia" w:ascii="宋体" w:hAnsi="宋体" w:eastAsia="宋体" w:cs="宋体"/>
          <w:sz w:val="30"/>
          <w:highlight w:val="none"/>
          <w:lang w:eastAsia="zh-CN"/>
        </w:rPr>
      </w:pPr>
      <w:r>
        <w:rPr>
          <w:rFonts w:hint="eastAsia" w:ascii="宋体" w:hAnsi="宋体" w:cs="宋体"/>
          <w:sz w:val="30"/>
          <w:highlight w:val="none"/>
        </w:rPr>
        <w:t>合同编号：</w:t>
      </w:r>
      <w:r>
        <w:rPr>
          <w:rFonts w:hint="eastAsia" w:ascii="宋体" w:hAnsi="宋体" w:eastAsia="宋体" w:cs="宋体"/>
          <w:sz w:val="30"/>
          <w:highlight w:val="none"/>
          <w:lang w:eastAsia="zh-CN"/>
        </w:rPr>
        <w:t>JSZC-320922-JSQG-G2026-0003</w:t>
      </w:r>
    </w:p>
    <w:p w14:paraId="0872307C">
      <w:pPr>
        <w:spacing w:line="360" w:lineRule="auto"/>
        <w:ind w:left="420"/>
        <w:rPr>
          <w:rFonts w:hint="eastAsia" w:ascii="宋体" w:hAnsi="宋体" w:eastAsia="宋体" w:cs="宋体"/>
          <w:sz w:val="30"/>
          <w:highlight w:val="none"/>
          <w:lang w:eastAsia="zh-CN"/>
        </w:rPr>
      </w:pPr>
      <w:r>
        <w:rPr>
          <w:rFonts w:hint="eastAsia" w:ascii="宋体" w:hAnsi="宋体" w:cs="宋体"/>
          <w:sz w:val="30"/>
          <w:highlight w:val="none"/>
        </w:rPr>
        <w:t>甲    方：</w:t>
      </w:r>
      <w:r>
        <w:rPr>
          <w:rFonts w:hint="eastAsia" w:ascii="宋体" w:hAnsi="宋体" w:cs="宋体"/>
          <w:sz w:val="30"/>
          <w:highlight w:val="none"/>
          <w:lang w:eastAsia="zh-CN"/>
        </w:rPr>
        <w:t>滨海县城市管理局</w:t>
      </w:r>
    </w:p>
    <w:p w14:paraId="0D90AC0C">
      <w:pPr>
        <w:spacing w:line="360" w:lineRule="auto"/>
        <w:ind w:left="420"/>
        <w:rPr>
          <w:rFonts w:ascii="宋体" w:hAnsi="宋体" w:cs="宋体"/>
          <w:sz w:val="30"/>
          <w:highlight w:val="none"/>
        </w:rPr>
      </w:pPr>
      <w:r>
        <w:rPr>
          <w:rFonts w:hint="eastAsia" w:ascii="宋体" w:hAnsi="宋体" w:cs="宋体"/>
          <w:sz w:val="30"/>
          <w:highlight w:val="none"/>
        </w:rPr>
        <w:t>乙    方：</w:t>
      </w:r>
    </w:p>
    <w:p w14:paraId="65CFCCD6">
      <w:pPr>
        <w:spacing w:line="360" w:lineRule="auto"/>
        <w:ind w:left="420"/>
        <w:rPr>
          <w:rFonts w:ascii="宋体" w:hAnsi="宋体" w:cs="宋体"/>
          <w:sz w:val="30"/>
          <w:highlight w:val="none"/>
        </w:rPr>
      </w:pPr>
      <w:r>
        <w:rPr>
          <w:rFonts w:hint="eastAsia" w:ascii="宋体" w:hAnsi="宋体" w:cs="宋体"/>
          <w:sz w:val="30"/>
          <w:highlight w:val="none"/>
        </w:rPr>
        <w:t>签订时间：</w:t>
      </w:r>
      <w:r>
        <w:rPr>
          <w:rFonts w:hint="eastAsia" w:cs="宋体"/>
          <w:color w:val="000000" w:themeColor="text1"/>
          <w:sz w:val="30"/>
          <w:highlight w:val="white"/>
          <w:lang w:val="en-US" w:eastAsia="zh-CN"/>
          <w14:textFill>
            <w14:solidFill>
              <w14:schemeClr w14:val="tx1"/>
            </w14:solidFill>
          </w14:textFill>
        </w:rPr>
        <w:t>2026年   月   日</w:t>
      </w:r>
    </w:p>
    <w:p w14:paraId="5D30CAA8">
      <w:pPr>
        <w:rPr>
          <w:highlight w:val="none"/>
        </w:rPr>
      </w:pPr>
    </w:p>
    <w:p w14:paraId="0C6F4294">
      <w:pPr>
        <w:rPr>
          <w:rFonts w:eastAsia="黑体"/>
          <w:sz w:val="44"/>
          <w:szCs w:val="44"/>
          <w:highlight w:val="none"/>
        </w:rPr>
      </w:pPr>
      <w:r>
        <w:rPr>
          <w:rFonts w:eastAsia="黑体"/>
          <w:sz w:val="44"/>
          <w:szCs w:val="44"/>
          <w:highlight w:val="none"/>
        </w:rPr>
        <w:br w:type="page" w:clear="all"/>
      </w:r>
      <w:bookmarkEnd w:id="168"/>
    </w:p>
    <w:p w14:paraId="038A8174">
      <w:pPr>
        <w:pStyle w:val="34"/>
        <w:spacing w:before="145" w:beforeAutospacing="0" w:after="145" w:afterAutospacing="0" w:line="500" w:lineRule="exact"/>
        <w:jc w:val="center"/>
      </w:pPr>
      <w:r>
        <w:rPr>
          <w:rFonts w:hint="eastAsia" w:ascii="宋体" w:hAnsi="宋体" w:eastAsia="宋体" w:cs="宋体"/>
          <w:b/>
        </w:rPr>
        <w:t>盐城市政府采购合同（服务）</w:t>
      </w:r>
    </w:p>
    <w:p w14:paraId="4942D59A">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ind w:firstLine="480" w:firstLineChars="200"/>
        <w:jc w:val="both"/>
        <w:textAlignment w:val="auto"/>
        <w:rPr>
          <w:rFonts w:hint="eastAsia" w:ascii="宋体" w:hAnsi="宋体" w:eastAsia="宋体" w:cs="宋体"/>
        </w:rPr>
      </w:pPr>
      <w:r>
        <w:rPr>
          <w:rFonts w:hint="eastAsia" w:ascii="宋体" w:hAnsi="宋体" w:eastAsia="宋体" w:cs="宋体"/>
        </w:rPr>
        <w:t>项目名称：</w:t>
      </w:r>
      <w:r>
        <w:rPr>
          <w:rFonts w:hint="eastAsia" w:ascii="宋体" w:hAnsi="宋体" w:eastAsia="宋体" w:cs="宋体"/>
          <w:lang w:eastAsia="zh-CN"/>
        </w:rPr>
        <w:t>县城照明设备及楼宇亮化维护服务（二次）</w:t>
      </w:r>
    </w:p>
    <w:p w14:paraId="5DC9F341">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ind w:firstLine="480" w:firstLineChars="200"/>
        <w:jc w:val="both"/>
        <w:textAlignment w:val="auto"/>
        <w:rPr>
          <w:rFonts w:hint="eastAsia" w:eastAsia="宋体"/>
          <w:lang w:eastAsia="zh-CN"/>
        </w:rPr>
      </w:pPr>
      <w:r>
        <w:rPr>
          <w:rFonts w:hint="eastAsia" w:ascii="宋体" w:hAnsi="宋体" w:eastAsia="宋体" w:cs="宋体"/>
        </w:rPr>
        <w:t>项目编号：</w:t>
      </w:r>
      <w:r>
        <w:rPr>
          <w:rFonts w:hint="eastAsia" w:ascii="宋体" w:hAnsi="宋体" w:eastAsia="宋体" w:cs="宋体"/>
          <w:lang w:eastAsia="zh-CN"/>
        </w:rPr>
        <w:t>JSZC-320922-JSQG-G2026-0003</w:t>
      </w:r>
    </w:p>
    <w:p w14:paraId="789B328A">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ind w:firstLine="480" w:firstLineChars="200"/>
        <w:jc w:val="both"/>
        <w:textAlignment w:val="auto"/>
      </w:pPr>
      <w:r>
        <w:rPr>
          <w:rFonts w:hint="eastAsia" w:ascii="宋体" w:hAnsi="宋体" w:eastAsia="宋体" w:cs="宋体"/>
        </w:rPr>
        <w:t>甲方：（买方）</w:t>
      </w:r>
      <w:r>
        <w:rPr>
          <w:rFonts w:hint="eastAsia" w:ascii="宋体" w:hAnsi="宋体" w:eastAsia="宋体" w:cs="宋体"/>
          <w:u w:val="single"/>
          <w:lang w:eastAsia="zh-CN"/>
        </w:rPr>
        <w:t>滨海县城市管理局</w:t>
      </w:r>
    </w:p>
    <w:p w14:paraId="650D06B5">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ind w:firstLine="480" w:firstLineChars="200"/>
        <w:jc w:val="both"/>
        <w:textAlignment w:val="auto"/>
        <w:rPr>
          <w:rFonts w:hint="default" w:eastAsia="宋体"/>
          <w:lang w:val="en-US" w:eastAsia="zh-CN"/>
        </w:rPr>
      </w:pPr>
      <w:r>
        <w:rPr>
          <w:rFonts w:hint="eastAsia" w:ascii="宋体" w:hAnsi="宋体" w:eastAsia="宋体" w:cs="宋体"/>
        </w:rPr>
        <w:t>乙方：（卖方）</w:t>
      </w:r>
      <w:r>
        <w:rPr>
          <w:rFonts w:hint="eastAsia" w:ascii="宋体" w:hAnsi="宋体" w:eastAsia="宋体" w:cs="宋体"/>
          <w:u w:val="single"/>
          <w:lang w:val="en-US" w:eastAsia="zh-CN"/>
        </w:rPr>
        <w:t xml:space="preserve">                </w:t>
      </w:r>
    </w:p>
    <w:p w14:paraId="179A761B">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ind w:firstLine="480" w:firstLineChars="200"/>
        <w:jc w:val="both"/>
        <w:textAlignment w:val="auto"/>
      </w:pPr>
      <w:r>
        <w:rPr>
          <w:rFonts w:hint="eastAsia" w:ascii="宋体" w:hAnsi="宋体" w:eastAsia="宋体" w:cs="宋体"/>
        </w:rPr>
        <w:t>甲、乙双方根据</w:t>
      </w:r>
      <w:r>
        <w:rPr>
          <w:rFonts w:hint="eastAsia" w:ascii="宋体" w:hAnsi="宋体" w:eastAsia="宋体" w:cs="宋体"/>
          <w:u w:val="single"/>
          <w:lang w:eastAsia="zh-CN"/>
        </w:rPr>
        <w:t>县城照明设备及楼宇亮化维护服务（二次）</w:t>
      </w:r>
      <w:r>
        <w:rPr>
          <w:rFonts w:hint="eastAsia" w:ascii="宋体" w:hAnsi="宋体" w:eastAsia="宋体" w:cs="宋体"/>
        </w:rPr>
        <w:t>项目公开招标的结果，签署本合同。</w:t>
      </w:r>
    </w:p>
    <w:p w14:paraId="78720014">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ind w:firstLine="482" w:firstLineChars="200"/>
        <w:jc w:val="both"/>
        <w:textAlignment w:val="auto"/>
      </w:pPr>
      <w:r>
        <w:rPr>
          <w:rFonts w:hint="eastAsia" w:ascii="宋体" w:hAnsi="宋体" w:eastAsia="宋体" w:cs="宋体"/>
          <w:b/>
        </w:rPr>
        <w:t>一、合同内容</w:t>
      </w:r>
    </w:p>
    <w:p w14:paraId="10FFFF9E">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ind w:firstLine="480" w:firstLineChars="200"/>
        <w:jc w:val="both"/>
        <w:textAlignment w:val="auto"/>
      </w:pPr>
      <w:r>
        <w:rPr>
          <w:rFonts w:hint="eastAsia" w:ascii="宋体" w:hAnsi="宋体" w:eastAsia="宋体" w:cs="宋体"/>
        </w:rPr>
        <w:t>1.1 标的名称：</w:t>
      </w:r>
      <w:r>
        <w:rPr>
          <w:rFonts w:hint="eastAsia" w:ascii="宋体" w:hAnsi="宋体" w:eastAsia="宋体" w:cs="宋体"/>
          <w:lang w:eastAsia="zh-CN"/>
        </w:rPr>
        <w:t>县城照明设备及楼宇亮化维护服务（二次）</w:t>
      </w:r>
    </w:p>
    <w:p w14:paraId="2DD994BE">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ind w:firstLine="480" w:firstLineChars="200"/>
        <w:jc w:val="both"/>
        <w:textAlignment w:val="auto"/>
        <w:rPr>
          <w:rFonts w:hint="eastAsia" w:ascii="宋体" w:hAnsi="宋体" w:eastAsia="宋体" w:cs="宋体"/>
          <w:lang w:val="en-US" w:eastAsia="zh-CN"/>
        </w:rPr>
      </w:pPr>
      <w:r>
        <w:rPr>
          <w:rFonts w:hint="eastAsia" w:ascii="宋体" w:hAnsi="宋体" w:eastAsia="宋体" w:cs="宋体"/>
          <w:lang w:eastAsia="zh-CN"/>
        </w:rPr>
        <w:t>1.2标的质量：</w:t>
      </w:r>
      <w:r>
        <w:rPr>
          <w:rFonts w:hint="eastAsia" w:ascii="宋体" w:hAnsi="宋体" w:eastAsia="宋体" w:cs="宋体"/>
          <w:lang w:val="en-US" w:eastAsia="zh-CN"/>
        </w:rPr>
        <w:t>合格</w:t>
      </w:r>
    </w:p>
    <w:p w14:paraId="38A139CA">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ind w:firstLine="480" w:firstLineChars="200"/>
        <w:jc w:val="both"/>
        <w:textAlignment w:val="auto"/>
        <w:rPr>
          <w:rFonts w:hint="eastAsia" w:ascii="宋体" w:hAnsi="宋体" w:eastAsia="宋体" w:cs="宋体"/>
          <w:lang w:eastAsia="zh-CN"/>
        </w:rPr>
      </w:pPr>
      <w:r>
        <w:rPr>
          <w:rFonts w:hint="eastAsia" w:ascii="宋体" w:hAnsi="宋体" w:eastAsia="宋体" w:cs="宋体"/>
          <w:lang w:eastAsia="zh-CN"/>
        </w:rPr>
        <w:t>1.3 标的数量（规模）：县城照明设备及楼宇亮化维护服务（二次）</w:t>
      </w:r>
      <w:r>
        <w:rPr>
          <w:rFonts w:hint="eastAsia" w:ascii="宋体" w:hAnsi="宋体" w:eastAsia="宋体" w:cs="宋体"/>
          <w:lang w:val="en-US" w:eastAsia="zh-CN"/>
        </w:rPr>
        <w:t>，包含：照明控制设备采购，县城内</w:t>
      </w:r>
      <w:r>
        <w:rPr>
          <w:rFonts w:hint="eastAsia" w:ascii="宋体" w:hAnsi="宋体" w:eastAsia="宋体" w:cs="宋体"/>
          <w:highlight w:val="none"/>
          <w:lang w:val="en-US" w:eastAsia="zh-CN"/>
        </w:rPr>
        <w:t>124</w:t>
      </w:r>
      <w:r>
        <w:rPr>
          <w:rFonts w:hint="eastAsia" w:ascii="宋体" w:hAnsi="宋体" w:eastAsia="宋体" w:cs="宋体"/>
          <w:lang w:val="en-US" w:eastAsia="zh-CN"/>
        </w:rPr>
        <w:t>栋楼宇亮化维护服务。具体服务内容及要求详见招标文件第四章采购需求。</w:t>
      </w:r>
    </w:p>
    <w:p w14:paraId="758ECE2A">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ind w:firstLine="480" w:firstLineChars="200"/>
        <w:jc w:val="both"/>
        <w:textAlignment w:val="auto"/>
        <w:rPr>
          <w:rFonts w:hint="default" w:ascii="宋体" w:hAnsi="宋体" w:eastAsia="宋体" w:cs="宋体"/>
          <w:lang w:val="en-US" w:eastAsia="zh-CN"/>
        </w:rPr>
      </w:pPr>
      <w:r>
        <w:rPr>
          <w:rFonts w:hint="eastAsia" w:ascii="宋体" w:hAnsi="宋体" w:eastAsia="宋体" w:cs="宋体"/>
          <w:lang w:eastAsia="zh-CN"/>
        </w:rPr>
        <w:t>1.4 履行时间（期限）：</w:t>
      </w:r>
      <w:r>
        <w:rPr>
          <w:rFonts w:hint="eastAsia" w:ascii="宋体" w:hAnsi="宋体" w:eastAsia="宋体" w:cs="宋体"/>
          <w:lang w:val="en-US" w:eastAsia="zh-CN"/>
        </w:rPr>
        <w:t>合同签订之日起一年。</w:t>
      </w:r>
    </w:p>
    <w:p w14:paraId="2A07C0B0">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ind w:firstLine="480" w:firstLineChars="200"/>
        <w:jc w:val="both"/>
        <w:textAlignment w:val="auto"/>
        <w:rPr>
          <w:rFonts w:hint="eastAsia" w:eastAsia="宋体"/>
          <w:lang w:val="en-US" w:eastAsia="zh-CN"/>
        </w:rPr>
      </w:pPr>
      <w:r>
        <w:rPr>
          <w:rFonts w:hint="eastAsia" w:ascii="宋体" w:hAnsi="宋体" w:eastAsia="宋体" w:cs="宋体"/>
        </w:rPr>
        <w:t>1.5 履行地点：</w:t>
      </w:r>
      <w:r>
        <w:rPr>
          <w:rFonts w:hint="eastAsia" w:ascii="宋体" w:hAnsi="宋体" w:eastAsia="宋体" w:cs="宋体"/>
          <w:lang w:val="en-US" w:eastAsia="zh-CN"/>
        </w:rPr>
        <w:t>甲方指定地点。</w:t>
      </w:r>
    </w:p>
    <w:p w14:paraId="553A4A3F">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ind w:firstLine="480" w:firstLineChars="200"/>
        <w:jc w:val="both"/>
        <w:textAlignment w:val="auto"/>
        <w:rPr>
          <w:rFonts w:hint="eastAsia" w:ascii="宋体" w:hAnsi="宋体" w:eastAsia="宋体" w:cs="宋体"/>
          <w:lang w:val="en-US" w:eastAsia="zh-CN"/>
        </w:rPr>
      </w:pPr>
      <w:r>
        <w:rPr>
          <w:rFonts w:hint="eastAsia" w:ascii="宋体" w:hAnsi="宋体" w:eastAsia="宋体" w:cs="宋体"/>
        </w:rPr>
        <w:t>1.6履行方式：</w:t>
      </w:r>
      <w:r>
        <w:rPr>
          <w:rFonts w:hint="eastAsia" w:ascii="宋体" w:hAnsi="宋体" w:eastAsia="宋体" w:cs="宋体"/>
          <w:lang w:val="en-US" w:eastAsia="zh-CN"/>
        </w:rPr>
        <w:t>维护服务。</w:t>
      </w:r>
    </w:p>
    <w:p w14:paraId="6EF22D61">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ind w:firstLine="480" w:firstLineChars="200"/>
        <w:jc w:val="both"/>
        <w:textAlignment w:val="auto"/>
        <w:rPr>
          <w:rFonts w:hint="default" w:ascii="宋体" w:hAnsi="宋体" w:eastAsia="宋体" w:cs="宋体"/>
          <w:lang w:val="en-US" w:eastAsia="zh-CN"/>
        </w:rPr>
      </w:pPr>
      <w:r>
        <w:rPr>
          <w:rFonts w:hint="eastAsia" w:ascii="宋体" w:hAnsi="宋体" w:eastAsia="宋体" w:cs="宋体"/>
          <w:lang w:val="en-US" w:eastAsia="zh-CN"/>
        </w:rPr>
        <w:t>1.7质保期：本项目提供的设备须提供</w:t>
      </w:r>
      <w:r>
        <w:rPr>
          <w:rFonts w:hint="eastAsia" w:ascii="宋体" w:hAnsi="宋体" w:eastAsia="宋体" w:cs="宋体"/>
        </w:rPr>
        <w:t>三年原厂质保</w:t>
      </w:r>
      <w:r>
        <w:rPr>
          <w:rFonts w:hint="eastAsia" w:ascii="宋体" w:hAnsi="宋体" w:eastAsia="宋体" w:cs="宋体"/>
          <w:lang w:val="en-US" w:eastAsia="zh-CN"/>
        </w:rPr>
        <w:t>，质量保证期从最终验收合格之日起计算。</w:t>
      </w:r>
    </w:p>
    <w:p w14:paraId="37B41439">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ind w:firstLine="482" w:firstLineChars="200"/>
        <w:jc w:val="both"/>
        <w:textAlignment w:val="auto"/>
      </w:pPr>
      <w:r>
        <w:rPr>
          <w:rFonts w:hint="eastAsia" w:ascii="宋体" w:hAnsi="宋体" w:eastAsia="宋体" w:cs="宋体"/>
          <w:b/>
        </w:rPr>
        <w:t>二、合同金额</w:t>
      </w:r>
    </w:p>
    <w:p w14:paraId="11F6DE1D">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ind w:firstLine="480" w:firstLineChars="200"/>
        <w:jc w:val="both"/>
        <w:textAlignment w:val="auto"/>
      </w:pPr>
      <w:r>
        <w:rPr>
          <w:rFonts w:hint="eastAsia" w:ascii="宋体" w:hAnsi="宋体" w:eastAsia="宋体" w:cs="宋体"/>
        </w:rPr>
        <w:t>2.1本合同金额为（大写）：</w:t>
      </w:r>
      <w:r>
        <w:rPr>
          <w:rFonts w:hint="eastAsia" w:ascii="宋体" w:hAnsi="宋体" w:eastAsia="宋体" w:cs="宋体"/>
          <w:u w:val="single"/>
          <w:lang w:val="en-US" w:eastAsia="zh-CN"/>
        </w:rPr>
        <w:t xml:space="preserve">        </w:t>
      </w:r>
      <w:r>
        <w:rPr>
          <w:rFonts w:hint="eastAsia" w:ascii="宋体" w:hAnsi="宋体" w:eastAsia="宋体" w:cs="宋体"/>
        </w:rPr>
        <w:t>圆（</w:t>
      </w:r>
      <w:r>
        <w:rPr>
          <w:rFonts w:hint="eastAsia" w:ascii="宋体" w:hAnsi="宋体" w:eastAsia="宋体" w:cs="宋体"/>
          <w:u w:val="single"/>
          <w:lang w:val="en-US" w:eastAsia="zh-CN"/>
        </w:rPr>
        <w:t xml:space="preserve">        </w:t>
      </w:r>
      <w:r>
        <w:rPr>
          <w:rFonts w:hint="eastAsia" w:ascii="宋体" w:hAnsi="宋体" w:eastAsia="宋体" w:cs="宋体"/>
        </w:rPr>
        <w:t>元）人民币或其他币种。</w:t>
      </w:r>
    </w:p>
    <w:p w14:paraId="4F35A16A">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ind w:firstLine="482" w:firstLineChars="200"/>
        <w:jc w:val="both"/>
        <w:textAlignment w:val="auto"/>
      </w:pPr>
      <w:r>
        <w:rPr>
          <w:rFonts w:hint="eastAsia" w:ascii="宋体" w:hAnsi="宋体" w:eastAsia="宋体" w:cs="宋体"/>
          <w:b/>
        </w:rPr>
        <w:t>三、技术资料</w:t>
      </w:r>
    </w:p>
    <w:p w14:paraId="7FD03071">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ind w:firstLine="480" w:firstLineChars="200"/>
        <w:jc w:val="both"/>
        <w:textAlignment w:val="auto"/>
      </w:pPr>
      <w:r>
        <w:rPr>
          <w:rFonts w:hint="eastAsia" w:ascii="宋体" w:hAnsi="宋体" w:eastAsia="宋体" w:cs="宋体"/>
        </w:rPr>
        <w:t>3.1乙方应按招标文件规定的时间向甲方提供服务（包含与服务相关的货物）的有关技术资料。</w:t>
      </w:r>
    </w:p>
    <w:p w14:paraId="6EE09E81">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ind w:firstLine="480" w:firstLineChars="200"/>
        <w:jc w:val="both"/>
        <w:textAlignment w:val="auto"/>
      </w:pPr>
      <w:r>
        <w:rPr>
          <w:rFonts w:hint="eastAsia" w:ascii="宋体" w:hAnsi="宋体" w:eastAsia="宋体" w:cs="宋体"/>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7E98908B">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440" w:lineRule="exact"/>
        <w:ind w:firstLine="482" w:firstLineChars="200"/>
        <w:jc w:val="both"/>
        <w:textAlignment w:val="auto"/>
      </w:pPr>
      <w:r>
        <w:rPr>
          <w:rFonts w:hint="eastAsia" w:ascii="宋体" w:hAnsi="宋体" w:eastAsia="宋体" w:cs="宋体"/>
          <w:b/>
        </w:rPr>
        <w:t>四、知识产权</w:t>
      </w:r>
    </w:p>
    <w:p w14:paraId="1C517994">
      <w:pPr>
        <w:pStyle w:val="34"/>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rPr>
      </w:pPr>
      <w:r>
        <w:rPr>
          <w:rFonts w:hint="eastAsia" w:ascii="宋体" w:hAnsi="宋体" w:eastAsia="宋体" w:cs="宋体"/>
        </w:rPr>
        <w:t>4.1乙方应保证甲方在使用、接受本合同服务（包含与服务相关的货物）或其任何一部分时不受第三方提出侵犯其专利权、版权、商标权和工业设计权等知识产权的起诉。一旦出现侵权，由乙方负全部责任。</w:t>
      </w:r>
    </w:p>
    <w:p w14:paraId="2A0F936A">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440" w:lineRule="exact"/>
        <w:ind w:firstLine="482" w:firstLineChars="200"/>
        <w:jc w:val="both"/>
        <w:textAlignment w:val="auto"/>
      </w:pPr>
      <w:r>
        <w:rPr>
          <w:rFonts w:hint="eastAsia" w:ascii="宋体" w:hAnsi="宋体" w:eastAsia="宋体" w:cs="宋体"/>
          <w:b/>
        </w:rPr>
        <w:t>五、产权担保</w:t>
      </w:r>
    </w:p>
    <w:p w14:paraId="08D7D939">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440" w:lineRule="exact"/>
        <w:ind w:firstLine="480" w:firstLineChars="200"/>
        <w:jc w:val="both"/>
        <w:textAlignment w:val="auto"/>
      </w:pPr>
      <w:r>
        <w:rPr>
          <w:rFonts w:hint="eastAsia" w:ascii="宋体" w:hAnsi="宋体" w:eastAsia="宋体" w:cs="宋体"/>
        </w:rPr>
        <w:t>5.1乙方保证所交付的服务（包含与服务相关的货物）的所有权完全属于乙方且无任何抵押、查封等产权瑕疵。</w:t>
      </w:r>
    </w:p>
    <w:p w14:paraId="08C31999">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440" w:lineRule="exact"/>
        <w:ind w:firstLine="482" w:firstLineChars="200"/>
        <w:jc w:val="both"/>
        <w:textAlignment w:val="auto"/>
      </w:pPr>
      <w:r>
        <w:rPr>
          <w:rFonts w:hint="eastAsia" w:ascii="宋体" w:hAnsi="宋体" w:eastAsia="宋体" w:cs="宋体"/>
          <w:b/>
        </w:rPr>
        <w:t>六、履约保证金</w:t>
      </w:r>
    </w:p>
    <w:p w14:paraId="2EABF855">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440" w:lineRule="exact"/>
        <w:ind w:firstLine="480" w:firstLineChars="200"/>
        <w:jc w:val="both"/>
        <w:textAlignment w:val="auto"/>
        <w:rPr>
          <w:rFonts w:hint="eastAsia" w:ascii="宋体" w:hAnsi="宋体" w:eastAsia="宋体" w:cs="宋体"/>
        </w:rPr>
      </w:pPr>
      <w:r>
        <w:rPr>
          <w:rFonts w:hint="eastAsia" w:ascii="宋体" w:hAnsi="宋体" w:eastAsia="宋体" w:cs="宋体"/>
        </w:rPr>
        <w:t>6.1乙方交纳人民币</w:t>
      </w:r>
      <w:r>
        <w:rPr>
          <w:rFonts w:hint="eastAsia" w:ascii="宋体" w:hAnsi="宋体" w:eastAsia="宋体" w:cs="宋体"/>
          <w:lang w:val="en-US" w:eastAsia="zh-CN"/>
        </w:rPr>
        <w:t>大写：</w:t>
      </w:r>
      <w:r>
        <w:rPr>
          <w:rFonts w:hint="eastAsia" w:ascii="宋体" w:hAnsi="宋体" w:eastAsia="宋体" w:cs="宋体"/>
          <w:u w:val="single"/>
          <w:lang w:eastAsia="zh-CN"/>
        </w:rPr>
        <w:t>（</w:t>
      </w:r>
      <w:r>
        <w:rPr>
          <w:rFonts w:hint="eastAsia" w:ascii="宋体" w:hAnsi="宋体" w:eastAsia="宋体" w:cs="宋体"/>
          <w:u w:val="single"/>
          <w:lang w:val="en-US" w:eastAsia="zh-CN"/>
        </w:rPr>
        <w:t>中标价的10%取整）</w:t>
      </w:r>
      <w:r>
        <w:rPr>
          <w:rFonts w:hint="eastAsia" w:ascii="宋体" w:hAnsi="宋体" w:eastAsia="宋体" w:cs="宋体"/>
        </w:rPr>
        <w:t>元</w:t>
      </w:r>
      <w:r>
        <w:rPr>
          <w:rFonts w:hint="eastAsia" w:ascii="宋体" w:hAnsi="宋体" w:eastAsia="宋体" w:cs="宋体"/>
          <w:lang w:eastAsia="zh-CN"/>
        </w:rPr>
        <w:t>，</w:t>
      </w:r>
      <w:r>
        <w:rPr>
          <w:rFonts w:hint="eastAsia" w:ascii="宋体" w:hAnsi="宋体" w:eastAsia="宋体" w:cs="宋体"/>
          <w:lang w:val="en-US" w:eastAsia="zh-CN"/>
        </w:rPr>
        <w:t>小写：</w:t>
      </w:r>
      <w:r>
        <w:rPr>
          <w:rFonts w:hint="eastAsia" w:ascii="宋体" w:hAnsi="宋体" w:eastAsia="宋体" w:cs="宋体"/>
          <w:u w:val="single"/>
          <w:lang w:val="en-US" w:eastAsia="zh-CN"/>
        </w:rPr>
        <w:t xml:space="preserve">     </w:t>
      </w:r>
      <w:r>
        <w:rPr>
          <w:rFonts w:hint="eastAsia" w:ascii="宋体" w:hAnsi="宋体" w:eastAsia="宋体" w:cs="宋体"/>
        </w:rPr>
        <w:t>元</w:t>
      </w:r>
      <w:r>
        <w:rPr>
          <w:rFonts w:hint="eastAsia" w:ascii="宋体" w:hAnsi="宋体" w:eastAsia="宋体" w:cs="宋体"/>
          <w:lang w:eastAsia="zh-CN"/>
        </w:rPr>
        <w:t>，</w:t>
      </w:r>
      <w:r>
        <w:rPr>
          <w:rFonts w:hint="eastAsia" w:ascii="宋体" w:hAnsi="宋体" w:eastAsia="宋体" w:cs="宋体"/>
        </w:rPr>
        <w:t>作为本合同的履约保证金。（备注：不得超过合同金额的10%，</w:t>
      </w:r>
      <w:r>
        <w:rPr>
          <w:rFonts w:hint="eastAsia" w:ascii="宋体" w:hAnsi="宋体" w:eastAsia="宋体" w:cs="宋体"/>
          <w:color w:val="auto"/>
          <w:highlight w:val="none"/>
          <w:lang w:val="en-US" w:eastAsia="zh-CN"/>
        </w:rPr>
        <w:t>本项目</w:t>
      </w:r>
      <w:r>
        <w:rPr>
          <w:rFonts w:hint="eastAsia" w:ascii="宋体" w:hAnsi="宋体" w:eastAsia="宋体" w:cs="宋体"/>
          <w:color w:val="auto"/>
          <w:highlight w:val="none"/>
        </w:rPr>
        <w:t>采购人对AA评级及以上政府采购供应商（需提供信用管理部门备案的第三方信用报告）降低履约保证金缴纳比例</w:t>
      </w:r>
      <w:r>
        <w:rPr>
          <w:rFonts w:hint="eastAsia" w:ascii="宋体" w:hAnsi="宋体" w:eastAsia="宋体" w:cs="宋体"/>
          <w:color w:val="auto"/>
          <w:highlight w:val="none"/>
          <w:lang w:val="en-US" w:eastAsia="zh-CN"/>
        </w:rPr>
        <w:t>至5%</w:t>
      </w:r>
      <w:r>
        <w:rPr>
          <w:rFonts w:hint="eastAsia" w:ascii="宋体" w:hAnsi="宋体" w:eastAsia="宋体" w:cs="宋体"/>
          <w:color w:val="auto"/>
        </w:rPr>
        <w:t>。）</w:t>
      </w:r>
    </w:p>
    <w:p w14:paraId="1B4A8077">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440" w:lineRule="exact"/>
        <w:ind w:firstLine="480" w:firstLineChars="200"/>
        <w:jc w:val="both"/>
        <w:textAlignment w:val="auto"/>
        <w:rPr>
          <w:rFonts w:hint="eastAsia" w:ascii="宋体" w:hAnsi="宋体" w:eastAsia="宋体" w:cs="宋体"/>
        </w:rPr>
      </w:pPr>
      <w:r>
        <w:rPr>
          <w:rFonts w:hint="eastAsia" w:ascii="宋体" w:hAnsi="宋体" w:eastAsia="宋体" w:cs="宋体"/>
        </w:rPr>
        <w:t>6.2确需收取履约保证金的，履约保证金的缴纳形式：</w:t>
      </w:r>
    </w:p>
    <w:p w14:paraId="1BEFCAB9">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440" w:lineRule="exact"/>
        <w:ind w:firstLine="480" w:firstLineChars="200"/>
        <w:jc w:val="both"/>
        <w:textAlignment w:val="auto"/>
        <w:rPr>
          <w:rFonts w:hint="eastAsia" w:ascii="宋体" w:hAnsi="宋体" w:eastAsia="宋体" w:cs="宋体"/>
        </w:rPr>
      </w:pPr>
      <w:r>
        <w:rPr>
          <w:rFonts w:hint="eastAsia" w:ascii="宋体" w:hAnsi="宋体" w:eastAsia="宋体" w:cs="宋体"/>
        </w:rPr>
        <w:t>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75A2E5E3">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440" w:lineRule="exact"/>
        <w:ind w:firstLine="480" w:firstLineChars="200"/>
        <w:jc w:val="both"/>
        <w:textAlignment w:val="auto"/>
        <w:rPr>
          <w:rFonts w:hint="eastAsia" w:ascii="宋体" w:hAnsi="宋体" w:eastAsia="宋体" w:cs="宋体"/>
        </w:rPr>
      </w:pPr>
      <w:r>
        <w:rPr>
          <w:rFonts w:hint="eastAsia" w:ascii="宋体" w:hAnsi="宋体" w:eastAsia="宋体" w:cs="宋体"/>
        </w:rPr>
        <w:t>6.2.2 如以履约保函（保险）形式缴纳履约保证金，供应商可通过政府采购电子履约保函（保险）平台（www.jsdzbh.com）在线申请履约保函（保险）。</w:t>
      </w:r>
    </w:p>
    <w:p w14:paraId="3D79B275">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440" w:lineRule="exact"/>
        <w:ind w:firstLine="480" w:firstLineChars="200"/>
        <w:jc w:val="both"/>
        <w:textAlignment w:val="auto"/>
      </w:pPr>
      <w:r>
        <w:rPr>
          <w:rFonts w:hint="eastAsia" w:ascii="宋体" w:hAnsi="宋体" w:eastAsia="宋体" w:cs="宋体"/>
        </w:rPr>
        <w:t>6.3合同履行结束后，甲方应及时退还交纳的履约保证金。</w:t>
      </w:r>
    </w:p>
    <w:p w14:paraId="3332BF2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rPr>
      </w:pPr>
      <w:r>
        <w:rPr>
          <w:rFonts w:hint="eastAsia" w:ascii="宋体" w:hAnsi="宋体" w:eastAsia="宋体" w:cs="宋体"/>
          <w:sz w:val="24"/>
        </w:rPr>
        <w:t>6.4履约保证金的退还：</w:t>
      </w:r>
    </w:p>
    <w:p w14:paraId="5674BC0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rPr>
      </w:pPr>
      <w:r>
        <w:rPr>
          <w:rFonts w:hint="eastAsia" w:ascii="宋体" w:hAnsi="宋体" w:eastAsia="宋体" w:cs="宋体"/>
          <w:sz w:val="24"/>
        </w:rPr>
        <w:t>6.4.1方式：退还至投标人缴纳履约保证金的账户。如为保函，在到期时自行失效。</w:t>
      </w:r>
    </w:p>
    <w:p w14:paraId="1D4A4C2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rPr>
      </w:pPr>
      <w:r>
        <w:rPr>
          <w:rFonts w:hint="eastAsia" w:ascii="宋体" w:hAnsi="宋体" w:eastAsia="宋体" w:cs="宋体"/>
          <w:sz w:val="24"/>
        </w:rPr>
        <w:t>6.4.2时间：验收合格且采购人收到发票后30日内。</w:t>
      </w:r>
    </w:p>
    <w:p w14:paraId="21AAAF2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rPr>
      </w:pPr>
      <w:r>
        <w:rPr>
          <w:rFonts w:hint="eastAsia" w:ascii="宋体" w:hAnsi="宋体" w:eastAsia="宋体" w:cs="宋体"/>
          <w:sz w:val="24"/>
        </w:rPr>
        <w:t>6.4.3条件：按合同要求全部履约完成并经采购人验收合格，且采购人收到中标人出具的发票。</w:t>
      </w:r>
    </w:p>
    <w:p w14:paraId="4A8817B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rPr>
      </w:pPr>
      <w:r>
        <w:rPr>
          <w:rFonts w:hint="eastAsia" w:ascii="宋体" w:hAnsi="宋体" w:eastAsia="宋体" w:cs="宋体"/>
          <w:sz w:val="24"/>
        </w:rPr>
        <w:t>6.4.4不予退还情形：</w:t>
      </w:r>
    </w:p>
    <w:p w14:paraId="09A5CF7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rPr>
      </w:pPr>
      <w:r>
        <w:rPr>
          <w:rFonts w:hint="eastAsia" w:ascii="宋体" w:hAnsi="宋体" w:eastAsia="宋体" w:cs="宋体"/>
          <w:sz w:val="24"/>
        </w:rPr>
        <w:t>除不可抗力情况外，投标人出现下列情形之一的，其履约保证金，招标人将视情节决定不予退还或部分不予退还。</w:t>
      </w:r>
    </w:p>
    <w:p w14:paraId="7E12504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rPr>
      </w:pPr>
      <w:r>
        <w:rPr>
          <w:rFonts w:hint="eastAsia" w:ascii="宋体" w:hAnsi="宋体" w:eastAsia="宋体" w:cs="宋体"/>
          <w:sz w:val="24"/>
        </w:rPr>
        <w:t>（1）中标人无正当理由拒绝签订合同的，或者在签订合同时向采购人提出附加条件或者更改合同实质性内容要求的；</w:t>
      </w:r>
    </w:p>
    <w:p w14:paraId="61BDB39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rPr>
      </w:pPr>
      <w:r>
        <w:rPr>
          <w:rFonts w:hint="eastAsia" w:ascii="宋体" w:hAnsi="宋体" w:eastAsia="宋体" w:cs="宋体"/>
          <w:sz w:val="24"/>
        </w:rPr>
        <w:t>（2）中标人不履行与采购人订立的合同的；</w:t>
      </w:r>
    </w:p>
    <w:p w14:paraId="55C9C0E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rPr>
      </w:pPr>
      <w:r>
        <w:rPr>
          <w:rFonts w:hint="eastAsia" w:ascii="宋体" w:hAnsi="宋体" w:eastAsia="宋体" w:cs="宋体"/>
          <w:sz w:val="24"/>
        </w:rPr>
        <w:t>（3）中标人所供货物或服务不符合招标文件规定要求的；</w:t>
      </w:r>
    </w:p>
    <w:p w14:paraId="32F12F5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rPr>
      </w:pPr>
      <w:r>
        <w:rPr>
          <w:rFonts w:hint="eastAsia" w:ascii="宋体" w:hAnsi="宋体" w:eastAsia="宋体" w:cs="宋体"/>
          <w:sz w:val="24"/>
        </w:rPr>
        <w:t>（4）中标人采取欺骗、弄虚作假方式投标的或与其它投标人串通投标的；</w:t>
      </w:r>
    </w:p>
    <w:p w14:paraId="6714279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rPr>
      </w:pPr>
      <w:r>
        <w:rPr>
          <w:rFonts w:hint="eastAsia" w:ascii="宋体" w:hAnsi="宋体" w:eastAsia="宋体" w:cs="宋体"/>
          <w:sz w:val="24"/>
        </w:rPr>
        <w:t>（5）中标人将合同内容转包、违法分包的；</w:t>
      </w:r>
    </w:p>
    <w:p w14:paraId="3339FB5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rPr>
      </w:pPr>
      <w:r>
        <w:rPr>
          <w:rFonts w:hint="eastAsia" w:ascii="宋体" w:hAnsi="宋体" w:eastAsia="宋体" w:cs="宋体"/>
          <w:sz w:val="24"/>
        </w:rPr>
        <w:t>（6）中标人故意捏造事实或伪造证明材料，进行虚假恶意投诉或反映的。</w:t>
      </w:r>
    </w:p>
    <w:p w14:paraId="34F6592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rPr>
      </w:pPr>
      <w:r>
        <w:rPr>
          <w:rFonts w:hint="eastAsia" w:ascii="宋体" w:hAnsi="宋体" w:eastAsia="宋体" w:cs="宋体"/>
          <w:sz w:val="24"/>
        </w:rPr>
        <w:t>6.4.5逾期退还的违约责任：采购人逾期无故未退还履约保证金的，按中国人民银行同期贷款基准利率上浮20%后的利率支付超期资金占用费，但因供应商自身原因导致无法及时退还的除外。</w:t>
      </w:r>
    </w:p>
    <w:p w14:paraId="5F650256">
      <w:pPr>
        <w:pStyle w:val="34"/>
        <w:keepNext w:val="0"/>
        <w:keepLines w:val="0"/>
        <w:pageBreakBefore w:val="0"/>
        <w:widowControl w:val="0"/>
        <w:kinsoku/>
        <w:wordWrap/>
        <w:overflowPunct/>
        <w:topLinePunct w:val="0"/>
        <w:autoSpaceDE/>
        <w:autoSpaceDN/>
        <w:bidi w:val="0"/>
        <w:adjustRightInd/>
        <w:snapToGrid/>
        <w:spacing w:before="145" w:beforeAutospacing="0" w:after="145" w:afterAutospacing="0" w:line="440" w:lineRule="exact"/>
        <w:ind w:firstLine="482" w:firstLineChars="200"/>
        <w:jc w:val="both"/>
        <w:textAlignment w:val="auto"/>
      </w:pPr>
      <w:r>
        <w:rPr>
          <w:rFonts w:hint="eastAsia" w:ascii="宋体" w:hAnsi="宋体" w:eastAsia="宋体" w:cs="宋体"/>
          <w:b/>
        </w:rPr>
        <w:t>七、合同转包或分包</w:t>
      </w:r>
    </w:p>
    <w:p w14:paraId="67C33BF2">
      <w:pPr>
        <w:pStyle w:val="34"/>
        <w:keepNext w:val="0"/>
        <w:keepLines w:val="0"/>
        <w:pageBreakBefore w:val="0"/>
        <w:widowControl w:val="0"/>
        <w:kinsoku/>
        <w:wordWrap/>
        <w:overflowPunct/>
        <w:topLinePunct w:val="0"/>
        <w:autoSpaceDE/>
        <w:autoSpaceDN/>
        <w:bidi w:val="0"/>
        <w:adjustRightInd/>
        <w:snapToGrid/>
        <w:spacing w:before="145" w:beforeAutospacing="0" w:after="145" w:afterAutospacing="0" w:line="440" w:lineRule="exact"/>
        <w:ind w:firstLine="480" w:firstLineChars="200"/>
        <w:jc w:val="both"/>
        <w:textAlignment w:val="auto"/>
      </w:pPr>
      <w:r>
        <w:rPr>
          <w:rFonts w:hint="eastAsia" w:ascii="宋体" w:hAnsi="宋体" w:eastAsia="宋体" w:cs="宋体"/>
        </w:rPr>
        <w:t>7.1乙方不得将合同标的转包给他人履行。</w:t>
      </w:r>
    </w:p>
    <w:p w14:paraId="31C33F87">
      <w:pPr>
        <w:pStyle w:val="34"/>
        <w:keepNext w:val="0"/>
        <w:keepLines w:val="0"/>
        <w:pageBreakBefore w:val="0"/>
        <w:widowControl w:val="0"/>
        <w:kinsoku/>
        <w:wordWrap/>
        <w:overflowPunct/>
        <w:topLinePunct w:val="0"/>
        <w:autoSpaceDE/>
        <w:autoSpaceDN/>
        <w:bidi w:val="0"/>
        <w:adjustRightInd/>
        <w:snapToGrid/>
        <w:spacing w:before="145" w:beforeAutospacing="0" w:after="145" w:afterAutospacing="0" w:line="440" w:lineRule="exact"/>
        <w:ind w:firstLine="480" w:firstLineChars="200"/>
        <w:jc w:val="both"/>
        <w:textAlignment w:val="auto"/>
      </w:pPr>
      <w:r>
        <w:rPr>
          <w:rFonts w:hint="eastAsia" w:ascii="宋体" w:hAnsi="宋体" w:eastAsia="宋体" w:cs="宋体"/>
        </w:rPr>
        <w:t>7.2乙方不得将合同标的分包给他人履行。</w:t>
      </w:r>
    </w:p>
    <w:p w14:paraId="4CF5975A">
      <w:pPr>
        <w:pStyle w:val="34"/>
        <w:keepNext w:val="0"/>
        <w:keepLines w:val="0"/>
        <w:pageBreakBefore w:val="0"/>
        <w:widowControl w:val="0"/>
        <w:kinsoku/>
        <w:wordWrap/>
        <w:overflowPunct/>
        <w:topLinePunct w:val="0"/>
        <w:autoSpaceDE/>
        <w:autoSpaceDN/>
        <w:bidi w:val="0"/>
        <w:adjustRightInd/>
        <w:snapToGrid/>
        <w:spacing w:before="145" w:beforeAutospacing="0" w:after="145" w:afterAutospacing="0" w:line="440" w:lineRule="exact"/>
        <w:ind w:firstLine="480" w:firstLineChars="200"/>
        <w:jc w:val="both"/>
        <w:textAlignment w:val="auto"/>
      </w:pPr>
      <w:r>
        <w:rPr>
          <w:rFonts w:hint="eastAsia" w:ascii="宋体" w:hAnsi="宋体" w:eastAsia="宋体" w:cs="宋体"/>
        </w:rPr>
        <w:t>7.3乙方如有转包或未经甲方同意的分包行为，甲方有权解除合同。</w:t>
      </w:r>
    </w:p>
    <w:p w14:paraId="61367BCC">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440" w:lineRule="exact"/>
        <w:ind w:firstLine="482" w:firstLineChars="200"/>
        <w:jc w:val="both"/>
        <w:textAlignment w:val="auto"/>
      </w:pPr>
      <w:r>
        <w:rPr>
          <w:rFonts w:hint="eastAsia" w:ascii="宋体" w:hAnsi="宋体" w:eastAsia="宋体" w:cs="宋体"/>
          <w:b/>
        </w:rPr>
        <w:t>八、合同款项支付</w:t>
      </w:r>
    </w:p>
    <w:p w14:paraId="1B5BE63B">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440" w:lineRule="exact"/>
        <w:ind w:firstLine="480" w:firstLineChars="200"/>
        <w:jc w:val="both"/>
        <w:textAlignment w:val="auto"/>
        <w:rPr>
          <w:rFonts w:hint="eastAsia" w:ascii="宋体" w:hAnsi="宋体" w:eastAsia="宋体" w:cs="宋体"/>
          <w:b/>
          <w:bCs/>
        </w:rPr>
      </w:pPr>
      <w:r>
        <w:rPr>
          <w:rFonts w:hint="eastAsia" w:ascii="宋体" w:hAnsi="宋体" w:eastAsia="宋体" w:cs="宋体"/>
        </w:rPr>
        <w:t>8.1</w:t>
      </w:r>
      <w:r>
        <w:rPr>
          <w:rFonts w:hint="eastAsia" w:ascii="宋体" w:hAnsi="宋体" w:eastAsia="宋体" w:cs="宋体"/>
          <w:lang w:val="en-US" w:eastAsia="zh-CN"/>
        </w:rPr>
        <w:t>签订合同后，支付合同价30%作为预付款；项目完成后并经验收合格，在服务期满后一次性结清。付款时须提供税务发票，采购方收到发票后10个工作日内将资金支付到合同约定的供应商账户。</w:t>
      </w:r>
      <w:r>
        <w:rPr>
          <w:rFonts w:hint="eastAsia" w:ascii="宋体" w:hAnsi="宋体" w:eastAsia="宋体" w:cs="宋体"/>
          <w:b/>
          <w:bCs/>
          <w:lang w:val="en-US" w:eastAsia="zh-CN"/>
        </w:rPr>
        <w:t>注：甲方不定期考核，如有考核罚款，付款时予以扣除，不再支付。</w:t>
      </w:r>
    </w:p>
    <w:p w14:paraId="0C19353C">
      <w:pPr>
        <w:pStyle w:val="34"/>
        <w:keepNext w:val="0"/>
        <w:keepLines w:val="0"/>
        <w:pageBreakBefore w:val="0"/>
        <w:widowControl w:val="0"/>
        <w:kinsoku/>
        <w:wordWrap/>
        <w:overflowPunct/>
        <w:topLinePunct w:val="0"/>
        <w:autoSpaceDE/>
        <w:autoSpaceDN/>
        <w:bidi w:val="0"/>
        <w:adjustRightInd/>
        <w:snapToGrid/>
        <w:spacing w:before="145" w:beforeAutospacing="0" w:after="145" w:afterAutospacing="0" w:line="440" w:lineRule="exact"/>
        <w:ind w:firstLine="482" w:firstLineChars="200"/>
        <w:jc w:val="both"/>
        <w:textAlignment w:val="auto"/>
      </w:pPr>
      <w:r>
        <w:rPr>
          <w:rFonts w:hint="eastAsia" w:ascii="宋体" w:hAnsi="宋体" w:eastAsia="宋体" w:cs="宋体"/>
          <w:b/>
        </w:rPr>
        <w:t>九、税费</w:t>
      </w:r>
    </w:p>
    <w:p w14:paraId="216157BD">
      <w:pPr>
        <w:pStyle w:val="34"/>
        <w:keepNext w:val="0"/>
        <w:keepLines w:val="0"/>
        <w:pageBreakBefore w:val="0"/>
        <w:widowControl w:val="0"/>
        <w:kinsoku/>
        <w:wordWrap/>
        <w:overflowPunct/>
        <w:topLinePunct w:val="0"/>
        <w:autoSpaceDE/>
        <w:autoSpaceDN/>
        <w:bidi w:val="0"/>
        <w:adjustRightInd/>
        <w:snapToGrid/>
        <w:spacing w:before="145" w:beforeAutospacing="0" w:after="145" w:afterAutospacing="0" w:line="440" w:lineRule="exact"/>
        <w:ind w:firstLine="480" w:firstLineChars="200"/>
        <w:jc w:val="both"/>
        <w:textAlignment w:val="auto"/>
      </w:pPr>
      <w:r>
        <w:rPr>
          <w:rFonts w:hint="eastAsia" w:ascii="宋体" w:hAnsi="宋体" w:eastAsia="宋体" w:cs="宋体"/>
        </w:rPr>
        <w:t>9.1本合同执行中相关的一切税费均由乙方负担。</w:t>
      </w:r>
    </w:p>
    <w:p w14:paraId="3A5CDE96">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440" w:lineRule="exact"/>
        <w:ind w:firstLine="482" w:firstLineChars="200"/>
        <w:jc w:val="both"/>
        <w:textAlignment w:val="auto"/>
      </w:pPr>
      <w:r>
        <w:rPr>
          <w:rFonts w:hint="eastAsia" w:ascii="宋体" w:hAnsi="宋体" w:eastAsia="宋体" w:cs="宋体"/>
          <w:b/>
        </w:rPr>
        <w:t>十、项目验收</w:t>
      </w:r>
    </w:p>
    <w:p w14:paraId="345F8B83">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440" w:lineRule="exact"/>
        <w:ind w:firstLine="480" w:firstLineChars="200"/>
        <w:jc w:val="both"/>
        <w:textAlignment w:val="auto"/>
      </w:pPr>
      <w:r>
        <w:rPr>
          <w:rFonts w:hint="eastAsia" w:ascii="宋体" w:hAnsi="宋体" w:eastAsia="宋体" w:cs="宋体"/>
        </w:rPr>
        <w:t>10.1甲方依法组织履约验收工作。</w:t>
      </w:r>
    </w:p>
    <w:p w14:paraId="129509A4">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440" w:lineRule="exact"/>
        <w:ind w:firstLine="480" w:firstLineChars="200"/>
        <w:jc w:val="both"/>
        <w:textAlignment w:val="auto"/>
        <w:rPr>
          <w:rFonts w:hint="eastAsia" w:eastAsia="宋体"/>
          <w:lang w:val="en-US" w:eastAsia="zh-CN"/>
        </w:rPr>
      </w:pPr>
      <w:r>
        <w:rPr>
          <w:rFonts w:hint="eastAsia" w:ascii="宋体" w:hAnsi="宋体" w:eastAsia="宋体" w:cs="宋体"/>
        </w:rPr>
        <w:t>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217D9F7C">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440" w:lineRule="exact"/>
        <w:ind w:firstLine="480" w:firstLineChars="200"/>
        <w:jc w:val="both"/>
        <w:textAlignment w:val="auto"/>
      </w:pPr>
      <w:r>
        <w:rPr>
          <w:rFonts w:hint="eastAsia" w:ascii="宋体" w:hAnsi="宋体" w:eastAsia="宋体" w:cs="宋体"/>
        </w:rPr>
        <w:t>10.3对于实际使用人和甲方分离的项目，甲方邀请实际使用人参与验收。</w:t>
      </w:r>
    </w:p>
    <w:p w14:paraId="204F2179">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440" w:lineRule="exact"/>
        <w:ind w:firstLine="480" w:firstLineChars="200"/>
        <w:jc w:val="both"/>
        <w:textAlignment w:val="auto"/>
      </w:pPr>
      <w:r>
        <w:rPr>
          <w:rFonts w:hint="eastAsia" w:ascii="宋体" w:hAnsi="宋体" w:eastAsia="宋体" w:cs="宋体"/>
        </w:rPr>
        <w:t>10.4如有必要，甲方邀请参加本项目的其他供应商或第三方专业机构及专家参与验收，相关意见将作为验收报告的参考资料。</w:t>
      </w:r>
    </w:p>
    <w:p w14:paraId="0C08F1C2">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440" w:lineRule="exact"/>
        <w:ind w:firstLine="480" w:firstLineChars="200"/>
        <w:jc w:val="both"/>
        <w:textAlignment w:val="auto"/>
      </w:pPr>
      <w:r>
        <w:rPr>
          <w:rFonts w:hint="eastAsia" w:ascii="宋体" w:hAnsi="宋体" w:eastAsia="宋体" w:cs="宋体"/>
        </w:rPr>
        <w:t>10.5甲方成立验收小组，按照采购合同的约定对乙方的履约情况进行验收。验收时,甲方按照采购合同的约定对每一项技术、服务、安全标准的履约情况进行确认。验收结束后,验收小组出具验收报告,列明各项标准的验收情况及项目总体评价,由验收双方共同签署。验收结果与采购合同约定的资金支付及履约保证金返还条件挂钩。履约验收的各项资料存档备查。</w:t>
      </w:r>
      <w:r>
        <w:rPr>
          <w:rFonts w:hint="eastAsia" w:ascii="宋体" w:hAnsi="宋体" w:eastAsia="宋体" w:cs="宋体"/>
          <w:lang w:val="en-US" w:eastAsia="zh-CN"/>
        </w:rPr>
        <w:t>具体验收考核标准，详见合同附件</w:t>
      </w:r>
      <w:r>
        <w:rPr>
          <w:rFonts w:hint="eastAsia" w:ascii="宋体" w:hAnsi="宋体" w:eastAsia="宋体" w:cs="宋体"/>
          <w:b/>
          <w:bCs/>
        </w:rPr>
        <w:t>《县城楼宇亮化维护考核标准》</w:t>
      </w:r>
      <w:r>
        <w:rPr>
          <w:rFonts w:hint="eastAsia" w:ascii="宋体" w:hAnsi="宋体" w:eastAsia="宋体" w:cs="宋体"/>
          <w:lang w:eastAsia="zh-CN"/>
        </w:rPr>
        <w:t>。</w:t>
      </w:r>
    </w:p>
    <w:p w14:paraId="50F9FEA9">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440" w:lineRule="exact"/>
        <w:ind w:firstLine="480" w:firstLineChars="200"/>
        <w:jc w:val="both"/>
        <w:textAlignment w:val="auto"/>
      </w:pPr>
      <w:r>
        <w:rPr>
          <w:rFonts w:hint="eastAsia" w:ascii="宋体" w:hAnsi="宋体" w:eastAsia="宋体" w:cs="宋体"/>
        </w:rPr>
        <w:t>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3A587286">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440" w:lineRule="exact"/>
        <w:ind w:firstLine="482" w:firstLineChars="200"/>
        <w:jc w:val="both"/>
        <w:textAlignment w:val="auto"/>
      </w:pPr>
      <w:r>
        <w:rPr>
          <w:rFonts w:hint="eastAsia" w:ascii="宋体" w:hAnsi="宋体" w:eastAsia="宋体" w:cs="宋体"/>
          <w:b/>
        </w:rPr>
        <w:t>十一、违约责任</w:t>
      </w:r>
    </w:p>
    <w:p w14:paraId="06A9F8E4">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440" w:lineRule="exact"/>
        <w:ind w:firstLine="480" w:firstLineChars="200"/>
        <w:jc w:val="both"/>
        <w:textAlignment w:val="auto"/>
      </w:pPr>
      <w:r>
        <w:rPr>
          <w:rFonts w:hint="eastAsia" w:ascii="宋体" w:hAnsi="宋体" w:eastAsia="宋体" w:cs="宋体"/>
        </w:rPr>
        <w:t>11.1甲方无正当理由拒绝接受乙方提供服务的，甲方向乙方偿付拒绝接受服务合同价款总值</w:t>
      </w:r>
      <w:r>
        <w:rPr>
          <w:rFonts w:hint="eastAsia" w:ascii="宋体" w:hAnsi="宋体" w:eastAsia="宋体" w:cs="宋体"/>
          <w:u w:val="single"/>
        </w:rPr>
        <w:t xml:space="preserve"> 5% </w:t>
      </w:r>
      <w:r>
        <w:rPr>
          <w:rFonts w:hint="eastAsia" w:ascii="宋体" w:hAnsi="宋体" w:eastAsia="宋体" w:cs="宋体"/>
        </w:rPr>
        <w:t>的违约金。</w:t>
      </w:r>
    </w:p>
    <w:p w14:paraId="25877CDD">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440" w:lineRule="exact"/>
        <w:ind w:firstLine="480" w:firstLineChars="200"/>
        <w:jc w:val="both"/>
        <w:textAlignment w:val="auto"/>
      </w:pPr>
      <w:r>
        <w:rPr>
          <w:rFonts w:hint="eastAsia" w:ascii="宋体" w:hAnsi="宋体" w:eastAsia="宋体" w:cs="宋体"/>
        </w:rPr>
        <w:t>11.2甲方无故逾期验收和办理合同款项支付手续的,甲方应按逾期付款总额</w:t>
      </w:r>
      <w:r>
        <w:rPr>
          <w:rFonts w:hint="eastAsia" w:ascii="宋体" w:hAnsi="宋体" w:eastAsia="宋体" w:cs="宋体"/>
          <w:u w:val="single"/>
        </w:rPr>
        <w:t xml:space="preserve"> 5% </w:t>
      </w:r>
      <w:r>
        <w:rPr>
          <w:rFonts w:hint="eastAsia" w:ascii="宋体" w:hAnsi="宋体" w:eastAsia="宋体" w:cs="宋体"/>
        </w:rPr>
        <w:t>每日向乙方支付违约金。</w:t>
      </w:r>
    </w:p>
    <w:p w14:paraId="4ECA5F45">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440" w:lineRule="exact"/>
        <w:ind w:firstLine="480" w:firstLineChars="200"/>
        <w:jc w:val="both"/>
        <w:textAlignment w:val="auto"/>
      </w:pPr>
      <w:r>
        <w:rPr>
          <w:rFonts w:hint="eastAsia" w:ascii="宋体" w:hAnsi="宋体" w:eastAsia="宋体" w:cs="宋体"/>
        </w:rPr>
        <w:t>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u w:val="single"/>
        </w:rPr>
        <w:t xml:space="preserve"> 5% </w:t>
      </w:r>
      <w:r>
        <w:rPr>
          <w:rFonts w:hint="eastAsia" w:ascii="宋体" w:hAnsi="宋体" w:eastAsia="宋体" w:cs="宋体"/>
        </w:rPr>
        <w:t xml:space="preserve">的违约金，如造成甲方损失超过违约金的，超出部分由乙方继续承担赔偿责任。 </w:t>
      </w:r>
    </w:p>
    <w:p w14:paraId="27F18414">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440" w:lineRule="exact"/>
        <w:ind w:firstLine="480" w:firstLineChars="200"/>
        <w:jc w:val="both"/>
        <w:textAlignment w:val="auto"/>
        <w:rPr>
          <w:rFonts w:hint="eastAsia" w:ascii="宋体" w:hAnsi="宋体" w:eastAsia="宋体" w:cs="宋体"/>
        </w:rPr>
      </w:pPr>
      <w:r>
        <w:rPr>
          <w:rFonts w:hint="eastAsia" w:ascii="宋体" w:hAnsi="宋体" w:eastAsia="宋体" w:cs="宋体"/>
        </w:rPr>
        <w:t>11.4乙方所提供服务的标准不符合合同规定及招标文件规定标准的，甲方有权拒绝接受服务，并可单方面解除合同。</w:t>
      </w:r>
    </w:p>
    <w:p w14:paraId="13B7CFBC">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440" w:lineRule="exact"/>
        <w:ind w:firstLine="480" w:firstLineChars="200"/>
        <w:jc w:val="both"/>
        <w:textAlignment w:val="auto"/>
        <w:rPr>
          <w:rFonts w:hint="eastAsia" w:ascii="宋体" w:hAnsi="宋体" w:eastAsia="宋体" w:cs="宋体"/>
          <w:color w:val="auto"/>
        </w:rPr>
      </w:pPr>
      <w:r>
        <w:rPr>
          <w:rFonts w:hint="eastAsia" w:ascii="宋体" w:hAnsi="宋体" w:eastAsia="宋体" w:cs="宋体"/>
          <w:color w:val="auto"/>
        </w:rPr>
        <w:t>11.5 乙方维护期间须配备专门的安全管理人员，明确责任人，做好施工安全保障措施和安全记录；相关作业人员（电工、高空作业人员等）须具备相关证件，持证上岗，在合同履行期间一切安全问题由乙方承担。</w:t>
      </w:r>
    </w:p>
    <w:p w14:paraId="1353A60D">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440" w:lineRule="exact"/>
        <w:ind w:firstLine="480" w:firstLineChars="200"/>
        <w:jc w:val="both"/>
        <w:textAlignment w:val="auto"/>
        <w:rPr>
          <w:rFonts w:hint="default" w:ascii="宋体" w:hAnsi="宋体" w:eastAsia="宋体" w:cs="宋体"/>
          <w:color w:val="FF0000"/>
          <w:lang w:val="en-US" w:eastAsia="zh-CN"/>
        </w:rPr>
      </w:pPr>
      <w:r>
        <w:rPr>
          <w:rFonts w:hint="eastAsia" w:ascii="宋体" w:hAnsi="宋体" w:eastAsia="宋体" w:cs="宋体"/>
          <w:color w:val="auto"/>
          <w:lang w:val="en-US" w:eastAsia="zh-CN"/>
        </w:rPr>
        <w:t>11.6乙方应对其维护人员进行日常管理和培训，要求维护人员遵守相关的安全规范，并采取必要的安全防范措施，维护人员在工作期间发生的意外伤害、猝死、疾病等均由乙方作为用人单位承担相应责任，乙方应负责办理相关工伤或保险理赔等手续，所需金额如理赔不足的，剩余部分则由乙方承担。采购方不承担任何责任，也无需支付任何补偿金、赔偿金、慰问金等。</w:t>
      </w:r>
    </w:p>
    <w:p w14:paraId="0A8F9A52">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440" w:lineRule="exact"/>
        <w:ind w:firstLine="482" w:firstLineChars="200"/>
        <w:jc w:val="both"/>
        <w:textAlignment w:val="auto"/>
      </w:pPr>
      <w:r>
        <w:rPr>
          <w:rFonts w:hint="eastAsia" w:ascii="宋体" w:hAnsi="宋体" w:eastAsia="宋体" w:cs="宋体"/>
          <w:b/>
        </w:rPr>
        <w:t>十二、不可抗力事件处理</w:t>
      </w:r>
    </w:p>
    <w:p w14:paraId="3388BEEC">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440" w:lineRule="exact"/>
        <w:ind w:firstLine="480" w:firstLineChars="200"/>
        <w:jc w:val="both"/>
        <w:textAlignment w:val="auto"/>
      </w:pPr>
      <w:r>
        <w:rPr>
          <w:rFonts w:hint="eastAsia" w:ascii="宋体" w:hAnsi="宋体" w:eastAsia="宋体" w:cs="宋体"/>
        </w:rPr>
        <w:t>12.1在合同有效期内，任何一方因不可抗力事件导致不能履行合同，则合同履行期可延长，其延长期与不可抗力影响期相同。</w:t>
      </w:r>
    </w:p>
    <w:p w14:paraId="333DD2A0">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440" w:lineRule="exact"/>
        <w:ind w:firstLine="480" w:firstLineChars="200"/>
        <w:jc w:val="both"/>
        <w:textAlignment w:val="auto"/>
        <w:rPr>
          <w:spacing w:val="-11"/>
          <w:sz w:val="24"/>
        </w:rPr>
      </w:pPr>
      <w:r>
        <w:rPr>
          <w:rFonts w:hint="eastAsia" w:ascii="宋体" w:hAnsi="宋体" w:eastAsia="宋体" w:cs="宋体"/>
        </w:rPr>
        <w:t>12.2</w:t>
      </w:r>
      <w:r>
        <w:rPr>
          <w:rFonts w:hint="eastAsia" w:ascii="宋体" w:hAnsi="宋体" w:eastAsia="宋体" w:cs="宋体"/>
          <w:spacing w:val="-6"/>
          <w:sz w:val="24"/>
        </w:rPr>
        <w:t>不可抗力事件发生后，应立即通知对方，并寄送有关权威机构出具的证明。</w:t>
      </w:r>
    </w:p>
    <w:p w14:paraId="542497D9">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440" w:lineRule="exact"/>
        <w:ind w:firstLine="480" w:firstLineChars="200"/>
        <w:jc w:val="both"/>
        <w:textAlignment w:val="auto"/>
      </w:pPr>
      <w:r>
        <w:rPr>
          <w:rFonts w:hint="eastAsia" w:ascii="宋体" w:hAnsi="宋体" w:eastAsia="宋体" w:cs="宋体"/>
        </w:rPr>
        <w:t>12.3不可抗力事件延续120天以上，双方应通过友好协商，确定是否继续履行合同。</w:t>
      </w:r>
    </w:p>
    <w:p w14:paraId="152985D9">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440" w:lineRule="exact"/>
        <w:ind w:firstLine="482" w:firstLineChars="200"/>
        <w:jc w:val="both"/>
        <w:textAlignment w:val="auto"/>
      </w:pPr>
      <w:r>
        <w:rPr>
          <w:rFonts w:hint="eastAsia" w:ascii="宋体" w:hAnsi="宋体" w:eastAsia="宋体" w:cs="宋体"/>
          <w:b/>
        </w:rPr>
        <w:t>十三、解决争议的方法</w:t>
      </w:r>
    </w:p>
    <w:p w14:paraId="17B82E07">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440" w:lineRule="exact"/>
        <w:ind w:firstLine="480" w:firstLineChars="200"/>
        <w:jc w:val="both"/>
        <w:textAlignment w:val="auto"/>
      </w:pPr>
      <w:r>
        <w:rPr>
          <w:rFonts w:hint="eastAsia" w:ascii="宋体" w:hAnsi="宋体" w:eastAsia="宋体" w:cs="宋体"/>
        </w:rPr>
        <w:t>13.1双方在签订、履行合同中所发生的一切争议，应通过友好协商解决。如协商不成，由甲方住所地人民法院管辖。</w:t>
      </w:r>
    </w:p>
    <w:p w14:paraId="5EE9D8DC">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440" w:lineRule="exact"/>
        <w:ind w:firstLine="482" w:firstLineChars="200"/>
        <w:jc w:val="both"/>
        <w:textAlignment w:val="auto"/>
      </w:pPr>
      <w:r>
        <w:rPr>
          <w:rFonts w:hint="eastAsia" w:ascii="宋体" w:hAnsi="宋体" w:eastAsia="宋体" w:cs="宋体"/>
          <w:b/>
        </w:rPr>
        <w:t>十四、合同生效及其他</w:t>
      </w:r>
    </w:p>
    <w:p w14:paraId="7FC98836">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440" w:lineRule="exact"/>
        <w:ind w:firstLine="480" w:firstLineChars="200"/>
        <w:jc w:val="both"/>
        <w:textAlignment w:val="auto"/>
      </w:pPr>
      <w:r>
        <w:rPr>
          <w:rFonts w:hint="eastAsia" w:ascii="宋体" w:hAnsi="宋体" w:eastAsia="宋体" w:cs="宋体"/>
        </w:rPr>
        <w:t>14.1合同经双方法定代表人或授权委托代表人签字并加盖单位公章后生效。</w:t>
      </w:r>
    </w:p>
    <w:p w14:paraId="7205EB36">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440" w:lineRule="exact"/>
        <w:ind w:firstLine="480" w:firstLineChars="200"/>
        <w:jc w:val="both"/>
        <w:textAlignment w:val="auto"/>
      </w:pPr>
      <w:r>
        <w:rPr>
          <w:rFonts w:hint="eastAsia" w:ascii="宋体" w:hAnsi="宋体" w:eastAsia="宋体" w:cs="宋体"/>
        </w:rPr>
        <w:t>14.2本合同未尽事宜，遵照《</w:t>
      </w:r>
      <w:r>
        <w:rPr>
          <w:rFonts w:hint="eastAsia" w:ascii="宋体" w:hAnsi="宋体" w:eastAsia="宋体" w:cs="宋体"/>
          <w:lang w:val="en-US" w:eastAsia="zh-CN"/>
        </w:rPr>
        <w:t>中华人民共和国</w:t>
      </w:r>
      <w:r>
        <w:rPr>
          <w:rFonts w:hint="eastAsia" w:ascii="宋体" w:hAnsi="宋体" w:eastAsia="宋体" w:cs="宋体"/>
        </w:rPr>
        <w:t>民法典》、《</w:t>
      </w:r>
      <w:r>
        <w:rPr>
          <w:rFonts w:hint="eastAsia" w:ascii="宋体" w:hAnsi="宋体" w:eastAsia="宋体" w:cs="宋体"/>
          <w:lang w:val="en-US" w:eastAsia="zh-CN"/>
        </w:rPr>
        <w:t>中华人民共和国</w:t>
      </w:r>
      <w:r>
        <w:rPr>
          <w:rFonts w:hint="eastAsia" w:ascii="宋体" w:hAnsi="宋体" w:eastAsia="宋体" w:cs="宋体"/>
        </w:rPr>
        <w:t>政府采购法》有关条文执行。</w:t>
      </w:r>
    </w:p>
    <w:p w14:paraId="788B73EB">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440" w:lineRule="exact"/>
        <w:ind w:firstLine="480" w:firstLineChars="200"/>
        <w:jc w:val="both"/>
        <w:textAlignment w:val="auto"/>
      </w:pPr>
      <w:r>
        <w:rPr>
          <w:rFonts w:hint="eastAsia" w:ascii="宋体" w:hAnsi="宋体" w:eastAsia="宋体" w:cs="宋体"/>
        </w:rPr>
        <w:t>14.3 本合同正本一式</w:t>
      </w:r>
      <w:r>
        <w:rPr>
          <w:rFonts w:hint="eastAsia" w:ascii="宋体" w:hAnsi="宋体" w:eastAsia="宋体" w:cs="宋体"/>
          <w:lang w:val="en-US" w:eastAsia="zh-CN"/>
        </w:rPr>
        <w:t>陆</w:t>
      </w:r>
      <w:r>
        <w:rPr>
          <w:rFonts w:hint="eastAsia" w:ascii="宋体" w:hAnsi="宋体" w:eastAsia="宋体" w:cs="宋体"/>
        </w:rPr>
        <w:t>份，具有同等法律效力，甲方、乙方各执</w:t>
      </w:r>
      <w:r>
        <w:rPr>
          <w:rFonts w:hint="eastAsia" w:ascii="宋体" w:hAnsi="宋体" w:eastAsia="宋体" w:cs="宋体"/>
          <w:lang w:val="en-US" w:eastAsia="zh-CN"/>
        </w:rPr>
        <w:t>叁</w:t>
      </w:r>
      <w:r>
        <w:rPr>
          <w:rFonts w:hint="eastAsia" w:ascii="宋体" w:hAnsi="宋体" w:eastAsia="宋体" w:cs="宋体"/>
        </w:rPr>
        <w:t>份。</w:t>
      </w:r>
    </w:p>
    <w:p w14:paraId="315A3326">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440" w:lineRule="exact"/>
        <w:ind w:firstLine="480" w:firstLineChars="200"/>
        <w:jc w:val="both"/>
        <w:textAlignment w:val="auto"/>
      </w:pPr>
      <w:r>
        <w:rPr>
          <w:rFonts w:hint="eastAsia" w:ascii="宋体" w:hAnsi="宋体" w:eastAsia="宋体" w:cs="宋体"/>
        </w:rPr>
        <w:t>甲方</w:t>
      </w:r>
      <w:r>
        <w:rPr>
          <w:rFonts w:hint="eastAsia" w:ascii="宋体" w:hAnsi="宋体" w:eastAsia="宋体" w:cs="宋体"/>
          <w:lang w:eastAsia="zh-CN"/>
        </w:rPr>
        <w:t>（</w:t>
      </w:r>
      <w:r>
        <w:rPr>
          <w:rFonts w:hint="eastAsia" w:ascii="宋体" w:hAnsi="宋体" w:eastAsia="宋体" w:cs="宋体"/>
          <w:lang w:val="en-US" w:eastAsia="zh-CN"/>
        </w:rPr>
        <w:t>盖章</w:t>
      </w:r>
      <w:r>
        <w:rPr>
          <w:rFonts w:hint="eastAsia" w:ascii="宋体" w:hAnsi="宋体" w:eastAsia="宋体" w:cs="宋体"/>
          <w:lang w:eastAsia="zh-CN"/>
        </w:rPr>
        <w:t>）</w:t>
      </w:r>
      <w:r>
        <w:rPr>
          <w:rFonts w:hint="eastAsia" w:ascii="宋体" w:hAnsi="宋体" w:eastAsia="宋体" w:cs="宋体"/>
        </w:rPr>
        <w:t>：          </w:t>
      </w:r>
      <w:r>
        <w:rPr>
          <w:rFonts w:hint="eastAsia" w:ascii="宋体" w:hAnsi="宋体" w:eastAsia="宋体" w:cs="宋体"/>
          <w:lang w:val="en-US" w:eastAsia="zh-CN"/>
        </w:rPr>
        <w:t xml:space="preserve"> </w:t>
      </w:r>
      <w:r>
        <w:rPr>
          <w:rFonts w:hint="eastAsia" w:ascii="宋体" w:hAnsi="宋体" w:eastAsia="宋体" w:cs="宋体"/>
        </w:rPr>
        <w:t xml:space="preserve">乙方： </w:t>
      </w:r>
    </w:p>
    <w:p w14:paraId="0F307C5A">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440" w:lineRule="exact"/>
        <w:ind w:firstLine="480" w:firstLineChars="200"/>
        <w:jc w:val="both"/>
        <w:textAlignment w:val="auto"/>
      </w:pPr>
      <w:r>
        <w:rPr>
          <w:rFonts w:hint="eastAsia" w:ascii="宋体" w:hAnsi="宋体" w:eastAsia="宋体" w:cs="宋体"/>
        </w:rPr>
        <w:t>地址：              </w:t>
      </w:r>
      <w:r>
        <w:rPr>
          <w:rFonts w:hint="eastAsia" w:ascii="宋体" w:hAnsi="宋体" w:eastAsia="宋体" w:cs="宋体"/>
          <w:lang w:val="en-US" w:eastAsia="zh-CN"/>
        </w:rPr>
        <w:t xml:space="preserve"> </w:t>
      </w:r>
      <w:r>
        <w:rPr>
          <w:rFonts w:hint="eastAsia" w:ascii="宋体" w:hAnsi="宋体" w:eastAsia="宋体" w:cs="宋体"/>
        </w:rPr>
        <w:t xml:space="preserve">地址： </w:t>
      </w:r>
    </w:p>
    <w:p w14:paraId="2153AE5B">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440" w:lineRule="exact"/>
        <w:ind w:firstLine="480" w:firstLineChars="200"/>
        <w:jc w:val="both"/>
        <w:textAlignment w:val="auto"/>
        <w:rPr>
          <w:rFonts w:hint="eastAsia" w:ascii="宋体" w:hAnsi="宋体" w:eastAsia="宋体" w:cs="宋体"/>
        </w:rPr>
      </w:pPr>
      <w:r>
        <w:rPr>
          <w:rFonts w:hint="eastAsia" w:ascii="宋体" w:hAnsi="宋体" w:eastAsia="宋体" w:cs="宋体"/>
        </w:rPr>
        <w:t>法定代表人或授权代表       </w:t>
      </w:r>
      <w:r>
        <w:rPr>
          <w:rFonts w:hint="eastAsia" w:ascii="宋体" w:hAnsi="宋体" w:eastAsia="宋体" w:cs="宋体"/>
          <w:lang w:val="en-US" w:eastAsia="zh-CN"/>
        </w:rPr>
        <w:t xml:space="preserve"> </w:t>
      </w:r>
      <w:r>
        <w:rPr>
          <w:rFonts w:hint="eastAsia" w:ascii="宋体" w:hAnsi="宋体" w:eastAsia="宋体" w:cs="宋体"/>
        </w:rPr>
        <w:t>法定代表人或授权代表：</w:t>
      </w:r>
    </w:p>
    <w:p w14:paraId="36210EF1">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440" w:lineRule="exact"/>
        <w:ind w:firstLine="480" w:firstLineChars="200"/>
        <w:jc w:val="both"/>
        <w:textAlignment w:val="auto"/>
        <w:rPr>
          <w:rFonts w:hint="default" w:ascii="宋体" w:hAnsi="宋体" w:eastAsia="宋体" w:cs="宋体"/>
          <w:lang w:val="en-US" w:eastAsia="zh-CN"/>
        </w:rPr>
      </w:pPr>
      <w:r>
        <w:rPr>
          <w:rFonts w:hint="eastAsia" w:ascii="宋体" w:hAnsi="宋体" w:eastAsia="宋体" w:cs="宋体"/>
          <w:lang w:eastAsia="zh-CN"/>
        </w:rPr>
        <w:t>（</w:t>
      </w:r>
      <w:r>
        <w:rPr>
          <w:rFonts w:hint="eastAsia" w:ascii="宋体" w:hAnsi="宋体" w:eastAsia="宋体" w:cs="宋体"/>
          <w:lang w:val="en-US" w:eastAsia="zh-CN"/>
        </w:rPr>
        <w:t>签字或盖章</w:t>
      </w:r>
      <w:r>
        <w:rPr>
          <w:rFonts w:hint="eastAsia" w:ascii="宋体" w:hAnsi="宋体" w:eastAsia="宋体" w:cs="宋体"/>
          <w:lang w:eastAsia="zh-CN"/>
        </w:rPr>
        <w:t>）：</w:t>
      </w:r>
      <w:r>
        <w:rPr>
          <w:rFonts w:hint="eastAsia" w:ascii="宋体" w:hAnsi="宋体" w:eastAsia="宋体" w:cs="宋体"/>
          <w:lang w:val="en-US" w:eastAsia="zh-CN"/>
        </w:rPr>
        <w:t xml:space="preserve">                    </w:t>
      </w:r>
      <w:r>
        <w:rPr>
          <w:rFonts w:hint="eastAsia" w:ascii="宋体" w:hAnsi="宋体" w:eastAsia="宋体" w:cs="宋体"/>
          <w:lang w:eastAsia="zh-CN"/>
        </w:rPr>
        <w:t>（</w:t>
      </w:r>
      <w:r>
        <w:rPr>
          <w:rFonts w:hint="eastAsia" w:ascii="宋体" w:hAnsi="宋体" w:eastAsia="宋体" w:cs="宋体"/>
          <w:lang w:val="en-US" w:eastAsia="zh-CN"/>
        </w:rPr>
        <w:t>签字或盖章</w:t>
      </w:r>
      <w:r>
        <w:rPr>
          <w:rFonts w:hint="eastAsia" w:ascii="宋体" w:hAnsi="宋体" w:eastAsia="宋体" w:cs="宋体"/>
          <w:lang w:eastAsia="zh-CN"/>
        </w:rPr>
        <w:t>）：</w:t>
      </w:r>
    </w:p>
    <w:p w14:paraId="21952A81">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440" w:lineRule="exact"/>
        <w:ind w:firstLine="480" w:firstLineChars="200"/>
        <w:jc w:val="both"/>
        <w:textAlignment w:val="auto"/>
        <w:rPr>
          <w:rFonts w:hint="eastAsia" w:ascii="宋体" w:hAnsi="宋体" w:eastAsia="宋体" w:cs="宋体"/>
        </w:rPr>
      </w:pPr>
      <w:r>
        <w:rPr>
          <w:rFonts w:hint="eastAsia" w:ascii="宋体" w:hAnsi="宋体" w:eastAsia="宋体" w:cs="宋体"/>
        </w:rPr>
        <w:t>联系电话：            </w:t>
      </w:r>
      <w:r>
        <w:rPr>
          <w:rFonts w:hint="eastAsia" w:ascii="宋体" w:hAnsi="宋体" w:eastAsia="宋体" w:cs="宋体"/>
          <w:lang w:val="en-US" w:eastAsia="zh-CN"/>
        </w:rPr>
        <w:t xml:space="preserve">  </w:t>
      </w:r>
      <w:r>
        <w:rPr>
          <w:rFonts w:hint="eastAsia" w:ascii="宋体" w:hAnsi="宋体" w:eastAsia="宋体" w:cs="宋体"/>
        </w:rPr>
        <w:t xml:space="preserve">联系电话：          </w:t>
      </w:r>
    </w:p>
    <w:p w14:paraId="118DCA88">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440" w:lineRule="exact"/>
        <w:ind w:left="418" w:leftChars="199" w:firstLine="480" w:firstLineChars="200"/>
        <w:jc w:val="both"/>
        <w:textAlignment w:val="auto"/>
        <w:rPr>
          <w:rFonts w:hint="eastAsia" w:ascii="黑体" w:hAnsi="宋体" w:eastAsia="黑体" w:cs="黑体"/>
          <w:color w:val="000000"/>
          <w:sz w:val="44"/>
          <w:szCs w:val="44"/>
          <w:highlight w:val="none"/>
        </w:rPr>
      </w:pPr>
      <w:r>
        <w:rPr>
          <w:rFonts w:hint="eastAsia" w:ascii="宋体" w:hAnsi="宋体" w:eastAsia="宋体" w:cs="宋体"/>
        </w:rPr>
        <w:t>              签订日期：   年    月   日</w:t>
      </w:r>
      <w:r>
        <w:rPr>
          <w:rFonts w:hint="eastAsia" w:ascii="黑体" w:hAnsi="宋体" w:eastAsia="黑体" w:cs="黑体"/>
          <w:color w:val="000000"/>
          <w:sz w:val="44"/>
          <w:szCs w:val="44"/>
          <w:highlight w:val="none"/>
        </w:rPr>
        <w:br w:type="page" w:clear="all"/>
      </w:r>
    </w:p>
    <w:p w14:paraId="282FC2B2">
      <w:pPr>
        <w:pStyle w:val="34"/>
        <w:spacing w:before="120" w:beforeAutospacing="0" w:after="120" w:afterAutospacing="0" w:line="0" w:lineRule="atLeast"/>
        <w:jc w:val="center"/>
        <w:rPr>
          <w:rFonts w:hint="eastAsia" w:ascii="黑体" w:hAnsi="宋体" w:eastAsia="黑体" w:cs="黑体"/>
          <w:color w:val="000000"/>
          <w:sz w:val="36"/>
          <w:szCs w:val="36"/>
          <w:highlight w:val="none"/>
        </w:rPr>
        <w:sectPr>
          <w:footerReference r:id="rId5" w:type="default"/>
          <w:pgSz w:w="11906" w:h="16838"/>
          <w:pgMar w:top="1460" w:right="1486" w:bottom="1518" w:left="1800" w:header="851" w:footer="992" w:gutter="0"/>
          <w:pgNumType w:start="3"/>
          <w:cols w:space="425" w:num="1"/>
          <w:docGrid w:linePitch="360" w:charSpace="0"/>
        </w:sectPr>
      </w:pPr>
    </w:p>
    <w:p w14:paraId="76EAF3CA">
      <w:pPr>
        <w:pStyle w:val="34"/>
        <w:spacing w:before="120" w:beforeAutospacing="0" w:after="120" w:afterAutospacing="0" w:line="0" w:lineRule="atLeast"/>
        <w:jc w:val="both"/>
        <w:rPr>
          <w:rFonts w:hint="eastAsia" w:ascii="宋体" w:hAnsi="宋体" w:eastAsia="宋体" w:cs="宋体"/>
          <w:lang w:val="en-US" w:eastAsia="zh-CN"/>
        </w:rPr>
      </w:pPr>
      <w:r>
        <w:rPr>
          <w:rFonts w:hint="eastAsia" w:ascii="宋体" w:hAnsi="宋体" w:eastAsia="宋体" w:cs="宋体"/>
          <w:lang w:val="en-US" w:eastAsia="zh-CN"/>
        </w:rPr>
        <w:t>附件：</w:t>
      </w:r>
    </w:p>
    <w:p w14:paraId="2A4FA9A3">
      <w:pPr>
        <w:pStyle w:val="34"/>
        <w:spacing w:before="120" w:beforeAutospacing="0" w:after="120" w:afterAutospacing="0" w:line="0" w:lineRule="atLeast"/>
        <w:jc w:val="center"/>
        <w:rPr>
          <w:rFonts w:hint="eastAsia" w:ascii="宋体" w:hAnsi="宋体" w:eastAsia="宋体" w:cs="宋体"/>
          <w:b/>
          <w:bCs/>
          <w:sz w:val="28"/>
          <w:szCs w:val="28"/>
        </w:rPr>
      </w:pPr>
      <w:r>
        <w:rPr>
          <w:rFonts w:hint="eastAsia" w:ascii="宋体" w:hAnsi="宋体" w:eastAsia="宋体" w:cs="宋体"/>
          <w:b/>
          <w:bCs/>
          <w:sz w:val="28"/>
          <w:szCs w:val="28"/>
        </w:rPr>
        <w:t>《县城楼宇亮化维护考核标准》</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95"/>
        <w:gridCol w:w="4938"/>
        <w:gridCol w:w="2203"/>
      </w:tblGrid>
      <w:tr w14:paraId="4663B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1695" w:type="dxa"/>
          </w:tcPr>
          <w:p w14:paraId="107931DB">
            <w:pPr>
              <w:pStyle w:val="34"/>
              <w:spacing w:before="120" w:beforeAutospacing="0" w:after="120" w:afterAutospacing="0" w:line="0" w:lineRule="atLeast"/>
              <w:jc w:val="center"/>
              <w:rPr>
                <w:rFonts w:hint="eastAsia" w:ascii="宋体" w:hAnsi="宋体" w:eastAsia="宋体" w:cs="宋体"/>
                <w:b/>
                <w:bCs/>
                <w:sz w:val="21"/>
                <w:szCs w:val="21"/>
                <w:vertAlign w:val="baseline"/>
              </w:rPr>
            </w:pPr>
            <w:r>
              <w:rPr>
                <w:rFonts w:hint="eastAsia" w:ascii="宋体" w:hAnsi="宋体" w:eastAsia="宋体" w:cs="宋体"/>
                <w:b/>
                <w:bCs/>
                <w:sz w:val="21"/>
                <w:szCs w:val="21"/>
                <w:vertAlign w:val="baseline"/>
              </w:rPr>
              <w:t>检查项目</w:t>
            </w:r>
          </w:p>
        </w:tc>
        <w:tc>
          <w:tcPr>
            <w:tcW w:w="4938" w:type="dxa"/>
          </w:tcPr>
          <w:p w14:paraId="19FC53E1">
            <w:pPr>
              <w:pStyle w:val="34"/>
              <w:spacing w:before="120" w:beforeAutospacing="0" w:after="120" w:afterAutospacing="0" w:line="0" w:lineRule="atLeast"/>
              <w:jc w:val="center"/>
              <w:rPr>
                <w:rFonts w:hint="eastAsia" w:ascii="宋体" w:hAnsi="宋体" w:eastAsia="宋体" w:cs="宋体"/>
                <w:b/>
                <w:bCs/>
                <w:sz w:val="21"/>
                <w:szCs w:val="21"/>
                <w:vertAlign w:val="baseline"/>
              </w:rPr>
            </w:pPr>
            <w:r>
              <w:rPr>
                <w:rFonts w:hint="eastAsia" w:ascii="宋体" w:hAnsi="宋体" w:eastAsia="宋体" w:cs="宋体"/>
                <w:b/>
                <w:bCs/>
                <w:sz w:val="21"/>
                <w:szCs w:val="21"/>
                <w:vertAlign w:val="baseline"/>
              </w:rPr>
              <w:t>考核标准</w:t>
            </w:r>
          </w:p>
        </w:tc>
        <w:tc>
          <w:tcPr>
            <w:tcW w:w="2203" w:type="dxa"/>
          </w:tcPr>
          <w:p w14:paraId="2910F9AA">
            <w:pPr>
              <w:pStyle w:val="34"/>
              <w:spacing w:before="120" w:beforeAutospacing="0" w:after="120" w:afterAutospacing="0" w:line="0" w:lineRule="atLeast"/>
              <w:jc w:val="center"/>
              <w:rPr>
                <w:rFonts w:hint="eastAsia" w:ascii="宋体" w:hAnsi="宋体" w:eastAsia="宋体" w:cs="宋体"/>
                <w:b/>
                <w:bCs/>
                <w:sz w:val="21"/>
                <w:szCs w:val="21"/>
                <w:vertAlign w:val="baseline"/>
              </w:rPr>
            </w:pPr>
            <w:r>
              <w:rPr>
                <w:rFonts w:hint="eastAsia" w:ascii="宋体" w:hAnsi="宋体" w:eastAsia="宋体" w:cs="宋体"/>
                <w:b/>
                <w:bCs/>
                <w:sz w:val="21"/>
                <w:szCs w:val="21"/>
                <w:vertAlign w:val="baseline"/>
              </w:rPr>
              <w:t>处罚标准</w:t>
            </w:r>
          </w:p>
        </w:tc>
      </w:tr>
      <w:tr w14:paraId="5938A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5" w:type="dxa"/>
            <w:vMerge w:val="restart"/>
          </w:tcPr>
          <w:p w14:paraId="42D0A8AD">
            <w:pPr>
              <w:pStyle w:val="34"/>
              <w:spacing w:before="120" w:beforeAutospacing="0" w:after="120" w:afterAutospacing="0" w:line="0" w:lineRule="atLeast"/>
              <w:jc w:val="center"/>
              <w:rPr>
                <w:rFonts w:hint="eastAsia" w:ascii="宋体" w:hAnsi="宋体" w:eastAsia="宋体" w:cs="宋体"/>
                <w:sz w:val="21"/>
                <w:szCs w:val="21"/>
                <w:vertAlign w:val="baseline"/>
              </w:rPr>
            </w:pPr>
          </w:p>
          <w:p w14:paraId="6A7851C6">
            <w:pPr>
              <w:pStyle w:val="34"/>
              <w:spacing w:before="120" w:beforeAutospacing="0" w:after="120" w:afterAutospacing="0" w:line="0" w:lineRule="atLeast"/>
              <w:jc w:val="center"/>
              <w:rPr>
                <w:rFonts w:hint="eastAsia" w:ascii="宋体" w:hAnsi="宋体" w:eastAsia="宋体" w:cs="宋体"/>
                <w:sz w:val="21"/>
                <w:szCs w:val="21"/>
                <w:vertAlign w:val="baseline"/>
              </w:rPr>
            </w:pPr>
          </w:p>
          <w:p w14:paraId="4B8A3B47">
            <w:pPr>
              <w:pStyle w:val="34"/>
              <w:spacing w:before="120" w:beforeAutospacing="0" w:after="120" w:afterAutospacing="0" w:line="0" w:lineRule="atLeast"/>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t>亮灯率</w:t>
            </w:r>
          </w:p>
        </w:tc>
        <w:tc>
          <w:tcPr>
            <w:tcW w:w="4938" w:type="dxa"/>
          </w:tcPr>
          <w:p w14:paraId="486F45DC">
            <w:pPr>
              <w:pStyle w:val="34"/>
              <w:spacing w:before="120" w:beforeAutospacing="0" w:after="120" w:afterAutospacing="0" w:line="0" w:lineRule="atLeast"/>
              <w:jc w:val="left"/>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rPr>
              <w:t>1、管护范围内楼宇亮化实际亮灯情况</w:t>
            </w:r>
            <w:r>
              <w:rPr>
                <w:rFonts w:hint="eastAsia" w:ascii="宋体" w:hAnsi="宋体" w:eastAsia="宋体" w:cs="宋体"/>
                <w:sz w:val="21"/>
                <w:szCs w:val="21"/>
                <w:vertAlign w:val="baseline"/>
                <w:lang w:eastAsia="zh-CN"/>
              </w:rPr>
              <w:t>。</w:t>
            </w:r>
          </w:p>
        </w:tc>
        <w:tc>
          <w:tcPr>
            <w:tcW w:w="2203" w:type="dxa"/>
            <w:vMerge w:val="restart"/>
          </w:tcPr>
          <w:p w14:paraId="0BEE42E4">
            <w:pPr>
              <w:pStyle w:val="34"/>
              <w:spacing w:before="120" w:beforeAutospacing="0" w:after="120" w:afterAutospacing="0" w:line="0" w:lineRule="atLeast"/>
              <w:jc w:val="left"/>
              <w:rPr>
                <w:rFonts w:hint="eastAsia" w:ascii="宋体" w:hAnsi="宋体" w:eastAsia="宋体" w:cs="宋体"/>
                <w:sz w:val="21"/>
                <w:szCs w:val="21"/>
                <w:vertAlign w:val="baseline"/>
              </w:rPr>
            </w:pPr>
            <w:r>
              <w:rPr>
                <w:rFonts w:hint="eastAsia" w:ascii="宋体" w:hAnsi="宋体" w:eastAsia="宋体" w:cs="宋体"/>
                <w:sz w:val="21"/>
                <w:szCs w:val="21"/>
                <w:vertAlign w:val="baseline"/>
              </w:rPr>
              <w:t>甲方随机组织抽查。对照亮化率标准，每低于1个百分点扣罚2000元；抽查发现整栋不亮的的情况一次扣罚5000元。</w:t>
            </w:r>
          </w:p>
        </w:tc>
      </w:tr>
      <w:tr w14:paraId="00FD9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5" w:type="dxa"/>
            <w:vMerge w:val="continue"/>
          </w:tcPr>
          <w:p w14:paraId="1424C534">
            <w:pPr>
              <w:pStyle w:val="34"/>
              <w:spacing w:before="120" w:beforeAutospacing="0" w:after="120" w:afterAutospacing="0" w:line="0" w:lineRule="atLeast"/>
              <w:jc w:val="center"/>
              <w:rPr>
                <w:rFonts w:hint="eastAsia" w:ascii="宋体" w:hAnsi="宋体" w:eastAsia="宋体" w:cs="宋体"/>
                <w:sz w:val="21"/>
                <w:szCs w:val="21"/>
                <w:vertAlign w:val="baseline"/>
              </w:rPr>
            </w:pPr>
          </w:p>
        </w:tc>
        <w:tc>
          <w:tcPr>
            <w:tcW w:w="4938" w:type="dxa"/>
          </w:tcPr>
          <w:p w14:paraId="329B7C46">
            <w:pPr>
              <w:pStyle w:val="34"/>
              <w:spacing w:before="120" w:beforeAutospacing="0" w:after="120" w:afterAutospacing="0" w:line="0" w:lineRule="atLeast"/>
              <w:jc w:val="left"/>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rPr>
              <w:t>2.亮灯率=抽查范围内亮灯楼宇数量/楼宇数量*100%（亮化亮灯率必须达到98%：以亮化控制点为1个单元，每次测定亮灯率采用随机抽取，抽取数量不低于数量25%）</w:t>
            </w:r>
            <w:r>
              <w:rPr>
                <w:rFonts w:hint="eastAsia" w:ascii="宋体" w:hAnsi="宋体" w:eastAsia="宋体" w:cs="宋体"/>
                <w:sz w:val="21"/>
                <w:szCs w:val="21"/>
                <w:vertAlign w:val="baseline"/>
                <w:lang w:eastAsia="zh-CN"/>
              </w:rPr>
              <w:t>。</w:t>
            </w:r>
          </w:p>
        </w:tc>
        <w:tc>
          <w:tcPr>
            <w:tcW w:w="2203" w:type="dxa"/>
            <w:vMerge w:val="continue"/>
          </w:tcPr>
          <w:p w14:paraId="1CCEC8CD">
            <w:pPr>
              <w:pStyle w:val="34"/>
              <w:spacing w:before="120" w:beforeAutospacing="0" w:after="120" w:afterAutospacing="0" w:line="0" w:lineRule="atLeast"/>
              <w:jc w:val="left"/>
              <w:rPr>
                <w:rFonts w:hint="eastAsia" w:ascii="宋体" w:hAnsi="宋体" w:eastAsia="宋体" w:cs="宋体"/>
                <w:sz w:val="21"/>
                <w:szCs w:val="21"/>
                <w:vertAlign w:val="baseline"/>
              </w:rPr>
            </w:pPr>
          </w:p>
        </w:tc>
      </w:tr>
      <w:tr w14:paraId="4B3A9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5" w:type="dxa"/>
            <w:vMerge w:val="restart"/>
          </w:tcPr>
          <w:p w14:paraId="59ED6F21">
            <w:pPr>
              <w:pStyle w:val="34"/>
              <w:spacing w:before="120" w:beforeAutospacing="0" w:after="120" w:afterAutospacing="0" w:line="0" w:lineRule="atLeast"/>
              <w:jc w:val="center"/>
              <w:rPr>
                <w:rFonts w:hint="eastAsia" w:ascii="宋体" w:hAnsi="宋体" w:eastAsia="宋体" w:cs="宋体"/>
                <w:sz w:val="21"/>
                <w:szCs w:val="21"/>
                <w:vertAlign w:val="baseline"/>
              </w:rPr>
            </w:pPr>
          </w:p>
          <w:p w14:paraId="761D539D">
            <w:pPr>
              <w:pStyle w:val="34"/>
              <w:spacing w:before="120" w:beforeAutospacing="0" w:after="120" w:afterAutospacing="0" w:line="0" w:lineRule="atLeast"/>
              <w:jc w:val="center"/>
              <w:rPr>
                <w:rFonts w:hint="eastAsia" w:ascii="宋体" w:hAnsi="宋体" w:eastAsia="宋体" w:cs="宋体"/>
                <w:sz w:val="21"/>
                <w:szCs w:val="21"/>
                <w:vertAlign w:val="baseline"/>
              </w:rPr>
            </w:pPr>
          </w:p>
          <w:p w14:paraId="1C6B7C93">
            <w:pPr>
              <w:pStyle w:val="34"/>
              <w:spacing w:before="120" w:beforeAutospacing="0" w:after="120" w:afterAutospacing="0" w:line="0" w:lineRule="atLeast"/>
              <w:jc w:val="center"/>
              <w:rPr>
                <w:rFonts w:hint="eastAsia" w:ascii="宋体" w:hAnsi="宋体" w:eastAsia="宋体" w:cs="宋体"/>
                <w:sz w:val="21"/>
                <w:szCs w:val="21"/>
                <w:vertAlign w:val="baseline"/>
              </w:rPr>
            </w:pPr>
          </w:p>
          <w:p w14:paraId="11FA0EBA">
            <w:pPr>
              <w:pStyle w:val="34"/>
              <w:spacing w:before="120" w:beforeAutospacing="0" w:after="120" w:afterAutospacing="0" w:line="0" w:lineRule="atLeast"/>
              <w:jc w:val="center"/>
              <w:rPr>
                <w:rFonts w:hint="eastAsia" w:ascii="宋体" w:hAnsi="宋体" w:eastAsia="宋体" w:cs="宋体"/>
                <w:sz w:val="21"/>
                <w:szCs w:val="21"/>
                <w:vertAlign w:val="baseline"/>
              </w:rPr>
            </w:pPr>
          </w:p>
          <w:p w14:paraId="3253F3D0">
            <w:pPr>
              <w:pStyle w:val="34"/>
              <w:spacing w:before="120" w:beforeAutospacing="0" w:after="120" w:afterAutospacing="0" w:line="0" w:lineRule="atLeast"/>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t>设施完好率</w:t>
            </w:r>
          </w:p>
        </w:tc>
        <w:tc>
          <w:tcPr>
            <w:tcW w:w="4938" w:type="dxa"/>
          </w:tcPr>
          <w:p w14:paraId="337890A1">
            <w:pPr>
              <w:pStyle w:val="34"/>
              <w:spacing w:before="120" w:beforeAutospacing="0" w:after="120" w:afterAutospacing="0" w:line="0" w:lineRule="atLeast"/>
              <w:jc w:val="left"/>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rPr>
              <w:t>1.亮化设施（灯具、线槽、电缆等）、设备（包括电源开关、总控器、分控器、开关电源、控制终端等全部设施、设备完好使用可靠</w:t>
            </w:r>
            <w:r>
              <w:rPr>
                <w:rFonts w:hint="eastAsia" w:ascii="宋体" w:hAnsi="宋体" w:eastAsia="宋体" w:cs="宋体"/>
                <w:sz w:val="21"/>
                <w:szCs w:val="21"/>
                <w:vertAlign w:val="baseline"/>
                <w:lang w:eastAsia="zh-CN"/>
              </w:rPr>
              <w:t>。</w:t>
            </w:r>
          </w:p>
        </w:tc>
        <w:tc>
          <w:tcPr>
            <w:tcW w:w="2203" w:type="dxa"/>
            <w:vMerge w:val="restart"/>
          </w:tcPr>
          <w:p w14:paraId="7D584DD5">
            <w:pPr>
              <w:pStyle w:val="34"/>
              <w:spacing w:before="120" w:beforeAutospacing="0" w:after="120" w:afterAutospacing="0" w:line="0" w:lineRule="atLeast"/>
              <w:jc w:val="left"/>
              <w:rPr>
                <w:rFonts w:hint="eastAsia" w:ascii="宋体" w:hAnsi="宋体" w:eastAsia="宋体" w:cs="宋体"/>
                <w:sz w:val="21"/>
                <w:szCs w:val="21"/>
                <w:vertAlign w:val="baseline"/>
              </w:rPr>
            </w:pPr>
          </w:p>
          <w:p w14:paraId="6CC72144">
            <w:pPr>
              <w:pStyle w:val="34"/>
              <w:spacing w:before="120" w:beforeAutospacing="0" w:after="120" w:afterAutospacing="0" w:line="0" w:lineRule="atLeast"/>
              <w:jc w:val="left"/>
              <w:rPr>
                <w:rFonts w:hint="eastAsia" w:ascii="宋体" w:hAnsi="宋体" w:eastAsia="宋体" w:cs="宋体"/>
                <w:sz w:val="21"/>
                <w:szCs w:val="21"/>
                <w:vertAlign w:val="baseline"/>
              </w:rPr>
            </w:pPr>
          </w:p>
          <w:p w14:paraId="7DF036F6">
            <w:pPr>
              <w:pStyle w:val="34"/>
              <w:spacing w:before="120" w:beforeAutospacing="0" w:after="120" w:afterAutospacing="0" w:line="0" w:lineRule="atLeast"/>
              <w:jc w:val="left"/>
              <w:rPr>
                <w:rFonts w:hint="eastAsia" w:ascii="宋体" w:hAnsi="宋体" w:eastAsia="宋体" w:cs="宋体"/>
                <w:sz w:val="21"/>
                <w:szCs w:val="21"/>
                <w:vertAlign w:val="baseline"/>
              </w:rPr>
            </w:pPr>
          </w:p>
          <w:p w14:paraId="7B906472">
            <w:pPr>
              <w:pStyle w:val="34"/>
              <w:spacing w:before="120" w:beforeAutospacing="0" w:after="120" w:afterAutospacing="0" w:line="0" w:lineRule="atLeast"/>
              <w:jc w:val="left"/>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rPr>
              <w:t>甲方随机组织抽查。发现一次未达到要求的扣罚2000元</w:t>
            </w:r>
            <w:r>
              <w:rPr>
                <w:rFonts w:hint="eastAsia" w:ascii="宋体" w:hAnsi="宋体" w:eastAsia="宋体" w:cs="宋体"/>
                <w:sz w:val="21"/>
                <w:szCs w:val="21"/>
                <w:vertAlign w:val="baseline"/>
                <w:lang w:eastAsia="zh-CN"/>
              </w:rPr>
              <w:t>。</w:t>
            </w:r>
          </w:p>
        </w:tc>
      </w:tr>
      <w:tr w14:paraId="0742D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5" w:type="dxa"/>
            <w:vMerge w:val="continue"/>
          </w:tcPr>
          <w:p w14:paraId="2A2EAD1B">
            <w:pPr>
              <w:pStyle w:val="34"/>
              <w:spacing w:before="120" w:beforeAutospacing="0" w:after="120" w:afterAutospacing="0" w:line="0" w:lineRule="atLeast"/>
              <w:jc w:val="center"/>
              <w:rPr>
                <w:rFonts w:hint="eastAsia" w:ascii="宋体" w:hAnsi="宋体" w:eastAsia="宋体" w:cs="宋体"/>
                <w:sz w:val="21"/>
                <w:szCs w:val="21"/>
                <w:vertAlign w:val="baseline"/>
              </w:rPr>
            </w:pPr>
          </w:p>
        </w:tc>
        <w:tc>
          <w:tcPr>
            <w:tcW w:w="4938" w:type="dxa"/>
          </w:tcPr>
          <w:p w14:paraId="126074AD">
            <w:pPr>
              <w:pStyle w:val="34"/>
              <w:spacing w:before="120" w:beforeAutospacing="0" w:after="120" w:afterAutospacing="0" w:line="0" w:lineRule="atLeast"/>
              <w:jc w:val="left"/>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rPr>
              <w:t>2.灯具安装稳固，部件完整，连接可靠，运行安全，符合原设计要求</w:t>
            </w:r>
            <w:r>
              <w:rPr>
                <w:rFonts w:hint="eastAsia" w:ascii="宋体" w:hAnsi="宋体" w:eastAsia="宋体" w:cs="宋体"/>
                <w:sz w:val="21"/>
                <w:szCs w:val="21"/>
                <w:vertAlign w:val="baseline"/>
                <w:lang w:eastAsia="zh-CN"/>
              </w:rPr>
              <w:t>。</w:t>
            </w:r>
          </w:p>
        </w:tc>
        <w:tc>
          <w:tcPr>
            <w:tcW w:w="2203" w:type="dxa"/>
            <w:vMerge w:val="continue"/>
          </w:tcPr>
          <w:p w14:paraId="3A56029F">
            <w:pPr>
              <w:pStyle w:val="34"/>
              <w:spacing w:before="120" w:beforeAutospacing="0" w:after="120" w:afterAutospacing="0" w:line="0" w:lineRule="atLeast"/>
              <w:jc w:val="left"/>
              <w:rPr>
                <w:rFonts w:hint="eastAsia" w:ascii="宋体" w:hAnsi="宋体" w:eastAsia="宋体" w:cs="宋体"/>
                <w:sz w:val="21"/>
                <w:szCs w:val="21"/>
                <w:vertAlign w:val="baseline"/>
              </w:rPr>
            </w:pPr>
          </w:p>
        </w:tc>
      </w:tr>
      <w:tr w14:paraId="475C5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5" w:type="dxa"/>
            <w:vMerge w:val="continue"/>
          </w:tcPr>
          <w:p w14:paraId="10063599">
            <w:pPr>
              <w:pStyle w:val="34"/>
              <w:spacing w:before="120" w:beforeAutospacing="0" w:after="120" w:afterAutospacing="0" w:line="0" w:lineRule="atLeast"/>
              <w:jc w:val="center"/>
              <w:rPr>
                <w:rFonts w:hint="eastAsia" w:ascii="宋体" w:hAnsi="宋体" w:eastAsia="宋体" w:cs="宋体"/>
                <w:sz w:val="21"/>
                <w:szCs w:val="21"/>
                <w:vertAlign w:val="baseline"/>
              </w:rPr>
            </w:pPr>
          </w:p>
        </w:tc>
        <w:tc>
          <w:tcPr>
            <w:tcW w:w="4938" w:type="dxa"/>
          </w:tcPr>
          <w:p w14:paraId="623E75DF">
            <w:pPr>
              <w:pStyle w:val="34"/>
              <w:spacing w:before="120" w:beforeAutospacing="0" w:after="120" w:afterAutospacing="0" w:line="0" w:lineRule="atLeast"/>
              <w:jc w:val="left"/>
              <w:rPr>
                <w:rFonts w:hint="eastAsia" w:ascii="宋体" w:hAnsi="宋体" w:eastAsia="宋体" w:cs="宋体"/>
                <w:sz w:val="21"/>
                <w:szCs w:val="21"/>
                <w:vertAlign w:val="baseline"/>
              </w:rPr>
            </w:pPr>
            <w:r>
              <w:rPr>
                <w:rFonts w:hint="eastAsia" w:ascii="宋体" w:hAnsi="宋体" w:eastAsia="宋体" w:cs="宋体"/>
                <w:sz w:val="21"/>
                <w:szCs w:val="21"/>
                <w:vertAlign w:val="baseline"/>
              </w:rPr>
              <w:t>3.电缆绝缘良好，接地可靠，连接牢固，无漏电。无接头过热现象。</w:t>
            </w:r>
          </w:p>
        </w:tc>
        <w:tc>
          <w:tcPr>
            <w:tcW w:w="2203" w:type="dxa"/>
            <w:vMerge w:val="continue"/>
          </w:tcPr>
          <w:p w14:paraId="618A5E16">
            <w:pPr>
              <w:pStyle w:val="34"/>
              <w:spacing w:before="120" w:beforeAutospacing="0" w:after="120" w:afterAutospacing="0" w:line="0" w:lineRule="atLeast"/>
              <w:jc w:val="left"/>
              <w:rPr>
                <w:rFonts w:hint="eastAsia" w:ascii="宋体" w:hAnsi="宋体" w:eastAsia="宋体" w:cs="宋体"/>
                <w:sz w:val="21"/>
                <w:szCs w:val="21"/>
                <w:vertAlign w:val="baseline"/>
              </w:rPr>
            </w:pPr>
          </w:p>
        </w:tc>
      </w:tr>
      <w:tr w14:paraId="097FF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5" w:type="dxa"/>
            <w:vMerge w:val="continue"/>
          </w:tcPr>
          <w:p w14:paraId="630729A1">
            <w:pPr>
              <w:pStyle w:val="34"/>
              <w:spacing w:before="120" w:beforeAutospacing="0" w:after="120" w:afterAutospacing="0" w:line="0" w:lineRule="atLeast"/>
              <w:jc w:val="center"/>
              <w:rPr>
                <w:rFonts w:hint="eastAsia" w:ascii="宋体" w:hAnsi="宋体" w:eastAsia="宋体" w:cs="宋体"/>
                <w:sz w:val="21"/>
                <w:szCs w:val="21"/>
                <w:vertAlign w:val="baseline"/>
              </w:rPr>
            </w:pPr>
          </w:p>
        </w:tc>
        <w:tc>
          <w:tcPr>
            <w:tcW w:w="4938" w:type="dxa"/>
          </w:tcPr>
          <w:p w14:paraId="4462CE2B">
            <w:pPr>
              <w:pStyle w:val="34"/>
              <w:spacing w:before="120" w:beforeAutospacing="0" w:after="120" w:afterAutospacing="0" w:line="0" w:lineRule="atLeast"/>
              <w:jc w:val="left"/>
              <w:rPr>
                <w:rFonts w:hint="eastAsia" w:ascii="宋体" w:hAnsi="宋体" w:eastAsia="宋体" w:cs="宋体"/>
                <w:sz w:val="21"/>
                <w:szCs w:val="21"/>
                <w:vertAlign w:val="baseline"/>
              </w:rPr>
            </w:pPr>
            <w:r>
              <w:rPr>
                <w:rFonts w:hint="eastAsia" w:ascii="宋体" w:hAnsi="宋体" w:eastAsia="宋体" w:cs="宋体"/>
                <w:sz w:val="21"/>
                <w:szCs w:val="21"/>
                <w:vertAlign w:val="baseline"/>
              </w:rPr>
              <w:t>4.亮化控制箱保持平整稳定，箱体内外干净整洁，标志明显，专用配电箱锁锁闭，出入箱导线连接良好，箱内电器工作正常，电器导线排列整齐，连接可靠。</w:t>
            </w:r>
          </w:p>
        </w:tc>
        <w:tc>
          <w:tcPr>
            <w:tcW w:w="2203" w:type="dxa"/>
            <w:vMerge w:val="continue"/>
          </w:tcPr>
          <w:p w14:paraId="756AD5D3">
            <w:pPr>
              <w:pStyle w:val="34"/>
              <w:spacing w:before="120" w:beforeAutospacing="0" w:after="120" w:afterAutospacing="0" w:line="0" w:lineRule="atLeast"/>
              <w:jc w:val="left"/>
              <w:rPr>
                <w:rFonts w:hint="eastAsia" w:ascii="宋体" w:hAnsi="宋体" w:eastAsia="宋体" w:cs="宋体"/>
                <w:sz w:val="21"/>
                <w:szCs w:val="21"/>
                <w:vertAlign w:val="baseline"/>
              </w:rPr>
            </w:pPr>
          </w:p>
        </w:tc>
      </w:tr>
      <w:tr w14:paraId="7C1B4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5" w:type="dxa"/>
            <w:vMerge w:val="restart"/>
          </w:tcPr>
          <w:p w14:paraId="549B3152">
            <w:pPr>
              <w:pStyle w:val="34"/>
              <w:spacing w:before="120" w:beforeAutospacing="0" w:after="120" w:afterAutospacing="0" w:line="0" w:lineRule="atLeast"/>
              <w:jc w:val="center"/>
              <w:rPr>
                <w:rFonts w:hint="eastAsia" w:ascii="宋体" w:hAnsi="宋体" w:eastAsia="宋体" w:cs="宋体"/>
                <w:sz w:val="21"/>
                <w:szCs w:val="21"/>
                <w:vertAlign w:val="baseline"/>
              </w:rPr>
            </w:pPr>
          </w:p>
          <w:p w14:paraId="330D36A3">
            <w:pPr>
              <w:pStyle w:val="34"/>
              <w:spacing w:before="120" w:beforeAutospacing="0" w:after="120" w:afterAutospacing="0" w:line="0" w:lineRule="atLeast"/>
              <w:jc w:val="center"/>
              <w:rPr>
                <w:rFonts w:hint="eastAsia" w:ascii="宋体" w:hAnsi="宋体" w:eastAsia="宋体" w:cs="宋体"/>
                <w:sz w:val="21"/>
                <w:szCs w:val="21"/>
                <w:vertAlign w:val="baseline"/>
              </w:rPr>
            </w:pPr>
          </w:p>
          <w:p w14:paraId="5BB4EB57">
            <w:pPr>
              <w:pStyle w:val="34"/>
              <w:spacing w:before="120" w:beforeAutospacing="0" w:after="120" w:afterAutospacing="0" w:line="0" w:lineRule="atLeast"/>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t>故障处理率</w:t>
            </w:r>
          </w:p>
        </w:tc>
        <w:tc>
          <w:tcPr>
            <w:tcW w:w="4938" w:type="dxa"/>
          </w:tcPr>
          <w:p w14:paraId="381BA0CB">
            <w:pPr>
              <w:pStyle w:val="34"/>
              <w:spacing w:before="120" w:beforeAutospacing="0" w:after="120" w:afterAutospacing="0" w:line="0" w:lineRule="atLeast"/>
              <w:jc w:val="left"/>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rPr>
              <w:t>1.亮化设施故障及时修复情况</w:t>
            </w:r>
            <w:r>
              <w:rPr>
                <w:rFonts w:hint="eastAsia" w:ascii="宋体" w:hAnsi="宋体" w:eastAsia="宋体" w:cs="宋体"/>
                <w:sz w:val="21"/>
                <w:szCs w:val="21"/>
                <w:vertAlign w:val="baseline"/>
                <w:lang w:eastAsia="zh-CN"/>
              </w:rPr>
              <w:t>。</w:t>
            </w:r>
          </w:p>
        </w:tc>
        <w:tc>
          <w:tcPr>
            <w:tcW w:w="2203" w:type="dxa"/>
            <w:vMerge w:val="restart"/>
          </w:tcPr>
          <w:p w14:paraId="12A9E7C0">
            <w:pPr>
              <w:pStyle w:val="34"/>
              <w:spacing w:before="120" w:beforeAutospacing="0" w:after="120" w:afterAutospacing="0" w:line="0" w:lineRule="atLeast"/>
              <w:jc w:val="left"/>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rPr>
              <w:t>每超过处理时限一次扣罚2000元，重大节日及重大活动超过处理时限的一次扣罚5000元，并在24小时内修复故障</w:t>
            </w:r>
            <w:r>
              <w:rPr>
                <w:rFonts w:hint="eastAsia" w:ascii="宋体" w:hAnsi="宋体" w:eastAsia="宋体" w:cs="宋体"/>
                <w:sz w:val="21"/>
                <w:szCs w:val="21"/>
                <w:vertAlign w:val="baseline"/>
                <w:lang w:eastAsia="zh-CN"/>
              </w:rPr>
              <w:t>。</w:t>
            </w:r>
          </w:p>
        </w:tc>
      </w:tr>
      <w:tr w14:paraId="13CF7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5" w:type="dxa"/>
            <w:vMerge w:val="continue"/>
          </w:tcPr>
          <w:p w14:paraId="1F401708">
            <w:pPr>
              <w:pStyle w:val="34"/>
              <w:spacing w:before="120" w:beforeAutospacing="0" w:after="120" w:afterAutospacing="0" w:line="0" w:lineRule="atLeast"/>
              <w:jc w:val="center"/>
              <w:rPr>
                <w:rFonts w:hint="eastAsia" w:ascii="宋体" w:hAnsi="宋体" w:eastAsia="宋体" w:cs="宋体"/>
                <w:sz w:val="21"/>
                <w:szCs w:val="21"/>
                <w:vertAlign w:val="baseline"/>
              </w:rPr>
            </w:pPr>
          </w:p>
        </w:tc>
        <w:tc>
          <w:tcPr>
            <w:tcW w:w="4938" w:type="dxa"/>
          </w:tcPr>
          <w:p w14:paraId="67FDF5FB">
            <w:pPr>
              <w:pStyle w:val="34"/>
              <w:spacing w:before="120" w:beforeAutospacing="0" w:after="120" w:afterAutospacing="0" w:line="0" w:lineRule="atLeast"/>
              <w:jc w:val="left"/>
              <w:rPr>
                <w:rFonts w:hint="eastAsia" w:ascii="宋体" w:hAnsi="宋体" w:eastAsia="宋体" w:cs="宋体"/>
                <w:sz w:val="21"/>
                <w:szCs w:val="21"/>
                <w:vertAlign w:val="baseline"/>
              </w:rPr>
            </w:pPr>
            <w:r>
              <w:rPr>
                <w:rFonts w:hint="eastAsia" w:ascii="宋体" w:hAnsi="宋体" w:eastAsia="宋体" w:cs="宋体"/>
                <w:sz w:val="21"/>
                <w:szCs w:val="21"/>
                <w:vertAlign w:val="baseline"/>
              </w:rPr>
              <w:t>2.亮化没施发生事故处理率必须达到100%。一般亮化故障修复（日常温度不超过24小时、高温时期不超过48小时），较大亮化故障（包括日常温度及高温时期）处理不超过48小时。</w:t>
            </w:r>
          </w:p>
        </w:tc>
        <w:tc>
          <w:tcPr>
            <w:tcW w:w="2203" w:type="dxa"/>
            <w:vMerge w:val="continue"/>
          </w:tcPr>
          <w:p w14:paraId="112EC580">
            <w:pPr>
              <w:pStyle w:val="34"/>
              <w:spacing w:before="120" w:beforeAutospacing="0" w:after="120" w:afterAutospacing="0" w:line="0" w:lineRule="atLeast"/>
              <w:jc w:val="left"/>
              <w:rPr>
                <w:rFonts w:hint="eastAsia" w:ascii="宋体" w:hAnsi="宋体" w:eastAsia="宋体" w:cs="宋体"/>
                <w:sz w:val="21"/>
                <w:szCs w:val="21"/>
                <w:vertAlign w:val="baseline"/>
              </w:rPr>
            </w:pPr>
          </w:p>
        </w:tc>
      </w:tr>
      <w:tr w14:paraId="1A2C9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1695" w:type="dxa"/>
          </w:tcPr>
          <w:p w14:paraId="3AB96C93">
            <w:pPr>
              <w:pStyle w:val="34"/>
              <w:spacing w:before="120" w:beforeAutospacing="0" w:after="120" w:afterAutospacing="0" w:line="0" w:lineRule="atLeast"/>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t>设施维修及日常检查情况报告</w:t>
            </w:r>
          </w:p>
        </w:tc>
        <w:tc>
          <w:tcPr>
            <w:tcW w:w="4938" w:type="dxa"/>
          </w:tcPr>
          <w:p w14:paraId="3B3F47CA">
            <w:pPr>
              <w:pStyle w:val="34"/>
              <w:spacing w:before="120" w:beforeAutospacing="0" w:after="120" w:afterAutospacing="0" w:line="0" w:lineRule="atLeast"/>
              <w:jc w:val="left"/>
              <w:rPr>
                <w:rFonts w:hint="eastAsia" w:ascii="宋体" w:hAnsi="宋体" w:eastAsia="宋体" w:cs="宋体"/>
                <w:sz w:val="21"/>
                <w:szCs w:val="21"/>
                <w:vertAlign w:val="baseline"/>
              </w:rPr>
            </w:pPr>
            <w:r>
              <w:rPr>
                <w:rFonts w:hint="eastAsia" w:ascii="宋体" w:hAnsi="宋体" w:eastAsia="宋体" w:cs="宋体"/>
                <w:sz w:val="21"/>
                <w:szCs w:val="21"/>
                <w:vertAlign w:val="baseline"/>
              </w:rPr>
              <w:t>检查巡查制度的建立情况和责任落实情况，每季度提供完备的巡查记录、日常维修工作记录。</w:t>
            </w:r>
          </w:p>
        </w:tc>
        <w:tc>
          <w:tcPr>
            <w:tcW w:w="2203" w:type="dxa"/>
          </w:tcPr>
          <w:p w14:paraId="57438DA5">
            <w:pPr>
              <w:pStyle w:val="34"/>
              <w:spacing w:before="120" w:beforeAutospacing="0" w:after="120" w:afterAutospacing="0" w:line="0" w:lineRule="atLeast"/>
              <w:jc w:val="left"/>
              <w:rPr>
                <w:rFonts w:hint="eastAsia" w:ascii="宋体" w:hAnsi="宋体" w:eastAsia="宋体" w:cs="宋体"/>
                <w:sz w:val="21"/>
                <w:szCs w:val="21"/>
                <w:vertAlign w:val="baseline"/>
              </w:rPr>
            </w:pPr>
            <w:r>
              <w:rPr>
                <w:rFonts w:hint="eastAsia" w:ascii="宋体" w:hAnsi="宋体" w:eastAsia="宋体" w:cs="宋体"/>
                <w:sz w:val="21"/>
                <w:szCs w:val="21"/>
                <w:vertAlign w:val="baseline"/>
              </w:rPr>
              <w:t>每缺少一次记录的扣罚2000元并整改。</w:t>
            </w:r>
          </w:p>
        </w:tc>
      </w:tr>
      <w:tr w14:paraId="49B0D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2" w:hRule="atLeast"/>
        </w:trPr>
        <w:tc>
          <w:tcPr>
            <w:tcW w:w="1695" w:type="dxa"/>
          </w:tcPr>
          <w:p w14:paraId="629697AA">
            <w:pPr>
              <w:pStyle w:val="34"/>
              <w:spacing w:before="120" w:beforeAutospacing="0" w:after="120" w:afterAutospacing="0" w:line="0" w:lineRule="atLeast"/>
              <w:jc w:val="center"/>
              <w:rPr>
                <w:rFonts w:hint="eastAsia" w:ascii="宋体" w:hAnsi="宋体" w:eastAsia="宋体" w:cs="宋体"/>
                <w:sz w:val="10"/>
                <w:szCs w:val="10"/>
                <w:vertAlign w:val="baseline"/>
              </w:rPr>
            </w:pPr>
          </w:p>
          <w:p w14:paraId="7BBA7872">
            <w:pPr>
              <w:pStyle w:val="34"/>
              <w:spacing w:before="120" w:beforeAutospacing="0" w:after="120" w:afterAutospacing="0" w:line="0" w:lineRule="atLeast"/>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t>安全</w:t>
            </w:r>
          </w:p>
        </w:tc>
        <w:tc>
          <w:tcPr>
            <w:tcW w:w="4938" w:type="dxa"/>
          </w:tcPr>
          <w:p w14:paraId="0A792911">
            <w:pPr>
              <w:pStyle w:val="34"/>
              <w:spacing w:before="120" w:beforeAutospacing="0" w:after="120" w:afterAutospacing="0" w:line="0" w:lineRule="atLeast"/>
              <w:jc w:val="left"/>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rPr>
              <w:t>乙方建立规范、完整的维护管理方案，维护期间无安全事故，按规范作业（配备安全帽、高空作业保护措施、作业区域围护、警示标志、安全员等）</w:t>
            </w:r>
            <w:r>
              <w:rPr>
                <w:rFonts w:hint="eastAsia" w:ascii="宋体" w:hAnsi="宋体" w:eastAsia="宋体" w:cs="宋体"/>
                <w:sz w:val="21"/>
                <w:szCs w:val="21"/>
                <w:vertAlign w:val="baseline"/>
                <w:lang w:eastAsia="zh-CN"/>
              </w:rPr>
              <w:t>。</w:t>
            </w:r>
          </w:p>
        </w:tc>
        <w:tc>
          <w:tcPr>
            <w:tcW w:w="2203" w:type="dxa"/>
          </w:tcPr>
          <w:p w14:paraId="381B13F9">
            <w:pPr>
              <w:pStyle w:val="34"/>
              <w:spacing w:before="120" w:beforeAutospacing="0" w:after="120" w:afterAutospacing="0" w:line="0" w:lineRule="atLeast"/>
              <w:jc w:val="left"/>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rPr>
              <w:t>出现安全事故一次扣罚5000元并责令整改</w:t>
            </w:r>
            <w:r>
              <w:rPr>
                <w:rFonts w:hint="eastAsia" w:ascii="宋体" w:hAnsi="宋体" w:eastAsia="宋体" w:cs="宋体"/>
                <w:sz w:val="21"/>
                <w:szCs w:val="21"/>
                <w:vertAlign w:val="baseline"/>
                <w:lang w:eastAsia="zh-CN"/>
              </w:rPr>
              <w:t>。</w:t>
            </w:r>
          </w:p>
        </w:tc>
      </w:tr>
      <w:tr w14:paraId="6ADFB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1695" w:type="dxa"/>
          </w:tcPr>
          <w:p w14:paraId="68DBFE54">
            <w:pPr>
              <w:pStyle w:val="34"/>
              <w:spacing w:before="120" w:beforeAutospacing="0" w:after="120" w:afterAutospacing="0" w:line="0" w:lineRule="atLeast"/>
              <w:jc w:val="center"/>
              <w:rPr>
                <w:rFonts w:hint="eastAsia" w:ascii="宋体" w:hAnsi="宋体" w:eastAsia="宋体" w:cs="宋体"/>
                <w:sz w:val="10"/>
                <w:szCs w:val="10"/>
                <w:vertAlign w:val="baseline"/>
              </w:rPr>
            </w:pPr>
          </w:p>
          <w:p w14:paraId="6F2E9894">
            <w:pPr>
              <w:pStyle w:val="34"/>
              <w:spacing w:before="120" w:beforeAutospacing="0" w:after="120" w:afterAutospacing="0" w:line="0" w:lineRule="atLeast"/>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t>特殊条款</w:t>
            </w:r>
          </w:p>
        </w:tc>
        <w:tc>
          <w:tcPr>
            <w:tcW w:w="4938" w:type="dxa"/>
          </w:tcPr>
          <w:p w14:paraId="6A4343DA">
            <w:pPr>
              <w:pStyle w:val="34"/>
              <w:spacing w:before="120" w:beforeAutospacing="0" w:after="120" w:afterAutospacing="0" w:line="0" w:lineRule="atLeast"/>
              <w:jc w:val="left"/>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rPr>
              <w:t>维护期间，由于维修不力，造成楼宇亮化管理部门收到上级批评的</w:t>
            </w:r>
            <w:r>
              <w:rPr>
                <w:rFonts w:hint="eastAsia" w:ascii="宋体" w:hAnsi="宋体" w:eastAsia="宋体" w:cs="宋体"/>
                <w:sz w:val="21"/>
                <w:szCs w:val="21"/>
                <w:vertAlign w:val="baseline"/>
                <w:lang w:eastAsia="zh-CN"/>
              </w:rPr>
              <w:t>。</w:t>
            </w:r>
          </w:p>
        </w:tc>
        <w:tc>
          <w:tcPr>
            <w:tcW w:w="2203" w:type="dxa"/>
          </w:tcPr>
          <w:p w14:paraId="203EAF9A">
            <w:pPr>
              <w:pStyle w:val="34"/>
              <w:spacing w:before="120" w:beforeAutospacing="0" w:after="120" w:afterAutospacing="0" w:line="0" w:lineRule="atLeast"/>
              <w:jc w:val="left"/>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rPr>
              <w:t>发生一次扣罚2000元</w:t>
            </w:r>
            <w:r>
              <w:rPr>
                <w:rFonts w:hint="eastAsia" w:ascii="宋体" w:hAnsi="宋体" w:eastAsia="宋体" w:cs="宋体"/>
                <w:sz w:val="21"/>
                <w:szCs w:val="21"/>
                <w:vertAlign w:val="baseline"/>
                <w:lang w:eastAsia="zh-CN"/>
              </w:rPr>
              <w:t>。</w:t>
            </w:r>
          </w:p>
        </w:tc>
      </w:tr>
    </w:tbl>
    <w:p w14:paraId="339C84EC">
      <w:pPr>
        <w:pStyle w:val="34"/>
        <w:spacing w:before="120" w:beforeAutospacing="0" w:after="120" w:afterAutospacing="0" w:line="0" w:lineRule="atLeast"/>
        <w:jc w:val="left"/>
        <w:rPr>
          <w:rFonts w:hint="eastAsia" w:ascii="宋体" w:hAnsi="宋体" w:eastAsia="宋体" w:cs="宋体"/>
        </w:rPr>
        <w:sectPr>
          <w:footerReference r:id="rId6" w:type="default"/>
          <w:pgSz w:w="11906" w:h="16838"/>
          <w:pgMar w:top="1460" w:right="1486" w:bottom="1518" w:left="1800" w:header="851" w:footer="992" w:gutter="0"/>
          <w:pgNumType w:start="28"/>
          <w:cols w:space="425" w:num="1"/>
          <w:docGrid w:linePitch="360" w:charSpace="0"/>
        </w:sectPr>
      </w:pPr>
      <w:r>
        <w:rPr>
          <w:rFonts w:hint="eastAsia" w:ascii="宋体" w:hAnsi="宋体" w:eastAsia="宋体" w:cs="宋体"/>
        </w:rPr>
        <w:t>附件：楼宇亮化维护交办单、反馈单</w:t>
      </w:r>
    </w:p>
    <w:p w14:paraId="1D007B65">
      <w:pPr>
        <w:pStyle w:val="2"/>
        <w:bidi w:val="0"/>
        <w:jc w:val="center"/>
        <w:rPr>
          <w:rFonts w:hint="eastAsia"/>
        </w:rPr>
      </w:pPr>
      <w:r>
        <w:rPr>
          <w:rFonts w:hint="eastAsia"/>
          <w:lang w:eastAsia="zh-CN"/>
        </w:rPr>
        <w:t>楼宇亮化维护</w:t>
      </w:r>
      <w:r>
        <w:rPr>
          <w:rFonts w:hint="eastAsia"/>
        </w:rPr>
        <w:t>交办单</w:t>
      </w:r>
    </w:p>
    <w:p w14:paraId="2C3F2CCB">
      <w:pPr>
        <w:ind w:firstLine="6440" w:firstLineChars="2300"/>
        <w:rPr>
          <w:sz w:val="28"/>
          <w:szCs w:val="28"/>
        </w:rPr>
      </w:pPr>
      <w:r>
        <w:rPr>
          <w:rFonts w:hint="eastAsia"/>
          <w:sz w:val="28"/>
          <w:szCs w:val="28"/>
        </w:rPr>
        <w:t>编号：</w:t>
      </w:r>
      <w:r>
        <w:rPr>
          <w:rFonts w:hint="eastAsia"/>
          <w:sz w:val="28"/>
          <w:szCs w:val="28"/>
          <w:u w:val="single"/>
          <w:lang w:val="en-US" w:eastAsia="zh-CN"/>
        </w:rPr>
        <w:t xml:space="preserve">     </w:t>
      </w:r>
      <w:r>
        <w:rPr>
          <w:rFonts w:hint="eastAsia"/>
          <w:sz w:val="28"/>
          <w:szCs w:val="28"/>
        </w:rPr>
        <w:t xml:space="preserve">号    </w:t>
      </w:r>
    </w:p>
    <w:tbl>
      <w:tblPr>
        <w:tblStyle w:val="38"/>
        <w:tblpPr w:leftFromText="180" w:rightFromText="180" w:vertAnchor="text" w:horzAnchor="page" w:tblpX="1797" w:tblpY="360"/>
        <w:tblOverlap w:val="never"/>
        <w:tblW w:w="8522"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1951"/>
        <w:gridCol w:w="2795"/>
        <w:gridCol w:w="1740"/>
        <w:gridCol w:w="2036"/>
      </w:tblGrid>
      <w:tr w14:paraId="7876091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363" w:hRule="atLeast"/>
        </w:trPr>
        <w:tc>
          <w:tcPr>
            <w:tcW w:w="1951" w:type="dxa"/>
            <w:vAlign w:val="center"/>
          </w:tcPr>
          <w:p w14:paraId="77F5288E">
            <w:pPr>
              <w:spacing w:after="0" w:line="240" w:lineRule="auto"/>
              <w:jc w:val="center"/>
              <w:rPr>
                <w:rFonts w:asciiTheme="majorEastAsia" w:hAnsiTheme="majorEastAsia" w:eastAsiaTheme="majorEastAsia"/>
                <w:sz w:val="28"/>
                <w:szCs w:val="28"/>
              </w:rPr>
            </w:pPr>
            <w:r>
              <w:rPr>
                <w:rFonts w:hint="eastAsia" w:asciiTheme="majorEastAsia" w:hAnsiTheme="majorEastAsia" w:eastAsiaTheme="majorEastAsia"/>
                <w:sz w:val="28"/>
                <w:szCs w:val="28"/>
              </w:rPr>
              <w:t>交办事项</w:t>
            </w:r>
          </w:p>
        </w:tc>
        <w:tc>
          <w:tcPr>
            <w:tcW w:w="2795" w:type="dxa"/>
            <w:vAlign w:val="center"/>
          </w:tcPr>
          <w:p w14:paraId="50A61D29">
            <w:pPr>
              <w:tabs>
                <w:tab w:val="left" w:pos="662"/>
              </w:tabs>
              <w:spacing w:after="0" w:line="240" w:lineRule="auto"/>
              <w:jc w:val="center"/>
              <w:rPr>
                <w:rFonts w:hint="eastAsia" w:asciiTheme="majorEastAsia" w:hAnsiTheme="majorEastAsia" w:eastAsiaTheme="majorEastAsia"/>
                <w:sz w:val="28"/>
                <w:szCs w:val="28"/>
                <w:lang w:val="en-US" w:eastAsia="zh-CN"/>
              </w:rPr>
            </w:pPr>
          </w:p>
        </w:tc>
        <w:tc>
          <w:tcPr>
            <w:tcW w:w="1740" w:type="dxa"/>
            <w:vAlign w:val="center"/>
          </w:tcPr>
          <w:p w14:paraId="788B31A0">
            <w:pPr>
              <w:tabs>
                <w:tab w:val="left" w:pos="662"/>
              </w:tabs>
              <w:spacing w:after="0" w:line="240" w:lineRule="auto"/>
              <w:jc w:val="center"/>
              <w:rPr>
                <w:rFonts w:hint="eastAsia" w:asciiTheme="majorEastAsia" w:hAnsiTheme="majorEastAsia" w:eastAsiaTheme="majorEastAsia"/>
                <w:sz w:val="28"/>
                <w:szCs w:val="28"/>
                <w:lang w:eastAsia="zh-CN"/>
              </w:rPr>
            </w:pPr>
            <w:r>
              <w:rPr>
                <w:rFonts w:hint="eastAsia" w:asciiTheme="majorEastAsia" w:hAnsiTheme="majorEastAsia" w:eastAsiaTheme="majorEastAsia"/>
                <w:sz w:val="28"/>
                <w:szCs w:val="28"/>
                <w:lang w:eastAsia="zh-CN"/>
              </w:rPr>
              <w:t>交办时间</w:t>
            </w:r>
          </w:p>
        </w:tc>
        <w:tc>
          <w:tcPr>
            <w:tcW w:w="2036" w:type="dxa"/>
            <w:vAlign w:val="center"/>
          </w:tcPr>
          <w:p w14:paraId="750B8043">
            <w:pPr>
              <w:keepNext w:val="0"/>
              <w:keepLines w:val="0"/>
              <w:pageBreakBefore w:val="0"/>
              <w:widowControl w:val="0"/>
              <w:kinsoku/>
              <w:wordWrap/>
              <w:overflowPunct/>
              <w:topLinePunct w:val="0"/>
              <w:autoSpaceDE/>
              <w:autoSpaceDN/>
              <w:bidi w:val="0"/>
              <w:adjustRightInd/>
              <w:snapToGrid/>
              <w:spacing w:after="0" w:line="400" w:lineRule="exact"/>
              <w:jc w:val="center"/>
              <w:textAlignment w:val="auto"/>
              <w:rPr>
                <w:rFonts w:hint="default" w:asciiTheme="majorEastAsia" w:hAnsiTheme="majorEastAsia" w:eastAsiaTheme="majorEastAsia"/>
                <w:sz w:val="28"/>
                <w:szCs w:val="28"/>
                <w:lang w:val="en-US" w:eastAsia="zh-CN"/>
              </w:rPr>
            </w:pPr>
          </w:p>
        </w:tc>
      </w:tr>
      <w:tr w14:paraId="0314680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89" w:hRule="atLeast"/>
        </w:trPr>
        <w:tc>
          <w:tcPr>
            <w:tcW w:w="1951" w:type="dxa"/>
            <w:vAlign w:val="center"/>
          </w:tcPr>
          <w:p w14:paraId="2F52669E">
            <w:pPr>
              <w:spacing w:after="0" w:line="240" w:lineRule="auto"/>
              <w:jc w:val="center"/>
              <w:rPr>
                <w:rFonts w:hint="eastAsia" w:asciiTheme="majorEastAsia" w:hAnsiTheme="majorEastAsia" w:eastAsiaTheme="majorEastAsia"/>
                <w:sz w:val="28"/>
                <w:szCs w:val="28"/>
                <w:lang w:eastAsia="zh-CN"/>
              </w:rPr>
            </w:pPr>
            <w:r>
              <w:rPr>
                <w:rFonts w:hint="eastAsia" w:asciiTheme="majorEastAsia" w:hAnsiTheme="majorEastAsia" w:eastAsiaTheme="majorEastAsia"/>
                <w:sz w:val="28"/>
                <w:szCs w:val="28"/>
              </w:rPr>
              <w:t>交办</w:t>
            </w:r>
            <w:r>
              <w:rPr>
                <w:rFonts w:hint="eastAsia" w:asciiTheme="majorEastAsia" w:hAnsiTheme="majorEastAsia" w:eastAsiaTheme="majorEastAsia"/>
                <w:sz w:val="28"/>
                <w:szCs w:val="28"/>
                <w:lang w:eastAsia="zh-CN"/>
              </w:rPr>
              <w:t>问题</w:t>
            </w:r>
          </w:p>
        </w:tc>
        <w:tc>
          <w:tcPr>
            <w:tcW w:w="6571" w:type="dxa"/>
            <w:gridSpan w:val="3"/>
            <w:vAlign w:val="center"/>
          </w:tcPr>
          <w:p w14:paraId="4A7B7EAB">
            <w:pPr>
              <w:numPr>
                <w:ilvl w:val="0"/>
                <w:numId w:val="0"/>
              </w:numPr>
              <w:spacing w:after="0" w:line="240" w:lineRule="auto"/>
              <w:jc w:val="both"/>
              <w:rPr>
                <w:rFonts w:hint="default" w:asciiTheme="majorEastAsia" w:hAnsiTheme="majorEastAsia" w:eastAsiaTheme="majorEastAsia"/>
                <w:sz w:val="28"/>
                <w:szCs w:val="28"/>
                <w:lang w:val="en-US" w:eastAsia="zh-CN"/>
              </w:rPr>
            </w:pPr>
          </w:p>
        </w:tc>
      </w:tr>
      <w:tr w14:paraId="5A7E93E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224" w:hRule="atLeast"/>
        </w:trPr>
        <w:tc>
          <w:tcPr>
            <w:tcW w:w="1951" w:type="dxa"/>
            <w:vAlign w:val="center"/>
          </w:tcPr>
          <w:p w14:paraId="193ADB0D">
            <w:pPr>
              <w:spacing w:after="0" w:line="240" w:lineRule="auto"/>
              <w:jc w:val="center"/>
              <w:rPr>
                <w:rFonts w:hint="eastAsia" w:asciiTheme="majorEastAsia" w:hAnsiTheme="majorEastAsia" w:eastAsiaTheme="majorEastAsia"/>
                <w:sz w:val="28"/>
                <w:szCs w:val="28"/>
                <w:lang w:eastAsia="zh-CN"/>
              </w:rPr>
            </w:pPr>
            <w:r>
              <w:rPr>
                <w:rFonts w:hint="eastAsia" w:asciiTheme="majorEastAsia" w:hAnsiTheme="majorEastAsia" w:eastAsiaTheme="majorEastAsia"/>
                <w:sz w:val="28"/>
                <w:szCs w:val="28"/>
                <w:lang w:eastAsia="zh-CN"/>
              </w:rPr>
              <w:t>整改要求</w:t>
            </w:r>
          </w:p>
        </w:tc>
        <w:tc>
          <w:tcPr>
            <w:tcW w:w="6571" w:type="dxa"/>
            <w:gridSpan w:val="3"/>
            <w:vAlign w:val="center"/>
          </w:tcPr>
          <w:p w14:paraId="0EA9B21A">
            <w:pPr>
              <w:keepNext w:val="0"/>
              <w:keepLines w:val="0"/>
              <w:pageBreakBefore w:val="0"/>
              <w:widowControl w:val="0"/>
              <w:numPr>
                <w:ilvl w:val="0"/>
                <w:numId w:val="0"/>
              </w:numPr>
              <w:kinsoku/>
              <w:wordWrap/>
              <w:overflowPunct/>
              <w:topLinePunct w:val="0"/>
              <w:autoSpaceDE/>
              <w:autoSpaceDN/>
              <w:bidi w:val="0"/>
              <w:adjustRightInd/>
              <w:snapToGrid/>
              <w:spacing w:after="0" w:line="440" w:lineRule="exact"/>
              <w:jc w:val="center"/>
              <w:textAlignment w:val="auto"/>
              <w:rPr>
                <w:rFonts w:hint="default" w:asciiTheme="majorEastAsia" w:hAnsiTheme="majorEastAsia" w:eastAsiaTheme="majorEastAsia"/>
                <w:sz w:val="28"/>
                <w:szCs w:val="28"/>
                <w:lang w:val="en-US" w:eastAsia="zh-CN"/>
              </w:rPr>
            </w:pPr>
          </w:p>
        </w:tc>
      </w:tr>
      <w:tr w14:paraId="4D2A4C1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328" w:hRule="atLeast"/>
        </w:trPr>
        <w:tc>
          <w:tcPr>
            <w:tcW w:w="1951" w:type="dxa"/>
            <w:vAlign w:val="center"/>
          </w:tcPr>
          <w:p w14:paraId="1174428D">
            <w:pPr>
              <w:spacing w:after="0" w:line="240" w:lineRule="auto"/>
              <w:jc w:val="center"/>
              <w:rPr>
                <w:rFonts w:hint="eastAsia" w:asciiTheme="majorEastAsia" w:hAnsiTheme="majorEastAsia" w:eastAsiaTheme="majorEastAsia"/>
                <w:sz w:val="28"/>
                <w:szCs w:val="28"/>
                <w:lang w:val="en-US" w:eastAsia="zh-CN"/>
              </w:rPr>
            </w:pPr>
            <w:r>
              <w:rPr>
                <w:rFonts w:hint="eastAsia" w:asciiTheme="majorEastAsia" w:hAnsiTheme="majorEastAsia" w:eastAsiaTheme="majorEastAsia"/>
                <w:sz w:val="28"/>
                <w:szCs w:val="28"/>
                <w:lang w:val="en-US" w:eastAsia="zh-CN"/>
              </w:rPr>
              <w:t xml:space="preserve">交办单位 </w:t>
            </w:r>
          </w:p>
        </w:tc>
        <w:tc>
          <w:tcPr>
            <w:tcW w:w="6571" w:type="dxa"/>
            <w:gridSpan w:val="3"/>
            <w:vAlign w:val="center"/>
          </w:tcPr>
          <w:p w14:paraId="69028C5B">
            <w:pPr>
              <w:spacing w:after="0" w:line="240" w:lineRule="auto"/>
              <w:jc w:val="center"/>
              <w:rPr>
                <w:rFonts w:hint="eastAsia" w:asciiTheme="majorEastAsia" w:hAnsiTheme="majorEastAsia" w:eastAsiaTheme="majorEastAsia"/>
                <w:sz w:val="28"/>
                <w:szCs w:val="28"/>
                <w:lang w:eastAsia="zh-CN"/>
              </w:rPr>
            </w:pPr>
          </w:p>
        </w:tc>
      </w:tr>
      <w:tr w14:paraId="1DC462D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328" w:hRule="atLeast"/>
        </w:trPr>
        <w:tc>
          <w:tcPr>
            <w:tcW w:w="1951" w:type="dxa"/>
            <w:vAlign w:val="center"/>
          </w:tcPr>
          <w:p w14:paraId="52819A39">
            <w:pPr>
              <w:spacing w:after="0" w:line="240" w:lineRule="auto"/>
              <w:jc w:val="center"/>
              <w:rPr>
                <w:rFonts w:asciiTheme="majorEastAsia" w:hAnsiTheme="majorEastAsia" w:eastAsiaTheme="majorEastAsia"/>
                <w:sz w:val="28"/>
                <w:szCs w:val="28"/>
              </w:rPr>
            </w:pPr>
            <w:r>
              <w:rPr>
                <w:rFonts w:hint="eastAsia" w:asciiTheme="majorEastAsia" w:hAnsiTheme="majorEastAsia" w:eastAsiaTheme="majorEastAsia"/>
                <w:sz w:val="28"/>
                <w:szCs w:val="28"/>
                <w:lang w:val="en-US" w:eastAsia="zh-CN"/>
              </w:rPr>
              <w:t xml:space="preserve">维护单位签收 </w:t>
            </w:r>
          </w:p>
        </w:tc>
        <w:tc>
          <w:tcPr>
            <w:tcW w:w="6571" w:type="dxa"/>
            <w:gridSpan w:val="3"/>
            <w:vAlign w:val="center"/>
          </w:tcPr>
          <w:p w14:paraId="55B8B87A">
            <w:pPr>
              <w:spacing w:after="0" w:line="240" w:lineRule="auto"/>
              <w:jc w:val="center"/>
              <w:rPr>
                <w:rFonts w:hint="eastAsia" w:asciiTheme="majorEastAsia" w:hAnsiTheme="majorEastAsia" w:eastAsiaTheme="majorEastAsia"/>
                <w:sz w:val="28"/>
                <w:szCs w:val="28"/>
                <w:lang w:eastAsia="zh-CN"/>
              </w:rPr>
            </w:pPr>
          </w:p>
        </w:tc>
      </w:tr>
    </w:tbl>
    <w:p w14:paraId="1E0E7CD6">
      <w:pPr>
        <w:spacing w:line="480" w:lineRule="exact"/>
        <w:rPr>
          <w:rFonts w:hint="eastAsia" w:ascii="楷体" w:hAnsi="楷体" w:eastAsia="楷体"/>
          <w:sz w:val="28"/>
          <w:szCs w:val="28"/>
          <w:lang w:eastAsia="zh-CN"/>
        </w:rPr>
      </w:pPr>
      <w:r>
        <w:rPr>
          <w:rFonts w:hint="eastAsia" w:ascii="楷体" w:hAnsi="楷体" w:eastAsia="楷体"/>
          <w:sz w:val="28"/>
          <w:szCs w:val="28"/>
          <w:lang w:eastAsia="zh-CN"/>
        </w:rPr>
        <w:t>要求：维护单位必须在规定时间内根据交办要求整改，并将整改反馈情况报至我所存档。</w:t>
      </w:r>
    </w:p>
    <w:p w14:paraId="09C60398">
      <w:pPr>
        <w:pStyle w:val="34"/>
        <w:spacing w:before="120" w:beforeAutospacing="0" w:after="120" w:afterAutospacing="0" w:line="0" w:lineRule="atLeast"/>
        <w:jc w:val="center"/>
        <w:rPr>
          <w:rFonts w:hint="eastAsia" w:ascii="黑体" w:hAnsi="宋体" w:eastAsia="黑体" w:cs="黑体"/>
          <w:color w:val="000000"/>
          <w:sz w:val="36"/>
          <w:szCs w:val="36"/>
          <w:highlight w:val="none"/>
        </w:rPr>
        <w:sectPr>
          <w:footerReference r:id="rId7" w:type="default"/>
          <w:pgSz w:w="11906" w:h="16838"/>
          <w:pgMar w:top="1460" w:right="1486" w:bottom="1518" w:left="1800" w:header="851" w:footer="992" w:gutter="0"/>
          <w:pgNumType w:start="29"/>
          <w:cols w:space="425" w:num="1"/>
          <w:docGrid w:linePitch="360" w:charSpace="0"/>
        </w:sectPr>
      </w:pPr>
    </w:p>
    <w:p w14:paraId="4CD44B13">
      <w:pPr>
        <w:pStyle w:val="2"/>
        <w:bidi w:val="0"/>
        <w:jc w:val="center"/>
        <w:rPr>
          <w:rFonts w:hint="eastAsia"/>
        </w:rPr>
      </w:pPr>
      <w:r>
        <w:rPr>
          <w:rFonts w:hint="eastAsia"/>
        </w:rPr>
        <w:t>交办工作反馈单</w:t>
      </w:r>
    </w:p>
    <w:p w14:paraId="04C62998">
      <w:pPr>
        <w:rPr>
          <w:rFonts w:hint="default" w:eastAsiaTheme="minorEastAsia"/>
          <w:lang w:val="en-US" w:eastAsia="zh-CN"/>
        </w:rPr>
      </w:pPr>
      <w:r>
        <w:rPr>
          <w:rFonts w:hint="eastAsia"/>
          <w:lang w:val="en-US" w:eastAsia="zh-CN"/>
        </w:rPr>
        <w:t xml:space="preserve">                                                        </w:t>
      </w:r>
    </w:p>
    <w:tbl>
      <w:tblPr>
        <w:tblStyle w:val="38"/>
        <w:tblW w:w="8472"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2176"/>
        <w:gridCol w:w="2565"/>
        <w:gridCol w:w="1631"/>
        <w:gridCol w:w="2100"/>
      </w:tblGrid>
      <w:tr w14:paraId="431FD86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465" w:hRule="atLeast"/>
        </w:trPr>
        <w:tc>
          <w:tcPr>
            <w:tcW w:w="2176" w:type="dxa"/>
            <w:vAlign w:val="center"/>
          </w:tcPr>
          <w:p w14:paraId="3C896EEE">
            <w:pPr>
              <w:spacing w:after="0" w:line="480" w:lineRule="exact"/>
              <w:jc w:val="center"/>
              <w:rPr>
                <w:rFonts w:hint="eastAsia" w:asciiTheme="minorEastAsia" w:hAnsiTheme="minorEastAsia" w:eastAsiaTheme="minorEastAsia"/>
                <w:sz w:val="28"/>
                <w:szCs w:val="28"/>
                <w:lang w:eastAsia="zh-CN"/>
              </w:rPr>
            </w:pPr>
            <w:r>
              <w:rPr>
                <w:rFonts w:hint="eastAsia" w:asciiTheme="minorEastAsia" w:hAnsiTheme="minorEastAsia"/>
                <w:sz w:val="28"/>
                <w:szCs w:val="28"/>
              </w:rPr>
              <w:t>交办</w:t>
            </w:r>
            <w:r>
              <w:rPr>
                <w:rFonts w:hint="eastAsia" w:asciiTheme="minorEastAsia" w:hAnsiTheme="minorEastAsia"/>
                <w:sz w:val="28"/>
                <w:szCs w:val="28"/>
                <w:lang w:eastAsia="zh-CN"/>
              </w:rPr>
              <w:t>编号</w:t>
            </w:r>
          </w:p>
        </w:tc>
        <w:tc>
          <w:tcPr>
            <w:tcW w:w="2565" w:type="dxa"/>
            <w:vAlign w:val="center"/>
          </w:tcPr>
          <w:p w14:paraId="72E318AE">
            <w:pPr>
              <w:spacing w:after="0" w:line="480" w:lineRule="exact"/>
              <w:jc w:val="center"/>
              <w:rPr>
                <w:rFonts w:asciiTheme="minorEastAsia" w:hAnsiTheme="minorEastAsia"/>
                <w:sz w:val="28"/>
                <w:szCs w:val="28"/>
              </w:rPr>
            </w:pPr>
          </w:p>
        </w:tc>
        <w:tc>
          <w:tcPr>
            <w:tcW w:w="1631" w:type="dxa"/>
            <w:vAlign w:val="center"/>
          </w:tcPr>
          <w:p w14:paraId="4D8E63F5">
            <w:pPr>
              <w:spacing w:after="0" w:line="480" w:lineRule="exact"/>
              <w:jc w:val="center"/>
              <w:rPr>
                <w:rFonts w:hint="eastAsia" w:asciiTheme="minorEastAsia" w:hAnsiTheme="minorEastAsia" w:eastAsiaTheme="minorEastAsia"/>
                <w:sz w:val="28"/>
                <w:szCs w:val="28"/>
                <w:lang w:eastAsia="zh-CN"/>
              </w:rPr>
            </w:pPr>
            <w:r>
              <w:rPr>
                <w:rFonts w:hint="eastAsia" w:asciiTheme="minorEastAsia" w:hAnsiTheme="minorEastAsia"/>
                <w:sz w:val="28"/>
                <w:szCs w:val="28"/>
                <w:lang w:eastAsia="zh-CN"/>
              </w:rPr>
              <w:t>完成时间</w:t>
            </w:r>
          </w:p>
        </w:tc>
        <w:tc>
          <w:tcPr>
            <w:tcW w:w="2100" w:type="dxa"/>
            <w:vAlign w:val="center"/>
          </w:tcPr>
          <w:p w14:paraId="16B01301">
            <w:pPr>
              <w:spacing w:after="0" w:line="480" w:lineRule="exact"/>
              <w:jc w:val="center"/>
              <w:rPr>
                <w:rFonts w:asciiTheme="minorEastAsia" w:hAnsiTheme="minorEastAsia"/>
                <w:sz w:val="28"/>
                <w:szCs w:val="28"/>
              </w:rPr>
            </w:pPr>
          </w:p>
        </w:tc>
      </w:tr>
      <w:tr w14:paraId="2E54354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805" w:hRule="atLeast"/>
        </w:trPr>
        <w:tc>
          <w:tcPr>
            <w:tcW w:w="2176" w:type="dxa"/>
            <w:vAlign w:val="center"/>
          </w:tcPr>
          <w:p w14:paraId="7052531F">
            <w:pPr>
              <w:spacing w:after="0" w:line="480" w:lineRule="exact"/>
              <w:jc w:val="center"/>
              <w:rPr>
                <w:rFonts w:hint="default" w:asciiTheme="minorEastAsia" w:hAnsiTheme="minorEastAsia" w:eastAsiaTheme="minorEastAsia"/>
                <w:sz w:val="28"/>
                <w:szCs w:val="28"/>
                <w:lang w:val="en-US" w:eastAsia="zh-CN"/>
              </w:rPr>
            </w:pPr>
            <w:r>
              <w:rPr>
                <w:rFonts w:hint="eastAsia" w:asciiTheme="minorEastAsia" w:hAnsiTheme="minorEastAsia"/>
                <w:sz w:val="28"/>
                <w:szCs w:val="28"/>
                <w:lang w:eastAsia="zh-CN"/>
              </w:rPr>
              <w:t>整改情况</w:t>
            </w:r>
          </w:p>
        </w:tc>
        <w:tc>
          <w:tcPr>
            <w:tcW w:w="6296" w:type="dxa"/>
            <w:gridSpan w:val="3"/>
            <w:vAlign w:val="center"/>
          </w:tcPr>
          <w:p w14:paraId="30A13C60">
            <w:pPr>
              <w:spacing w:after="0" w:line="480" w:lineRule="exact"/>
              <w:jc w:val="center"/>
              <w:rPr>
                <w:rFonts w:hint="eastAsia" w:asciiTheme="minorEastAsia" w:hAnsiTheme="minorEastAsia"/>
                <w:sz w:val="28"/>
                <w:szCs w:val="28"/>
              </w:rPr>
            </w:pPr>
          </w:p>
          <w:p w14:paraId="71ACE894">
            <w:pPr>
              <w:spacing w:after="0" w:line="480" w:lineRule="exact"/>
              <w:jc w:val="center"/>
              <w:rPr>
                <w:rFonts w:hint="eastAsia" w:asciiTheme="minorEastAsia" w:hAnsiTheme="minorEastAsia"/>
                <w:sz w:val="28"/>
                <w:szCs w:val="28"/>
              </w:rPr>
            </w:pPr>
          </w:p>
          <w:p w14:paraId="5D8FBAC7">
            <w:pPr>
              <w:spacing w:after="0" w:line="480" w:lineRule="exact"/>
              <w:jc w:val="center"/>
              <w:rPr>
                <w:rFonts w:hint="eastAsia" w:asciiTheme="minorEastAsia" w:hAnsiTheme="minorEastAsia"/>
                <w:sz w:val="28"/>
                <w:szCs w:val="28"/>
              </w:rPr>
            </w:pPr>
          </w:p>
          <w:p w14:paraId="118F37E4">
            <w:pPr>
              <w:spacing w:after="0" w:line="480" w:lineRule="exact"/>
              <w:jc w:val="center"/>
              <w:rPr>
                <w:rFonts w:hint="eastAsia" w:asciiTheme="minorEastAsia" w:hAnsiTheme="minorEastAsia"/>
                <w:sz w:val="28"/>
                <w:szCs w:val="28"/>
              </w:rPr>
            </w:pPr>
          </w:p>
          <w:p w14:paraId="0F8B6250">
            <w:pPr>
              <w:spacing w:after="0" w:line="480" w:lineRule="exact"/>
              <w:jc w:val="center"/>
              <w:rPr>
                <w:rFonts w:hint="eastAsia" w:asciiTheme="minorEastAsia" w:hAnsiTheme="minorEastAsia"/>
                <w:sz w:val="28"/>
                <w:szCs w:val="28"/>
              </w:rPr>
            </w:pPr>
          </w:p>
          <w:p w14:paraId="2906615D">
            <w:pPr>
              <w:spacing w:after="0" w:line="480" w:lineRule="exact"/>
              <w:jc w:val="center"/>
              <w:rPr>
                <w:rFonts w:hint="eastAsia" w:asciiTheme="minorEastAsia" w:hAnsiTheme="minorEastAsia"/>
                <w:sz w:val="28"/>
                <w:szCs w:val="28"/>
              </w:rPr>
            </w:pPr>
          </w:p>
          <w:p w14:paraId="21601269">
            <w:pPr>
              <w:spacing w:after="0" w:line="480" w:lineRule="exact"/>
              <w:jc w:val="center"/>
              <w:rPr>
                <w:rFonts w:hint="eastAsia" w:asciiTheme="minorEastAsia" w:hAnsiTheme="minorEastAsia"/>
                <w:sz w:val="28"/>
                <w:szCs w:val="28"/>
              </w:rPr>
            </w:pPr>
          </w:p>
          <w:p w14:paraId="7A65D190">
            <w:pPr>
              <w:spacing w:after="0" w:line="480" w:lineRule="exact"/>
              <w:jc w:val="center"/>
              <w:rPr>
                <w:rFonts w:hint="eastAsia" w:asciiTheme="minorEastAsia" w:hAnsiTheme="minorEastAsia"/>
                <w:sz w:val="28"/>
                <w:szCs w:val="28"/>
              </w:rPr>
            </w:pPr>
          </w:p>
          <w:p w14:paraId="10B88C44">
            <w:pPr>
              <w:spacing w:after="0" w:line="480" w:lineRule="exact"/>
              <w:jc w:val="center"/>
              <w:rPr>
                <w:rFonts w:asciiTheme="minorEastAsia" w:hAnsiTheme="minorEastAsia"/>
                <w:sz w:val="28"/>
                <w:szCs w:val="28"/>
              </w:rPr>
            </w:pPr>
            <w:r>
              <w:rPr>
                <w:rFonts w:hint="eastAsia" w:asciiTheme="minorEastAsia" w:hAnsiTheme="minorEastAsia"/>
                <w:sz w:val="28"/>
                <w:szCs w:val="28"/>
              </w:rPr>
              <w:t xml:space="preserve">            </w:t>
            </w:r>
          </w:p>
        </w:tc>
      </w:tr>
      <w:tr w14:paraId="0D9301B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30" w:hRule="atLeast"/>
        </w:trPr>
        <w:tc>
          <w:tcPr>
            <w:tcW w:w="2176" w:type="dxa"/>
            <w:vAlign w:val="center"/>
          </w:tcPr>
          <w:p w14:paraId="243A3DC8">
            <w:pPr>
              <w:spacing w:after="0" w:line="480" w:lineRule="exact"/>
              <w:jc w:val="center"/>
              <w:rPr>
                <w:rFonts w:hint="eastAsia" w:asciiTheme="minorEastAsia" w:hAnsiTheme="minorEastAsia"/>
                <w:sz w:val="28"/>
                <w:szCs w:val="28"/>
                <w:lang w:eastAsia="zh-CN"/>
              </w:rPr>
            </w:pPr>
            <w:r>
              <w:rPr>
                <w:rFonts w:hint="eastAsia" w:asciiTheme="minorEastAsia" w:hAnsiTheme="minorEastAsia"/>
                <w:sz w:val="28"/>
                <w:szCs w:val="28"/>
                <w:lang w:eastAsia="zh-CN"/>
              </w:rPr>
              <w:t>整改单位</w:t>
            </w:r>
          </w:p>
        </w:tc>
        <w:tc>
          <w:tcPr>
            <w:tcW w:w="6296" w:type="dxa"/>
            <w:gridSpan w:val="3"/>
            <w:vAlign w:val="center"/>
          </w:tcPr>
          <w:p w14:paraId="0749774E">
            <w:pPr>
              <w:spacing w:after="0" w:line="480" w:lineRule="exact"/>
              <w:jc w:val="center"/>
              <w:rPr>
                <w:rFonts w:hint="eastAsia" w:asciiTheme="minorEastAsia" w:hAnsiTheme="minorEastAsia" w:eastAsiaTheme="minorEastAsia"/>
                <w:sz w:val="28"/>
                <w:szCs w:val="28"/>
                <w:lang w:eastAsia="zh-CN"/>
              </w:rPr>
            </w:pPr>
            <w:r>
              <w:rPr>
                <w:rFonts w:hint="eastAsia" w:asciiTheme="minorEastAsia" w:hAnsiTheme="minorEastAsia"/>
                <w:sz w:val="28"/>
                <w:szCs w:val="28"/>
                <w:lang w:eastAsia="zh-CN"/>
              </w:rPr>
              <w:t>（加盖公章）</w:t>
            </w:r>
          </w:p>
        </w:tc>
      </w:tr>
    </w:tbl>
    <w:p w14:paraId="1E9D7C2B">
      <w:pPr>
        <w:spacing w:line="480" w:lineRule="exact"/>
        <w:rPr>
          <w:rFonts w:ascii="楷体" w:hAnsi="楷体" w:eastAsia="楷体"/>
          <w:sz w:val="28"/>
          <w:szCs w:val="28"/>
        </w:rPr>
      </w:pPr>
    </w:p>
    <w:p w14:paraId="4561187C">
      <w:pPr>
        <w:pStyle w:val="34"/>
        <w:spacing w:before="120" w:beforeAutospacing="0" w:after="120" w:afterAutospacing="0" w:line="0" w:lineRule="atLeast"/>
        <w:jc w:val="center"/>
        <w:rPr>
          <w:rFonts w:hint="eastAsia" w:ascii="黑体" w:hAnsi="宋体" w:eastAsia="黑体" w:cs="黑体"/>
          <w:color w:val="000000"/>
          <w:sz w:val="36"/>
          <w:szCs w:val="36"/>
          <w:highlight w:val="none"/>
        </w:rPr>
        <w:sectPr>
          <w:footerReference r:id="rId8" w:type="default"/>
          <w:pgSz w:w="11906" w:h="16838"/>
          <w:pgMar w:top="1460" w:right="1486" w:bottom="1518" w:left="1800" w:header="851" w:footer="992" w:gutter="0"/>
          <w:pgNumType w:start="30"/>
          <w:cols w:space="425" w:num="1"/>
          <w:docGrid w:linePitch="360" w:charSpace="0"/>
        </w:sectPr>
      </w:pPr>
    </w:p>
    <w:p w14:paraId="163D89FA">
      <w:pPr>
        <w:pStyle w:val="34"/>
        <w:spacing w:before="120" w:beforeAutospacing="0" w:after="120" w:afterAutospacing="0" w:line="0" w:lineRule="atLeast"/>
        <w:jc w:val="center"/>
        <w:rPr>
          <w:sz w:val="36"/>
          <w:szCs w:val="36"/>
          <w:highlight w:val="none"/>
        </w:rPr>
      </w:pPr>
      <w:r>
        <w:rPr>
          <w:rFonts w:hint="eastAsia" w:ascii="黑体" w:hAnsi="宋体" w:eastAsia="黑体" w:cs="黑体"/>
          <w:color w:val="000000"/>
          <w:sz w:val="36"/>
          <w:szCs w:val="36"/>
          <w:highlight w:val="none"/>
        </w:rPr>
        <w:t>第</w:t>
      </w:r>
      <w:bookmarkEnd w:id="160"/>
      <w:r>
        <w:rPr>
          <w:rFonts w:hint="eastAsia" w:ascii="黑体" w:hAnsi="宋体" w:eastAsia="黑体" w:cs="黑体"/>
          <w:color w:val="000000"/>
          <w:sz w:val="36"/>
          <w:szCs w:val="36"/>
          <w:highlight w:val="none"/>
        </w:rPr>
        <w:t>四章</w:t>
      </w:r>
      <w:r>
        <w:rPr>
          <w:rFonts w:hint="eastAsia" w:ascii="黑体" w:hAnsi="宋体" w:eastAsia="黑体" w:cs="黑体"/>
          <w:color w:val="000000"/>
          <w:sz w:val="36"/>
          <w:szCs w:val="36"/>
          <w:highlight w:val="none"/>
          <w:lang w:val="en-US" w:eastAsia="zh-CN"/>
        </w:rPr>
        <w:t xml:space="preserve">  </w:t>
      </w:r>
      <w:r>
        <w:rPr>
          <w:rFonts w:hint="eastAsia" w:ascii="黑体" w:hAnsi="宋体" w:eastAsia="黑体" w:cs="黑体"/>
          <w:color w:val="000000"/>
          <w:sz w:val="36"/>
          <w:szCs w:val="36"/>
          <w:highlight w:val="none"/>
        </w:rPr>
        <w:t>采购需求</w:t>
      </w:r>
      <w:bookmarkEnd w:id="161"/>
      <w:bookmarkEnd w:id="162"/>
      <w:bookmarkEnd w:id="163"/>
      <w:bookmarkEnd w:id="164"/>
      <w:bookmarkEnd w:id="165"/>
    </w:p>
    <w:p w14:paraId="348835A6">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b/>
          <w:bCs/>
          <w:sz w:val="24"/>
          <w:szCs w:val="24"/>
          <w:highlight w:val="none"/>
        </w:rPr>
      </w:pPr>
      <w:bookmarkStart w:id="169" w:name="_Toc26554093"/>
      <w:bookmarkStart w:id="170" w:name="_Toc49090575"/>
      <w:r>
        <w:rPr>
          <w:rFonts w:hint="eastAsia" w:ascii="宋体" w:hAnsi="宋体" w:eastAsia="宋体" w:cs="宋体"/>
          <w:b/>
          <w:bCs/>
          <w:color w:val="000000"/>
          <w:sz w:val="24"/>
          <w:szCs w:val="24"/>
          <w:highlight w:val="none"/>
        </w:rPr>
        <w:t>项目属性:</w:t>
      </w:r>
      <w:r>
        <w:rPr>
          <w:rFonts w:hint="eastAsia" w:ascii="宋体" w:hAnsi="宋体" w:eastAsia="宋体" w:cs="宋体"/>
          <w:b/>
          <w:bCs/>
          <w:color w:val="000000"/>
          <w:sz w:val="24"/>
          <w:szCs w:val="24"/>
          <w:highlight w:val="none"/>
          <w:lang w:val="en-US" w:eastAsia="zh-CN"/>
        </w:rPr>
        <w:t>服务</w:t>
      </w:r>
      <w:r>
        <w:rPr>
          <w:rFonts w:hint="eastAsia" w:ascii="宋体" w:hAnsi="宋体" w:eastAsia="宋体" w:cs="宋体"/>
          <w:b/>
          <w:bCs/>
          <w:color w:val="000000"/>
          <w:sz w:val="24"/>
          <w:szCs w:val="24"/>
          <w:highlight w:val="none"/>
        </w:rPr>
        <w:t>类项目</w:t>
      </w:r>
      <w:r>
        <w:rPr>
          <w:rFonts w:hint="eastAsia" w:ascii="宋体" w:hAnsi="宋体" w:eastAsia="宋体" w:cs="宋体"/>
          <w:b/>
          <w:bCs/>
          <w:color w:val="000000"/>
          <w:sz w:val="24"/>
          <w:szCs w:val="24"/>
          <w:highlight w:val="none"/>
          <w:shd w:val="clear" w:color="auto" w:fill="auto"/>
        </w:rPr>
        <w:t>。</w:t>
      </w:r>
      <w:bookmarkEnd w:id="169"/>
      <w:bookmarkEnd w:id="170"/>
    </w:p>
    <w:p w14:paraId="19BD0C93">
      <w:pPr>
        <w:pStyle w:val="34"/>
        <w:spacing w:before="120" w:beforeAutospacing="0" w:after="120" w:afterAutospacing="0" w:line="0" w:lineRule="atLeast"/>
        <w:rPr>
          <w:rFonts w:hint="default"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一、采购清单及</w:t>
      </w:r>
      <w:r>
        <w:rPr>
          <w:rFonts w:ascii="Times New Roman" w:hAnsi="Times New Roman" w:eastAsia="宋体"/>
          <w:b/>
        </w:rPr>
        <w:t>技术参数要求</w:t>
      </w:r>
      <w:r>
        <w:rPr>
          <w:rFonts w:hint="eastAsia" w:ascii="Times New Roman" w:hAnsi="Times New Roman" w:eastAsia="宋体"/>
          <w:b/>
          <w:lang w:eastAsia="zh-CN"/>
        </w:rPr>
        <w:t>、</w:t>
      </w:r>
      <w:r>
        <w:rPr>
          <w:rFonts w:hint="eastAsia" w:ascii="Times New Roman" w:hAnsi="Times New Roman" w:eastAsia="宋体"/>
          <w:b/>
          <w:lang w:val="en-US" w:eastAsia="zh-CN"/>
        </w:rPr>
        <w:t>维护清单。</w:t>
      </w:r>
    </w:p>
    <w:tbl>
      <w:tblPr>
        <w:tblStyle w:val="3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38"/>
        <w:gridCol w:w="891"/>
        <w:gridCol w:w="1001"/>
        <w:gridCol w:w="4992"/>
        <w:gridCol w:w="796"/>
        <w:gridCol w:w="718"/>
      </w:tblGrid>
      <w:tr w14:paraId="427A86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48" w:type="pct"/>
            <w:vAlign w:val="center"/>
          </w:tcPr>
          <w:p w14:paraId="29BF84F1">
            <w:pPr>
              <w:spacing w:after="0" w:line="240" w:lineRule="auto"/>
              <w:jc w:val="center"/>
              <w:rPr>
                <w:rFonts w:ascii="Times New Roman" w:hAnsi="Times New Roman" w:eastAsia="宋体" w:cs="Times New Roman"/>
                <w:szCs w:val="21"/>
              </w:rPr>
            </w:pPr>
            <w:bookmarkStart w:id="171" w:name="_Hlk205565354"/>
            <w:r>
              <w:rPr>
                <w:rFonts w:ascii="Times New Roman" w:hAnsi="Times New Roman" w:eastAsia="宋体" w:cs="Times New Roman"/>
                <w:b/>
                <w:bCs/>
                <w:szCs w:val="21"/>
              </w:rPr>
              <w:t>序号</w:t>
            </w:r>
          </w:p>
        </w:tc>
        <w:tc>
          <w:tcPr>
            <w:tcW w:w="504" w:type="pct"/>
            <w:vAlign w:val="center"/>
          </w:tcPr>
          <w:p w14:paraId="66C3F05B">
            <w:pPr>
              <w:spacing w:after="0" w:line="240" w:lineRule="auto"/>
              <w:jc w:val="center"/>
              <w:rPr>
                <w:rFonts w:ascii="Times New Roman" w:hAnsi="Times New Roman" w:eastAsia="宋体" w:cs="Times New Roman"/>
                <w:szCs w:val="21"/>
              </w:rPr>
            </w:pPr>
            <w:r>
              <w:rPr>
                <w:rFonts w:ascii="Times New Roman" w:hAnsi="Times New Roman" w:eastAsia="宋体" w:cs="Times New Roman"/>
                <w:b/>
                <w:bCs/>
                <w:szCs w:val="21"/>
              </w:rPr>
              <w:t>项目</w:t>
            </w:r>
          </w:p>
        </w:tc>
        <w:tc>
          <w:tcPr>
            <w:tcW w:w="566" w:type="pct"/>
            <w:vAlign w:val="center"/>
          </w:tcPr>
          <w:p w14:paraId="735463A2">
            <w:pPr>
              <w:spacing w:after="0" w:line="240" w:lineRule="auto"/>
              <w:jc w:val="center"/>
              <w:rPr>
                <w:rFonts w:ascii="Times New Roman" w:hAnsi="Times New Roman" w:eastAsia="宋体" w:cs="Times New Roman"/>
                <w:szCs w:val="21"/>
              </w:rPr>
            </w:pPr>
            <w:r>
              <w:rPr>
                <w:rFonts w:ascii="Times New Roman" w:hAnsi="Times New Roman" w:eastAsia="宋体" w:cs="Times New Roman"/>
                <w:b/>
                <w:bCs/>
                <w:szCs w:val="21"/>
              </w:rPr>
              <w:t>产品/服务名称</w:t>
            </w:r>
          </w:p>
        </w:tc>
        <w:tc>
          <w:tcPr>
            <w:tcW w:w="2823" w:type="pct"/>
            <w:vAlign w:val="center"/>
          </w:tcPr>
          <w:p w14:paraId="3EAA131D">
            <w:pPr>
              <w:spacing w:after="0" w:line="240" w:lineRule="auto"/>
              <w:jc w:val="center"/>
              <w:rPr>
                <w:rFonts w:ascii="Times New Roman" w:hAnsi="Times New Roman" w:eastAsia="宋体" w:cs="Times New Roman"/>
                <w:szCs w:val="21"/>
              </w:rPr>
            </w:pPr>
            <w:r>
              <w:rPr>
                <w:rFonts w:ascii="Times New Roman" w:hAnsi="Times New Roman" w:eastAsia="宋体" w:cs="Times New Roman"/>
                <w:b/>
                <w:bCs/>
                <w:szCs w:val="21"/>
              </w:rPr>
              <w:t>技术要求</w:t>
            </w:r>
          </w:p>
        </w:tc>
        <w:tc>
          <w:tcPr>
            <w:tcW w:w="450" w:type="pct"/>
            <w:vAlign w:val="center"/>
          </w:tcPr>
          <w:p w14:paraId="624CEFCA">
            <w:pPr>
              <w:spacing w:after="0" w:line="240" w:lineRule="auto"/>
              <w:jc w:val="center"/>
              <w:rPr>
                <w:rFonts w:ascii="Times New Roman" w:hAnsi="Times New Roman" w:eastAsia="宋体" w:cs="Times New Roman"/>
                <w:szCs w:val="21"/>
              </w:rPr>
            </w:pPr>
            <w:r>
              <w:rPr>
                <w:rFonts w:ascii="Times New Roman" w:hAnsi="Times New Roman" w:eastAsia="宋体" w:cs="Times New Roman"/>
                <w:b/>
                <w:bCs/>
                <w:szCs w:val="21"/>
              </w:rPr>
              <w:t>单位</w:t>
            </w:r>
          </w:p>
        </w:tc>
        <w:tc>
          <w:tcPr>
            <w:tcW w:w="406" w:type="pct"/>
            <w:vAlign w:val="center"/>
          </w:tcPr>
          <w:p w14:paraId="419EFBF2">
            <w:pPr>
              <w:spacing w:after="0" w:line="240" w:lineRule="auto"/>
              <w:jc w:val="center"/>
              <w:rPr>
                <w:rFonts w:ascii="Times New Roman" w:hAnsi="Times New Roman" w:eastAsia="宋体" w:cs="Times New Roman"/>
                <w:szCs w:val="21"/>
              </w:rPr>
            </w:pPr>
            <w:r>
              <w:rPr>
                <w:rFonts w:ascii="Times New Roman" w:hAnsi="Times New Roman" w:eastAsia="宋体" w:cs="Times New Roman"/>
                <w:b/>
                <w:bCs/>
                <w:szCs w:val="21"/>
              </w:rPr>
              <w:t>数量</w:t>
            </w:r>
          </w:p>
        </w:tc>
      </w:tr>
      <w:tr w14:paraId="5273C3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48" w:type="pct"/>
            <w:vAlign w:val="center"/>
          </w:tcPr>
          <w:p w14:paraId="2B3F8D91">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1</w:t>
            </w:r>
          </w:p>
        </w:tc>
        <w:tc>
          <w:tcPr>
            <w:tcW w:w="504" w:type="pct"/>
            <w:vMerge w:val="restart"/>
            <w:vAlign w:val="center"/>
          </w:tcPr>
          <w:p w14:paraId="1395C93A">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照明</w:t>
            </w:r>
          </w:p>
          <w:p w14:paraId="071EDC91">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设备</w:t>
            </w:r>
          </w:p>
        </w:tc>
        <w:tc>
          <w:tcPr>
            <w:tcW w:w="566" w:type="pct"/>
            <w:vAlign w:val="center"/>
          </w:tcPr>
          <w:p w14:paraId="6EE731B2">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远程监控终端设备</w:t>
            </w:r>
          </w:p>
        </w:tc>
        <w:tc>
          <w:tcPr>
            <w:tcW w:w="2823" w:type="pct"/>
            <w:vAlign w:val="center"/>
          </w:tcPr>
          <w:p w14:paraId="081475B8">
            <w:pPr>
              <w:pStyle w:val="215"/>
              <w:numPr>
                <w:ilvl w:val="0"/>
                <w:numId w:val="1"/>
              </w:numPr>
              <w:tabs>
                <w:tab w:val="left" w:pos="196"/>
              </w:tabs>
              <w:spacing w:after="0" w:line="240" w:lineRule="auto"/>
              <w:ind w:left="0" w:firstLine="0"/>
              <w:contextualSpacing w:val="0"/>
              <w:rPr>
                <w:rFonts w:ascii="Times New Roman" w:hAnsi="Times New Roman" w:eastAsia="宋体" w:cs="Times New Roman"/>
                <w:szCs w:val="21"/>
              </w:rPr>
            </w:pPr>
            <w:r>
              <w:rPr>
                <w:rFonts w:ascii="Segoe UI Symbol" w:hAnsi="Segoe UI Symbol" w:eastAsia="宋体" w:cs="Segoe UI Symbol"/>
                <w:szCs w:val="21"/>
              </w:rPr>
              <w:t>★</w:t>
            </w:r>
            <w:r>
              <w:rPr>
                <w:rFonts w:ascii="Times New Roman" w:hAnsi="Times New Roman" w:eastAsia="宋体" w:cs="Times New Roman"/>
                <w:szCs w:val="21"/>
              </w:rPr>
              <w:t>设备可实现回路实时遥控开关控制、定时策略开关等功能</w:t>
            </w:r>
            <w:r>
              <w:rPr>
                <w:rFonts w:ascii="Times New Roman" w:hAnsi="Times New Roman" w:eastAsia="宋体" w:cs="Times New Roman"/>
                <w:b/>
                <w:bCs/>
                <w:szCs w:val="21"/>
              </w:rPr>
              <w:t>（投标时须提供第三方检测机构出具的检测报告扫描件）</w:t>
            </w:r>
            <w:r>
              <w:rPr>
                <w:rFonts w:ascii="Times New Roman" w:hAnsi="Times New Roman" w:eastAsia="宋体" w:cs="Times New Roman"/>
                <w:szCs w:val="21"/>
              </w:rPr>
              <w:t>；</w:t>
            </w:r>
          </w:p>
          <w:p w14:paraId="6AB73FA8">
            <w:pPr>
              <w:widowControl/>
              <w:numPr>
                <w:ilvl w:val="0"/>
                <w:numId w:val="1"/>
              </w:numPr>
              <w:tabs>
                <w:tab w:val="left" w:pos="196"/>
                <w:tab w:val="left" w:pos="270"/>
              </w:tabs>
              <w:spacing w:after="0" w:line="240" w:lineRule="auto"/>
              <w:ind w:left="0" w:firstLine="0"/>
              <w:rPr>
                <w:rFonts w:ascii="Times New Roman" w:hAnsi="Times New Roman" w:eastAsia="宋体" w:cs="Times New Roman"/>
                <w:szCs w:val="21"/>
              </w:rPr>
            </w:pPr>
            <w:r>
              <w:rPr>
                <w:rFonts w:ascii="Times New Roman" w:hAnsi="Times New Roman" w:eastAsia="宋体" w:cs="Times New Roman"/>
                <w:szCs w:val="21"/>
              </w:rPr>
              <w:t>远程控制实时性要求，通过远程管理软件（或手机APP）实施开关灯命令，现场灯具要在1秒钟内执行。通过远程管理软件（或手机APP）实施运行状态遥测（例如电压、电流或功率查询），要求在1分钟内遥测数据可有效上报；</w:t>
            </w:r>
          </w:p>
          <w:p w14:paraId="3A3EA2B0">
            <w:pPr>
              <w:pStyle w:val="215"/>
              <w:numPr>
                <w:ilvl w:val="0"/>
                <w:numId w:val="1"/>
              </w:numPr>
              <w:tabs>
                <w:tab w:val="left" w:pos="196"/>
                <w:tab w:val="left" w:pos="270"/>
              </w:tabs>
              <w:spacing w:after="0" w:line="240" w:lineRule="auto"/>
              <w:ind w:left="0" w:firstLine="0"/>
              <w:contextualSpacing w:val="0"/>
              <w:rPr>
                <w:rFonts w:ascii="Times New Roman" w:hAnsi="Times New Roman" w:eastAsia="宋体" w:cs="Times New Roman"/>
                <w:szCs w:val="21"/>
              </w:rPr>
            </w:pPr>
            <w:r>
              <w:rPr>
                <w:rFonts w:ascii="Segoe UI Symbol" w:hAnsi="Segoe UI Symbol" w:eastAsia="宋体" w:cs="Segoe UI Symbol"/>
                <w:szCs w:val="21"/>
              </w:rPr>
              <w:t>★</w:t>
            </w:r>
            <w:r>
              <w:rPr>
                <w:rFonts w:ascii="Times New Roman" w:hAnsi="Times New Roman" w:eastAsia="宋体" w:cs="Times New Roman"/>
                <w:szCs w:val="21"/>
              </w:rPr>
              <w:t>设备支持按照日期，星期，节假日等模式，全年自动管理开关灯时间</w:t>
            </w:r>
            <w:r>
              <w:rPr>
                <w:rFonts w:ascii="Times New Roman" w:hAnsi="Times New Roman" w:eastAsia="宋体" w:cs="Times New Roman"/>
                <w:b/>
                <w:bCs/>
                <w:szCs w:val="21"/>
              </w:rPr>
              <w:t>（投标时须提供第三方检测机构出具的检测报告扫描件）；</w:t>
            </w:r>
          </w:p>
          <w:p w14:paraId="6BFD9D93">
            <w:pPr>
              <w:pStyle w:val="215"/>
              <w:numPr>
                <w:ilvl w:val="0"/>
                <w:numId w:val="1"/>
              </w:numPr>
              <w:tabs>
                <w:tab w:val="left" w:pos="196"/>
                <w:tab w:val="left" w:pos="270"/>
              </w:tabs>
              <w:spacing w:after="0" w:line="240" w:lineRule="auto"/>
              <w:ind w:left="0" w:firstLine="0"/>
              <w:contextualSpacing w:val="0"/>
              <w:rPr>
                <w:rFonts w:ascii="Times New Roman" w:hAnsi="Times New Roman" w:eastAsia="宋体" w:cs="Times New Roman"/>
                <w:szCs w:val="21"/>
              </w:rPr>
            </w:pPr>
            <w:r>
              <w:rPr>
                <w:rFonts w:ascii="Segoe UI Symbol" w:hAnsi="Segoe UI Symbol" w:eastAsia="宋体" w:cs="Segoe UI Symbol"/>
                <w:szCs w:val="21"/>
              </w:rPr>
              <w:t>★</w:t>
            </w:r>
            <w:r>
              <w:rPr>
                <w:rFonts w:ascii="Times New Roman" w:hAnsi="Times New Roman" w:eastAsia="宋体" w:cs="Times New Roman"/>
                <w:szCs w:val="21"/>
              </w:rPr>
              <w:t>为了保证现场维修人员安全，在设备切换到“手动”模式时，设备不能实施远程遥控</w:t>
            </w:r>
            <w:r>
              <w:rPr>
                <w:rFonts w:ascii="Times New Roman" w:hAnsi="Times New Roman" w:eastAsia="宋体" w:cs="Times New Roman"/>
                <w:b/>
                <w:bCs/>
                <w:szCs w:val="21"/>
              </w:rPr>
              <w:t>（投标时须提供第三方检测机构出具的检测报告扫描件）；</w:t>
            </w:r>
          </w:p>
          <w:p w14:paraId="374DE8D0">
            <w:pPr>
              <w:pStyle w:val="215"/>
              <w:numPr>
                <w:ilvl w:val="0"/>
                <w:numId w:val="1"/>
              </w:numPr>
              <w:tabs>
                <w:tab w:val="left" w:pos="196"/>
                <w:tab w:val="left" w:pos="270"/>
              </w:tabs>
              <w:spacing w:after="0" w:line="240" w:lineRule="auto"/>
              <w:ind w:left="0" w:firstLine="0"/>
              <w:contextualSpacing w:val="0"/>
              <w:rPr>
                <w:rFonts w:ascii="Times New Roman" w:hAnsi="Times New Roman" w:eastAsia="宋体" w:cs="Times New Roman"/>
                <w:szCs w:val="21"/>
              </w:rPr>
            </w:pPr>
            <w:r>
              <w:rPr>
                <w:rFonts w:ascii="Segoe UI Symbol" w:hAnsi="Segoe UI Symbol" w:eastAsia="宋体" w:cs="Segoe UI Symbol"/>
                <w:szCs w:val="21"/>
              </w:rPr>
              <w:t>★</w:t>
            </w:r>
            <w:r>
              <w:rPr>
                <w:rFonts w:ascii="Times New Roman" w:hAnsi="Times New Roman" w:eastAsia="宋体" w:cs="Times New Roman"/>
                <w:szCs w:val="21"/>
              </w:rPr>
              <w:t>设备集成光学测距式开箱报警，无需外接其他设备即可实现对配电箱箱门开关状态的检测：检测到箱门状态发生变化，能够在1分钟内上报</w:t>
            </w:r>
            <w:r>
              <w:rPr>
                <w:rFonts w:ascii="Times New Roman" w:hAnsi="Times New Roman" w:eastAsia="宋体" w:cs="Times New Roman"/>
                <w:b/>
                <w:bCs/>
                <w:szCs w:val="21"/>
              </w:rPr>
              <w:t>（投标时须提供第三方检测机构出具的检测报告扫描件）；</w:t>
            </w:r>
          </w:p>
          <w:p w14:paraId="50BF0A11">
            <w:pPr>
              <w:pStyle w:val="215"/>
              <w:numPr>
                <w:ilvl w:val="0"/>
                <w:numId w:val="1"/>
              </w:numPr>
              <w:tabs>
                <w:tab w:val="left" w:pos="196"/>
                <w:tab w:val="left" w:pos="270"/>
              </w:tabs>
              <w:spacing w:after="0" w:line="240" w:lineRule="auto"/>
              <w:ind w:left="0" w:firstLine="0"/>
              <w:contextualSpacing w:val="0"/>
              <w:rPr>
                <w:rFonts w:ascii="Times New Roman" w:hAnsi="Times New Roman" w:eastAsia="宋体" w:cs="Times New Roman"/>
                <w:szCs w:val="21"/>
              </w:rPr>
            </w:pPr>
            <w:r>
              <w:rPr>
                <w:rFonts w:ascii="Segoe UI Symbol" w:hAnsi="Segoe UI Symbol" w:eastAsia="宋体" w:cs="Segoe UI Symbol"/>
                <w:szCs w:val="21"/>
              </w:rPr>
              <w:t>★</w:t>
            </w:r>
            <w:r>
              <w:rPr>
                <w:rFonts w:ascii="Times New Roman" w:hAnsi="Times New Roman" w:eastAsia="宋体" w:cs="Times New Roman"/>
                <w:szCs w:val="21"/>
              </w:rPr>
              <w:t>设备断电报警功能，要求设备断电后，能够在1分钟内上报断电故障。</w:t>
            </w:r>
            <w:r>
              <w:rPr>
                <w:rFonts w:ascii="Times New Roman" w:hAnsi="Times New Roman" w:eastAsia="宋体" w:cs="Times New Roman"/>
                <w:b/>
                <w:bCs/>
                <w:szCs w:val="21"/>
              </w:rPr>
              <w:t>（投标时须提供第三方检测机构出具的检测报告扫描件）。</w:t>
            </w:r>
          </w:p>
          <w:p w14:paraId="52039C08">
            <w:pPr>
              <w:pStyle w:val="215"/>
              <w:numPr>
                <w:ilvl w:val="0"/>
                <w:numId w:val="1"/>
              </w:numPr>
              <w:tabs>
                <w:tab w:val="left" w:pos="196"/>
                <w:tab w:val="left" w:pos="270"/>
              </w:tabs>
              <w:spacing w:after="0" w:line="240" w:lineRule="auto"/>
              <w:ind w:left="0" w:firstLine="0"/>
              <w:contextualSpacing w:val="0"/>
              <w:rPr>
                <w:rFonts w:ascii="Times New Roman" w:hAnsi="Times New Roman" w:eastAsia="宋体" w:cs="Times New Roman"/>
                <w:szCs w:val="21"/>
              </w:rPr>
            </w:pPr>
            <w:r>
              <w:rPr>
                <w:rFonts w:ascii="Segoe UI Symbol" w:hAnsi="Segoe UI Symbol" w:eastAsia="宋体" w:cs="Segoe UI Symbol"/>
                <w:szCs w:val="21"/>
              </w:rPr>
              <w:t>★</w:t>
            </w:r>
            <w:r>
              <w:rPr>
                <w:rFonts w:ascii="Times New Roman" w:hAnsi="Times New Roman" w:eastAsia="宋体" w:cs="Times New Roman"/>
                <w:szCs w:val="21"/>
              </w:rPr>
              <w:t>设备可连接符合国标DLT645-2007协议电表，实现电能遥测功能扩展</w:t>
            </w:r>
            <w:r>
              <w:rPr>
                <w:rFonts w:ascii="Times New Roman" w:hAnsi="Times New Roman" w:eastAsia="宋体" w:cs="Times New Roman"/>
                <w:b/>
                <w:bCs/>
                <w:szCs w:val="21"/>
              </w:rPr>
              <w:t>（投标时须提供第三方检测机构出具的检测报告扫描件）；</w:t>
            </w:r>
          </w:p>
          <w:p w14:paraId="5F1129C0">
            <w:pPr>
              <w:pStyle w:val="215"/>
              <w:numPr>
                <w:ilvl w:val="0"/>
                <w:numId w:val="1"/>
              </w:numPr>
              <w:tabs>
                <w:tab w:val="left" w:pos="196"/>
                <w:tab w:val="left" w:pos="270"/>
              </w:tabs>
              <w:spacing w:after="0" w:line="240" w:lineRule="auto"/>
              <w:ind w:left="0" w:firstLine="0"/>
              <w:contextualSpacing w:val="0"/>
              <w:rPr>
                <w:rFonts w:ascii="Times New Roman" w:hAnsi="Times New Roman" w:eastAsia="宋体" w:cs="Times New Roman"/>
                <w:szCs w:val="21"/>
              </w:rPr>
            </w:pPr>
            <w:r>
              <w:rPr>
                <w:rFonts w:ascii="Segoe UI Symbol" w:hAnsi="Segoe UI Symbol" w:eastAsia="宋体" w:cs="Segoe UI Symbol"/>
                <w:szCs w:val="21"/>
              </w:rPr>
              <w:t>★</w:t>
            </w:r>
            <w:r>
              <w:rPr>
                <w:rFonts w:ascii="Times New Roman" w:hAnsi="Times New Roman" w:eastAsia="宋体" w:cs="Times New Roman"/>
                <w:szCs w:val="21"/>
              </w:rPr>
              <w:t>支持远程固件升级，可对设备进行程序更新</w:t>
            </w:r>
            <w:r>
              <w:rPr>
                <w:rFonts w:ascii="Times New Roman" w:hAnsi="Times New Roman" w:eastAsia="宋体" w:cs="Times New Roman"/>
                <w:b/>
                <w:bCs/>
                <w:szCs w:val="21"/>
              </w:rPr>
              <w:t>（投标时须提供第三方检测机构出具的检测报告扫描件）；</w:t>
            </w:r>
          </w:p>
          <w:p w14:paraId="1293BCC4">
            <w:pPr>
              <w:pStyle w:val="215"/>
              <w:numPr>
                <w:ilvl w:val="0"/>
                <w:numId w:val="1"/>
              </w:numPr>
              <w:tabs>
                <w:tab w:val="left" w:pos="196"/>
              </w:tabs>
              <w:spacing w:after="0" w:line="240" w:lineRule="auto"/>
              <w:ind w:left="0" w:firstLine="0"/>
              <w:contextualSpacing w:val="0"/>
              <w:rPr>
                <w:rFonts w:ascii="Times New Roman" w:hAnsi="Times New Roman" w:eastAsia="宋体" w:cs="Times New Roman"/>
                <w:szCs w:val="21"/>
              </w:rPr>
            </w:pPr>
            <w:r>
              <w:rPr>
                <w:rFonts w:ascii="Segoe UI Symbol" w:hAnsi="Segoe UI Symbol" w:eastAsia="宋体" w:cs="Segoe UI Symbol"/>
                <w:szCs w:val="21"/>
              </w:rPr>
              <w:t>★</w:t>
            </w:r>
            <w:r>
              <w:rPr>
                <w:rFonts w:ascii="Times New Roman" w:hAnsi="Times New Roman" w:eastAsia="宋体" w:cs="Times New Roman"/>
                <w:szCs w:val="21"/>
              </w:rPr>
              <w:t>设备支持检测交流接触器动作状态，若动作状态不正常，1分钟内发出告警</w:t>
            </w:r>
            <w:r>
              <w:rPr>
                <w:rFonts w:ascii="Times New Roman" w:hAnsi="Times New Roman" w:eastAsia="宋体" w:cs="Times New Roman"/>
                <w:b/>
                <w:bCs/>
                <w:szCs w:val="21"/>
              </w:rPr>
              <w:t>（投标时须提供第三方检测机构出具的检测报告扫描件）；</w:t>
            </w:r>
          </w:p>
          <w:p w14:paraId="3994B958">
            <w:pPr>
              <w:pStyle w:val="215"/>
              <w:widowControl/>
              <w:numPr>
                <w:ilvl w:val="0"/>
                <w:numId w:val="1"/>
              </w:numPr>
              <w:tabs>
                <w:tab w:val="left" w:pos="280"/>
              </w:tabs>
              <w:spacing w:after="0" w:line="240" w:lineRule="auto"/>
              <w:ind w:left="0" w:firstLine="0"/>
              <w:contextualSpacing w:val="0"/>
              <w:rPr>
                <w:rFonts w:ascii="Times New Roman" w:hAnsi="Times New Roman" w:eastAsia="宋体" w:cs="Times New Roman"/>
                <w:szCs w:val="21"/>
              </w:rPr>
            </w:pPr>
            <w:r>
              <w:rPr>
                <w:rFonts w:ascii="Times New Roman" w:hAnsi="Times New Roman" w:eastAsia="宋体" w:cs="Times New Roman"/>
                <w:szCs w:val="21"/>
              </w:rPr>
              <w:t>为了保证现场控制的实时性和一致性，系统安装调试完毕后，在公共移动通信网络（2G、3G、4G或5G）服务稳定的情况下，系统上线率应达到98%或以上。即路灯管理平台下发命令后（数据下行），组内有98%或以上的单灯控制器在1秒之内做出响应。</w:t>
            </w:r>
          </w:p>
          <w:p w14:paraId="2EFAF6F2">
            <w:pPr>
              <w:pStyle w:val="215"/>
              <w:widowControl/>
              <w:tabs>
                <w:tab w:val="left" w:pos="280"/>
              </w:tabs>
              <w:spacing w:after="0" w:line="240" w:lineRule="auto"/>
              <w:ind w:left="0"/>
              <w:contextualSpacing w:val="0"/>
              <w:rPr>
                <w:rFonts w:ascii="Times New Roman" w:hAnsi="Times New Roman" w:eastAsia="宋体" w:cs="Times New Roman"/>
                <w:szCs w:val="21"/>
              </w:rPr>
            </w:pPr>
            <w:r>
              <w:rPr>
                <w:rFonts w:ascii="Times New Roman" w:hAnsi="Times New Roman" w:eastAsia="宋体" w:cs="Times New Roman"/>
                <w:b/>
                <w:bCs/>
                <w:szCs w:val="21"/>
              </w:rPr>
              <w:t>注：</w:t>
            </w:r>
            <w:r>
              <w:rPr>
                <w:rFonts w:ascii="Segoe UI Symbol" w:hAnsi="Segoe UI Symbol" w:eastAsia="宋体" w:cs="Segoe UI Symbol"/>
                <w:b/>
                <w:bCs/>
                <w:szCs w:val="21"/>
              </w:rPr>
              <w:t>★</w:t>
            </w:r>
            <w:r>
              <w:rPr>
                <w:rFonts w:ascii="Times New Roman" w:hAnsi="Times New Roman" w:eastAsia="宋体" w:cs="Times New Roman"/>
                <w:b/>
                <w:bCs/>
                <w:szCs w:val="21"/>
              </w:rPr>
              <w:t>远程监控终端设备投标时须提供产品原厂针对本项目的原厂授权书及质保承诺书扫描件，所投产品技术参数证明材料与原厂授权书品牌须保持一致。</w:t>
            </w:r>
          </w:p>
        </w:tc>
        <w:tc>
          <w:tcPr>
            <w:tcW w:w="450" w:type="pct"/>
            <w:vAlign w:val="center"/>
          </w:tcPr>
          <w:p w14:paraId="7674E3C4">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套</w:t>
            </w:r>
          </w:p>
        </w:tc>
        <w:tc>
          <w:tcPr>
            <w:tcW w:w="406" w:type="pct"/>
            <w:vAlign w:val="center"/>
          </w:tcPr>
          <w:p w14:paraId="27625983">
            <w:pPr>
              <w:spacing w:after="0" w:line="240" w:lineRule="auto"/>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36</w:t>
            </w:r>
          </w:p>
        </w:tc>
      </w:tr>
      <w:tr w14:paraId="4D6314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48" w:type="pct"/>
            <w:vAlign w:val="center"/>
          </w:tcPr>
          <w:p w14:paraId="635921B7">
            <w:pPr>
              <w:spacing w:after="0" w:line="240" w:lineRule="auto"/>
              <w:jc w:val="center"/>
              <w:rPr>
                <w:rFonts w:hint="eastAsia" w:ascii="Times New Roman" w:hAnsi="Times New Roman" w:eastAsia="宋体" w:cs="Times New Roman"/>
                <w:szCs w:val="21"/>
                <w:lang w:eastAsia="zh-CN"/>
              </w:rPr>
            </w:pPr>
            <w:r>
              <w:rPr>
                <w:rFonts w:hint="eastAsia" w:ascii="Times New Roman" w:hAnsi="Times New Roman" w:eastAsia="宋体" w:cs="Times New Roman"/>
                <w:szCs w:val="21"/>
                <w:lang w:val="en-US" w:eastAsia="zh-CN"/>
              </w:rPr>
              <w:t>2</w:t>
            </w:r>
          </w:p>
        </w:tc>
        <w:tc>
          <w:tcPr>
            <w:tcW w:w="504" w:type="pct"/>
            <w:vMerge w:val="continue"/>
            <w:vAlign w:val="center"/>
          </w:tcPr>
          <w:p w14:paraId="706798F5">
            <w:pPr>
              <w:spacing w:after="0" w:line="240" w:lineRule="auto"/>
              <w:jc w:val="center"/>
              <w:rPr>
                <w:rFonts w:ascii="Times New Roman" w:hAnsi="Times New Roman" w:eastAsia="宋体" w:cs="Times New Roman"/>
                <w:szCs w:val="21"/>
              </w:rPr>
            </w:pPr>
          </w:p>
        </w:tc>
        <w:tc>
          <w:tcPr>
            <w:tcW w:w="566" w:type="pct"/>
            <w:vAlign w:val="center"/>
          </w:tcPr>
          <w:p w14:paraId="659C2DAE">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电流监测设备</w:t>
            </w:r>
          </w:p>
        </w:tc>
        <w:tc>
          <w:tcPr>
            <w:tcW w:w="2823" w:type="pct"/>
          </w:tcPr>
          <w:p w14:paraId="601A6D32">
            <w:pPr>
              <w:pStyle w:val="215"/>
              <w:numPr>
                <w:ilvl w:val="0"/>
                <w:numId w:val="2"/>
              </w:numPr>
              <w:tabs>
                <w:tab w:val="left" w:pos="196"/>
              </w:tabs>
              <w:spacing w:after="0" w:line="240" w:lineRule="auto"/>
              <w:ind w:left="0" w:firstLine="0"/>
              <w:contextualSpacing w:val="0"/>
              <w:rPr>
                <w:rFonts w:ascii="Times New Roman" w:hAnsi="Times New Roman" w:eastAsia="宋体" w:cs="Times New Roman"/>
                <w:szCs w:val="21"/>
              </w:rPr>
            </w:pPr>
            <w:r>
              <w:rPr>
                <w:rFonts w:ascii="Times New Roman" w:hAnsi="Times New Roman" w:eastAsia="宋体" w:cs="Times New Roman"/>
                <w:szCs w:val="21"/>
              </w:rPr>
              <w:t>采用标准3.5mm电箱导轨安装；</w:t>
            </w:r>
          </w:p>
          <w:p w14:paraId="369CD245">
            <w:pPr>
              <w:pStyle w:val="215"/>
              <w:numPr>
                <w:ilvl w:val="0"/>
                <w:numId w:val="2"/>
              </w:numPr>
              <w:tabs>
                <w:tab w:val="left" w:pos="196"/>
              </w:tabs>
              <w:spacing w:after="0" w:line="240" w:lineRule="auto"/>
              <w:ind w:left="0" w:firstLine="0"/>
              <w:contextualSpacing w:val="0"/>
              <w:rPr>
                <w:rFonts w:ascii="Times New Roman" w:hAnsi="Times New Roman" w:eastAsia="宋体" w:cs="Times New Roman"/>
                <w:szCs w:val="21"/>
              </w:rPr>
            </w:pPr>
            <w:r>
              <w:rPr>
                <w:rFonts w:ascii="Times New Roman" w:hAnsi="Times New Roman" w:eastAsia="宋体" w:cs="Times New Roman"/>
                <w:szCs w:val="21"/>
              </w:rPr>
              <w:t>需安装在具有防淋雨结构的配电箱内使用；</w:t>
            </w:r>
          </w:p>
          <w:p w14:paraId="4C9672CC">
            <w:pPr>
              <w:pStyle w:val="215"/>
              <w:numPr>
                <w:ilvl w:val="0"/>
                <w:numId w:val="2"/>
              </w:numPr>
              <w:tabs>
                <w:tab w:val="left" w:pos="196"/>
              </w:tabs>
              <w:spacing w:after="0" w:line="240" w:lineRule="auto"/>
              <w:ind w:left="0" w:firstLine="0"/>
              <w:contextualSpacing w:val="0"/>
              <w:rPr>
                <w:rFonts w:ascii="Times New Roman" w:hAnsi="Times New Roman" w:eastAsia="宋体" w:cs="Times New Roman"/>
                <w:szCs w:val="21"/>
              </w:rPr>
            </w:pPr>
            <w:r>
              <w:rPr>
                <w:rFonts w:ascii="Times New Roman" w:hAnsi="Times New Roman" w:eastAsia="宋体" w:cs="Times New Roman"/>
                <w:szCs w:val="21"/>
              </w:rPr>
              <w:t>采用CT式电流检测，需根据回路电流大小匹配合适的电流互感器线圈。</w:t>
            </w:r>
          </w:p>
        </w:tc>
        <w:tc>
          <w:tcPr>
            <w:tcW w:w="450" w:type="pct"/>
            <w:vAlign w:val="center"/>
          </w:tcPr>
          <w:p w14:paraId="0A6173FC">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套</w:t>
            </w:r>
          </w:p>
        </w:tc>
        <w:tc>
          <w:tcPr>
            <w:tcW w:w="406" w:type="pct"/>
            <w:vAlign w:val="center"/>
          </w:tcPr>
          <w:p w14:paraId="709FEEEB">
            <w:pPr>
              <w:spacing w:after="0" w:line="240" w:lineRule="auto"/>
              <w:jc w:val="center"/>
              <w:rPr>
                <w:rFonts w:hint="eastAsia" w:ascii="Times New Roman" w:hAnsi="Times New Roman" w:eastAsia="宋体" w:cs="Times New Roman"/>
                <w:szCs w:val="21"/>
                <w:lang w:eastAsia="zh-CN"/>
              </w:rPr>
            </w:pPr>
            <w:r>
              <w:rPr>
                <w:rFonts w:ascii="Times New Roman" w:hAnsi="Times New Roman" w:eastAsia="宋体" w:cs="Times New Roman"/>
                <w:szCs w:val="21"/>
              </w:rPr>
              <w:t>3</w:t>
            </w:r>
            <w:r>
              <w:rPr>
                <w:rFonts w:hint="eastAsia" w:ascii="Times New Roman" w:hAnsi="Times New Roman" w:eastAsia="宋体" w:cs="Times New Roman"/>
                <w:szCs w:val="21"/>
                <w:lang w:val="en-US" w:eastAsia="zh-CN"/>
              </w:rPr>
              <w:t>6</w:t>
            </w:r>
          </w:p>
        </w:tc>
      </w:tr>
      <w:tr w14:paraId="19F7AA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48" w:type="pct"/>
            <w:vAlign w:val="center"/>
          </w:tcPr>
          <w:p w14:paraId="0B9BA569">
            <w:pPr>
              <w:spacing w:after="0" w:line="240" w:lineRule="auto"/>
              <w:jc w:val="center"/>
              <w:rPr>
                <w:rFonts w:hint="eastAsia" w:ascii="Times New Roman" w:hAnsi="Times New Roman" w:eastAsia="宋体" w:cs="Times New Roman"/>
                <w:szCs w:val="21"/>
                <w:lang w:eastAsia="zh-CN"/>
              </w:rPr>
            </w:pPr>
            <w:r>
              <w:rPr>
                <w:rFonts w:hint="eastAsia" w:ascii="Times New Roman" w:hAnsi="Times New Roman" w:eastAsia="宋体" w:cs="Times New Roman"/>
                <w:szCs w:val="21"/>
                <w:lang w:val="en-US" w:eastAsia="zh-CN"/>
              </w:rPr>
              <w:t>3</w:t>
            </w:r>
          </w:p>
        </w:tc>
        <w:tc>
          <w:tcPr>
            <w:tcW w:w="504" w:type="pct"/>
            <w:vMerge w:val="continue"/>
            <w:vAlign w:val="center"/>
          </w:tcPr>
          <w:p w14:paraId="11F281D3">
            <w:pPr>
              <w:spacing w:after="0" w:line="240" w:lineRule="auto"/>
              <w:jc w:val="center"/>
              <w:rPr>
                <w:rFonts w:ascii="Times New Roman" w:hAnsi="Times New Roman" w:eastAsia="宋体" w:cs="Times New Roman"/>
                <w:szCs w:val="21"/>
              </w:rPr>
            </w:pPr>
          </w:p>
        </w:tc>
        <w:tc>
          <w:tcPr>
            <w:tcW w:w="566" w:type="pct"/>
            <w:vAlign w:val="center"/>
          </w:tcPr>
          <w:p w14:paraId="7EDDAAB4">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控制器</w:t>
            </w:r>
          </w:p>
        </w:tc>
        <w:tc>
          <w:tcPr>
            <w:tcW w:w="2823" w:type="pct"/>
            <w:vAlign w:val="center"/>
          </w:tcPr>
          <w:p w14:paraId="18C1B6F4">
            <w:pPr>
              <w:pStyle w:val="215"/>
              <w:numPr>
                <w:ilvl w:val="0"/>
                <w:numId w:val="3"/>
              </w:numPr>
              <w:tabs>
                <w:tab w:val="left" w:pos="188"/>
              </w:tabs>
              <w:spacing w:after="0" w:line="240" w:lineRule="auto"/>
              <w:ind w:left="0" w:firstLine="0"/>
              <w:contextualSpacing w:val="0"/>
              <w:rPr>
                <w:rFonts w:ascii="Times New Roman" w:hAnsi="Times New Roman" w:eastAsia="宋体" w:cs="Times New Roman"/>
                <w:szCs w:val="21"/>
              </w:rPr>
            </w:pPr>
            <w:r>
              <w:rPr>
                <w:rFonts w:ascii="Times New Roman" w:hAnsi="Times New Roman" w:eastAsia="宋体" w:cs="Times New Roman"/>
                <w:szCs w:val="21"/>
              </w:rPr>
              <w:t>控制器之间采用无线通信技术，无线通信技术指标（无线电发射功率，频谱特性等），需符合《中华人民共和国工业和信息化部公告（2019年第52号）》及其附件中，关于微功率无线电发射设备的技术规范及要求；</w:t>
            </w:r>
          </w:p>
          <w:p w14:paraId="4E1535F7">
            <w:pPr>
              <w:pStyle w:val="215"/>
              <w:numPr>
                <w:ilvl w:val="0"/>
                <w:numId w:val="3"/>
              </w:numPr>
              <w:tabs>
                <w:tab w:val="left" w:pos="188"/>
              </w:tabs>
              <w:spacing w:after="0" w:line="240" w:lineRule="auto"/>
              <w:ind w:left="0" w:firstLine="0"/>
              <w:contextualSpacing w:val="0"/>
              <w:rPr>
                <w:rFonts w:ascii="Times New Roman" w:hAnsi="Times New Roman" w:eastAsia="宋体" w:cs="Times New Roman"/>
                <w:szCs w:val="21"/>
              </w:rPr>
            </w:pPr>
            <w:r>
              <w:rPr>
                <w:rFonts w:ascii="Times New Roman" w:hAnsi="Times New Roman" w:eastAsia="宋体" w:cs="Times New Roman"/>
                <w:szCs w:val="21"/>
              </w:rPr>
              <w:t>控制器输入电压范围90~380VAC，在线路高低压故障的工况下可持续稳定工作，并及时报警；</w:t>
            </w:r>
          </w:p>
          <w:p w14:paraId="29A825EE">
            <w:pPr>
              <w:pStyle w:val="215"/>
              <w:numPr>
                <w:ilvl w:val="0"/>
                <w:numId w:val="3"/>
              </w:numPr>
              <w:tabs>
                <w:tab w:val="left" w:pos="188"/>
              </w:tabs>
              <w:spacing w:after="0" w:line="240" w:lineRule="auto"/>
              <w:ind w:left="0" w:firstLine="0"/>
              <w:contextualSpacing w:val="0"/>
              <w:rPr>
                <w:rFonts w:ascii="Times New Roman" w:hAnsi="Times New Roman" w:eastAsia="宋体" w:cs="Times New Roman"/>
                <w:szCs w:val="21"/>
              </w:rPr>
            </w:pPr>
            <w:r>
              <w:rPr>
                <w:rFonts w:ascii="Times New Roman" w:hAnsi="Times New Roman" w:eastAsia="宋体" w:cs="Times New Roman"/>
                <w:szCs w:val="21"/>
              </w:rPr>
              <w:t>控制器支持国际通用的0-10V调光接口，配合路灯驱动电源可在灯具额定功率的10%-100%之间无级调整灯具功率</w:t>
            </w:r>
            <w:r>
              <w:rPr>
                <w:rFonts w:ascii="Times New Roman" w:hAnsi="Times New Roman" w:eastAsia="宋体" w:cs="Times New Roman"/>
                <w:b/>
                <w:bCs/>
                <w:szCs w:val="21"/>
              </w:rPr>
              <w:t>；</w:t>
            </w:r>
          </w:p>
          <w:p w14:paraId="1A124A5E">
            <w:pPr>
              <w:pStyle w:val="215"/>
              <w:numPr>
                <w:ilvl w:val="0"/>
                <w:numId w:val="3"/>
              </w:numPr>
              <w:tabs>
                <w:tab w:val="left" w:pos="188"/>
              </w:tabs>
              <w:spacing w:after="0" w:line="240" w:lineRule="auto"/>
              <w:ind w:left="0" w:firstLine="0"/>
              <w:contextualSpacing w:val="0"/>
              <w:rPr>
                <w:rFonts w:ascii="Times New Roman" w:hAnsi="Times New Roman" w:eastAsia="宋体" w:cs="Times New Roman"/>
                <w:szCs w:val="21"/>
              </w:rPr>
            </w:pPr>
            <w:r>
              <w:rPr>
                <w:rFonts w:ascii="Times New Roman" w:hAnsi="Times New Roman" w:eastAsia="宋体" w:cs="Times New Roman"/>
                <w:szCs w:val="21"/>
              </w:rPr>
              <w:t>控制器具有数据采集功能，需集成独立的数字式电能采集模块。可实时采集灯具运行状态信息：电压、电流、功率、功率因数等参数。电压遥测相对精度≤1VAC，电流遥测相对精度0.1A</w:t>
            </w:r>
            <w:r>
              <w:rPr>
                <w:rFonts w:ascii="Times New Roman" w:hAnsi="Times New Roman" w:eastAsia="宋体" w:cs="Times New Roman"/>
                <w:b/>
                <w:bCs/>
                <w:szCs w:val="21"/>
              </w:rPr>
              <w:t>；</w:t>
            </w:r>
          </w:p>
          <w:p w14:paraId="5EF2671F">
            <w:pPr>
              <w:pStyle w:val="215"/>
              <w:numPr>
                <w:ilvl w:val="0"/>
                <w:numId w:val="3"/>
              </w:numPr>
              <w:tabs>
                <w:tab w:val="left" w:pos="188"/>
              </w:tabs>
              <w:spacing w:after="0" w:line="240" w:lineRule="auto"/>
              <w:ind w:left="0" w:firstLine="0"/>
              <w:contextualSpacing w:val="0"/>
              <w:rPr>
                <w:rFonts w:ascii="Times New Roman" w:hAnsi="Times New Roman" w:eastAsia="宋体" w:cs="Times New Roman"/>
                <w:szCs w:val="21"/>
              </w:rPr>
            </w:pPr>
            <w:r>
              <w:rPr>
                <w:rFonts w:ascii="Times New Roman" w:hAnsi="Times New Roman" w:eastAsia="宋体" w:cs="Times New Roman"/>
                <w:szCs w:val="21"/>
              </w:rPr>
              <w:t>控制器需具备直观可视的工作状态指示灯，维修人员在不拆解灯具外壳及控制器外壳的条件下，可以通过指示灯察看和判断控制器基本运行状态（例如，是否通电、是否通信正常等）</w:t>
            </w:r>
            <w:r>
              <w:rPr>
                <w:rFonts w:ascii="Times New Roman" w:hAnsi="Times New Roman" w:eastAsia="宋体" w:cs="Times New Roman"/>
                <w:b/>
                <w:bCs/>
                <w:szCs w:val="21"/>
              </w:rPr>
              <w:t>；</w:t>
            </w:r>
          </w:p>
          <w:p w14:paraId="5AE4FF5D">
            <w:pPr>
              <w:pStyle w:val="215"/>
              <w:numPr>
                <w:ilvl w:val="0"/>
                <w:numId w:val="3"/>
              </w:numPr>
              <w:tabs>
                <w:tab w:val="left" w:pos="188"/>
              </w:tabs>
              <w:spacing w:after="0" w:line="240" w:lineRule="auto"/>
              <w:ind w:left="0" w:firstLine="0"/>
              <w:contextualSpacing w:val="0"/>
              <w:rPr>
                <w:rFonts w:ascii="Times New Roman" w:hAnsi="Times New Roman" w:eastAsia="宋体" w:cs="Times New Roman"/>
                <w:szCs w:val="21"/>
              </w:rPr>
            </w:pPr>
            <w:r>
              <w:rPr>
                <w:rFonts w:ascii="Times New Roman" w:hAnsi="Times New Roman" w:eastAsia="宋体" w:cs="Times New Roman"/>
                <w:szCs w:val="21"/>
              </w:rPr>
              <w:t>控制器需具备现场无线调试接口；与配套的无线手持调试设备可以在至少100米范围内可靠通信：以方便维修维护人员通过无线方式对控制器实施现场调试及检修；实测有效通信距离不少于150米</w:t>
            </w:r>
            <w:r>
              <w:rPr>
                <w:rFonts w:ascii="Times New Roman" w:hAnsi="Times New Roman" w:eastAsia="宋体" w:cs="Times New Roman"/>
                <w:b/>
                <w:bCs/>
                <w:szCs w:val="21"/>
              </w:rPr>
              <w:t>；</w:t>
            </w:r>
          </w:p>
          <w:p w14:paraId="4437DB38">
            <w:pPr>
              <w:pStyle w:val="215"/>
              <w:numPr>
                <w:ilvl w:val="0"/>
                <w:numId w:val="3"/>
              </w:numPr>
              <w:tabs>
                <w:tab w:val="left" w:pos="188"/>
              </w:tabs>
              <w:spacing w:after="0" w:line="240" w:lineRule="auto"/>
              <w:ind w:left="0" w:firstLine="0"/>
              <w:contextualSpacing w:val="0"/>
              <w:rPr>
                <w:rFonts w:ascii="Times New Roman" w:hAnsi="Times New Roman" w:eastAsia="宋体" w:cs="Times New Roman"/>
                <w:szCs w:val="21"/>
              </w:rPr>
            </w:pPr>
            <w:r>
              <w:rPr>
                <w:rFonts w:ascii="Times New Roman" w:hAnsi="Times New Roman" w:eastAsia="宋体" w:cs="Times New Roman"/>
                <w:szCs w:val="21"/>
              </w:rPr>
              <w:t>当控制系统中任一环节发生故障时（服务器故障、通信故障、集中控制器故障或单灯控制器故障），需保证LED灯具可以按照传统的回路控制方式使用，不会影响其基本的道路照明功能。即不将控制策略（开关或调光时间等信息）写入灯具驱动电源或控制器；控制器及集中控制器，在回路断电再次通电后，可以立即恢复执行默认常亮灯状态</w:t>
            </w:r>
            <w:r>
              <w:rPr>
                <w:rFonts w:ascii="Times New Roman" w:hAnsi="Times New Roman" w:eastAsia="宋体" w:cs="Times New Roman"/>
                <w:b/>
                <w:bCs/>
                <w:szCs w:val="21"/>
              </w:rPr>
              <w:t>；</w:t>
            </w:r>
          </w:p>
          <w:p w14:paraId="52FBB986">
            <w:pPr>
              <w:pStyle w:val="215"/>
              <w:numPr>
                <w:ilvl w:val="0"/>
                <w:numId w:val="3"/>
              </w:numPr>
              <w:tabs>
                <w:tab w:val="left" w:pos="188"/>
              </w:tabs>
              <w:spacing w:after="0" w:line="240" w:lineRule="auto"/>
              <w:ind w:left="0" w:firstLine="0"/>
              <w:contextualSpacing w:val="0"/>
              <w:rPr>
                <w:rFonts w:ascii="Times New Roman" w:hAnsi="Times New Roman" w:eastAsia="宋体" w:cs="Times New Roman"/>
                <w:szCs w:val="21"/>
              </w:rPr>
            </w:pPr>
            <w:r>
              <w:rPr>
                <w:rFonts w:ascii="Times New Roman" w:hAnsi="Times New Roman" w:eastAsia="宋体" w:cs="Times New Roman"/>
                <w:szCs w:val="21"/>
              </w:rPr>
              <w:t>设备远程控制实时性要求在1秒钟以内。例如，通过远程管理平台（或手机APP）下发开关灯命令，现场灯具要在1秒钟内执行。灯具现场运行状态遥抄（例如功率查询），要求在1分钟内遥抄数据上报至管理平台</w:t>
            </w:r>
            <w:r>
              <w:rPr>
                <w:rFonts w:ascii="Times New Roman" w:hAnsi="Times New Roman" w:eastAsia="宋体" w:cs="Times New Roman"/>
                <w:b/>
                <w:bCs/>
                <w:szCs w:val="21"/>
              </w:rPr>
              <w:t>；</w:t>
            </w:r>
          </w:p>
          <w:p w14:paraId="0C1A7F1D">
            <w:pPr>
              <w:pStyle w:val="215"/>
              <w:numPr>
                <w:ilvl w:val="0"/>
                <w:numId w:val="3"/>
              </w:numPr>
              <w:tabs>
                <w:tab w:val="left" w:pos="188"/>
              </w:tabs>
              <w:spacing w:after="0" w:line="240" w:lineRule="auto"/>
              <w:ind w:left="0" w:firstLine="0"/>
              <w:contextualSpacing w:val="0"/>
              <w:rPr>
                <w:rFonts w:ascii="Times New Roman" w:hAnsi="Times New Roman" w:eastAsia="宋体" w:cs="Times New Roman"/>
                <w:szCs w:val="21"/>
              </w:rPr>
            </w:pPr>
            <w:r>
              <w:rPr>
                <w:rFonts w:ascii="Segoe UI Symbol" w:hAnsi="Segoe UI Symbol" w:eastAsia="宋体" w:cs="Segoe UI Symbol"/>
                <w:szCs w:val="21"/>
              </w:rPr>
              <w:t>★</w:t>
            </w:r>
            <w:r>
              <w:rPr>
                <w:rFonts w:ascii="Times New Roman" w:hAnsi="Times New Roman" w:eastAsia="宋体" w:cs="Times New Roman"/>
                <w:szCs w:val="21"/>
              </w:rPr>
              <w:t>控制器内集成可更换的过流保护器件（保险丝），确保用电安全；此过流保护器件需做到方便可更换，即如发过流熔断，可在不拆解控制器主体的情况下完成更换，以提升后期维护的便利性（</w:t>
            </w:r>
            <w:r>
              <w:rPr>
                <w:rFonts w:ascii="Times New Roman" w:hAnsi="Times New Roman" w:eastAsia="宋体" w:cs="Times New Roman"/>
                <w:b/>
                <w:bCs/>
                <w:szCs w:val="21"/>
              </w:rPr>
              <w:t>投标人须按照招标文件规定的功能需求制作演示视频文件</w:t>
            </w:r>
            <w:r>
              <w:rPr>
                <w:rFonts w:ascii="Times New Roman" w:hAnsi="Times New Roman" w:eastAsia="宋体" w:cs="Times New Roman"/>
                <w:szCs w:val="21"/>
              </w:rPr>
              <w:t>）；</w:t>
            </w:r>
          </w:p>
          <w:p w14:paraId="3FBDF765">
            <w:pPr>
              <w:pStyle w:val="215"/>
              <w:numPr>
                <w:ilvl w:val="0"/>
                <w:numId w:val="3"/>
              </w:numPr>
              <w:tabs>
                <w:tab w:val="left" w:pos="295"/>
              </w:tabs>
              <w:spacing w:after="0" w:line="240" w:lineRule="auto"/>
              <w:ind w:left="0" w:firstLine="0"/>
              <w:contextualSpacing w:val="0"/>
              <w:rPr>
                <w:rFonts w:ascii="Times New Roman" w:hAnsi="Times New Roman" w:eastAsia="宋体" w:cs="Times New Roman"/>
                <w:szCs w:val="21"/>
              </w:rPr>
            </w:pPr>
            <w:r>
              <w:rPr>
                <w:rFonts w:ascii="Segoe UI Symbol" w:hAnsi="Segoe UI Symbol" w:eastAsia="宋体" w:cs="Segoe UI Symbol"/>
                <w:szCs w:val="21"/>
              </w:rPr>
              <w:t>★</w:t>
            </w:r>
            <w:r>
              <w:rPr>
                <w:rFonts w:ascii="Times New Roman" w:hAnsi="Times New Roman" w:eastAsia="宋体" w:cs="Times New Roman"/>
                <w:szCs w:val="21"/>
              </w:rPr>
              <w:t>控制器集成“动态视觉传感器”，可以实时检测路面运动车辆及行人（可按需检测，即通过算法参数设置，过滤不需要检测的移动目标或其他干扰目标，以避免灯具“误触发”点亮）。车辆行驶速度80km/h情况下，可以有效识别车辆及其行驶方向；在灯杆高度为8~12米的情况下，传感范围可以有效覆盖2~4个标准车行道宽度（</w:t>
            </w:r>
            <w:r>
              <w:rPr>
                <w:rFonts w:ascii="Times New Roman" w:hAnsi="Times New Roman" w:eastAsia="宋体" w:cs="Times New Roman"/>
                <w:b/>
                <w:bCs/>
                <w:szCs w:val="21"/>
              </w:rPr>
              <w:t>投标人须按照招标文件规定的功能需求制作演示视频文件</w:t>
            </w:r>
            <w:r>
              <w:rPr>
                <w:rFonts w:ascii="Times New Roman" w:hAnsi="Times New Roman" w:eastAsia="宋体" w:cs="Times New Roman"/>
                <w:szCs w:val="21"/>
              </w:rPr>
              <w:t>）；</w:t>
            </w:r>
          </w:p>
          <w:p w14:paraId="1580293B">
            <w:pPr>
              <w:pStyle w:val="215"/>
              <w:numPr>
                <w:ilvl w:val="0"/>
                <w:numId w:val="3"/>
              </w:numPr>
              <w:tabs>
                <w:tab w:val="left" w:pos="295"/>
              </w:tabs>
              <w:spacing w:after="0" w:line="240" w:lineRule="auto"/>
              <w:ind w:left="0" w:firstLine="0"/>
              <w:contextualSpacing w:val="0"/>
              <w:rPr>
                <w:rFonts w:ascii="Times New Roman" w:hAnsi="Times New Roman" w:eastAsia="宋体" w:cs="Times New Roman"/>
                <w:szCs w:val="21"/>
              </w:rPr>
            </w:pPr>
            <w:r>
              <w:rPr>
                <w:rFonts w:ascii="Segoe UI Symbol" w:hAnsi="Segoe UI Symbol" w:eastAsia="宋体" w:cs="Segoe UI Symbol"/>
                <w:szCs w:val="21"/>
              </w:rPr>
              <w:t>★</w:t>
            </w:r>
            <w:r>
              <w:rPr>
                <w:rFonts w:ascii="Times New Roman" w:hAnsi="Times New Roman" w:eastAsia="宋体" w:cs="Times New Roman"/>
                <w:szCs w:val="21"/>
              </w:rPr>
              <w:t>控制器集成“动态视觉传感器”，在有效识别车辆及行人的基础上，在车辆进入“传感亮灯”区域后，可实现按照行进方向提前亮灯（由暗调亮），提前亮灯盏数不少于10盏，以满足驾驶员观察远方路况需要；传感识别及提前预亮灯的实时性，要在1秒之内，以保证“预亮灯”的及时有效（</w:t>
            </w:r>
            <w:r>
              <w:rPr>
                <w:rFonts w:ascii="Times New Roman" w:hAnsi="Times New Roman" w:eastAsia="宋体" w:cs="Times New Roman"/>
                <w:b/>
                <w:bCs/>
                <w:szCs w:val="21"/>
              </w:rPr>
              <w:t>投标人须按照招标文件规定的功能需求制作演示视频文件</w:t>
            </w:r>
            <w:r>
              <w:rPr>
                <w:rFonts w:ascii="Times New Roman" w:hAnsi="Times New Roman" w:eastAsia="宋体" w:cs="Times New Roman"/>
                <w:szCs w:val="21"/>
              </w:rPr>
              <w:t>）；</w:t>
            </w:r>
          </w:p>
          <w:p w14:paraId="7948C853">
            <w:pPr>
              <w:pStyle w:val="215"/>
              <w:numPr>
                <w:ilvl w:val="0"/>
                <w:numId w:val="3"/>
              </w:numPr>
              <w:tabs>
                <w:tab w:val="left" w:pos="295"/>
              </w:tabs>
              <w:spacing w:after="0" w:line="240" w:lineRule="auto"/>
              <w:ind w:left="0" w:firstLine="0"/>
              <w:contextualSpacing w:val="0"/>
              <w:rPr>
                <w:rFonts w:ascii="Times New Roman" w:hAnsi="Times New Roman" w:eastAsia="宋体" w:cs="Times New Roman"/>
                <w:szCs w:val="21"/>
              </w:rPr>
            </w:pPr>
            <w:r>
              <w:rPr>
                <w:rFonts w:ascii="Segoe UI Symbol" w:hAnsi="Segoe UI Symbol" w:eastAsia="宋体" w:cs="Segoe UI Symbol"/>
                <w:szCs w:val="21"/>
              </w:rPr>
              <w:t>★</w:t>
            </w:r>
            <w:r>
              <w:rPr>
                <w:rFonts w:ascii="Times New Roman" w:hAnsi="Times New Roman" w:eastAsia="宋体" w:cs="Times New Roman"/>
                <w:szCs w:val="21"/>
              </w:rPr>
              <w:t>控制器集成“动态视觉传感器”，可以有效判断移动目标方向，并可以通过软件，远程灵活设置基于行进方向的亮灯模式，以满足不同道路、不同灯杆布局的需求。例如，可以设置“单向触发亮灯”、“双向触发亮灯”、“路口各方向联动亮灯”等（</w:t>
            </w:r>
            <w:r>
              <w:rPr>
                <w:rFonts w:ascii="Times New Roman" w:hAnsi="Times New Roman" w:eastAsia="宋体" w:cs="Times New Roman"/>
                <w:b/>
                <w:bCs/>
                <w:szCs w:val="21"/>
              </w:rPr>
              <w:t>投标人须按照招标文件规定的功能需求制作演示视频文件</w:t>
            </w:r>
            <w:r>
              <w:rPr>
                <w:rFonts w:ascii="Times New Roman" w:hAnsi="Times New Roman" w:eastAsia="宋体" w:cs="Times New Roman"/>
                <w:szCs w:val="21"/>
              </w:rPr>
              <w:t>）；</w:t>
            </w:r>
          </w:p>
          <w:p w14:paraId="5A21400B">
            <w:pPr>
              <w:pStyle w:val="215"/>
              <w:numPr>
                <w:ilvl w:val="0"/>
                <w:numId w:val="3"/>
              </w:numPr>
              <w:tabs>
                <w:tab w:val="left" w:pos="295"/>
              </w:tabs>
              <w:spacing w:after="0" w:line="240" w:lineRule="auto"/>
              <w:ind w:left="0" w:firstLine="0"/>
              <w:contextualSpacing w:val="0"/>
              <w:rPr>
                <w:rFonts w:ascii="Times New Roman" w:hAnsi="Times New Roman" w:eastAsia="宋体" w:cs="Times New Roman"/>
                <w:szCs w:val="21"/>
              </w:rPr>
            </w:pPr>
            <w:r>
              <w:rPr>
                <w:rFonts w:ascii="Segoe UI Symbol" w:hAnsi="Segoe UI Symbol" w:eastAsia="宋体" w:cs="Segoe UI Symbol"/>
                <w:szCs w:val="21"/>
              </w:rPr>
              <w:t>★</w:t>
            </w:r>
            <w:r>
              <w:rPr>
                <w:rFonts w:ascii="Times New Roman" w:hAnsi="Times New Roman" w:eastAsia="宋体" w:cs="Times New Roman"/>
                <w:szCs w:val="21"/>
              </w:rPr>
              <w:t>控制器集成“动态视觉传感器”，可预设存储预亮灯盏数及传感亮灯时长，并可以通过远程管理软件灵活设置和修改，以适应不同道路场景（</w:t>
            </w:r>
            <w:r>
              <w:rPr>
                <w:rFonts w:ascii="Times New Roman" w:hAnsi="Times New Roman" w:eastAsia="宋体" w:cs="Times New Roman"/>
                <w:b/>
                <w:bCs/>
                <w:szCs w:val="21"/>
              </w:rPr>
              <w:t>投标人须按照招标文件规定的功能需求制作演示视频文件</w:t>
            </w:r>
            <w:r>
              <w:rPr>
                <w:rFonts w:ascii="Times New Roman" w:hAnsi="Times New Roman" w:eastAsia="宋体" w:cs="Times New Roman"/>
                <w:szCs w:val="21"/>
              </w:rPr>
              <w:t>）；</w:t>
            </w:r>
          </w:p>
          <w:p w14:paraId="2549DDE7">
            <w:pPr>
              <w:pStyle w:val="215"/>
              <w:numPr>
                <w:ilvl w:val="0"/>
                <w:numId w:val="3"/>
              </w:numPr>
              <w:tabs>
                <w:tab w:val="left" w:pos="295"/>
              </w:tabs>
              <w:spacing w:after="0" w:line="240" w:lineRule="auto"/>
              <w:ind w:left="0" w:firstLine="0"/>
              <w:contextualSpacing w:val="0"/>
              <w:rPr>
                <w:rFonts w:ascii="Times New Roman" w:hAnsi="Times New Roman" w:eastAsia="宋体" w:cs="Times New Roman"/>
                <w:szCs w:val="21"/>
              </w:rPr>
            </w:pPr>
            <w:r>
              <w:rPr>
                <w:rFonts w:ascii="Segoe UI Symbol" w:hAnsi="Segoe UI Symbol" w:eastAsia="宋体" w:cs="Segoe UI Symbol"/>
                <w:szCs w:val="21"/>
              </w:rPr>
              <w:t>★</w:t>
            </w:r>
            <w:r>
              <w:rPr>
                <w:rFonts w:ascii="Times New Roman" w:hAnsi="Times New Roman" w:eastAsia="宋体" w:cs="Times New Roman"/>
                <w:szCs w:val="21"/>
              </w:rPr>
              <w:t>控制器集成“动态视觉传感器”，支持定时上报所在路段的车流量信息，例如“每五分钟的通行车辆数量”（</w:t>
            </w:r>
            <w:r>
              <w:rPr>
                <w:rFonts w:ascii="Times New Roman" w:hAnsi="Times New Roman" w:eastAsia="宋体" w:cs="Times New Roman"/>
                <w:b/>
                <w:bCs/>
                <w:szCs w:val="21"/>
              </w:rPr>
              <w:t>投标人须按照招标文件规定的功能需求制作演示视频文件</w:t>
            </w:r>
            <w:r>
              <w:rPr>
                <w:rFonts w:ascii="Times New Roman" w:hAnsi="Times New Roman" w:eastAsia="宋体" w:cs="Times New Roman"/>
                <w:szCs w:val="21"/>
              </w:rPr>
              <w:t>）；</w:t>
            </w:r>
          </w:p>
          <w:p w14:paraId="1D48E822">
            <w:pPr>
              <w:pStyle w:val="215"/>
              <w:numPr>
                <w:ilvl w:val="0"/>
                <w:numId w:val="3"/>
              </w:numPr>
              <w:tabs>
                <w:tab w:val="left" w:pos="295"/>
              </w:tabs>
              <w:spacing w:after="0" w:line="240" w:lineRule="auto"/>
              <w:ind w:left="0" w:firstLine="0"/>
              <w:contextualSpacing w:val="0"/>
              <w:rPr>
                <w:rFonts w:ascii="Times New Roman" w:hAnsi="Times New Roman" w:eastAsia="宋体" w:cs="Times New Roman"/>
                <w:szCs w:val="21"/>
              </w:rPr>
            </w:pPr>
            <w:r>
              <w:rPr>
                <w:rFonts w:ascii="Times New Roman" w:hAnsi="Times New Roman" w:eastAsia="宋体" w:cs="Times New Roman"/>
                <w:szCs w:val="21"/>
              </w:rPr>
              <w:t>控制器集成“动态视觉传感器”，应为“免布线”设计，即在灯具以外无需加装其他传感及控制设备，无需布线。</w:t>
            </w:r>
          </w:p>
          <w:p w14:paraId="0999DD83">
            <w:pPr>
              <w:pStyle w:val="215"/>
              <w:widowControl/>
              <w:numPr>
                <w:ilvl w:val="0"/>
                <w:numId w:val="3"/>
              </w:numPr>
              <w:tabs>
                <w:tab w:val="left" w:pos="295"/>
              </w:tabs>
              <w:spacing w:after="0" w:line="240" w:lineRule="auto"/>
              <w:ind w:left="0" w:firstLine="0"/>
              <w:contextualSpacing w:val="0"/>
              <w:rPr>
                <w:rFonts w:ascii="Times New Roman" w:hAnsi="Times New Roman" w:eastAsia="宋体" w:cs="Times New Roman"/>
                <w:szCs w:val="21"/>
              </w:rPr>
            </w:pPr>
            <w:r>
              <w:rPr>
                <w:rFonts w:ascii="Times New Roman" w:hAnsi="Times New Roman" w:eastAsia="宋体" w:cs="Times New Roman"/>
                <w:szCs w:val="21"/>
              </w:rPr>
              <w:t>控制器操作系统能够实现AI视觉识别算法的远程修改和升级，以保证视觉传感器性能在不同应用场景下的可靠性和适应性。用于远程升级的系统固件，可以兼容当地原有的控制器设备。投标人保证能够及时根据现场及招标人需求，维护、修改、编写、升级上述AI视觉识别算法。</w:t>
            </w:r>
          </w:p>
          <w:p w14:paraId="3D91C24E">
            <w:pPr>
              <w:pStyle w:val="215"/>
              <w:widowControl/>
              <w:spacing w:after="0" w:line="240" w:lineRule="auto"/>
              <w:ind w:left="0"/>
              <w:contextualSpacing w:val="0"/>
              <w:rPr>
                <w:rFonts w:ascii="Times New Roman" w:hAnsi="Times New Roman" w:eastAsia="宋体" w:cs="Times New Roman"/>
                <w:b/>
                <w:bCs/>
                <w:szCs w:val="21"/>
              </w:rPr>
            </w:pPr>
            <w:r>
              <w:rPr>
                <w:rFonts w:ascii="Times New Roman" w:hAnsi="Times New Roman" w:eastAsia="宋体" w:cs="Times New Roman"/>
                <w:b/>
                <w:bCs/>
                <w:szCs w:val="21"/>
              </w:rPr>
              <w:t>注：投标人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p>
        </w:tc>
        <w:tc>
          <w:tcPr>
            <w:tcW w:w="450" w:type="pct"/>
            <w:vAlign w:val="center"/>
          </w:tcPr>
          <w:p w14:paraId="15D59368">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套</w:t>
            </w:r>
          </w:p>
        </w:tc>
        <w:tc>
          <w:tcPr>
            <w:tcW w:w="406" w:type="pct"/>
            <w:vAlign w:val="center"/>
          </w:tcPr>
          <w:p w14:paraId="4E091722">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50</w:t>
            </w:r>
          </w:p>
        </w:tc>
      </w:tr>
      <w:tr w14:paraId="0AD92D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48" w:type="pct"/>
            <w:vAlign w:val="center"/>
          </w:tcPr>
          <w:p w14:paraId="3A556628">
            <w:pPr>
              <w:spacing w:after="0" w:line="240" w:lineRule="auto"/>
              <w:jc w:val="center"/>
              <w:rPr>
                <w:rFonts w:hint="eastAsia" w:ascii="Times New Roman" w:hAnsi="Times New Roman" w:eastAsia="宋体" w:cs="Times New Roman"/>
                <w:szCs w:val="21"/>
                <w:lang w:eastAsia="zh-CN"/>
              </w:rPr>
            </w:pPr>
            <w:r>
              <w:rPr>
                <w:rFonts w:hint="eastAsia" w:ascii="Times New Roman" w:hAnsi="Times New Roman" w:eastAsia="宋体" w:cs="Times New Roman"/>
                <w:szCs w:val="21"/>
                <w:lang w:val="en-US" w:eastAsia="zh-CN"/>
              </w:rPr>
              <w:t>4</w:t>
            </w:r>
          </w:p>
        </w:tc>
        <w:tc>
          <w:tcPr>
            <w:tcW w:w="504" w:type="pct"/>
            <w:vMerge w:val="continue"/>
            <w:vAlign w:val="center"/>
          </w:tcPr>
          <w:p w14:paraId="1995FE64">
            <w:pPr>
              <w:spacing w:after="0" w:line="240" w:lineRule="auto"/>
              <w:jc w:val="center"/>
              <w:rPr>
                <w:rFonts w:ascii="Times New Roman" w:hAnsi="Times New Roman" w:eastAsia="宋体" w:cs="Times New Roman"/>
                <w:szCs w:val="21"/>
              </w:rPr>
            </w:pPr>
          </w:p>
        </w:tc>
        <w:tc>
          <w:tcPr>
            <w:tcW w:w="566" w:type="pct"/>
            <w:vAlign w:val="center"/>
          </w:tcPr>
          <w:p w14:paraId="69B6860B">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200W LED路灯头</w:t>
            </w:r>
          </w:p>
        </w:tc>
        <w:tc>
          <w:tcPr>
            <w:tcW w:w="2823" w:type="pct"/>
            <w:vAlign w:val="center"/>
          </w:tcPr>
          <w:p w14:paraId="208E54AB">
            <w:pPr>
              <w:pStyle w:val="215"/>
              <w:widowControl/>
              <w:numPr>
                <w:ilvl w:val="0"/>
                <w:numId w:val="4"/>
              </w:numPr>
              <w:tabs>
                <w:tab w:val="left" w:pos="248"/>
              </w:tabs>
              <w:spacing w:after="0" w:line="240" w:lineRule="auto"/>
              <w:ind w:left="0" w:firstLine="0"/>
              <w:contextualSpacing w:val="0"/>
              <w:rPr>
                <w:rFonts w:ascii="Times New Roman" w:hAnsi="Times New Roman" w:eastAsia="宋体" w:cs="Times New Roman"/>
                <w:szCs w:val="21"/>
              </w:rPr>
            </w:pPr>
            <w:r>
              <w:rPr>
                <w:rFonts w:ascii="Times New Roman" w:hAnsi="Times New Roman" w:eastAsia="宋体" w:cs="Times New Roman"/>
                <w:szCs w:val="21"/>
              </w:rPr>
              <w:t>LED路灯灯头外形同原道路路灯（须经招标人确认），符合国家及江苏省现行相关标准规范；</w:t>
            </w:r>
          </w:p>
          <w:p w14:paraId="569F02B1">
            <w:pPr>
              <w:pStyle w:val="215"/>
              <w:numPr>
                <w:ilvl w:val="0"/>
                <w:numId w:val="4"/>
              </w:numPr>
              <w:tabs>
                <w:tab w:val="left" w:pos="248"/>
              </w:tabs>
              <w:spacing w:after="0" w:line="240" w:lineRule="auto"/>
              <w:ind w:left="0" w:firstLine="0"/>
              <w:contextualSpacing w:val="0"/>
              <w:rPr>
                <w:rFonts w:ascii="Times New Roman" w:hAnsi="Times New Roman" w:eastAsia="宋体" w:cs="Times New Roman"/>
                <w:szCs w:val="21"/>
              </w:rPr>
            </w:pPr>
            <w:r>
              <w:rPr>
                <w:rFonts w:ascii="Segoe UI Symbol" w:hAnsi="Segoe UI Symbol" w:eastAsia="宋体" w:cs="Segoe UI Symbol"/>
                <w:szCs w:val="21"/>
              </w:rPr>
              <w:t>★</w:t>
            </w:r>
            <w:r>
              <w:rPr>
                <w:rFonts w:ascii="Times New Roman" w:hAnsi="Times New Roman" w:eastAsia="宋体" w:cs="Times New Roman"/>
                <w:szCs w:val="21"/>
              </w:rPr>
              <w:t>LED路灯灯头含LED模块、电源驱动、防坠落装置及一切其他所必备的附件</w:t>
            </w:r>
            <w:r>
              <w:rPr>
                <w:rFonts w:ascii="Times New Roman" w:hAnsi="Times New Roman" w:eastAsia="宋体" w:cs="Times New Roman"/>
                <w:b/>
                <w:bCs/>
                <w:szCs w:val="21"/>
              </w:rPr>
              <w:t>（投标时须提供LED模块产品原厂针对本项目的质保承诺书扫描件）；</w:t>
            </w:r>
          </w:p>
          <w:p w14:paraId="26CBF3A6">
            <w:pPr>
              <w:pStyle w:val="215"/>
              <w:widowControl/>
              <w:numPr>
                <w:ilvl w:val="0"/>
                <w:numId w:val="4"/>
              </w:numPr>
              <w:tabs>
                <w:tab w:val="left" w:pos="248"/>
              </w:tabs>
              <w:spacing w:after="0" w:line="240" w:lineRule="auto"/>
              <w:ind w:left="0" w:firstLine="0"/>
              <w:contextualSpacing w:val="0"/>
              <w:rPr>
                <w:rFonts w:ascii="Times New Roman" w:hAnsi="Times New Roman" w:eastAsia="宋体" w:cs="Times New Roman"/>
                <w:szCs w:val="21"/>
              </w:rPr>
            </w:pPr>
            <w:r>
              <w:rPr>
                <w:rFonts w:ascii="Times New Roman" w:hAnsi="Times New Roman" w:eastAsia="宋体" w:cs="Times New Roman"/>
                <w:szCs w:val="21"/>
              </w:rPr>
              <w:t>LED路灯灯头外壳采用全铝合金灯体＋PC模组透镜，具有良好的耐气候性能，表面应能承受机械压力和盐雾、汽车废气及清洗剂的腐蚀；</w:t>
            </w:r>
          </w:p>
          <w:p w14:paraId="235AB041">
            <w:pPr>
              <w:pStyle w:val="215"/>
              <w:widowControl/>
              <w:numPr>
                <w:ilvl w:val="0"/>
                <w:numId w:val="4"/>
              </w:numPr>
              <w:tabs>
                <w:tab w:val="left" w:pos="248"/>
              </w:tabs>
              <w:spacing w:after="0" w:line="240" w:lineRule="auto"/>
              <w:ind w:left="0" w:firstLine="0"/>
              <w:contextualSpacing w:val="0"/>
              <w:rPr>
                <w:rFonts w:ascii="Times New Roman" w:hAnsi="Times New Roman" w:eastAsia="宋体" w:cs="Times New Roman"/>
                <w:szCs w:val="21"/>
              </w:rPr>
            </w:pPr>
            <w:r>
              <w:rPr>
                <w:rFonts w:ascii="Times New Roman" w:hAnsi="Times New Roman" w:eastAsia="宋体" w:cs="Times New Roman"/>
                <w:szCs w:val="21"/>
              </w:rPr>
              <w:t>整灯功率：200W，可拆卸模块，可以实现简易工具维护，能够通个更换模块实现不同的配光组合，并且同规格模组应有不少于5种配光以适应不同路况需求；</w:t>
            </w:r>
          </w:p>
          <w:p w14:paraId="3502EC95">
            <w:pPr>
              <w:pStyle w:val="215"/>
              <w:widowControl/>
              <w:numPr>
                <w:ilvl w:val="0"/>
                <w:numId w:val="4"/>
              </w:numPr>
              <w:tabs>
                <w:tab w:val="left" w:pos="248"/>
              </w:tabs>
              <w:spacing w:after="0" w:line="240" w:lineRule="auto"/>
              <w:ind w:left="0" w:firstLine="0"/>
              <w:contextualSpacing w:val="0"/>
              <w:rPr>
                <w:rFonts w:ascii="Times New Roman" w:hAnsi="Times New Roman" w:eastAsia="宋体" w:cs="Times New Roman"/>
                <w:szCs w:val="21"/>
              </w:rPr>
            </w:pPr>
            <w:r>
              <w:rPr>
                <w:rFonts w:ascii="Times New Roman" w:hAnsi="Times New Roman" w:eastAsia="宋体" w:cs="Times New Roman"/>
                <w:szCs w:val="21"/>
              </w:rPr>
              <w:t>工作电压：AC190V-260V/50-60Hz；工作环境：-40℃ - +50℃；</w:t>
            </w:r>
          </w:p>
          <w:p w14:paraId="132E4744">
            <w:pPr>
              <w:pStyle w:val="215"/>
              <w:numPr>
                <w:ilvl w:val="0"/>
                <w:numId w:val="4"/>
              </w:numPr>
              <w:tabs>
                <w:tab w:val="left" w:pos="217"/>
                <w:tab w:val="left" w:pos="248"/>
              </w:tabs>
              <w:spacing w:after="0" w:line="240" w:lineRule="auto"/>
              <w:ind w:left="0" w:firstLine="0"/>
              <w:contextualSpacing w:val="0"/>
              <w:rPr>
                <w:rFonts w:ascii="Times New Roman" w:hAnsi="Times New Roman" w:eastAsia="宋体" w:cs="Times New Roman"/>
                <w:szCs w:val="21"/>
              </w:rPr>
            </w:pPr>
            <w:r>
              <w:rPr>
                <w:rFonts w:ascii="Segoe UI Symbol" w:hAnsi="Segoe UI Symbol" w:eastAsia="宋体" w:cs="Segoe UI Symbol"/>
                <w:szCs w:val="21"/>
              </w:rPr>
              <w:t>★</w:t>
            </w:r>
            <w:r>
              <w:rPr>
                <w:rFonts w:ascii="Times New Roman" w:hAnsi="Times New Roman" w:eastAsia="宋体" w:cs="Times New Roman"/>
                <w:szCs w:val="21"/>
              </w:rPr>
              <w:t>光学性能：LED模块色温4000K±100K，显色指数＞70，色容差＜4，光效＞160lm/W</w:t>
            </w:r>
            <w:r>
              <w:rPr>
                <w:rFonts w:ascii="Times New Roman" w:hAnsi="Times New Roman" w:eastAsia="宋体" w:cs="Times New Roman"/>
                <w:b/>
                <w:bCs/>
                <w:szCs w:val="21"/>
              </w:rPr>
              <w:t>（投标时须提供国家</w:t>
            </w:r>
            <w:r>
              <w:rPr>
                <w:rFonts w:hint="eastAsia" w:ascii="Times New Roman" w:hAnsi="Times New Roman" w:eastAsia="宋体" w:cs="Times New Roman"/>
                <w:b/>
                <w:bCs/>
                <w:szCs w:val="21"/>
                <w:lang w:val="en-US" w:eastAsia="zh-CN"/>
              </w:rPr>
              <w:t>级</w:t>
            </w:r>
            <w:r>
              <w:rPr>
                <w:rFonts w:ascii="Times New Roman" w:hAnsi="Times New Roman" w:eastAsia="宋体" w:cs="Times New Roman"/>
                <w:b/>
                <w:bCs/>
                <w:szCs w:val="21"/>
              </w:rPr>
              <w:t>检验检测中心出具的检测报告扫描件）</w:t>
            </w:r>
            <w:r>
              <w:rPr>
                <w:rFonts w:ascii="Times New Roman" w:hAnsi="Times New Roman" w:eastAsia="宋体" w:cs="Times New Roman"/>
                <w:szCs w:val="21"/>
              </w:rPr>
              <w:t>；</w:t>
            </w:r>
          </w:p>
          <w:p w14:paraId="5245AF23">
            <w:pPr>
              <w:pStyle w:val="215"/>
              <w:numPr>
                <w:ilvl w:val="0"/>
                <w:numId w:val="4"/>
              </w:numPr>
              <w:tabs>
                <w:tab w:val="left" w:pos="217"/>
                <w:tab w:val="left" w:pos="248"/>
              </w:tabs>
              <w:spacing w:after="0" w:line="240" w:lineRule="auto"/>
              <w:ind w:left="0" w:firstLine="0"/>
              <w:contextualSpacing w:val="0"/>
              <w:rPr>
                <w:rFonts w:ascii="Times New Roman" w:hAnsi="Times New Roman" w:eastAsia="宋体" w:cs="Times New Roman"/>
                <w:szCs w:val="21"/>
              </w:rPr>
            </w:pPr>
            <w:r>
              <w:rPr>
                <w:rFonts w:ascii="Segoe UI Symbol" w:hAnsi="Segoe UI Symbol" w:eastAsia="宋体" w:cs="Segoe UI Symbol"/>
                <w:szCs w:val="21"/>
              </w:rPr>
              <w:t>★</w:t>
            </w:r>
            <w:r>
              <w:rPr>
                <w:rFonts w:ascii="Times New Roman" w:hAnsi="Times New Roman" w:eastAsia="宋体" w:cs="Times New Roman"/>
                <w:szCs w:val="21"/>
              </w:rPr>
              <w:t>盐雾测试：LED模块通过盐雾试验，测试时间≥4000小时，且测试后的LED模块光通维持率≥99%，色漂移≤0.01</w:t>
            </w:r>
            <w:r>
              <w:rPr>
                <w:rFonts w:ascii="Times New Roman" w:hAnsi="Times New Roman" w:eastAsia="宋体" w:cs="Times New Roman"/>
                <w:b/>
                <w:bCs/>
                <w:szCs w:val="21"/>
              </w:rPr>
              <w:t>（投标时须提供国家</w:t>
            </w:r>
            <w:r>
              <w:rPr>
                <w:rFonts w:hint="eastAsia" w:ascii="Times New Roman" w:hAnsi="Times New Roman" w:eastAsia="宋体" w:cs="Times New Roman"/>
                <w:b/>
                <w:bCs/>
                <w:szCs w:val="21"/>
                <w:lang w:val="en-US" w:eastAsia="zh-CN"/>
              </w:rPr>
              <w:t>级</w:t>
            </w:r>
            <w:r>
              <w:rPr>
                <w:rFonts w:ascii="Times New Roman" w:hAnsi="Times New Roman" w:eastAsia="宋体" w:cs="Times New Roman"/>
                <w:b/>
                <w:bCs/>
                <w:szCs w:val="21"/>
              </w:rPr>
              <w:t>检验检测中心出具的检测报告扫描件）</w:t>
            </w:r>
            <w:r>
              <w:rPr>
                <w:rFonts w:ascii="Times New Roman" w:hAnsi="Times New Roman" w:eastAsia="宋体" w:cs="Times New Roman"/>
                <w:szCs w:val="21"/>
              </w:rPr>
              <w:t>；</w:t>
            </w:r>
          </w:p>
          <w:p w14:paraId="48A501A6">
            <w:pPr>
              <w:pStyle w:val="215"/>
              <w:numPr>
                <w:ilvl w:val="0"/>
                <w:numId w:val="4"/>
              </w:numPr>
              <w:tabs>
                <w:tab w:val="left" w:pos="217"/>
                <w:tab w:val="left" w:pos="248"/>
              </w:tabs>
              <w:spacing w:after="0" w:line="240" w:lineRule="auto"/>
              <w:ind w:left="0" w:firstLine="0"/>
              <w:contextualSpacing w:val="0"/>
              <w:rPr>
                <w:rFonts w:ascii="Times New Roman" w:hAnsi="Times New Roman" w:eastAsia="宋体" w:cs="Times New Roman"/>
                <w:szCs w:val="21"/>
              </w:rPr>
            </w:pPr>
            <w:r>
              <w:rPr>
                <w:rFonts w:ascii="Segoe UI Symbol" w:hAnsi="Segoe UI Symbol" w:eastAsia="宋体" w:cs="Segoe UI Symbol"/>
                <w:szCs w:val="21"/>
              </w:rPr>
              <w:t>★</w:t>
            </w:r>
            <w:r>
              <w:rPr>
                <w:rFonts w:ascii="Times New Roman" w:hAnsi="Times New Roman" w:eastAsia="宋体" w:cs="Times New Roman"/>
                <w:szCs w:val="21"/>
              </w:rPr>
              <w:t>LED模块通过IP等级与气密性试验，测试时间≥6000小时，LED模块带电部件上，无水的痕迹，未进水；同时电气强度试验，500V无闪络或击穿</w:t>
            </w:r>
            <w:r>
              <w:rPr>
                <w:rFonts w:ascii="Times New Roman" w:hAnsi="Times New Roman" w:eastAsia="宋体" w:cs="Times New Roman"/>
                <w:b/>
                <w:bCs/>
                <w:szCs w:val="21"/>
              </w:rPr>
              <w:t>（投标时须提供国家</w:t>
            </w:r>
            <w:r>
              <w:rPr>
                <w:rFonts w:hint="eastAsia" w:ascii="Times New Roman" w:hAnsi="Times New Roman" w:eastAsia="宋体" w:cs="Times New Roman"/>
                <w:b/>
                <w:bCs/>
                <w:szCs w:val="21"/>
                <w:lang w:val="en-US" w:eastAsia="zh-CN"/>
              </w:rPr>
              <w:t>级</w:t>
            </w:r>
            <w:r>
              <w:rPr>
                <w:rFonts w:ascii="Times New Roman" w:hAnsi="Times New Roman" w:eastAsia="宋体" w:cs="Times New Roman"/>
                <w:b/>
                <w:bCs/>
                <w:szCs w:val="21"/>
              </w:rPr>
              <w:t>检验检测中心出具的检测报告扫描件）</w:t>
            </w:r>
            <w:r>
              <w:rPr>
                <w:rFonts w:ascii="Times New Roman" w:hAnsi="Times New Roman" w:eastAsia="宋体" w:cs="Times New Roman"/>
                <w:szCs w:val="21"/>
              </w:rPr>
              <w:t>；</w:t>
            </w:r>
          </w:p>
          <w:p w14:paraId="568C7848">
            <w:pPr>
              <w:pStyle w:val="215"/>
              <w:numPr>
                <w:ilvl w:val="0"/>
                <w:numId w:val="4"/>
              </w:numPr>
              <w:tabs>
                <w:tab w:val="left" w:pos="217"/>
              </w:tabs>
              <w:spacing w:after="0" w:line="240" w:lineRule="auto"/>
              <w:ind w:left="0" w:firstLine="0"/>
              <w:contextualSpacing w:val="0"/>
              <w:rPr>
                <w:rFonts w:ascii="Times New Roman" w:hAnsi="Times New Roman" w:eastAsia="宋体" w:cs="Times New Roman"/>
                <w:szCs w:val="21"/>
              </w:rPr>
            </w:pPr>
            <w:r>
              <w:rPr>
                <w:rFonts w:ascii="Segoe UI Symbol" w:hAnsi="Segoe UI Symbol" w:eastAsia="宋体" w:cs="Segoe UI Symbol"/>
                <w:szCs w:val="21"/>
              </w:rPr>
              <w:t>★</w:t>
            </w:r>
            <w:r>
              <w:rPr>
                <w:rFonts w:ascii="Times New Roman" w:hAnsi="Times New Roman" w:eastAsia="宋体" w:cs="Times New Roman"/>
                <w:szCs w:val="21"/>
              </w:rPr>
              <w:t>耐湿性：LED模块通过耐湿性（连续冷凝法）试验，测试时间≥6000小时，且测试后的LED模组（LED模块）漆膜不起泡、不生锈、不开裂、不剥落</w:t>
            </w:r>
            <w:r>
              <w:rPr>
                <w:rFonts w:ascii="Times New Roman" w:hAnsi="Times New Roman" w:eastAsia="宋体" w:cs="Times New Roman"/>
                <w:b/>
                <w:bCs/>
                <w:szCs w:val="21"/>
              </w:rPr>
              <w:t>（投标时须提供国家</w:t>
            </w:r>
            <w:r>
              <w:rPr>
                <w:rFonts w:hint="eastAsia" w:ascii="Times New Roman" w:hAnsi="Times New Roman" w:eastAsia="宋体" w:cs="Times New Roman"/>
                <w:b/>
                <w:bCs/>
                <w:szCs w:val="21"/>
                <w:lang w:val="en-US" w:eastAsia="zh-CN"/>
              </w:rPr>
              <w:t>级</w:t>
            </w:r>
            <w:r>
              <w:rPr>
                <w:rFonts w:ascii="Times New Roman" w:hAnsi="Times New Roman" w:eastAsia="宋体" w:cs="Times New Roman"/>
                <w:b/>
                <w:bCs/>
                <w:szCs w:val="21"/>
              </w:rPr>
              <w:t>检验检测中心出具的检测报告扫描件）</w:t>
            </w:r>
            <w:r>
              <w:rPr>
                <w:rFonts w:ascii="Times New Roman" w:hAnsi="Times New Roman" w:eastAsia="宋体" w:cs="Times New Roman"/>
                <w:szCs w:val="21"/>
              </w:rPr>
              <w:t>；</w:t>
            </w:r>
          </w:p>
          <w:p w14:paraId="03D9F333">
            <w:pPr>
              <w:pStyle w:val="215"/>
              <w:numPr>
                <w:ilvl w:val="0"/>
                <w:numId w:val="4"/>
              </w:numPr>
              <w:tabs>
                <w:tab w:val="left" w:pos="292"/>
              </w:tabs>
              <w:spacing w:after="0" w:line="240" w:lineRule="auto"/>
              <w:ind w:left="0" w:firstLine="0"/>
              <w:contextualSpacing w:val="0"/>
              <w:rPr>
                <w:rFonts w:ascii="Times New Roman" w:hAnsi="Times New Roman" w:eastAsia="宋体" w:cs="Times New Roman"/>
                <w:szCs w:val="21"/>
              </w:rPr>
            </w:pPr>
            <w:r>
              <w:rPr>
                <w:rFonts w:ascii="Segoe UI Symbol" w:hAnsi="Segoe UI Symbol" w:eastAsia="宋体" w:cs="Segoe UI Symbol"/>
                <w:szCs w:val="21"/>
              </w:rPr>
              <w:t>★</w:t>
            </w:r>
            <w:r>
              <w:rPr>
                <w:rFonts w:ascii="Times New Roman" w:hAnsi="Times New Roman" w:eastAsia="宋体" w:cs="Times New Roman"/>
                <w:szCs w:val="21"/>
              </w:rPr>
              <w:t>LED模块通过防尘、防固体异物、防水试验，抽气压力-2kPa，持续8小时后内部无粉尘</w:t>
            </w:r>
            <w:r>
              <w:rPr>
                <w:rFonts w:ascii="Times New Roman" w:hAnsi="Times New Roman" w:eastAsia="宋体" w:cs="Times New Roman"/>
                <w:b/>
                <w:bCs/>
                <w:szCs w:val="21"/>
              </w:rPr>
              <w:t>（投标时须提供国家</w:t>
            </w:r>
            <w:r>
              <w:rPr>
                <w:rFonts w:hint="eastAsia" w:ascii="Times New Roman" w:hAnsi="Times New Roman" w:eastAsia="宋体" w:cs="Times New Roman"/>
                <w:b/>
                <w:bCs/>
                <w:szCs w:val="21"/>
                <w:lang w:val="en-US" w:eastAsia="zh-CN"/>
              </w:rPr>
              <w:t>级</w:t>
            </w:r>
            <w:r>
              <w:rPr>
                <w:rFonts w:ascii="Times New Roman" w:hAnsi="Times New Roman" w:eastAsia="宋体" w:cs="Times New Roman"/>
                <w:b/>
                <w:bCs/>
                <w:szCs w:val="21"/>
              </w:rPr>
              <w:t>检验检测中心出具的检测报告扫描件）</w:t>
            </w:r>
            <w:r>
              <w:rPr>
                <w:rFonts w:ascii="Times New Roman" w:hAnsi="Times New Roman" w:eastAsia="宋体" w:cs="Times New Roman"/>
                <w:szCs w:val="21"/>
              </w:rPr>
              <w:t>；</w:t>
            </w:r>
          </w:p>
          <w:p w14:paraId="5305B948">
            <w:pPr>
              <w:pStyle w:val="215"/>
              <w:numPr>
                <w:ilvl w:val="0"/>
                <w:numId w:val="4"/>
              </w:numPr>
              <w:tabs>
                <w:tab w:val="left" w:pos="292"/>
              </w:tabs>
              <w:spacing w:after="0" w:line="240" w:lineRule="auto"/>
              <w:ind w:left="0" w:firstLine="0"/>
              <w:contextualSpacing w:val="0"/>
              <w:rPr>
                <w:rFonts w:ascii="Times New Roman" w:hAnsi="Times New Roman" w:eastAsia="宋体" w:cs="Times New Roman"/>
                <w:szCs w:val="21"/>
              </w:rPr>
            </w:pPr>
            <w:r>
              <w:rPr>
                <w:rFonts w:ascii="Segoe UI Symbol" w:hAnsi="Segoe UI Symbol" w:eastAsia="宋体" w:cs="Segoe UI Symbol"/>
                <w:szCs w:val="21"/>
              </w:rPr>
              <w:t>★</w:t>
            </w:r>
            <w:r>
              <w:rPr>
                <w:rFonts w:ascii="Times New Roman" w:hAnsi="Times New Roman" w:eastAsia="宋体" w:cs="Times New Roman"/>
                <w:szCs w:val="21"/>
              </w:rPr>
              <w:t>LED模块透光率≥105%</w:t>
            </w:r>
            <w:r>
              <w:rPr>
                <w:rFonts w:ascii="Times New Roman" w:hAnsi="Times New Roman" w:eastAsia="宋体" w:cs="Times New Roman"/>
                <w:b/>
                <w:bCs/>
                <w:szCs w:val="21"/>
              </w:rPr>
              <w:t>（投标时须提供国家</w:t>
            </w:r>
            <w:r>
              <w:rPr>
                <w:rFonts w:hint="eastAsia" w:ascii="Times New Roman" w:hAnsi="Times New Roman" w:eastAsia="宋体" w:cs="Times New Roman"/>
                <w:b/>
                <w:bCs/>
                <w:szCs w:val="21"/>
                <w:lang w:val="en-US" w:eastAsia="zh-CN"/>
              </w:rPr>
              <w:t>级</w:t>
            </w:r>
            <w:r>
              <w:rPr>
                <w:rFonts w:ascii="Times New Roman" w:hAnsi="Times New Roman" w:eastAsia="宋体" w:cs="Times New Roman"/>
                <w:b/>
                <w:bCs/>
                <w:szCs w:val="21"/>
              </w:rPr>
              <w:t>检验检测中心出具的检测报告扫描件）</w:t>
            </w:r>
            <w:r>
              <w:rPr>
                <w:rFonts w:ascii="Times New Roman" w:hAnsi="Times New Roman" w:eastAsia="宋体" w:cs="Times New Roman"/>
                <w:szCs w:val="21"/>
              </w:rPr>
              <w:t>；</w:t>
            </w:r>
          </w:p>
          <w:p w14:paraId="3CA7401E">
            <w:pPr>
              <w:pStyle w:val="215"/>
              <w:numPr>
                <w:ilvl w:val="0"/>
                <w:numId w:val="4"/>
              </w:numPr>
              <w:tabs>
                <w:tab w:val="left" w:pos="292"/>
              </w:tabs>
              <w:spacing w:after="0" w:line="240" w:lineRule="auto"/>
              <w:ind w:left="0" w:firstLine="0"/>
              <w:contextualSpacing w:val="0"/>
              <w:rPr>
                <w:rFonts w:ascii="Times New Roman" w:hAnsi="Times New Roman" w:eastAsia="宋体" w:cs="Times New Roman"/>
                <w:szCs w:val="21"/>
              </w:rPr>
            </w:pPr>
            <w:r>
              <w:rPr>
                <w:rFonts w:ascii="Segoe UI Symbol" w:hAnsi="Segoe UI Symbol" w:eastAsia="宋体" w:cs="Segoe UI Symbol"/>
                <w:szCs w:val="21"/>
              </w:rPr>
              <w:t>★</w:t>
            </w:r>
            <w:r>
              <w:rPr>
                <w:rFonts w:ascii="Times New Roman" w:hAnsi="Times New Roman" w:eastAsia="宋体" w:cs="Times New Roman"/>
                <w:szCs w:val="21"/>
              </w:rPr>
              <w:t>LED模块PC透镜通过耐紫外线(UV)试验，测试时间≥6000小时，透光罩无明显损坏</w:t>
            </w:r>
            <w:r>
              <w:rPr>
                <w:rFonts w:ascii="Times New Roman" w:hAnsi="Times New Roman" w:eastAsia="宋体" w:cs="Times New Roman"/>
                <w:b/>
                <w:bCs/>
                <w:szCs w:val="21"/>
              </w:rPr>
              <w:t>（投标时须提供国家</w:t>
            </w:r>
            <w:r>
              <w:rPr>
                <w:rFonts w:hint="eastAsia" w:ascii="Times New Roman" w:hAnsi="Times New Roman" w:eastAsia="宋体" w:cs="Times New Roman"/>
                <w:b/>
                <w:bCs/>
                <w:szCs w:val="21"/>
                <w:lang w:val="en-US" w:eastAsia="zh-CN"/>
              </w:rPr>
              <w:t>级</w:t>
            </w:r>
            <w:r>
              <w:rPr>
                <w:rFonts w:ascii="Times New Roman" w:hAnsi="Times New Roman" w:eastAsia="宋体" w:cs="Times New Roman"/>
                <w:b/>
                <w:bCs/>
                <w:szCs w:val="21"/>
              </w:rPr>
              <w:t>检验检测中心出具的检测报告扫描件）</w:t>
            </w:r>
            <w:r>
              <w:rPr>
                <w:rFonts w:ascii="Times New Roman" w:hAnsi="Times New Roman" w:eastAsia="宋体" w:cs="Times New Roman"/>
                <w:szCs w:val="21"/>
              </w:rPr>
              <w:t>。</w:t>
            </w:r>
          </w:p>
        </w:tc>
        <w:tc>
          <w:tcPr>
            <w:tcW w:w="450" w:type="pct"/>
            <w:vAlign w:val="center"/>
          </w:tcPr>
          <w:p w14:paraId="041A432E">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盏</w:t>
            </w:r>
          </w:p>
        </w:tc>
        <w:tc>
          <w:tcPr>
            <w:tcW w:w="406" w:type="pct"/>
            <w:vAlign w:val="center"/>
          </w:tcPr>
          <w:p w14:paraId="480670E2">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60</w:t>
            </w:r>
          </w:p>
        </w:tc>
      </w:tr>
      <w:tr w14:paraId="2837C7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48" w:type="pct"/>
            <w:vAlign w:val="center"/>
          </w:tcPr>
          <w:p w14:paraId="3C43143C">
            <w:pPr>
              <w:spacing w:after="0" w:line="240" w:lineRule="auto"/>
              <w:jc w:val="center"/>
              <w:rPr>
                <w:rFonts w:hint="eastAsia" w:ascii="Times New Roman" w:hAnsi="Times New Roman" w:eastAsia="宋体" w:cs="Times New Roman"/>
                <w:szCs w:val="21"/>
                <w:lang w:eastAsia="zh-CN"/>
              </w:rPr>
            </w:pPr>
            <w:r>
              <w:rPr>
                <w:rFonts w:hint="eastAsia" w:ascii="Times New Roman" w:hAnsi="Times New Roman" w:eastAsia="宋体" w:cs="Times New Roman"/>
                <w:szCs w:val="21"/>
                <w:lang w:val="en-US" w:eastAsia="zh-CN"/>
              </w:rPr>
              <w:t>5</w:t>
            </w:r>
          </w:p>
        </w:tc>
        <w:tc>
          <w:tcPr>
            <w:tcW w:w="504" w:type="pct"/>
            <w:vMerge w:val="continue"/>
            <w:vAlign w:val="center"/>
          </w:tcPr>
          <w:p w14:paraId="577F5C23">
            <w:pPr>
              <w:spacing w:after="0" w:line="240" w:lineRule="auto"/>
              <w:jc w:val="center"/>
              <w:rPr>
                <w:rFonts w:ascii="Times New Roman" w:hAnsi="Times New Roman" w:eastAsia="宋体" w:cs="Times New Roman"/>
                <w:szCs w:val="21"/>
              </w:rPr>
            </w:pPr>
          </w:p>
        </w:tc>
        <w:tc>
          <w:tcPr>
            <w:tcW w:w="566" w:type="pct"/>
            <w:vAlign w:val="center"/>
          </w:tcPr>
          <w:p w14:paraId="028A1B76">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太阳能路灯</w:t>
            </w:r>
          </w:p>
        </w:tc>
        <w:tc>
          <w:tcPr>
            <w:tcW w:w="2823" w:type="pct"/>
            <w:vAlign w:val="center"/>
          </w:tcPr>
          <w:p w14:paraId="1F5EE32E">
            <w:pPr>
              <w:pStyle w:val="215"/>
              <w:numPr>
                <w:ilvl w:val="0"/>
                <w:numId w:val="0"/>
              </w:numPr>
              <w:tabs>
                <w:tab w:val="left" w:pos="219"/>
              </w:tabs>
              <w:spacing w:after="0" w:line="240" w:lineRule="auto"/>
              <w:ind w:leftChars="0"/>
              <w:contextualSpacing w:val="0"/>
              <w:rPr>
                <w:rFonts w:ascii="Times New Roman" w:hAnsi="Times New Roman" w:eastAsia="宋体" w:cs="Times New Roman"/>
                <w:szCs w:val="21"/>
              </w:rPr>
            </w:pPr>
            <w:r>
              <w:rPr>
                <w:rFonts w:ascii="Times New Roman" w:hAnsi="Times New Roman" w:eastAsia="宋体" w:cs="Times New Roman"/>
                <w:szCs w:val="21"/>
              </w:rPr>
              <w:t>灯具采用压铸一次成型，含LED模块光源，功率60W，色温6000K；</w:t>
            </w:r>
          </w:p>
          <w:p w14:paraId="10D086F3">
            <w:pPr>
              <w:pStyle w:val="215"/>
              <w:numPr>
                <w:ilvl w:val="0"/>
                <w:numId w:val="0"/>
              </w:numPr>
              <w:tabs>
                <w:tab w:val="left" w:pos="219"/>
              </w:tabs>
              <w:spacing w:after="0" w:line="240" w:lineRule="auto"/>
              <w:ind w:leftChars="0"/>
              <w:contextualSpacing w:val="0"/>
              <w:rPr>
                <w:rFonts w:ascii="Times New Roman" w:hAnsi="Times New Roman" w:eastAsia="宋体" w:cs="Times New Roman"/>
                <w:szCs w:val="21"/>
              </w:rPr>
            </w:pPr>
            <w:r>
              <w:rPr>
                <w:rFonts w:ascii="Times New Roman" w:hAnsi="Times New Roman" w:eastAsia="宋体" w:cs="Times New Roman"/>
                <w:szCs w:val="21"/>
              </w:rPr>
              <w:t>太阳能电池板采用120W高效单晶硅太阳能电池片；采用高强度，高透光率的低铁、绒面钢化玻璃，透光率91%以上。</w:t>
            </w:r>
          </w:p>
          <w:p w14:paraId="63362419">
            <w:pPr>
              <w:pStyle w:val="215"/>
              <w:numPr>
                <w:ilvl w:val="0"/>
                <w:numId w:val="0"/>
              </w:numPr>
              <w:tabs>
                <w:tab w:val="left" w:pos="219"/>
              </w:tabs>
              <w:spacing w:after="0" w:line="240" w:lineRule="auto"/>
              <w:ind w:left="0" w:leftChars="0" w:firstLine="0" w:firstLineChars="0"/>
              <w:contextualSpacing w:val="0"/>
              <w:rPr>
                <w:rFonts w:ascii="Times New Roman" w:hAnsi="Times New Roman" w:eastAsia="宋体" w:cs="Times New Roman"/>
                <w:szCs w:val="21"/>
              </w:rPr>
            </w:pPr>
            <w:r>
              <w:rPr>
                <w:rFonts w:ascii="Times New Roman" w:hAnsi="Times New Roman" w:eastAsia="宋体" w:cs="Times New Roman"/>
                <w:szCs w:val="21"/>
              </w:rPr>
              <w:t>太阳能专用锂电池，全密封免维护，锂电池容量为DC3.2V, 80Ah，具有防水、防潮、防腐、保温隔热、通气等功能，采用标准接头，具有防反接和防错接等功能，防护等级IP67</w:t>
            </w:r>
          </w:p>
        </w:tc>
        <w:tc>
          <w:tcPr>
            <w:tcW w:w="450" w:type="pct"/>
            <w:vAlign w:val="center"/>
          </w:tcPr>
          <w:p w14:paraId="3616B8F7">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套</w:t>
            </w:r>
          </w:p>
        </w:tc>
        <w:tc>
          <w:tcPr>
            <w:tcW w:w="406" w:type="pct"/>
            <w:vAlign w:val="center"/>
          </w:tcPr>
          <w:p w14:paraId="09EA8569">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35</w:t>
            </w:r>
          </w:p>
        </w:tc>
      </w:tr>
      <w:tr w14:paraId="2F64F3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48" w:type="pct"/>
            <w:vAlign w:val="center"/>
          </w:tcPr>
          <w:p w14:paraId="2409D97E">
            <w:pPr>
              <w:spacing w:after="0" w:line="240" w:lineRule="auto"/>
              <w:jc w:val="center"/>
              <w:rPr>
                <w:rFonts w:hint="eastAsia" w:ascii="Times New Roman" w:hAnsi="Times New Roman" w:eastAsia="宋体" w:cs="Times New Roman"/>
                <w:szCs w:val="21"/>
                <w:lang w:eastAsia="zh-CN"/>
              </w:rPr>
            </w:pPr>
            <w:r>
              <w:rPr>
                <w:rFonts w:hint="eastAsia" w:ascii="Times New Roman" w:hAnsi="Times New Roman" w:eastAsia="宋体" w:cs="Times New Roman"/>
                <w:szCs w:val="21"/>
                <w:lang w:val="en-US" w:eastAsia="zh-CN"/>
              </w:rPr>
              <w:t>6</w:t>
            </w:r>
          </w:p>
        </w:tc>
        <w:tc>
          <w:tcPr>
            <w:tcW w:w="504" w:type="pct"/>
            <w:vMerge w:val="continue"/>
            <w:vAlign w:val="center"/>
          </w:tcPr>
          <w:p w14:paraId="72900653">
            <w:pPr>
              <w:spacing w:after="0" w:line="240" w:lineRule="auto"/>
              <w:jc w:val="center"/>
              <w:rPr>
                <w:rFonts w:ascii="Times New Roman" w:hAnsi="Times New Roman" w:eastAsia="宋体" w:cs="Times New Roman"/>
                <w:szCs w:val="21"/>
              </w:rPr>
            </w:pPr>
          </w:p>
        </w:tc>
        <w:tc>
          <w:tcPr>
            <w:tcW w:w="566" w:type="pct"/>
            <w:vAlign w:val="center"/>
          </w:tcPr>
          <w:p w14:paraId="1111C9B8">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配电箱</w:t>
            </w:r>
          </w:p>
        </w:tc>
        <w:tc>
          <w:tcPr>
            <w:tcW w:w="2823" w:type="pct"/>
            <w:vAlign w:val="center"/>
          </w:tcPr>
          <w:p w14:paraId="74401EB3">
            <w:pPr>
              <w:pStyle w:val="215"/>
              <w:widowControl/>
              <w:tabs>
                <w:tab w:val="left" w:pos="184"/>
              </w:tabs>
              <w:spacing w:after="0" w:line="240" w:lineRule="auto"/>
              <w:ind w:left="0" w:leftChars="0" w:firstLine="0" w:firstLineChars="0"/>
              <w:contextualSpacing w:val="0"/>
              <w:rPr>
                <w:rFonts w:ascii="Times New Roman" w:hAnsi="Times New Roman" w:eastAsia="宋体" w:cs="Times New Roman"/>
                <w:szCs w:val="21"/>
              </w:rPr>
            </w:pPr>
            <w:r>
              <w:rPr>
                <w:rFonts w:ascii="Times New Roman" w:hAnsi="Times New Roman" w:eastAsia="宋体" w:cs="Times New Roman"/>
                <w:szCs w:val="21"/>
              </w:rPr>
              <w:t>材质304不锈钢，厚度0.8mm，配电箱用于安装照明控制设备，尺寸由各投标人根据投标产品定制，内含电器梁，安装方式根据现场定制（须经招标人确认）。</w:t>
            </w:r>
          </w:p>
        </w:tc>
        <w:tc>
          <w:tcPr>
            <w:tcW w:w="450" w:type="pct"/>
            <w:vAlign w:val="center"/>
          </w:tcPr>
          <w:p w14:paraId="7C1E2580">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台</w:t>
            </w:r>
          </w:p>
        </w:tc>
        <w:tc>
          <w:tcPr>
            <w:tcW w:w="406" w:type="pct"/>
            <w:vAlign w:val="center"/>
          </w:tcPr>
          <w:p w14:paraId="4F1071CC">
            <w:pPr>
              <w:spacing w:after="0" w:line="240" w:lineRule="auto"/>
              <w:jc w:val="center"/>
              <w:rPr>
                <w:rFonts w:hint="eastAsia" w:ascii="Times New Roman" w:hAnsi="Times New Roman" w:eastAsia="宋体" w:cs="Times New Roman"/>
                <w:szCs w:val="21"/>
                <w:lang w:eastAsia="zh-CN"/>
              </w:rPr>
            </w:pPr>
            <w:r>
              <w:rPr>
                <w:rFonts w:ascii="Times New Roman" w:hAnsi="Times New Roman" w:eastAsia="宋体" w:cs="Times New Roman"/>
                <w:szCs w:val="21"/>
              </w:rPr>
              <w:t>3</w:t>
            </w:r>
            <w:r>
              <w:rPr>
                <w:rFonts w:hint="eastAsia" w:ascii="Times New Roman" w:hAnsi="Times New Roman" w:eastAsia="宋体" w:cs="Times New Roman"/>
                <w:szCs w:val="21"/>
                <w:lang w:val="en-US" w:eastAsia="zh-CN"/>
              </w:rPr>
              <w:t>6</w:t>
            </w:r>
          </w:p>
        </w:tc>
      </w:tr>
      <w:tr w14:paraId="31F1EE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trPr>
        <w:tc>
          <w:tcPr>
            <w:tcW w:w="248" w:type="pct"/>
            <w:vAlign w:val="center"/>
          </w:tcPr>
          <w:p w14:paraId="67F373C7">
            <w:pPr>
              <w:spacing w:after="0" w:line="240" w:lineRule="auto"/>
              <w:jc w:val="center"/>
              <w:rPr>
                <w:rFonts w:hint="eastAsia" w:ascii="Times New Roman" w:hAnsi="Times New Roman" w:eastAsia="宋体" w:cs="Times New Roman"/>
                <w:szCs w:val="21"/>
                <w:lang w:eastAsia="zh-CN"/>
              </w:rPr>
            </w:pPr>
            <w:r>
              <w:rPr>
                <w:rFonts w:hint="eastAsia" w:ascii="Times New Roman" w:hAnsi="Times New Roman" w:eastAsia="宋体" w:cs="Times New Roman"/>
                <w:szCs w:val="21"/>
                <w:lang w:val="en-US" w:eastAsia="zh-CN"/>
              </w:rPr>
              <w:t>7</w:t>
            </w:r>
          </w:p>
        </w:tc>
        <w:tc>
          <w:tcPr>
            <w:tcW w:w="504" w:type="pct"/>
            <w:vMerge w:val="continue"/>
            <w:vAlign w:val="center"/>
          </w:tcPr>
          <w:p w14:paraId="4C6B6CCD">
            <w:pPr>
              <w:spacing w:after="0" w:line="240" w:lineRule="auto"/>
              <w:jc w:val="center"/>
              <w:rPr>
                <w:rFonts w:ascii="Times New Roman" w:hAnsi="Times New Roman" w:eastAsia="宋体" w:cs="Times New Roman"/>
                <w:szCs w:val="21"/>
              </w:rPr>
            </w:pPr>
          </w:p>
        </w:tc>
        <w:tc>
          <w:tcPr>
            <w:tcW w:w="566" w:type="pct"/>
            <w:vAlign w:val="center"/>
          </w:tcPr>
          <w:p w14:paraId="56EC87C1">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存储平台</w:t>
            </w:r>
          </w:p>
        </w:tc>
        <w:tc>
          <w:tcPr>
            <w:tcW w:w="2823" w:type="pct"/>
            <w:vAlign w:val="center"/>
          </w:tcPr>
          <w:p w14:paraId="4AFAC6D3">
            <w:pPr>
              <w:pStyle w:val="215"/>
              <w:numPr>
                <w:ilvl w:val="0"/>
                <w:numId w:val="5"/>
              </w:numPr>
              <w:tabs>
                <w:tab w:val="left" w:pos="190"/>
              </w:tabs>
              <w:spacing w:after="0" w:line="240" w:lineRule="auto"/>
              <w:ind w:left="0" w:firstLine="0"/>
              <w:contextualSpacing w:val="0"/>
              <w:rPr>
                <w:rFonts w:ascii="Times New Roman" w:hAnsi="Times New Roman" w:eastAsia="宋体" w:cs="Times New Roman"/>
                <w:szCs w:val="21"/>
              </w:rPr>
            </w:pPr>
            <w:r>
              <w:rPr>
                <w:rFonts w:ascii="Segoe UI Symbol" w:hAnsi="Segoe UI Symbol" w:eastAsia="宋体" w:cs="Segoe UI Symbol"/>
                <w:szCs w:val="21"/>
              </w:rPr>
              <w:t>★</w:t>
            </w:r>
            <w:r>
              <w:rPr>
                <w:rFonts w:ascii="Times New Roman" w:hAnsi="Times New Roman" w:eastAsia="宋体" w:cs="Times New Roman"/>
                <w:szCs w:val="21"/>
              </w:rPr>
              <w:t>所提供的存储平台由供应商（含其下属的全资子公司）自主开发或有授权函</w:t>
            </w:r>
            <w:r>
              <w:rPr>
                <w:rFonts w:ascii="Times New Roman" w:hAnsi="Times New Roman" w:eastAsia="宋体" w:cs="Times New Roman"/>
                <w:b/>
                <w:bCs/>
                <w:szCs w:val="21"/>
              </w:rPr>
              <w:t>（投标时须提供相关证明材料扫描件）</w:t>
            </w:r>
            <w:r>
              <w:rPr>
                <w:rFonts w:ascii="Times New Roman" w:hAnsi="Times New Roman" w:eastAsia="宋体" w:cs="Times New Roman"/>
                <w:szCs w:val="21"/>
              </w:rPr>
              <w:t>；</w:t>
            </w:r>
          </w:p>
          <w:p w14:paraId="512B50C3">
            <w:pPr>
              <w:pStyle w:val="215"/>
              <w:numPr>
                <w:ilvl w:val="0"/>
                <w:numId w:val="5"/>
              </w:numPr>
              <w:tabs>
                <w:tab w:val="left" w:pos="190"/>
              </w:tabs>
              <w:spacing w:after="0" w:line="240" w:lineRule="auto"/>
              <w:ind w:left="0" w:firstLine="0"/>
              <w:contextualSpacing w:val="0"/>
              <w:rPr>
                <w:rFonts w:ascii="Times New Roman" w:hAnsi="Times New Roman" w:eastAsia="宋体" w:cs="Times New Roman"/>
                <w:szCs w:val="21"/>
              </w:rPr>
            </w:pPr>
            <w:r>
              <w:rPr>
                <w:rFonts w:ascii="Segoe UI Symbol" w:hAnsi="Segoe UI Symbol" w:eastAsia="宋体" w:cs="Segoe UI Symbol"/>
                <w:szCs w:val="21"/>
              </w:rPr>
              <w:t>★</w:t>
            </w:r>
            <w:r>
              <w:rPr>
                <w:rFonts w:ascii="Times New Roman" w:hAnsi="Times New Roman" w:eastAsia="宋体" w:cs="Times New Roman"/>
                <w:szCs w:val="21"/>
              </w:rPr>
              <w:t>平台必须满足信息系统安全等级保护三级要求</w:t>
            </w:r>
            <w:r>
              <w:rPr>
                <w:rFonts w:ascii="Times New Roman" w:hAnsi="Times New Roman" w:eastAsia="宋体" w:cs="Times New Roman"/>
                <w:b/>
                <w:bCs/>
                <w:szCs w:val="21"/>
              </w:rPr>
              <w:t>（以定级备案证明为准，投标时须提供证书扫描件以及测评报告关键页相关资料扫描件）</w:t>
            </w:r>
            <w:r>
              <w:rPr>
                <w:rFonts w:ascii="Times New Roman" w:hAnsi="Times New Roman" w:eastAsia="宋体" w:cs="Times New Roman"/>
                <w:szCs w:val="21"/>
              </w:rPr>
              <w:t>；</w:t>
            </w:r>
          </w:p>
          <w:p w14:paraId="19DE0B9A">
            <w:pPr>
              <w:pStyle w:val="215"/>
              <w:numPr>
                <w:ilvl w:val="0"/>
                <w:numId w:val="5"/>
              </w:numPr>
              <w:tabs>
                <w:tab w:val="left" w:pos="190"/>
              </w:tabs>
              <w:spacing w:after="0" w:line="240" w:lineRule="auto"/>
              <w:ind w:left="0" w:firstLine="0"/>
              <w:contextualSpacing w:val="0"/>
              <w:rPr>
                <w:rFonts w:ascii="Times New Roman" w:hAnsi="Times New Roman" w:eastAsia="宋体" w:cs="Times New Roman"/>
                <w:szCs w:val="21"/>
              </w:rPr>
            </w:pPr>
            <w:r>
              <w:rPr>
                <w:rFonts w:ascii="Times New Roman" w:hAnsi="Times New Roman" w:eastAsia="宋体" w:cs="Times New Roman"/>
                <w:szCs w:val="21"/>
              </w:rPr>
              <w:t>平台支持的接入协议，需包括标准GB28181、GA35114、ONVIF、大华海康SDK、以及其他国标拓展协议；</w:t>
            </w:r>
          </w:p>
          <w:p w14:paraId="0F475D04">
            <w:pPr>
              <w:pStyle w:val="215"/>
              <w:numPr>
                <w:ilvl w:val="0"/>
                <w:numId w:val="5"/>
              </w:numPr>
              <w:tabs>
                <w:tab w:val="left" w:pos="190"/>
              </w:tabs>
              <w:spacing w:after="0" w:line="240" w:lineRule="auto"/>
              <w:ind w:left="0" w:firstLine="0"/>
              <w:contextualSpacing w:val="0"/>
              <w:rPr>
                <w:rFonts w:ascii="Times New Roman" w:hAnsi="Times New Roman" w:eastAsia="宋体" w:cs="Times New Roman"/>
                <w:szCs w:val="21"/>
              </w:rPr>
            </w:pPr>
            <w:r>
              <w:rPr>
                <w:rFonts w:ascii="Times New Roman" w:hAnsi="Times New Roman" w:eastAsia="宋体" w:cs="Times New Roman"/>
                <w:szCs w:val="21"/>
              </w:rPr>
              <w:t>对支持远近调焦和云台转动的摄像机，客户端在浏览监控图像的同时可以对监控点摄像机进行云镜控制；</w:t>
            </w:r>
          </w:p>
          <w:p w14:paraId="33A87789">
            <w:pPr>
              <w:pStyle w:val="215"/>
              <w:numPr>
                <w:ilvl w:val="0"/>
                <w:numId w:val="5"/>
              </w:numPr>
              <w:tabs>
                <w:tab w:val="left" w:pos="190"/>
              </w:tabs>
              <w:spacing w:after="0" w:line="240" w:lineRule="auto"/>
              <w:ind w:left="0" w:firstLine="0"/>
              <w:contextualSpacing w:val="0"/>
              <w:rPr>
                <w:rFonts w:ascii="Times New Roman" w:hAnsi="Times New Roman" w:eastAsia="宋体" w:cs="Times New Roman"/>
                <w:szCs w:val="21"/>
              </w:rPr>
            </w:pPr>
            <w:r>
              <w:rPr>
                <w:rFonts w:ascii="Segoe UI Symbol" w:hAnsi="Segoe UI Symbol" w:eastAsia="宋体" w:cs="Segoe UI Symbol"/>
                <w:szCs w:val="21"/>
              </w:rPr>
              <w:t>★</w:t>
            </w:r>
            <w:r>
              <w:rPr>
                <w:rFonts w:ascii="Times New Roman" w:hAnsi="Times New Roman" w:eastAsia="宋体" w:cs="Times New Roman"/>
                <w:szCs w:val="21"/>
              </w:rPr>
              <w:t>支持实况录像水印功能，防盗窃泄露</w:t>
            </w:r>
            <w:r>
              <w:rPr>
                <w:rFonts w:ascii="Times New Roman" w:hAnsi="Times New Roman" w:eastAsia="宋体" w:cs="Times New Roman"/>
                <w:b/>
                <w:bCs/>
                <w:szCs w:val="21"/>
              </w:rPr>
              <w:t>（投标时须提供平台功能截图）</w:t>
            </w:r>
            <w:r>
              <w:rPr>
                <w:rFonts w:ascii="Times New Roman" w:hAnsi="Times New Roman" w:eastAsia="宋体" w:cs="Times New Roman"/>
                <w:szCs w:val="21"/>
              </w:rPr>
              <w:t>；</w:t>
            </w:r>
          </w:p>
          <w:p w14:paraId="5AF22C8A">
            <w:pPr>
              <w:pStyle w:val="215"/>
              <w:numPr>
                <w:ilvl w:val="0"/>
                <w:numId w:val="5"/>
              </w:numPr>
              <w:tabs>
                <w:tab w:val="left" w:pos="190"/>
              </w:tabs>
              <w:spacing w:after="0" w:line="240" w:lineRule="auto"/>
              <w:ind w:left="0" w:firstLine="0"/>
              <w:contextualSpacing w:val="0"/>
              <w:rPr>
                <w:rFonts w:ascii="Times New Roman" w:hAnsi="Times New Roman" w:eastAsia="宋体" w:cs="Times New Roman"/>
                <w:szCs w:val="21"/>
              </w:rPr>
            </w:pPr>
            <w:r>
              <w:rPr>
                <w:rFonts w:ascii="Segoe UI Symbol" w:hAnsi="Segoe UI Symbol" w:eastAsia="宋体" w:cs="Segoe UI Symbol"/>
                <w:szCs w:val="21"/>
              </w:rPr>
              <w:t>★</w:t>
            </w:r>
            <w:r>
              <w:rPr>
                <w:rFonts w:ascii="Times New Roman" w:hAnsi="Times New Roman" w:eastAsia="宋体" w:cs="Times New Roman"/>
                <w:szCs w:val="21"/>
              </w:rPr>
              <w:t>支持分权分域，用户组管理：支持用户组的添加、修改和删除，支持用户组信息维护，平台能够对账号进行分级管理，提供多种角色管理</w:t>
            </w:r>
            <w:r>
              <w:rPr>
                <w:rFonts w:ascii="Times New Roman" w:hAnsi="Times New Roman" w:eastAsia="宋体" w:cs="Times New Roman"/>
                <w:b/>
                <w:bCs/>
                <w:szCs w:val="21"/>
              </w:rPr>
              <w:t>（投标时须提供平台功能截图）</w:t>
            </w:r>
            <w:r>
              <w:rPr>
                <w:rFonts w:ascii="Times New Roman" w:hAnsi="Times New Roman" w:eastAsia="宋体" w:cs="Times New Roman"/>
                <w:szCs w:val="21"/>
              </w:rPr>
              <w:t>；</w:t>
            </w:r>
          </w:p>
          <w:p w14:paraId="21A47397">
            <w:pPr>
              <w:pStyle w:val="215"/>
              <w:numPr>
                <w:ilvl w:val="0"/>
                <w:numId w:val="5"/>
              </w:numPr>
              <w:tabs>
                <w:tab w:val="left" w:pos="190"/>
              </w:tabs>
              <w:spacing w:after="0" w:line="240" w:lineRule="auto"/>
              <w:ind w:left="0" w:firstLine="0"/>
              <w:contextualSpacing w:val="0"/>
              <w:rPr>
                <w:rFonts w:ascii="Times New Roman" w:hAnsi="Times New Roman" w:eastAsia="宋体" w:cs="Times New Roman"/>
                <w:szCs w:val="21"/>
              </w:rPr>
            </w:pPr>
            <w:r>
              <w:rPr>
                <w:rFonts w:ascii="Segoe UI Symbol" w:hAnsi="Segoe UI Symbol" w:eastAsia="宋体" w:cs="Segoe UI Symbol"/>
                <w:szCs w:val="21"/>
              </w:rPr>
              <w:t>★</w:t>
            </w:r>
            <w:r>
              <w:rPr>
                <w:rFonts w:ascii="Times New Roman" w:hAnsi="Times New Roman" w:eastAsia="宋体" w:cs="Times New Roman"/>
                <w:szCs w:val="21"/>
              </w:rPr>
              <w:t>平台需提供基于电脑PC客户端（32位、64位，支持国产操作系统）；平台提供安卓手机客户端、苹果IOS客户端</w:t>
            </w:r>
            <w:r>
              <w:rPr>
                <w:rFonts w:ascii="Times New Roman" w:hAnsi="Times New Roman" w:eastAsia="宋体" w:cs="Times New Roman"/>
                <w:b/>
                <w:bCs/>
                <w:szCs w:val="21"/>
              </w:rPr>
              <w:t>（投标时须提供不同客户端登录功能截图）</w:t>
            </w:r>
            <w:r>
              <w:rPr>
                <w:rFonts w:ascii="Times New Roman" w:hAnsi="Times New Roman" w:eastAsia="宋体" w:cs="Times New Roman"/>
                <w:szCs w:val="21"/>
              </w:rPr>
              <w:t>；</w:t>
            </w:r>
          </w:p>
          <w:p w14:paraId="6BA7C32E">
            <w:pPr>
              <w:pStyle w:val="215"/>
              <w:numPr>
                <w:ilvl w:val="0"/>
                <w:numId w:val="5"/>
              </w:numPr>
              <w:tabs>
                <w:tab w:val="left" w:pos="190"/>
              </w:tabs>
              <w:spacing w:after="0" w:line="240" w:lineRule="auto"/>
              <w:ind w:left="0" w:firstLine="0"/>
              <w:contextualSpacing w:val="0"/>
              <w:rPr>
                <w:rFonts w:ascii="Times New Roman" w:hAnsi="Times New Roman" w:eastAsia="宋体" w:cs="Times New Roman"/>
                <w:szCs w:val="21"/>
              </w:rPr>
            </w:pPr>
            <w:r>
              <w:rPr>
                <w:rFonts w:ascii="Segoe UI Symbol" w:hAnsi="Segoe UI Symbol" w:eastAsia="宋体" w:cs="Segoe UI Symbol"/>
                <w:szCs w:val="21"/>
              </w:rPr>
              <w:t>★</w:t>
            </w:r>
            <w:r>
              <w:rPr>
                <w:rFonts w:ascii="Times New Roman" w:hAnsi="Times New Roman" w:eastAsia="宋体" w:cs="Times New Roman"/>
                <w:szCs w:val="21"/>
              </w:rPr>
              <w:t>图片抓拍：支持监控录像抓拍功能，系统可以自动和手动抓拍图片，并将抓拍结果保存在云端，随时调阅</w:t>
            </w:r>
            <w:r>
              <w:rPr>
                <w:rFonts w:ascii="Times New Roman" w:hAnsi="Times New Roman" w:eastAsia="宋体" w:cs="Times New Roman"/>
                <w:b/>
                <w:bCs/>
                <w:szCs w:val="21"/>
              </w:rPr>
              <w:t>（投标时须提供平台功能截图）</w:t>
            </w:r>
            <w:r>
              <w:rPr>
                <w:rFonts w:ascii="Times New Roman" w:hAnsi="Times New Roman" w:eastAsia="宋体" w:cs="Times New Roman"/>
                <w:szCs w:val="21"/>
              </w:rPr>
              <w:t>。</w:t>
            </w:r>
          </w:p>
        </w:tc>
        <w:tc>
          <w:tcPr>
            <w:tcW w:w="450" w:type="pct"/>
            <w:vAlign w:val="center"/>
          </w:tcPr>
          <w:p w14:paraId="13665364">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项</w:t>
            </w:r>
          </w:p>
        </w:tc>
        <w:tc>
          <w:tcPr>
            <w:tcW w:w="406" w:type="pct"/>
            <w:vAlign w:val="center"/>
          </w:tcPr>
          <w:p w14:paraId="7D9D616D">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1</w:t>
            </w:r>
          </w:p>
        </w:tc>
      </w:tr>
      <w:tr w14:paraId="6D2D0C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48" w:type="pct"/>
            <w:vAlign w:val="center"/>
          </w:tcPr>
          <w:p w14:paraId="5D0F0664">
            <w:pPr>
              <w:spacing w:after="0" w:line="240" w:lineRule="auto"/>
              <w:jc w:val="center"/>
              <w:rPr>
                <w:rFonts w:hint="eastAsia" w:ascii="Times New Roman" w:hAnsi="Times New Roman" w:eastAsia="宋体" w:cs="Times New Roman"/>
                <w:szCs w:val="21"/>
                <w:lang w:eastAsia="zh-CN"/>
              </w:rPr>
            </w:pPr>
            <w:r>
              <w:rPr>
                <w:rFonts w:hint="eastAsia" w:ascii="Times New Roman" w:hAnsi="Times New Roman" w:eastAsia="宋体" w:cs="Times New Roman"/>
                <w:szCs w:val="21"/>
                <w:lang w:val="en-US" w:eastAsia="zh-CN"/>
              </w:rPr>
              <w:t>8</w:t>
            </w:r>
          </w:p>
        </w:tc>
        <w:tc>
          <w:tcPr>
            <w:tcW w:w="504" w:type="pct"/>
            <w:vMerge w:val="restart"/>
            <w:vAlign w:val="center"/>
          </w:tcPr>
          <w:p w14:paraId="48552B14">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楼宇亮化维修</w:t>
            </w:r>
          </w:p>
        </w:tc>
        <w:tc>
          <w:tcPr>
            <w:tcW w:w="566" w:type="pct"/>
            <w:vAlign w:val="center"/>
          </w:tcPr>
          <w:p w14:paraId="2D3F9BA0">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广电大楼</w:t>
            </w:r>
          </w:p>
        </w:tc>
        <w:tc>
          <w:tcPr>
            <w:tcW w:w="2823" w:type="pct"/>
          </w:tcPr>
          <w:p w14:paraId="70A57A25">
            <w:pPr>
              <w:spacing w:after="0" w:line="240" w:lineRule="auto"/>
              <w:rPr>
                <w:rFonts w:ascii="Times New Roman" w:hAnsi="Times New Roman" w:eastAsia="宋体" w:cs="Times New Roman"/>
                <w:szCs w:val="21"/>
              </w:rPr>
            </w:pPr>
            <w:r>
              <w:rPr>
                <w:rFonts w:hint="eastAsia" w:ascii="Times New Roman" w:hAnsi="Times New Roman" w:eastAsia="宋体" w:cs="Times New Roman"/>
                <w:szCs w:val="21"/>
              </w:rPr>
              <w:t>对楼宇亮化设施进行维护，包括亮化灯具以及开关电源、控制终端、电缆、控制器、线槽管线、配电箱等配套设施。投标人自行查勘现场，须保证亮化设施按原规格（含技术参数、状态能力、与强电控制节点端兼容受控等）进行维保，保证整体亮化效果良好；并消除灯具、线槽管线脱落等安全隐患；落实维护范围内楼宇亮化巡查责任。如招标人发现未能达到要求须无条件进行整改。</w:t>
            </w:r>
          </w:p>
        </w:tc>
        <w:tc>
          <w:tcPr>
            <w:tcW w:w="450" w:type="pct"/>
            <w:vAlign w:val="center"/>
          </w:tcPr>
          <w:p w14:paraId="010F0ABE">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栋</w:t>
            </w:r>
          </w:p>
        </w:tc>
        <w:tc>
          <w:tcPr>
            <w:tcW w:w="406" w:type="pct"/>
            <w:vAlign w:val="center"/>
          </w:tcPr>
          <w:p w14:paraId="11DD4C4C">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1</w:t>
            </w:r>
          </w:p>
        </w:tc>
      </w:tr>
      <w:tr w14:paraId="29206B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48" w:type="pct"/>
            <w:vAlign w:val="center"/>
          </w:tcPr>
          <w:p w14:paraId="368497AA">
            <w:pPr>
              <w:spacing w:after="0" w:line="240" w:lineRule="auto"/>
              <w:jc w:val="center"/>
              <w:rPr>
                <w:rFonts w:hint="eastAsia" w:ascii="Times New Roman" w:hAnsi="Times New Roman" w:eastAsia="宋体" w:cs="Times New Roman"/>
                <w:szCs w:val="21"/>
                <w:lang w:eastAsia="zh-CN"/>
              </w:rPr>
            </w:pPr>
            <w:r>
              <w:rPr>
                <w:rFonts w:hint="eastAsia" w:ascii="Times New Roman" w:hAnsi="Times New Roman" w:eastAsia="宋体" w:cs="Times New Roman"/>
                <w:szCs w:val="21"/>
                <w:lang w:val="en-US" w:eastAsia="zh-CN"/>
              </w:rPr>
              <w:t>9</w:t>
            </w:r>
          </w:p>
        </w:tc>
        <w:tc>
          <w:tcPr>
            <w:tcW w:w="504" w:type="pct"/>
            <w:vMerge w:val="continue"/>
            <w:vAlign w:val="center"/>
          </w:tcPr>
          <w:p w14:paraId="0586593B">
            <w:pPr>
              <w:spacing w:after="0" w:line="240" w:lineRule="auto"/>
              <w:jc w:val="center"/>
              <w:rPr>
                <w:rFonts w:ascii="Times New Roman" w:hAnsi="Times New Roman" w:eastAsia="宋体" w:cs="Times New Roman"/>
                <w:szCs w:val="21"/>
              </w:rPr>
            </w:pPr>
          </w:p>
        </w:tc>
        <w:tc>
          <w:tcPr>
            <w:tcW w:w="566" w:type="pct"/>
            <w:vAlign w:val="center"/>
          </w:tcPr>
          <w:p w14:paraId="4E253673">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中国人寿</w:t>
            </w:r>
          </w:p>
        </w:tc>
        <w:tc>
          <w:tcPr>
            <w:tcW w:w="2823" w:type="pct"/>
          </w:tcPr>
          <w:p w14:paraId="4353D2DC">
            <w:pPr>
              <w:spacing w:after="0" w:line="240" w:lineRule="auto"/>
              <w:rPr>
                <w:rFonts w:ascii="Times New Roman" w:hAnsi="Times New Roman" w:eastAsia="宋体" w:cs="Times New Roman"/>
                <w:szCs w:val="21"/>
              </w:rPr>
            </w:pPr>
            <w:r>
              <w:rPr>
                <w:rFonts w:hint="eastAsia" w:ascii="Times New Roman" w:hAnsi="Times New Roman" w:eastAsia="宋体" w:cs="Times New Roman"/>
                <w:szCs w:val="21"/>
              </w:rPr>
              <w:t>对楼宇亮化设施进行维护，包括亮化灯具以及开关电源、控制终端、电缆、控制器、线槽管线、配电箱等配套设施。投标人自行查勘现场，须保证亮化设施按原规格（含技术参数、状态能力、与强电控制节点端兼容受控等）进行维保，保证整体亮化效果良好；并消除灯具、线槽管线脱落等安全隐患；落实维护范围内楼宇亮化巡查责任。如招标人发现未能达到要求须无条件进行整改。</w:t>
            </w:r>
          </w:p>
        </w:tc>
        <w:tc>
          <w:tcPr>
            <w:tcW w:w="450" w:type="pct"/>
            <w:vAlign w:val="center"/>
          </w:tcPr>
          <w:p w14:paraId="304D2F39">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栋</w:t>
            </w:r>
          </w:p>
        </w:tc>
        <w:tc>
          <w:tcPr>
            <w:tcW w:w="406" w:type="pct"/>
            <w:vAlign w:val="center"/>
          </w:tcPr>
          <w:p w14:paraId="18B5206D">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1</w:t>
            </w:r>
          </w:p>
        </w:tc>
      </w:tr>
      <w:tr w14:paraId="058C6A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48" w:type="pct"/>
            <w:vAlign w:val="center"/>
          </w:tcPr>
          <w:p w14:paraId="0150D7CF">
            <w:pPr>
              <w:spacing w:after="0" w:line="240" w:lineRule="auto"/>
              <w:jc w:val="center"/>
              <w:rPr>
                <w:rFonts w:hint="eastAsia" w:ascii="Times New Roman" w:hAnsi="Times New Roman" w:eastAsia="宋体" w:cs="Times New Roman"/>
                <w:szCs w:val="21"/>
                <w:lang w:eastAsia="zh-CN"/>
              </w:rPr>
            </w:pPr>
            <w:r>
              <w:rPr>
                <w:rFonts w:ascii="Times New Roman" w:hAnsi="Times New Roman" w:eastAsia="宋体" w:cs="Times New Roman"/>
                <w:szCs w:val="21"/>
              </w:rPr>
              <w:t>1</w:t>
            </w:r>
            <w:r>
              <w:rPr>
                <w:rFonts w:hint="eastAsia" w:ascii="Times New Roman" w:hAnsi="Times New Roman" w:eastAsia="宋体" w:cs="Times New Roman"/>
                <w:szCs w:val="21"/>
                <w:lang w:val="en-US" w:eastAsia="zh-CN"/>
              </w:rPr>
              <w:t>0</w:t>
            </w:r>
          </w:p>
        </w:tc>
        <w:tc>
          <w:tcPr>
            <w:tcW w:w="504" w:type="pct"/>
            <w:vMerge w:val="continue"/>
            <w:vAlign w:val="center"/>
          </w:tcPr>
          <w:p w14:paraId="54B6C580">
            <w:pPr>
              <w:spacing w:after="0" w:line="240" w:lineRule="auto"/>
              <w:jc w:val="center"/>
              <w:rPr>
                <w:rFonts w:ascii="Times New Roman" w:hAnsi="Times New Roman" w:eastAsia="宋体" w:cs="Times New Roman"/>
                <w:szCs w:val="21"/>
              </w:rPr>
            </w:pPr>
          </w:p>
        </w:tc>
        <w:tc>
          <w:tcPr>
            <w:tcW w:w="566" w:type="pct"/>
            <w:vAlign w:val="center"/>
          </w:tcPr>
          <w:p w14:paraId="1914E5B7">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丰园苑</w:t>
            </w:r>
          </w:p>
        </w:tc>
        <w:tc>
          <w:tcPr>
            <w:tcW w:w="2823" w:type="pct"/>
          </w:tcPr>
          <w:p w14:paraId="118D5988">
            <w:pPr>
              <w:spacing w:after="0" w:line="240" w:lineRule="auto"/>
              <w:rPr>
                <w:rFonts w:ascii="Times New Roman" w:hAnsi="Times New Roman" w:eastAsia="宋体" w:cs="Times New Roman"/>
                <w:szCs w:val="21"/>
              </w:rPr>
            </w:pPr>
            <w:r>
              <w:rPr>
                <w:rFonts w:hint="eastAsia" w:ascii="Times New Roman" w:hAnsi="Times New Roman" w:eastAsia="宋体" w:cs="Times New Roman"/>
                <w:szCs w:val="21"/>
              </w:rPr>
              <w:t>对楼宇亮化设施进行维护，包括亮化灯具以及开关电源、控制终端、电缆、控制器、线槽管线、配电箱等配套设施。投标人自行查勘现场，须保证亮化设施按原规格（含技术参数、状态能力、与强电控制节点端兼容受控等）进行维保，保证整体亮化效果良好；并消除灯具、线槽管线脱落等安全隐患；落实维护范围内楼宇亮化巡查责任。如招标人发现未能达到要求须无条件进行整改。</w:t>
            </w:r>
          </w:p>
        </w:tc>
        <w:tc>
          <w:tcPr>
            <w:tcW w:w="450" w:type="pct"/>
            <w:vAlign w:val="center"/>
          </w:tcPr>
          <w:p w14:paraId="4ECC55AF">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栋</w:t>
            </w:r>
          </w:p>
        </w:tc>
        <w:tc>
          <w:tcPr>
            <w:tcW w:w="406" w:type="pct"/>
            <w:vAlign w:val="center"/>
          </w:tcPr>
          <w:p w14:paraId="5300A3D2">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4</w:t>
            </w:r>
          </w:p>
        </w:tc>
      </w:tr>
      <w:tr w14:paraId="50A780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48" w:type="pct"/>
            <w:vAlign w:val="center"/>
          </w:tcPr>
          <w:p w14:paraId="58A5C66E">
            <w:pPr>
              <w:spacing w:after="0" w:line="240" w:lineRule="auto"/>
              <w:jc w:val="center"/>
              <w:rPr>
                <w:rFonts w:hint="eastAsia" w:ascii="Times New Roman" w:hAnsi="Times New Roman" w:eastAsia="宋体" w:cs="Times New Roman"/>
                <w:szCs w:val="21"/>
                <w:lang w:eastAsia="zh-CN"/>
              </w:rPr>
            </w:pPr>
            <w:r>
              <w:rPr>
                <w:rFonts w:ascii="Times New Roman" w:hAnsi="Times New Roman" w:eastAsia="宋体" w:cs="Times New Roman"/>
                <w:szCs w:val="21"/>
              </w:rPr>
              <w:t>1</w:t>
            </w:r>
            <w:r>
              <w:rPr>
                <w:rFonts w:hint="eastAsia" w:ascii="Times New Roman" w:hAnsi="Times New Roman" w:eastAsia="宋体" w:cs="Times New Roman"/>
                <w:szCs w:val="21"/>
                <w:lang w:val="en-US" w:eastAsia="zh-CN"/>
              </w:rPr>
              <w:t>1</w:t>
            </w:r>
          </w:p>
        </w:tc>
        <w:tc>
          <w:tcPr>
            <w:tcW w:w="504" w:type="pct"/>
            <w:vMerge w:val="continue"/>
            <w:vAlign w:val="center"/>
          </w:tcPr>
          <w:p w14:paraId="3E8BF2C1">
            <w:pPr>
              <w:spacing w:after="0" w:line="240" w:lineRule="auto"/>
              <w:jc w:val="center"/>
              <w:rPr>
                <w:rFonts w:ascii="Times New Roman" w:hAnsi="Times New Roman" w:eastAsia="宋体" w:cs="Times New Roman"/>
                <w:szCs w:val="21"/>
              </w:rPr>
            </w:pPr>
          </w:p>
        </w:tc>
        <w:tc>
          <w:tcPr>
            <w:tcW w:w="566" w:type="pct"/>
            <w:vAlign w:val="center"/>
          </w:tcPr>
          <w:p w14:paraId="7C5D12E8">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华芳国际</w:t>
            </w:r>
          </w:p>
        </w:tc>
        <w:tc>
          <w:tcPr>
            <w:tcW w:w="2823" w:type="pct"/>
          </w:tcPr>
          <w:p w14:paraId="59E5707E">
            <w:pPr>
              <w:spacing w:after="0" w:line="240" w:lineRule="auto"/>
              <w:rPr>
                <w:rFonts w:ascii="Times New Roman" w:hAnsi="Times New Roman" w:eastAsia="宋体" w:cs="Times New Roman"/>
                <w:szCs w:val="21"/>
              </w:rPr>
            </w:pPr>
            <w:r>
              <w:rPr>
                <w:rFonts w:hint="eastAsia" w:ascii="Times New Roman" w:hAnsi="Times New Roman" w:eastAsia="宋体" w:cs="Times New Roman"/>
                <w:szCs w:val="21"/>
              </w:rPr>
              <w:t>对楼宇亮化设施进行维护，包括亮化灯具以及开关电源、控制终端、电缆、控制器、线槽管线、配电箱等配套设施。投标人自行查勘现场，须保证亮化设施按原规格（含技术参数、状态能力、与强电控制节点端兼容受控等）进行维保，保证整体亮化效果良好；并消除灯具、线槽管线脱落等安全隐患；落实维护范围内楼宇亮化巡查责任。如招标人发现未能达到要求须无条件进行整改。</w:t>
            </w:r>
          </w:p>
        </w:tc>
        <w:tc>
          <w:tcPr>
            <w:tcW w:w="450" w:type="pct"/>
            <w:vAlign w:val="center"/>
          </w:tcPr>
          <w:p w14:paraId="7C92E2DD">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栋</w:t>
            </w:r>
          </w:p>
        </w:tc>
        <w:tc>
          <w:tcPr>
            <w:tcW w:w="406" w:type="pct"/>
            <w:vAlign w:val="center"/>
          </w:tcPr>
          <w:p w14:paraId="5B9E5F7E">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8</w:t>
            </w:r>
          </w:p>
        </w:tc>
      </w:tr>
      <w:tr w14:paraId="0A2BBA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48" w:type="pct"/>
            <w:vAlign w:val="center"/>
          </w:tcPr>
          <w:p w14:paraId="189A4E35">
            <w:pPr>
              <w:spacing w:after="0" w:line="240" w:lineRule="auto"/>
              <w:jc w:val="center"/>
              <w:rPr>
                <w:rFonts w:hint="eastAsia" w:ascii="Times New Roman" w:hAnsi="Times New Roman" w:eastAsia="宋体" w:cs="Times New Roman"/>
                <w:szCs w:val="21"/>
                <w:lang w:eastAsia="zh-CN"/>
              </w:rPr>
            </w:pPr>
            <w:r>
              <w:rPr>
                <w:rFonts w:ascii="Times New Roman" w:hAnsi="Times New Roman" w:eastAsia="宋体" w:cs="Times New Roman"/>
                <w:szCs w:val="21"/>
              </w:rPr>
              <w:t>1</w:t>
            </w:r>
            <w:r>
              <w:rPr>
                <w:rFonts w:hint="eastAsia" w:ascii="Times New Roman" w:hAnsi="Times New Roman" w:eastAsia="宋体" w:cs="Times New Roman"/>
                <w:szCs w:val="21"/>
                <w:lang w:val="en-US" w:eastAsia="zh-CN"/>
              </w:rPr>
              <w:t>2</w:t>
            </w:r>
          </w:p>
        </w:tc>
        <w:tc>
          <w:tcPr>
            <w:tcW w:w="504" w:type="pct"/>
            <w:vMerge w:val="continue"/>
            <w:vAlign w:val="center"/>
          </w:tcPr>
          <w:p w14:paraId="21D80012">
            <w:pPr>
              <w:spacing w:after="0" w:line="240" w:lineRule="auto"/>
              <w:jc w:val="center"/>
              <w:rPr>
                <w:rFonts w:ascii="Times New Roman" w:hAnsi="Times New Roman" w:eastAsia="宋体" w:cs="Times New Roman"/>
                <w:szCs w:val="21"/>
              </w:rPr>
            </w:pPr>
          </w:p>
        </w:tc>
        <w:tc>
          <w:tcPr>
            <w:tcW w:w="566" w:type="pct"/>
            <w:vAlign w:val="center"/>
          </w:tcPr>
          <w:p w14:paraId="10CA54E8">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臻园</w:t>
            </w:r>
          </w:p>
        </w:tc>
        <w:tc>
          <w:tcPr>
            <w:tcW w:w="2823" w:type="pct"/>
          </w:tcPr>
          <w:p w14:paraId="6533DD35">
            <w:pPr>
              <w:spacing w:after="0" w:line="240" w:lineRule="auto"/>
              <w:rPr>
                <w:rFonts w:ascii="Times New Roman" w:hAnsi="Times New Roman" w:eastAsia="宋体" w:cs="Times New Roman"/>
                <w:szCs w:val="21"/>
              </w:rPr>
            </w:pPr>
            <w:r>
              <w:rPr>
                <w:rFonts w:hint="eastAsia" w:ascii="Times New Roman" w:hAnsi="Times New Roman" w:eastAsia="宋体" w:cs="Times New Roman"/>
                <w:szCs w:val="21"/>
              </w:rPr>
              <w:t>对楼宇亮化设施进行维护，包括亮化灯具以及开关电源、控制终端、电缆、控制器、线槽管线、配电箱等配套设施。投标人自行查勘现场，须保证亮化设施按原规格（含技术参数、状态能力、与强电控制节点端兼容受控等）进行维保，保证整体亮化效果良好；并消除灯具、线槽管线脱落等安全隐患；落实维护范围内楼宇亮化巡查责任。如招标人发现未能达到要求须无条件进行整改。</w:t>
            </w:r>
          </w:p>
        </w:tc>
        <w:tc>
          <w:tcPr>
            <w:tcW w:w="450" w:type="pct"/>
            <w:vAlign w:val="center"/>
          </w:tcPr>
          <w:p w14:paraId="4478808D">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栋</w:t>
            </w:r>
          </w:p>
        </w:tc>
        <w:tc>
          <w:tcPr>
            <w:tcW w:w="406" w:type="pct"/>
            <w:vAlign w:val="center"/>
          </w:tcPr>
          <w:p w14:paraId="56ED6684">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5</w:t>
            </w:r>
          </w:p>
        </w:tc>
      </w:tr>
      <w:tr w14:paraId="6E6094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48" w:type="pct"/>
            <w:vAlign w:val="center"/>
          </w:tcPr>
          <w:p w14:paraId="72C9DBD4">
            <w:pPr>
              <w:spacing w:after="0" w:line="240" w:lineRule="auto"/>
              <w:jc w:val="center"/>
              <w:rPr>
                <w:rFonts w:hint="eastAsia" w:ascii="Times New Roman" w:hAnsi="Times New Roman" w:eastAsia="宋体" w:cs="Times New Roman"/>
                <w:szCs w:val="21"/>
                <w:lang w:eastAsia="zh-CN"/>
              </w:rPr>
            </w:pPr>
            <w:r>
              <w:rPr>
                <w:rFonts w:ascii="Times New Roman" w:hAnsi="Times New Roman" w:eastAsia="宋体" w:cs="Times New Roman"/>
                <w:szCs w:val="21"/>
              </w:rPr>
              <w:t>1</w:t>
            </w:r>
            <w:r>
              <w:rPr>
                <w:rFonts w:hint="eastAsia" w:ascii="Times New Roman" w:hAnsi="Times New Roman" w:eastAsia="宋体" w:cs="Times New Roman"/>
                <w:szCs w:val="21"/>
                <w:lang w:val="en-US" w:eastAsia="zh-CN"/>
              </w:rPr>
              <w:t>3</w:t>
            </w:r>
          </w:p>
        </w:tc>
        <w:tc>
          <w:tcPr>
            <w:tcW w:w="504" w:type="pct"/>
            <w:vMerge w:val="continue"/>
            <w:vAlign w:val="center"/>
          </w:tcPr>
          <w:p w14:paraId="265D76E6">
            <w:pPr>
              <w:spacing w:after="0" w:line="240" w:lineRule="auto"/>
              <w:jc w:val="center"/>
              <w:rPr>
                <w:rFonts w:ascii="Times New Roman" w:hAnsi="Times New Roman" w:eastAsia="宋体" w:cs="Times New Roman"/>
                <w:szCs w:val="21"/>
              </w:rPr>
            </w:pPr>
          </w:p>
        </w:tc>
        <w:tc>
          <w:tcPr>
            <w:tcW w:w="566" w:type="pct"/>
            <w:vAlign w:val="center"/>
          </w:tcPr>
          <w:p w14:paraId="302683AA">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北荡社区综合楼</w:t>
            </w:r>
          </w:p>
        </w:tc>
        <w:tc>
          <w:tcPr>
            <w:tcW w:w="2823" w:type="pct"/>
          </w:tcPr>
          <w:p w14:paraId="43879FD0">
            <w:pPr>
              <w:spacing w:after="0" w:line="240" w:lineRule="auto"/>
              <w:rPr>
                <w:rFonts w:ascii="Times New Roman" w:hAnsi="Times New Roman" w:eastAsia="宋体" w:cs="Times New Roman"/>
                <w:szCs w:val="21"/>
              </w:rPr>
            </w:pPr>
            <w:r>
              <w:rPr>
                <w:rFonts w:hint="eastAsia" w:ascii="Times New Roman" w:hAnsi="Times New Roman" w:eastAsia="宋体" w:cs="Times New Roman"/>
                <w:szCs w:val="21"/>
              </w:rPr>
              <w:t>对楼宇亮化设施进行维护，包括亮化灯具以及开关电源、控制终端、电缆、控制器、线槽管线、配电箱等配套设施。投标人自行查勘现场，须保证亮化设施按原规格（含技术参数、状态能力、与强电控制节点端兼容受控等）进行维保，保证整体亮化效果良好；并消除灯具、线槽管线脱落等安全隐患；落实维护范围内楼宇亮化巡查责任。如招标人发现未能达到要求须无条件进行整改。</w:t>
            </w:r>
          </w:p>
        </w:tc>
        <w:tc>
          <w:tcPr>
            <w:tcW w:w="450" w:type="pct"/>
            <w:vAlign w:val="center"/>
          </w:tcPr>
          <w:p w14:paraId="54E4C188">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栋</w:t>
            </w:r>
          </w:p>
        </w:tc>
        <w:tc>
          <w:tcPr>
            <w:tcW w:w="406" w:type="pct"/>
            <w:vAlign w:val="center"/>
          </w:tcPr>
          <w:p w14:paraId="23A9FA63">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1</w:t>
            </w:r>
          </w:p>
        </w:tc>
      </w:tr>
      <w:tr w14:paraId="304B22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48" w:type="pct"/>
            <w:vAlign w:val="center"/>
          </w:tcPr>
          <w:p w14:paraId="1CF51DD2">
            <w:pPr>
              <w:spacing w:after="0" w:line="240" w:lineRule="auto"/>
              <w:jc w:val="center"/>
              <w:rPr>
                <w:rFonts w:hint="eastAsia" w:ascii="Times New Roman" w:hAnsi="Times New Roman" w:eastAsia="宋体" w:cs="Times New Roman"/>
                <w:szCs w:val="21"/>
                <w:lang w:eastAsia="zh-CN"/>
              </w:rPr>
            </w:pPr>
            <w:r>
              <w:rPr>
                <w:rFonts w:ascii="Times New Roman" w:hAnsi="Times New Roman" w:eastAsia="宋体" w:cs="Times New Roman"/>
                <w:szCs w:val="21"/>
              </w:rPr>
              <w:t>1</w:t>
            </w:r>
            <w:r>
              <w:rPr>
                <w:rFonts w:hint="eastAsia" w:ascii="Times New Roman" w:hAnsi="Times New Roman" w:eastAsia="宋体" w:cs="Times New Roman"/>
                <w:szCs w:val="21"/>
                <w:lang w:val="en-US" w:eastAsia="zh-CN"/>
              </w:rPr>
              <w:t>4</w:t>
            </w:r>
          </w:p>
        </w:tc>
        <w:tc>
          <w:tcPr>
            <w:tcW w:w="504" w:type="pct"/>
            <w:vMerge w:val="continue"/>
            <w:vAlign w:val="center"/>
          </w:tcPr>
          <w:p w14:paraId="7BBA96F6">
            <w:pPr>
              <w:spacing w:after="0" w:line="240" w:lineRule="auto"/>
              <w:jc w:val="center"/>
              <w:rPr>
                <w:rFonts w:ascii="Times New Roman" w:hAnsi="Times New Roman" w:eastAsia="宋体" w:cs="Times New Roman"/>
                <w:szCs w:val="21"/>
              </w:rPr>
            </w:pPr>
          </w:p>
        </w:tc>
        <w:tc>
          <w:tcPr>
            <w:tcW w:w="566" w:type="pct"/>
            <w:vAlign w:val="center"/>
          </w:tcPr>
          <w:p w14:paraId="5F810224">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彩虹城</w:t>
            </w:r>
          </w:p>
        </w:tc>
        <w:tc>
          <w:tcPr>
            <w:tcW w:w="2823" w:type="pct"/>
          </w:tcPr>
          <w:p w14:paraId="6EB2E1B5">
            <w:pPr>
              <w:spacing w:after="0" w:line="240" w:lineRule="auto"/>
              <w:rPr>
                <w:rFonts w:ascii="Times New Roman" w:hAnsi="Times New Roman" w:eastAsia="宋体" w:cs="Times New Roman"/>
                <w:szCs w:val="21"/>
              </w:rPr>
            </w:pPr>
            <w:r>
              <w:rPr>
                <w:rFonts w:hint="eastAsia" w:ascii="Times New Roman" w:hAnsi="Times New Roman" w:eastAsia="宋体" w:cs="Times New Roman"/>
                <w:szCs w:val="21"/>
              </w:rPr>
              <w:t>对楼宇亮化设施进行维护，包括亮化灯具以及开关电源、控制终端、电缆、控制器、线槽管线、配电箱等配套设施。投标人自行查勘现场，须保证亮化设施按原规格（含技术参数、状态能力、与强电控制节点端兼容受控等）进行维保，保证整体亮化效果良好；并消除灯具、线槽管线脱落等安全隐患；落实维护范围内楼宇亮化巡查责任。如招标人发现未能达到要求须无条件进行整改。</w:t>
            </w:r>
          </w:p>
        </w:tc>
        <w:tc>
          <w:tcPr>
            <w:tcW w:w="450" w:type="pct"/>
            <w:vAlign w:val="center"/>
          </w:tcPr>
          <w:p w14:paraId="7445C09A">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栋</w:t>
            </w:r>
          </w:p>
        </w:tc>
        <w:tc>
          <w:tcPr>
            <w:tcW w:w="406" w:type="pct"/>
            <w:vAlign w:val="center"/>
          </w:tcPr>
          <w:p w14:paraId="31A081B6">
            <w:pPr>
              <w:spacing w:after="0" w:line="240" w:lineRule="auto"/>
              <w:jc w:val="center"/>
              <w:rPr>
                <w:rFonts w:hint="eastAsia" w:ascii="Times New Roman" w:hAnsi="Times New Roman" w:eastAsia="宋体" w:cs="Times New Roman"/>
                <w:szCs w:val="21"/>
                <w:lang w:eastAsia="zh-CN"/>
              </w:rPr>
            </w:pPr>
            <w:r>
              <w:rPr>
                <w:rFonts w:hint="eastAsia" w:ascii="Times New Roman" w:hAnsi="Times New Roman" w:eastAsia="宋体" w:cs="Times New Roman"/>
                <w:color w:val="auto"/>
                <w:szCs w:val="21"/>
                <w:lang w:val="en-US" w:eastAsia="zh-CN"/>
              </w:rPr>
              <w:t>2</w:t>
            </w:r>
          </w:p>
        </w:tc>
      </w:tr>
      <w:tr w14:paraId="2824A6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48" w:type="pct"/>
            <w:vAlign w:val="center"/>
          </w:tcPr>
          <w:p w14:paraId="5ED015AC">
            <w:pPr>
              <w:spacing w:after="0" w:line="240" w:lineRule="auto"/>
              <w:jc w:val="center"/>
              <w:rPr>
                <w:rFonts w:hint="eastAsia" w:ascii="Times New Roman" w:hAnsi="Times New Roman" w:eastAsia="宋体" w:cs="Times New Roman"/>
                <w:szCs w:val="21"/>
                <w:lang w:eastAsia="zh-CN"/>
              </w:rPr>
            </w:pPr>
            <w:r>
              <w:rPr>
                <w:rFonts w:ascii="Times New Roman" w:hAnsi="Times New Roman" w:eastAsia="宋体" w:cs="Times New Roman"/>
                <w:szCs w:val="21"/>
              </w:rPr>
              <w:t>1</w:t>
            </w:r>
            <w:r>
              <w:rPr>
                <w:rFonts w:hint="eastAsia" w:ascii="Times New Roman" w:hAnsi="Times New Roman" w:eastAsia="宋体" w:cs="Times New Roman"/>
                <w:szCs w:val="21"/>
                <w:lang w:val="en-US" w:eastAsia="zh-CN"/>
              </w:rPr>
              <w:t>5</w:t>
            </w:r>
          </w:p>
        </w:tc>
        <w:tc>
          <w:tcPr>
            <w:tcW w:w="504" w:type="pct"/>
            <w:vMerge w:val="continue"/>
            <w:vAlign w:val="center"/>
          </w:tcPr>
          <w:p w14:paraId="4100DBF4">
            <w:pPr>
              <w:spacing w:after="0" w:line="240" w:lineRule="auto"/>
              <w:jc w:val="center"/>
              <w:rPr>
                <w:rFonts w:ascii="Times New Roman" w:hAnsi="Times New Roman" w:eastAsia="宋体" w:cs="Times New Roman"/>
                <w:szCs w:val="21"/>
              </w:rPr>
            </w:pPr>
          </w:p>
        </w:tc>
        <w:tc>
          <w:tcPr>
            <w:tcW w:w="566" w:type="pct"/>
            <w:vAlign w:val="center"/>
          </w:tcPr>
          <w:p w14:paraId="27610BC5">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仁和家园和园</w:t>
            </w:r>
          </w:p>
        </w:tc>
        <w:tc>
          <w:tcPr>
            <w:tcW w:w="2823" w:type="pct"/>
          </w:tcPr>
          <w:p w14:paraId="0E1C6424">
            <w:pPr>
              <w:spacing w:after="0" w:line="240" w:lineRule="auto"/>
              <w:rPr>
                <w:rFonts w:ascii="Times New Roman" w:hAnsi="Times New Roman" w:eastAsia="宋体" w:cs="Times New Roman"/>
                <w:szCs w:val="21"/>
              </w:rPr>
            </w:pPr>
            <w:r>
              <w:rPr>
                <w:rFonts w:hint="eastAsia" w:ascii="Times New Roman" w:hAnsi="Times New Roman" w:eastAsia="宋体" w:cs="Times New Roman"/>
                <w:szCs w:val="21"/>
              </w:rPr>
              <w:t>对楼宇亮化设施进行维护，包括亮化灯具以及开关电源、控制终端、电缆、控制器、线槽管线、配电箱等配套设施。投标人自行查勘现场，须保证亮化设施按原规格（含技术参数、状态能力、与强电控制节点端兼容受控等）进行维保，保证整体亮化效果良好；并消除灯具、线槽管线脱落等安全隐患；落实维护范围内楼宇亮化巡查责任。如招标人发现未能达到要求须无条件进行整改。</w:t>
            </w:r>
          </w:p>
        </w:tc>
        <w:tc>
          <w:tcPr>
            <w:tcW w:w="450" w:type="pct"/>
            <w:vAlign w:val="center"/>
          </w:tcPr>
          <w:p w14:paraId="3BB3CF6A">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栋</w:t>
            </w:r>
          </w:p>
        </w:tc>
        <w:tc>
          <w:tcPr>
            <w:tcW w:w="406" w:type="pct"/>
            <w:vAlign w:val="center"/>
          </w:tcPr>
          <w:p w14:paraId="6265B311">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4</w:t>
            </w:r>
          </w:p>
        </w:tc>
      </w:tr>
      <w:tr w14:paraId="2423BD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48" w:type="pct"/>
            <w:vAlign w:val="center"/>
          </w:tcPr>
          <w:p w14:paraId="52AE2032">
            <w:pPr>
              <w:spacing w:after="0" w:line="240" w:lineRule="auto"/>
              <w:jc w:val="center"/>
              <w:rPr>
                <w:rFonts w:hint="eastAsia" w:ascii="Times New Roman" w:hAnsi="Times New Roman" w:eastAsia="宋体" w:cs="Times New Roman"/>
                <w:szCs w:val="21"/>
                <w:lang w:eastAsia="zh-CN"/>
              </w:rPr>
            </w:pPr>
            <w:r>
              <w:rPr>
                <w:rFonts w:ascii="Times New Roman" w:hAnsi="Times New Roman" w:eastAsia="宋体" w:cs="Times New Roman"/>
                <w:szCs w:val="21"/>
              </w:rPr>
              <w:t>1</w:t>
            </w:r>
            <w:r>
              <w:rPr>
                <w:rFonts w:hint="eastAsia" w:ascii="Times New Roman" w:hAnsi="Times New Roman" w:eastAsia="宋体" w:cs="Times New Roman"/>
                <w:szCs w:val="21"/>
                <w:lang w:val="en-US" w:eastAsia="zh-CN"/>
              </w:rPr>
              <w:t>6</w:t>
            </w:r>
          </w:p>
        </w:tc>
        <w:tc>
          <w:tcPr>
            <w:tcW w:w="504" w:type="pct"/>
            <w:vMerge w:val="continue"/>
            <w:vAlign w:val="center"/>
          </w:tcPr>
          <w:p w14:paraId="55CF31B0">
            <w:pPr>
              <w:spacing w:after="0" w:line="240" w:lineRule="auto"/>
              <w:jc w:val="center"/>
              <w:rPr>
                <w:rFonts w:ascii="Times New Roman" w:hAnsi="Times New Roman" w:eastAsia="宋体" w:cs="Times New Roman"/>
                <w:szCs w:val="21"/>
              </w:rPr>
            </w:pPr>
          </w:p>
        </w:tc>
        <w:tc>
          <w:tcPr>
            <w:tcW w:w="566" w:type="pct"/>
            <w:vAlign w:val="center"/>
          </w:tcPr>
          <w:p w14:paraId="23493AAD">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西湖一品</w:t>
            </w:r>
          </w:p>
        </w:tc>
        <w:tc>
          <w:tcPr>
            <w:tcW w:w="2823" w:type="pct"/>
          </w:tcPr>
          <w:p w14:paraId="401B27C6">
            <w:pPr>
              <w:spacing w:after="0" w:line="240" w:lineRule="auto"/>
              <w:rPr>
                <w:rFonts w:ascii="Times New Roman" w:hAnsi="Times New Roman" w:eastAsia="宋体" w:cs="Times New Roman"/>
                <w:szCs w:val="21"/>
              </w:rPr>
            </w:pPr>
            <w:r>
              <w:rPr>
                <w:rFonts w:hint="eastAsia" w:ascii="Times New Roman" w:hAnsi="Times New Roman" w:eastAsia="宋体" w:cs="Times New Roman"/>
                <w:szCs w:val="21"/>
              </w:rPr>
              <w:t>对楼宇亮化设施进行维护，包括亮化灯具以及开关电源、控制终端、电缆、控制器、线槽管线、配电箱等配套设施。投标人自行查勘现场，须保证亮化设施按原规格（含技术参数、状态能力、与强电控制节点端兼容受控等）进行维保，保证整体亮化效果良好；并消除灯具、线槽管线脱落等安全隐患；落实维护范围内楼宇亮化巡查责任。如招标人发现未能达到要求须无条件进行整改。</w:t>
            </w:r>
          </w:p>
        </w:tc>
        <w:tc>
          <w:tcPr>
            <w:tcW w:w="450" w:type="pct"/>
            <w:vAlign w:val="center"/>
          </w:tcPr>
          <w:p w14:paraId="629CB353">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栋</w:t>
            </w:r>
          </w:p>
        </w:tc>
        <w:tc>
          <w:tcPr>
            <w:tcW w:w="406" w:type="pct"/>
            <w:vAlign w:val="center"/>
          </w:tcPr>
          <w:p w14:paraId="19B7F013">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6</w:t>
            </w:r>
          </w:p>
        </w:tc>
      </w:tr>
      <w:tr w14:paraId="099113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48" w:type="pct"/>
            <w:vAlign w:val="center"/>
          </w:tcPr>
          <w:p w14:paraId="51BE0D6D">
            <w:pPr>
              <w:spacing w:after="0" w:line="240" w:lineRule="auto"/>
              <w:jc w:val="center"/>
              <w:rPr>
                <w:rFonts w:hint="eastAsia" w:ascii="Times New Roman" w:hAnsi="Times New Roman" w:eastAsia="宋体" w:cs="Times New Roman"/>
                <w:szCs w:val="21"/>
                <w:lang w:eastAsia="zh-CN"/>
              </w:rPr>
            </w:pPr>
            <w:r>
              <w:rPr>
                <w:rFonts w:ascii="Times New Roman" w:hAnsi="Times New Roman" w:eastAsia="宋体" w:cs="Times New Roman"/>
                <w:szCs w:val="21"/>
              </w:rPr>
              <w:t>1</w:t>
            </w:r>
            <w:r>
              <w:rPr>
                <w:rFonts w:hint="eastAsia" w:ascii="Times New Roman" w:hAnsi="Times New Roman" w:eastAsia="宋体" w:cs="Times New Roman"/>
                <w:szCs w:val="21"/>
                <w:lang w:val="en-US" w:eastAsia="zh-CN"/>
              </w:rPr>
              <w:t>7</w:t>
            </w:r>
          </w:p>
        </w:tc>
        <w:tc>
          <w:tcPr>
            <w:tcW w:w="504" w:type="pct"/>
            <w:vMerge w:val="continue"/>
            <w:vAlign w:val="center"/>
          </w:tcPr>
          <w:p w14:paraId="4647243A">
            <w:pPr>
              <w:spacing w:after="0" w:line="240" w:lineRule="auto"/>
              <w:jc w:val="center"/>
              <w:rPr>
                <w:rFonts w:ascii="Times New Roman" w:hAnsi="Times New Roman" w:eastAsia="宋体" w:cs="Times New Roman"/>
                <w:szCs w:val="21"/>
              </w:rPr>
            </w:pPr>
          </w:p>
        </w:tc>
        <w:tc>
          <w:tcPr>
            <w:tcW w:w="566" w:type="pct"/>
            <w:vAlign w:val="center"/>
          </w:tcPr>
          <w:p w14:paraId="72B3EAC8">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江南新城</w:t>
            </w:r>
          </w:p>
        </w:tc>
        <w:tc>
          <w:tcPr>
            <w:tcW w:w="2823" w:type="pct"/>
          </w:tcPr>
          <w:p w14:paraId="0F95B551">
            <w:pPr>
              <w:spacing w:after="0" w:line="240" w:lineRule="auto"/>
              <w:rPr>
                <w:rFonts w:ascii="Times New Roman" w:hAnsi="Times New Roman" w:eastAsia="宋体" w:cs="Times New Roman"/>
                <w:szCs w:val="21"/>
              </w:rPr>
            </w:pPr>
            <w:r>
              <w:rPr>
                <w:rFonts w:hint="eastAsia" w:ascii="Times New Roman" w:hAnsi="Times New Roman" w:eastAsia="宋体" w:cs="Times New Roman"/>
                <w:szCs w:val="21"/>
              </w:rPr>
              <w:t>对楼宇亮化设施进行维护，包括亮化灯具以及开关电源、控制终端、电缆、控制器、线槽管线、配电箱等配套设施。投标人自行查勘现场，须保证亮化设施按原规格（含技术参数、状态能力、与强电控制节点端兼容受控等）进行维保，保证整体亮化效果良好；并消除灯具、线槽管线脱落等安全隐患；落实维护范围内楼宇亮化巡查责任。如招标人发现未能达到要求须无条件进行整改。</w:t>
            </w:r>
          </w:p>
        </w:tc>
        <w:tc>
          <w:tcPr>
            <w:tcW w:w="450" w:type="pct"/>
            <w:vAlign w:val="center"/>
          </w:tcPr>
          <w:p w14:paraId="6D461EEC">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栋</w:t>
            </w:r>
          </w:p>
        </w:tc>
        <w:tc>
          <w:tcPr>
            <w:tcW w:w="406" w:type="pct"/>
            <w:vAlign w:val="center"/>
          </w:tcPr>
          <w:p w14:paraId="30B914D9">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11</w:t>
            </w:r>
          </w:p>
        </w:tc>
      </w:tr>
      <w:tr w14:paraId="32D3EB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48" w:type="pct"/>
            <w:vAlign w:val="center"/>
          </w:tcPr>
          <w:p w14:paraId="6687FB50">
            <w:pPr>
              <w:spacing w:after="0" w:line="240" w:lineRule="auto"/>
              <w:jc w:val="center"/>
              <w:rPr>
                <w:rFonts w:hint="eastAsia" w:ascii="Times New Roman" w:hAnsi="Times New Roman" w:eastAsia="宋体" w:cs="Times New Roman"/>
                <w:szCs w:val="21"/>
                <w:lang w:eastAsia="zh-CN"/>
              </w:rPr>
            </w:pPr>
            <w:r>
              <w:rPr>
                <w:rFonts w:ascii="Times New Roman" w:hAnsi="Times New Roman" w:eastAsia="宋体" w:cs="Times New Roman"/>
                <w:szCs w:val="21"/>
              </w:rPr>
              <w:t>1</w:t>
            </w:r>
            <w:r>
              <w:rPr>
                <w:rFonts w:hint="eastAsia" w:ascii="Times New Roman" w:hAnsi="Times New Roman" w:eastAsia="宋体" w:cs="Times New Roman"/>
                <w:szCs w:val="21"/>
                <w:lang w:val="en-US" w:eastAsia="zh-CN"/>
              </w:rPr>
              <w:t>8</w:t>
            </w:r>
          </w:p>
        </w:tc>
        <w:tc>
          <w:tcPr>
            <w:tcW w:w="504" w:type="pct"/>
            <w:vMerge w:val="continue"/>
            <w:vAlign w:val="center"/>
          </w:tcPr>
          <w:p w14:paraId="1EF0394F">
            <w:pPr>
              <w:spacing w:after="0" w:line="240" w:lineRule="auto"/>
              <w:jc w:val="center"/>
              <w:rPr>
                <w:rFonts w:ascii="Times New Roman" w:hAnsi="Times New Roman" w:eastAsia="宋体" w:cs="Times New Roman"/>
                <w:szCs w:val="21"/>
              </w:rPr>
            </w:pPr>
          </w:p>
        </w:tc>
        <w:tc>
          <w:tcPr>
            <w:tcW w:w="566" w:type="pct"/>
            <w:vAlign w:val="center"/>
          </w:tcPr>
          <w:p w14:paraId="1EC36BE0">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一品世家</w:t>
            </w:r>
          </w:p>
        </w:tc>
        <w:tc>
          <w:tcPr>
            <w:tcW w:w="2823" w:type="pct"/>
          </w:tcPr>
          <w:p w14:paraId="31FB5CE4">
            <w:pPr>
              <w:spacing w:after="0" w:line="240" w:lineRule="auto"/>
              <w:rPr>
                <w:rFonts w:ascii="Times New Roman" w:hAnsi="Times New Roman" w:eastAsia="宋体" w:cs="Times New Roman"/>
                <w:szCs w:val="21"/>
              </w:rPr>
            </w:pPr>
            <w:r>
              <w:rPr>
                <w:rFonts w:hint="eastAsia" w:ascii="Times New Roman" w:hAnsi="Times New Roman" w:eastAsia="宋体" w:cs="Times New Roman"/>
                <w:szCs w:val="21"/>
              </w:rPr>
              <w:t>对楼宇亮化设施进行维护，包括亮化灯具以及开关电源、控制终端、电缆、控制器、线槽管线、配电箱等配套设施。投标人自行查勘现场，须保证亮化设施按原规格（含技术参数、状态能力、与强电控制节点端兼容受控等）进行维保，保证整体亮化效果良好；并消除灯具、线槽管线脱落等安全隐患；落实维护范围内楼宇亮化巡查责任。如招标人发现未能达到要求须无条件进行整改。</w:t>
            </w:r>
          </w:p>
        </w:tc>
        <w:tc>
          <w:tcPr>
            <w:tcW w:w="450" w:type="pct"/>
            <w:vAlign w:val="center"/>
          </w:tcPr>
          <w:p w14:paraId="4BA25C80">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栋</w:t>
            </w:r>
          </w:p>
        </w:tc>
        <w:tc>
          <w:tcPr>
            <w:tcW w:w="406" w:type="pct"/>
            <w:vAlign w:val="center"/>
          </w:tcPr>
          <w:p w14:paraId="35CAE363">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6</w:t>
            </w:r>
          </w:p>
        </w:tc>
      </w:tr>
      <w:tr w14:paraId="22851B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48" w:type="pct"/>
            <w:vAlign w:val="center"/>
          </w:tcPr>
          <w:p w14:paraId="635B3510">
            <w:pPr>
              <w:spacing w:after="0" w:line="240" w:lineRule="auto"/>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19</w:t>
            </w:r>
          </w:p>
        </w:tc>
        <w:tc>
          <w:tcPr>
            <w:tcW w:w="504" w:type="pct"/>
            <w:vMerge w:val="continue"/>
            <w:vAlign w:val="center"/>
          </w:tcPr>
          <w:p w14:paraId="7E567BF1">
            <w:pPr>
              <w:spacing w:after="0" w:line="240" w:lineRule="auto"/>
              <w:jc w:val="center"/>
              <w:rPr>
                <w:rFonts w:ascii="Times New Roman" w:hAnsi="Times New Roman" w:eastAsia="宋体" w:cs="Times New Roman"/>
                <w:szCs w:val="21"/>
              </w:rPr>
            </w:pPr>
          </w:p>
        </w:tc>
        <w:tc>
          <w:tcPr>
            <w:tcW w:w="566" w:type="pct"/>
            <w:vAlign w:val="center"/>
          </w:tcPr>
          <w:p w14:paraId="71BCDBEB">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宁科商业广场</w:t>
            </w:r>
          </w:p>
        </w:tc>
        <w:tc>
          <w:tcPr>
            <w:tcW w:w="2823" w:type="pct"/>
          </w:tcPr>
          <w:p w14:paraId="4B47A5F9">
            <w:pPr>
              <w:spacing w:after="0" w:line="240" w:lineRule="auto"/>
              <w:rPr>
                <w:rFonts w:ascii="Times New Roman" w:hAnsi="Times New Roman" w:eastAsia="宋体" w:cs="Times New Roman"/>
                <w:szCs w:val="21"/>
              </w:rPr>
            </w:pPr>
            <w:r>
              <w:rPr>
                <w:rFonts w:hint="eastAsia" w:ascii="Times New Roman" w:hAnsi="Times New Roman" w:eastAsia="宋体" w:cs="Times New Roman"/>
                <w:szCs w:val="21"/>
              </w:rPr>
              <w:t>对楼宇亮化设施进行维护，包括亮化灯具以及开关电源、控制终端、电缆、控制器、线槽管线、配电箱等配套设施。投标人自行查勘现场，须保证亮化设施按原规格（含技术参数、状态能力、与强电控制节点端兼容受控等）进行维保，保证整体亮化效果良好；并消除灯具、线槽管线脱落等安全隐患；落实维护范围内楼宇亮化巡查责任。如招标人发现未能达到要求须无条件进行整改。</w:t>
            </w:r>
          </w:p>
        </w:tc>
        <w:tc>
          <w:tcPr>
            <w:tcW w:w="450" w:type="pct"/>
            <w:vAlign w:val="center"/>
          </w:tcPr>
          <w:p w14:paraId="744F06AB">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栋</w:t>
            </w:r>
          </w:p>
        </w:tc>
        <w:tc>
          <w:tcPr>
            <w:tcW w:w="406" w:type="pct"/>
            <w:vAlign w:val="center"/>
          </w:tcPr>
          <w:p w14:paraId="0769175A">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1</w:t>
            </w:r>
          </w:p>
        </w:tc>
      </w:tr>
      <w:tr w14:paraId="3B341A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48" w:type="pct"/>
            <w:vAlign w:val="center"/>
          </w:tcPr>
          <w:p w14:paraId="77A215E4">
            <w:pPr>
              <w:spacing w:after="0" w:line="240" w:lineRule="auto"/>
              <w:jc w:val="center"/>
              <w:rPr>
                <w:rFonts w:hint="default" w:ascii="Times New Roman" w:hAnsi="Times New Roman" w:eastAsia="宋体" w:cs="Times New Roman"/>
                <w:szCs w:val="21"/>
                <w:lang w:val="en-US" w:eastAsia="zh-CN"/>
              </w:rPr>
            </w:pPr>
            <w:r>
              <w:rPr>
                <w:rFonts w:ascii="Times New Roman" w:hAnsi="Times New Roman" w:eastAsia="宋体" w:cs="Times New Roman"/>
                <w:szCs w:val="21"/>
              </w:rPr>
              <w:t>2</w:t>
            </w:r>
            <w:r>
              <w:rPr>
                <w:rFonts w:hint="eastAsia" w:ascii="Times New Roman" w:hAnsi="Times New Roman" w:eastAsia="宋体" w:cs="Times New Roman"/>
                <w:szCs w:val="21"/>
                <w:lang w:val="en-US" w:eastAsia="zh-CN"/>
              </w:rPr>
              <w:t>0</w:t>
            </w:r>
          </w:p>
        </w:tc>
        <w:tc>
          <w:tcPr>
            <w:tcW w:w="504" w:type="pct"/>
            <w:vMerge w:val="continue"/>
            <w:vAlign w:val="center"/>
          </w:tcPr>
          <w:p w14:paraId="322BB4FD">
            <w:pPr>
              <w:spacing w:after="0" w:line="240" w:lineRule="auto"/>
              <w:jc w:val="center"/>
              <w:rPr>
                <w:rFonts w:ascii="Times New Roman" w:hAnsi="Times New Roman" w:eastAsia="宋体" w:cs="Times New Roman"/>
                <w:szCs w:val="21"/>
              </w:rPr>
            </w:pPr>
          </w:p>
        </w:tc>
        <w:tc>
          <w:tcPr>
            <w:tcW w:w="566" w:type="pct"/>
            <w:vAlign w:val="center"/>
          </w:tcPr>
          <w:p w14:paraId="4AEC0435">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交警队大楼</w:t>
            </w:r>
          </w:p>
        </w:tc>
        <w:tc>
          <w:tcPr>
            <w:tcW w:w="2823" w:type="pct"/>
          </w:tcPr>
          <w:p w14:paraId="3558C07C">
            <w:pPr>
              <w:spacing w:after="0" w:line="240" w:lineRule="auto"/>
              <w:rPr>
                <w:rFonts w:ascii="Times New Roman" w:hAnsi="Times New Roman" w:eastAsia="宋体" w:cs="Times New Roman"/>
                <w:szCs w:val="21"/>
              </w:rPr>
            </w:pPr>
            <w:r>
              <w:rPr>
                <w:rFonts w:hint="eastAsia" w:ascii="Times New Roman" w:hAnsi="Times New Roman" w:eastAsia="宋体" w:cs="Times New Roman"/>
                <w:szCs w:val="21"/>
              </w:rPr>
              <w:t>对楼宇亮化设施进行维护，包括亮化灯具以及开关电源、控制终端、电缆、控制器、线槽管线、配电箱等配套设施。投标人自行查勘现场，须保证亮化设施按原规格（含技术参数、状态能力、与强电控制节点端兼容受控等）进行维保，保证整体亮化效果良好；并消除灯具、线槽管线脱落等安全隐患；落实维护范围内楼宇亮化巡查责任。如招标人发现未能达到要求须无条件进行整改。</w:t>
            </w:r>
          </w:p>
        </w:tc>
        <w:tc>
          <w:tcPr>
            <w:tcW w:w="450" w:type="pct"/>
            <w:vAlign w:val="center"/>
          </w:tcPr>
          <w:p w14:paraId="2DAE7D4B">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栋</w:t>
            </w:r>
          </w:p>
        </w:tc>
        <w:tc>
          <w:tcPr>
            <w:tcW w:w="406" w:type="pct"/>
            <w:vAlign w:val="center"/>
          </w:tcPr>
          <w:p w14:paraId="03803E53">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1</w:t>
            </w:r>
          </w:p>
        </w:tc>
      </w:tr>
      <w:tr w14:paraId="3DFD26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48" w:type="pct"/>
            <w:vAlign w:val="center"/>
          </w:tcPr>
          <w:p w14:paraId="554EF33F">
            <w:pPr>
              <w:spacing w:after="0" w:line="240" w:lineRule="auto"/>
              <w:jc w:val="center"/>
              <w:rPr>
                <w:rFonts w:hint="eastAsia" w:ascii="Times New Roman" w:hAnsi="Times New Roman" w:eastAsia="宋体" w:cs="Times New Roman"/>
                <w:szCs w:val="21"/>
                <w:lang w:eastAsia="zh-CN"/>
              </w:rPr>
            </w:pPr>
            <w:r>
              <w:rPr>
                <w:rFonts w:ascii="Times New Roman" w:hAnsi="Times New Roman" w:eastAsia="宋体" w:cs="Times New Roman"/>
                <w:szCs w:val="21"/>
              </w:rPr>
              <w:t>2</w:t>
            </w:r>
            <w:r>
              <w:rPr>
                <w:rFonts w:hint="eastAsia" w:ascii="Times New Roman" w:hAnsi="Times New Roman" w:eastAsia="宋体" w:cs="Times New Roman"/>
                <w:szCs w:val="21"/>
                <w:lang w:val="en-US" w:eastAsia="zh-CN"/>
              </w:rPr>
              <w:t>1</w:t>
            </w:r>
          </w:p>
        </w:tc>
        <w:tc>
          <w:tcPr>
            <w:tcW w:w="504" w:type="pct"/>
            <w:vMerge w:val="continue"/>
            <w:vAlign w:val="center"/>
          </w:tcPr>
          <w:p w14:paraId="4809437F">
            <w:pPr>
              <w:spacing w:after="0" w:line="240" w:lineRule="auto"/>
              <w:jc w:val="center"/>
              <w:rPr>
                <w:rFonts w:ascii="Times New Roman" w:hAnsi="Times New Roman" w:eastAsia="宋体" w:cs="Times New Roman"/>
                <w:szCs w:val="21"/>
              </w:rPr>
            </w:pPr>
          </w:p>
        </w:tc>
        <w:tc>
          <w:tcPr>
            <w:tcW w:w="566" w:type="pct"/>
            <w:vAlign w:val="center"/>
          </w:tcPr>
          <w:p w14:paraId="29B05FC5">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体育馆、新时代文明实践中心、会议中心</w:t>
            </w:r>
          </w:p>
        </w:tc>
        <w:tc>
          <w:tcPr>
            <w:tcW w:w="2823" w:type="pct"/>
          </w:tcPr>
          <w:p w14:paraId="62944C7D">
            <w:pPr>
              <w:spacing w:after="0" w:line="240" w:lineRule="auto"/>
              <w:rPr>
                <w:rFonts w:ascii="Times New Roman" w:hAnsi="Times New Roman" w:eastAsia="宋体" w:cs="Times New Roman"/>
                <w:szCs w:val="21"/>
              </w:rPr>
            </w:pPr>
            <w:r>
              <w:rPr>
                <w:rFonts w:hint="eastAsia" w:ascii="Times New Roman" w:hAnsi="Times New Roman" w:eastAsia="宋体" w:cs="Times New Roman"/>
                <w:szCs w:val="21"/>
              </w:rPr>
              <w:t>对楼宇亮化设施进行维护，包括亮化灯具以及开关电源、控制终端、电缆、控制器、线槽管线、配电箱等配套设施。投标人自行查勘现场，须保证亮化设施按原规格（含技术参数、状态能力、与强电控制节点端兼容受控等）进行维保，保证整体亮化效果良好；并消除灯具、线槽管线脱落等安全隐患；落实维护范围内楼宇亮化巡查责任。如招标人发现未能达到要求须无条件进行整改。</w:t>
            </w:r>
          </w:p>
        </w:tc>
        <w:tc>
          <w:tcPr>
            <w:tcW w:w="450" w:type="pct"/>
            <w:vAlign w:val="center"/>
          </w:tcPr>
          <w:p w14:paraId="06B4117D">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栋</w:t>
            </w:r>
          </w:p>
        </w:tc>
        <w:tc>
          <w:tcPr>
            <w:tcW w:w="406" w:type="pct"/>
            <w:vAlign w:val="center"/>
          </w:tcPr>
          <w:p w14:paraId="0EE2539E">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3</w:t>
            </w:r>
          </w:p>
        </w:tc>
      </w:tr>
      <w:tr w14:paraId="5898DE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48" w:type="pct"/>
            <w:vAlign w:val="center"/>
          </w:tcPr>
          <w:p w14:paraId="0C8AA37F">
            <w:pPr>
              <w:spacing w:after="0" w:line="240" w:lineRule="auto"/>
              <w:jc w:val="center"/>
              <w:rPr>
                <w:rFonts w:hint="eastAsia" w:ascii="Times New Roman" w:hAnsi="Times New Roman" w:eastAsia="宋体" w:cs="Times New Roman"/>
                <w:szCs w:val="21"/>
                <w:lang w:eastAsia="zh-CN"/>
              </w:rPr>
            </w:pPr>
            <w:r>
              <w:rPr>
                <w:rFonts w:ascii="Times New Roman" w:hAnsi="Times New Roman" w:eastAsia="宋体" w:cs="Times New Roman"/>
                <w:szCs w:val="21"/>
              </w:rPr>
              <w:t>2</w:t>
            </w:r>
            <w:r>
              <w:rPr>
                <w:rFonts w:hint="eastAsia" w:ascii="Times New Roman" w:hAnsi="Times New Roman" w:eastAsia="宋体" w:cs="Times New Roman"/>
                <w:szCs w:val="21"/>
                <w:lang w:val="en-US" w:eastAsia="zh-CN"/>
              </w:rPr>
              <w:t>2</w:t>
            </w:r>
          </w:p>
        </w:tc>
        <w:tc>
          <w:tcPr>
            <w:tcW w:w="504" w:type="pct"/>
            <w:vMerge w:val="continue"/>
            <w:vAlign w:val="center"/>
          </w:tcPr>
          <w:p w14:paraId="7154C1A5">
            <w:pPr>
              <w:spacing w:after="0" w:line="240" w:lineRule="auto"/>
              <w:jc w:val="center"/>
              <w:rPr>
                <w:rFonts w:ascii="Times New Roman" w:hAnsi="Times New Roman" w:eastAsia="宋体" w:cs="Times New Roman"/>
                <w:szCs w:val="21"/>
              </w:rPr>
            </w:pPr>
          </w:p>
        </w:tc>
        <w:tc>
          <w:tcPr>
            <w:tcW w:w="566" w:type="pct"/>
            <w:vAlign w:val="center"/>
          </w:tcPr>
          <w:p w14:paraId="645C4D78">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恒瑞大厦</w:t>
            </w:r>
          </w:p>
        </w:tc>
        <w:tc>
          <w:tcPr>
            <w:tcW w:w="2823" w:type="pct"/>
          </w:tcPr>
          <w:p w14:paraId="75002ED1">
            <w:pPr>
              <w:spacing w:after="0" w:line="240" w:lineRule="auto"/>
              <w:rPr>
                <w:rFonts w:ascii="Times New Roman" w:hAnsi="Times New Roman" w:eastAsia="宋体" w:cs="Times New Roman"/>
                <w:szCs w:val="21"/>
              </w:rPr>
            </w:pPr>
            <w:r>
              <w:rPr>
                <w:rFonts w:hint="eastAsia" w:ascii="Times New Roman" w:hAnsi="Times New Roman" w:eastAsia="宋体" w:cs="Times New Roman"/>
                <w:szCs w:val="21"/>
              </w:rPr>
              <w:t>对楼宇亮化设施进行维护，包括亮化灯具以及开关电源、控制终端、电缆、控制器、线槽管线、配电箱等配套设施。投标人自行查勘现场，须保证亮化设施按原规格（含技术参数、状态能力、与强电控制节点端兼容受控等）进行维保，保证整体亮化效果良好；并消除灯具、线槽管线脱落等安全隐患；落实维护范围内楼宇亮化巡查责任。如招标人发现未能达到要求须无条件进行整改。</w:t>
            </w:r>
          </w:p>
        </w:tc>
        <w:tc>
          <w:tcPr>
            <w:tcW w:w="450" w:type="pct"/>
            <w:vAlign w:val="center"/>
          </w:tcPr>
          <w:p w14:paraId="5C7D3912">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栋</w:t>
            </w:r>
          </w:p>
        </w:tc>
        <w:tc>
          <w:tcPr>
            <w:tcW w:w="406" w:type="pct"/>
            <w:vAlign w:val="center"/>
          </w:tcPr>
          <w:p w14:paraId="5AAC01D7">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1</w:t>
            </w:r>
          </w:p>
        </w:tc>
      </w:tr>
      <w:tr w14:paraId="2C5A6F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48" w:type="pct"/>
            <w:vAlign w:val="center"/>
          </w:tcPr>
          <w:p w14:paraId="2E4A879D">
            <w:pPr>
              <w:spacing w:after="0" w:line="240" w:lineRule="auto"/>
              <w:jc w:val="center"/>
              <w:rPr>
                <w:rFonts w:hint="eastAsia" w:ascii="Times New Roman" w:hAnsi="Times New Roman" w:eastAsia="宋体" w:cs="Times New Roman"/>
                <w:szCs w:val="21"/>
                <w:lang w:eastAsia="zh-CN"/>
              </w:rPr>
            </w:pPr>
            <w:r>
              <w:rPr>
                <w:rFonts w:ascii="Times New Roman" w:hAnsi="Times New Roman" w:eastAsia="宋体" w:cs="Times New Roman"/>
                <w:szCs w:val="21"/>
              </w:rPr>
              <w:t>2</w:t>
            </w:r>
            <w:r>
              <w:rPr>
                <w:rFonts w:hint="eastAsia" w:ascii="Times New Roman" w:hAnsi="Times New Roman" w:eastAsia="宋体" w:cs="Times New Roman"/>
                <w:szCs w:val="21"/>
                <w:lang w:val="en-US" w:eastAsia="zh-CN"/>
              </w:rPr>
              <w:t>3</w:t>
            </w:r>
          </w:p>
        </w:tc>
        <w:tc>
          <w:tcPr>
            <w:tcW w:w="504" w:type="pct"/>
            <w:vMerge w:val="continue"/>
            <w:vAlign w:val="center"/>
          </w:tcPr>
          <w:p w14:paraId="32C98C7D">
            <w:pPr>
              <w:spacing w:after="0" w:line="240" w:lineRule="auto"/>
              <w:jc w:val="center"/>
              <w:rPr>
                <w:rFonts w:ascii="Times New Roman" w:hAnsi="Times New Roman" w:eastAsia="宋体" w:cs="Times New Roman"/>
                <w:szCs w:val="21"/>
              </w:rPr>
            </w:pPr>
          </w:p>
        </w:tc>
        <w:tc>
          <w:tcPr>
            <w:tcW w:w="566" w:type="pct"/>
            <w:vAlign w:val="center"/>
          </w:tcPr>
          <w:p w14:paraId="015706F5">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滨河湾</w:t>
            </w:r>
          </w:p>
        </w:tc>
        <w:tc>
          <w:tcPr>
            <w:tcW w:w="2823" w:type="pct"/>
          </w:tcPr>
          <w:p w14:paraId="7158BA18">
            <w:pPr>
              <w:spacing w:after="0" w:line="240" w:lineRule="auto"/>
              <w:rPr>
                <w:rFonts w:ascii="Times New Roman" w:hAnsi="Times New Roman" w:eastAsia="宋体" w:cs="Times New Roman"/>
                <w:szCs w:val="21"/>
              </w:rPr>
            </w:pPr>
            <w:r>
              <w:rPr>
                <w:rFonts w:hint="eastAsia" w:ascii="Times New Roman" w:hAnsi="Times New Roman" w:eastAsia="宋体" w:cs="Times New Roman"/>
                <w:szCs w:val="21"/>
              </w:rPr>
              <w:t>对楼宇亮化设施进行维护，包括亮化灯具以及开关电源、控制终端、电缆、控制器、线槽管线、配电箱等配套设施。投标人自行查勘现场，须保证亮化设施按原规格（含技术参数、状态能力、与强电控制节点端兼容受控等）进行维保，保证整体亮化效果良好；并消除灯具、线槽管线脱落等安全隐患；落实维护范围内楼宇亮化巡查责任。如招标人发现未能达到要求须无条件进行整改。</w:t>
            </w:r>
          </w:p>
        </w:tc>
        <w:tc>
          <w:tcPr>
            <w:tcW w:w="450" w:type="pct"/>
            <w:vAlign w:val="center"/>
          </w:tcPr>
          <w:p w14:paraId="06CAD8E3">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栋</w:t>
            </w:r>
          </w:p>
        </w:tc>
        <w:tc>
          <w:tcPr>
            <w:tcW w:w="406" w:type="pct"/>
            <w:vAlign w:val="center"/>
          </w:tcPr>
          <w:p w14:paraId="0C9D7161">
            <w:pPr>
              <w:spacing w:after="0" w:line="240" w:lineRule="auto"/>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10</w:t>
            </w:r>
          </w:p>
        </w:tc>
      </w:tr>
      <w:tr w14:paraId="2EA47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48" w:type="pct"/>
            <w:vAlign w:val="center"/>
          </w:tcPr>
          <w:p w14:paraId="4FF982D9">
            <w:pPr>
              <w:spacing w:after="0" w:line="240" w:lineRule="auto"/>
              <w:jc w:val="center"/>
              <w:rPr>
                <w:rFonts w:hint="eastAsia" w:ascii="Times New Roman" w:hAnsi="Times New Roman" w:eastAsia="宋体" w:cs="Times New Roman"/>
                <w:szCs w:val="21"/>
                <w:lang w:eastAsia="zh-CN"/>
              </w:rPr>
            </w:pPr>
            <w:r>
              <w:rPr>
                <w:rFonts w:ascii="Times New Roman" w:hAnsi="Times New Roman" w:eastAsia="宋体" w:cs="Times New Roman"/>
                <w:szCs w:val="21"/>
              </w:rPr>
              <w:t>2</w:t>
            </w:r>
            <w:r>
              <w:rPr>
                <w:rFonts w:hint="eastAsia" w:ascii="Times New Roman" w:hAnsi="Times New Roman" w:eastAsia="宋体" w:cs="Times New Roman"/>
                <w:szCs w:val="21"/>
                <w:lang w:val="en-US" w:eastAsia="zh-CN"/>
              </w:rPr>
              <w:t>4</w:t>
            </w:r>
          </w:p>
        </w:tc>
        <w:tc>
          <w:tcPr>
            <w:tcW w:w="504" w:type="pct"/>
            <w:vMerge w:val="continue"/>
            <w:vAlign w:val="center"/>
          </w:tcPr>
          <w:p w14:paraId="17865928">
            <w:pPr>
              <w:spacing w:after="0" w:line="240" w:lineRule="auto"/>
              <w:jc w:val="center"/>
              <w:rPr>
                <w:rFonts w:ascii="Times New Roman" w:hAnsi="Times New Roman" w:eastAsia="宋体" w:cs="Times New Roman"/>
                <w:szCs w:val="21"/>
              </w:rPr>
            </w:pPr>
          </w:p>
        </w:tc>
        <w:tc>
          <w:tcPr>
            <w:tcW w:w="566" w:type="pct"/>
            <w:vAlign w:val="center"/>
          </w:tcPr>
          <w:p w14:paraId="2FC67BB9">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中央花园</w:t>
            </w:r>
          </w:p>
        </w:tc>
        <w:tc>
          <w:tcPr>
            <w:tcW w:w="2823" w:type="pct"/>
          </w:tcPr>
          <w:p w14:paraId="038B491F">
            <w:pPr>
              <w:spacing w:after="0" w:line="240" w:lineRule="auto"/>
              <w:rPr>
                <w:rFonts w:ascii="Times New Roman" w:hAnsi="Times New Roman" w:eastAsia="宋体" w:cs="Times New Roman"/>
                <w:szCs w:val="21"/>
              </w:rPr>
            </w:pPr>
            <w:r>
              <w:rPr>
                <w:rFonts w:hint="eastAsia" w:ascii="Times New Roman" w:hAnsi="Times New Roman" w:eastAsia="宋体" w:cs="Times New Roman"/>
                <w:szCs w:val="21"/>
              </w:rPr>
              <w:t>对楼宇亮化设施进行维护，包括亮化灯具以及开关电源、控制终端、电缆、控制器、线槽管线、配电箱等配套设施。投标人自行查勘现场，须保证亮化设施按原规格（含技术参数、状态能力、与强电控制节点端兼容受控等）进行维保，保证整体亮化效果良好；并消除灯具、线槽管线脱落等安全隐患；落实维护范围内楼宇亮化巡查责任。如招标人发现未能达到要求须无条件进行整改。</w:t>
            </w:r>
          </w:p>
        </w:tc>
        <w:tc>
          <w:tcPr>
            <w:tcW w:w="450" w:type="pct"/>
            <w:vAlign w:val="center"/>
          </w:tcPr>
          <w:p w14:paraId="6E70788F">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栋</w:t>
            </w:r>
          </w:p>
        </w:tc>
        <w:tc>
          <w:tcPr>
            <w:tcW w:w="406" w:type="pct"/>
            <w:vAlign w:val="center"/>
          </w:tcPr>
          <w:p w14:paraId="3017D458">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8</w:t>
            </w:r>
          </w:p>
        </w:tc>
      </w:tr>
      <w:tr w14:paraId="5F2FD6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48" w:type="pct"/>
            <w:vAlign w:val="center"/>
          </w:tcPr>
          <w:p w14:paraId="69287252">
            <w:pPr>
              <w:spacing w:after="0" w:line="240" w:lineRule="auto"/>
              <w:jc w:val="center"/>
              <w:rPr>
                <w:rFonts w:hint="eastAsia" w:ascii="Times New Roman" w:hAnsi="Times New Roman" w:eastAsia="宋体" w:cs="Times New Roman"/>
                <w:szCs w:val="21"/>
                <w:lang w:eastAsia="zh-CN"/>
              </w:rPr>
            </w:pPr>
            <w:r>
              <w:rPr>
                <w:rFonts w:ascii="Times New Roman" w:hAnsi="Times New Roman" w:eastAsia="宋体" w:cs="Times New Roman"/>
                <w:szCs w:val="21"/>
              </w:rPr>
              <w:t>2</w:t>
            </w:r>
            <w:r>
              <w:rPr>
                <w:rFonts w:hint="eastAsia" w:ascii="Times New Roman" w:hAnsi="Times New Roman" w:eastAsia="宋体" w:cs="Times New Roman"/>
                <w:szCs w:val="21"/>
                <w:lang w:val="en-US" w:eastAsia="zh-CN"/>
              </w:rPr>
              <w:t>5</w:t>
            </w:r>
          </w:p>
        </w:tc>
        <w:tc>
          <w:tcPr>
            <w:tcW w:w="504" w:type="pct"/>
            <w:vMerge w:val="continue"/>
            <w:vAlign w:val="center"/>
          </w:tcPr>
          <w:p w14:paraId="0B441B2F">
            <w:pPr>
              <w:spacing w:after="0" w:line="240" w:lineRule="auto"/>
              <w:jc w:val="center"/>
              <w:rPr>
                <w:rFonts w:ascii="Times New Roman" w:hAnsi="Times New Roman" w:eastAsia="宋体" w:cs="Times New Roman"/>
                <w:szCs w:val="21"/>
              </w:rPr>
            </w:pPr>
          </w:p>
        </w:tc>
        <w:tc>
          <w:tcPr>
            <w:tcW w:w="566" w:type="pct"/>
            <w:vAlign w:val="center"/>
          </w:tcPr>
          <w:p w14:paraId="54291E57">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碧水绿都</w:t>
            </w:r>
          </w:p>
        </w:tc>
        <w:tc>
          <w:tcPr>
            <w:tcW w:w="2823" w:type="pct"/>
          </w:tcPr>
          <w:p w14:paraId="586503C5">
            <w:pPr>
              <w:spacing w:after="0" w:line="240" w:lineRule="auto"/>
              <w:rPr>
                <w:rFonts w:ascii="Times New Roman" w:hAnsi="Times New Roman" w:eastAsia="宋体" w:cs="Times New Roman"/>
                <w:szCs w:val="21"/>
              </w:rPr>
            </w:pPr>
            <w:r>
              <w:rPr>
                <w:rFonts w:hint="eastAsia" w:ascii="Times New Roman" w:hAnsi="Times New Roman" w:eastAsia="宋体" w:cs="Times New Roman"/>
                <w:szCs w:val="21"/>
              </w:rPr>
              <w:t>对楼宇亮化设施进行维护，包括亮化灯具以及开关电源、控制终端、电缆、控制器、线槽管线、配电箱等配套设施。投标人自行查勘现场，须保证亮化设施按原规格（含技术参数、状态能力、与强电控制节点端兼容受控等）进行维保，保证整体亮化效果良好；并消除灯具、线槽管线脱落等安全隐患；落实维护范围内楼宇亮化巡查责任。如招标人发现未能达到要求须无条件进行整改。</w:t>
            </w:r>
          </w:p>
        </w:tc>
        <w:tc>
          <w:tcPr>
            <w:tcW w:w="450" w:type="pct"/>
            <w:vAlign w:val="center"/>
          </w:tcPr>
          <w:p w14:paraId="6D287F05">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栋</w:t>
            </w:r>
          </w:p>
        </w:tc>
        <w:tc>
          <w:tcPr>
            <w:tcW w:w="406" w:type="pct"/>
            <w:vAlign w:val="center"/>
          </w:tcPr>
          <w:p w14:paraId="22171625">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20</w:t>
            </w:r>
          </w:p>
        </w:tc>
      </w:tr>
      <w:tr w14:paraId="72F609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48" w:type="pct"/>
            <w:vAlign w:val="center"/>
          </w:tcPr>
          <w:p w14:paraId="72930E66">
            <w:pPr>
              <w:spacing w:after="0" w:line="240" w:lineRule="auto"/>
              <w:jc w:val="center"/>
              <w:rPr>
                <w:rFonts w:hint="eastAsia" w:ascii="Times New Roman" w:hAnsi="Times New Roman" w:eastAsia="宋体" w:cs="Times New Roman"/>
                <w:szCs w:val="21"/>
                <w:lang w:eastAsia="zh-CN"/>
              </w:rPr>
            </w:pPr>
            <w:r>
              <w:rPr>
                <w:rFonts w:ascii="Times New Roman" w:hAnsi="Times New Roman" w:eastAsia="宋体" w:cs="Times New Roman"/>
                <w:szCs w:val="21"/>
              </w:rPr>
              <w:t>2</w:t>
            </w:r>
            <w:r>
              <w:rPr>
                <w:rFonts w:hint="eastAsia" w:ascii="Times New Roman" w:hAnsi="Times New Roman" w:eastAsia="宋体" w:cs="Times New Roman"/>
                <w:szCs w:val="21"/>
                <w:lang w:val="en-US" w:eastAsia="zh-CN"/>
              </w:rPr>
              <w:t>6</w:t>
            </w:r>
          </w:p>
        </w:tc>
        <w:tc>
          <w:tcPr>
            <w:tcW w:w="504" w:type="pct"/>
            <w:vMerge w:val="continue"/>
            <w:vAlign w:val="center"/>
          </w:tcPr>
          <w:p w14:paraId="2AAF925E">
            <w:pPr>
              <w:spacing w:after="0" w:line="240" w:lineRule="auto"/>
              <w:jc w:val="center"/>
              <w:rPr>
                <w:rFonts w:ascii="Times New Roman" w:hAnsi="Times New Roman" w:eastAsia="宋体" w:cs="Times New Roman"/>
                <w:szCs w:val="21"/>
              </w:rPr>
            </w:pPr>
          </w:p>
        </w:tc>
        <w:tc>
          <w:tcPr>
            <w:tcW w:w="566" w:type="pct"/>
            <w:vAlign w:val="center"/>
          </w:tcPr>
          <w:p w14:paraId="27BD4694">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人民路与育才路交叉口节点</w:t>
            </w:r>
          </w:p>
        </w:tc>
        <w:tc>
          <w:tcPr>
            <w:tcW w:w="2823" w:type="pct"/>
          </w:tcPr>
          <w:p w14:paraId="6E84201F">
            <w:pPr>
              <w:spacing w:after="0" w:line="240" w:lineRule="auto"/>
              <w:rPr>
                <w:rFonts w:ascii="Times New Roman" w:hAnsi="Times New Roman" w:eastAsia="宋体" w:cs="Times New Roman"/>
                <w:szCs w:val="21"/>
              </w:rPr>
            </w:pPr>
            <w:r>
              <w:rPr>
                <w:rFonts w:hint="eastAsia" w:ascii="Times New Roman" w:hAnsi="Times New Roman" w:eastAsia="宋体" w:cs="Times New Roman"/>
                <w:szCs w:val="21"/>
              </w:rPr>
              <w:t>对楼宇亮化设施进行维护，包括亮化灯具以及开关电源、控制终端、电缆、控制器、线槽管线、配电箱等配套设施。投标人自行查勘现场，须保证亮化设施按原规格（含技术参数、状态能力、与强电控制节点端兼容受控等）进行维保，保证整体亮化效果良好；并消除灯具、线槽管线脱落等安全隐患；落实维护范围内楼宇亮化巡查责任。如招标人发现未能达到要求须无条件进行整改。</w:t>
            </w:r>
          </w:p>
        </w:tc>
        <w:tc>
          <w:tcPr>
            <w:tcW w:w="450" w:type="pct"/>
            <w:vAlign w:val="center"/>
          </w:tcPr>
          <w:p w14:paraId="5B5BD5F4">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栋</w:t>
            </w:r>
          </w:p>
        </w:tc>
        <w:tc>
          <w:tcPr>
            <w:tcW w:w="406" w:type="pct"/>
            <w:vAlign w:val="center"/>
          </w:tcPr>
          <w:p w14:paraId="7919B7AF">
            <w:pPr>
              <w:spacing w:after="0" w:line="240" w:lineRule="auto"/>
              <w:jc w:val="center"/>
              <w:rPr>
                <w:rFonts w:hint="eastAsia" w:ascii="Times New Roman" w:hAnsi="Times New Roman" w:eastAsia="宋体" w:cs="Times New Roman"/>
                <w:color w:val="auto"/>
                <w:szCs w:val="21"/>
                <w:lang w:eastAsia="zh-CN"/>
              </w:rPr>
            </w:pPr>
            <w:r>
              <w:rPr>
                <w:rFonts w:hint="eastAsia" w:ascii="Times New Roman" w:hAnsi="Times New Roman" w:eastAsia="宋体" w:cs="Times New Roman"/>
                <w:color w:val="auto"/>
                <w:szCs w:val="21"/>
                <w:lang w:val="en-US" w:eastAsia="zh-CN"/>
              </w:rPr>
              <w:t>4</w:t>
            </w:r>
          </w:p>
        </w:tc>
      </w:tr>
      <w:tr w14:paraId="71B75D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248" w:type="pct"/>
            <w:vAlign w:val="center"/>
          </w:tcPr>
          <w:p w14:paraId="475364F1">
            <w:pPr>
              <w:spacing w:after="0" w:line="240" w:lineRule="auto"/>
              <w:jc w:val="center"/>
              <w:rPr>
                <w:rFonts w:hint="eastAsia" w:ascii="Times New Roman" w:hAnsi="Times New Roman" w:eastAsia="宋体" w:cs="Times New Roman"/>
                <w:szCs w:val="21"/>
                <w:lang w:eastAsia="zh-CN"/>
              </w:rPr>
            </w:pPr>
            <w:r>
              <w:rPr>
                <w:rFonts w:ascii="Times New Roman" w:hAnsi="Times New Roman" w:eastAsia="宋体" w:cs="Times New Roman"/>
                <w:szCs w:val="21"/>
              </w:rPr>
              <w:t>2</w:t>
            </w:r>
            <w:r>
              <w:rPr>
                <w:rFonts w:hint="eastAsia" w:ascii="Times New Roman" w:hAnsi="Times New Roman" w:eastAsia="宋体" w:cs="Times New Roman"/>
                <w:szCs w:val="21"/>
                <w:lang w:val="en-US" w:eastAsia="zh-CN"/>
              </w:rPr>
              <w:t>7</w:t>
            </w:r>
          </w:p>
        </w:tc>
        <w:tc>
          <w:tcPr>
            <w:tcW w:w="504" w:type="pct"/>
            <w:vMerge w:val="continue"/>
            <w:vAlign w:val="center"/>
          </w:tcPr>
          <w:p w14:paraId="0D8C7050">
            <w:pPr>
              <w:spacing w:after="0" w:line="240" w:lineRule="auto"/>
              <w:jc w:val="center"/>
              <w:rPr>
                <w:rFonts w:ascii="Times New Roman" w:hAnsi="Times New Roman" w:eastAsia="宋体" w:cs="Times New Roman"/>
                <w:szCs w:val="21"/>
              </w:rPr>
            </w:pPr>
          </w:p>
        </w:tc>
        <w:tc>
          <w:tcPr>
            <w:tcW w:w="566" w:type="pct"/>
            <w:vAlign w:val="center"/>
          </w:tcPr>
          <w:p w14:paraId="5D8B03E6">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吉达广场节点</w:t>
            </w:r>
          </w:p>
        </w:tc>
        <w:tc>
          <w:tcPr>
            <w:tcW w:w="2823" w:type="pct"/>
          </w:tcPr>
          <w:p w14:paraId="02568EDE">
            <w:pPr>
              <w:spacing w:after="0" w:line="240" w:lineRule="auto"/>
              <w:rPr>
                <w:rFonts w:ascii="Times New Roman" w:hAnsi="Times New Roman" w:eastAsia="宋体" w:cs="Times New Roman"/>
                <w:szCs w:val="21"/>
              </w:rPr>
            </w:pPr>
            <w:r>
              <w:rPr>
                <w:rFonts w:hint="eastAsia" w:ascii="Times New Roman" w:hAnsi="Times New Roman" w:eastAsia="宋体" w:cs="Times New Roman"/>
                <w:szCs w:val="21"/>
              </w:rPr>
              <w:t>对楼宇亮化设施进行维护，包括亮化灯具以及开关电源、控制终端、电缆、控制器、线槽管线、配电箱等配套设施。投标人自行查勘现场，须保证亮化设施按原规格（含技术参数、状态能力、与强电控制节点端兼容受控等）进行维保，保证整体亮化效果良好；并消除灯具、线槽管线脱落等安全隐患；落实维护范围内楼宇亮化巡查责任。如招标人发现未能达到要求须无条件进行整改。</w:t>
            </w:r>
          </w:p>
        </w:tc>
        <w:tc>
          <w:tcPr>
            <w:tcW w:w="450" w:type="pct"/>
            <w:vAlign w:val="center"/>
          </w:tcPr>
          <w:p w14:paraId="1F021600">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栋</w:t>
            </w:r>
          </w:p>
        </w:tc>
        <w:tc>
          <w:tcPr>
            <w:tcW w:w="406" w:type="pct"/>
            <w:vAlign w:val="center"/>
          </w:tcPr>
          <w:p w14:paraId="024A6D2F">
            <w:pPr>
              <w:spacing w:after="0" w:line="240" w:lineRule="auto"/>
              <w:jc w:val="center"/>
              <w:rPr>
                <w:rFonts w:hint="eastAsia" w:ascii="Times New Roman" w:hAnsi="Times New Roman" w:eastAsia="宋体" w:cs="Times New Roman"/>
                <w:color w:val="auto"/>
                <w:szCs w:val="21"/>
                <w:lang w:eastAsia="zh-CN"/>
              </w:rPr>
            </w:pPr>
            <w:r>
              <w:rPr>
                <w:rFonts w:hint="eastAsia" w:ascii="Times New Roman" w:hAnsi="Times New Roman" w:eastAsia="宋体" w:cs="Times New Roman"/>
                <w:color w:val="auto"/>
                <w:szCs w:val="21"/>
                <w:lang w:val="en-US" w:eastAsia="zh-CN"/>
              </w:rPr>
              <w:t>4</w:t>
            </w:r>
          </w:p>
        </w:tc>
      </w:tr>
      <w:tr w14:paraId="1CA6DC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48" w:type="pct"/>
            <w:vAlign w:val="center"/>
          </w:tcPr>
          <w:p w14:paraId="4F35A23C">
            <w:pPr>
              <w:spacing w:after="0" w:line="240" w:lineRule="auto"/>
              <w:jc w:val="center"/>
              <w:rPr>
                <w:rFonts w:hint="eastAsia" w:ascii="Times New Roman" w:hAnsi="Times New Roman" w:eastAsia="宋体" w:cs="Times New Roman"/>
                <w:szCs w:val="21"/>
                <w:lang w:eastAsia="zh-CN"/>
              </w:rPr>
            </w:pPr>
            <w:r>
              <w:rPr>
                <w:rFonts w:ascii="Times New Roman" w:hAnsi="Times New Roman" w:eastAsia="宋体" w:cs="Times New Roman"/>
                <w:szCs w:val="21"/>
              </w:rPr>
              <w:t>2</w:t>
            </w:r>
            <w:r>
              <w:rPr>
                <w:rFonts w:hint="eastAsia" w:ascii="Times New Roman" w:hAnsi="Times New Roman" w:eastAsia="宋体" w:cs="Times New Roman"/>
                <w:szCs w:val="21"/>
                <w:lang w:val="en-US" w:eastAsia="zh-CN"/>
              </w:rPr>
              <w:t>8</w:t>
            </w:r>
          </w:p>
        </w:tc>
        <w:tc>
          <w:tcPr>
            <w:tcW w:w="504" w:type="pct"/>
            <w:vMerge w:val="continue"/>
            <w:vAlign w:val="center"/>
          </w:tcPr>
          <w:p w14:paraId="149A533E">
            <w:pPr>
              <w:spacing w:after="0" w:line="240" w:lineRule="auto"/>
              <w:jc w:val="center"/>
              <w:rPr>
                <w:rFonts w:ascii="Times New Roman" w:hAnsi="Times New Roman" w:eastAsia="宋体" w:cs="Times New Roman"/>
                <w:szCs w:val="21"/>
              </w:rPr>
            </w:pPr>
          </w:p>
        </w:tc>
        <w:tc>
          <w:tcPr>
            <w:tcW w:w="566" w:type="pct"/>
            <w:vAlign w:val="center"/>
          </w:tcPr>
          <w:p w14:paraId="665059FA">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景湖理想城</w:t>
            </w:r>
          </w:p>
        </w:tc>
        <w:tc>
          <w:tcPr>
            <w:tcW w:w="2823" w:type="pct"/>
          </w:tcPr>
          <w:p w14:paraId="0B207224">
            <w:pPr>
              <w:spacing w:after="0" w:line="240" w:lineRule="auto"/>
              <w:rPr>
                <w:rFonts w:ascii="Times New Roman" w:hAnsi="Times New Roman" w:eastAsia="宋体" w:cs="Times New Roman"/>
                <w:szCs w:val="21"/>
              </w:rPr>
            </w:pPr>
            <w:r>
              <w:rPr>
                <w:rFonts w:hint="eastAsia" w:ascii="Times New Roman" w:hAnsi="Times New Roman" w:eastAsia="宋体" w:cs="Times New Roman"/>
                <w:szCs w:val="21"/>
              </w:rPr>
              <w:t>对楼宇亮化设施进行维护，包括亮化灯具以及开关电源、控制终端、电缆、控制器、线槽管线、配电箱等配套设施。投标人自行查勘现场，须保证亮化设施按原规格（含技术参数、状态能力、与强电控制节点端兼容受控等）进行维保，保证整体亮化效果良好；并消除灯具、线槽管线脱落等安全隐患；落实维护范围内楼宇亮化巡查责任。如招标人发现未能达到要求须无条件进行整改。</w:t>
            </w:r>
          </w:p>
        </w:tc>
        <w:tc>
          <w:tcPr>
            <w:tcW w:w="450" w:type="pct"/>
            <w:vAlign w:val="center"/>
          </w:tcPr>
          <w:p w14:paraId="6581F83C">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栋</w:t>
            </w:r>
          </w:p>
        </w:tc>
        <w:tc>
          <w:tcPr>
            <w:tcW w:w="406" w:type="pct"/>
            <w:vAlign w:val="center"/>
          </w:tcPr>
          <w:p w14:paraId="675F469E">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18</w:t>
            </w:r>
          </w:p>
        </w:tc>
      </w:tr>
      <w:tr w14:paraId="0A347B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48" w:type="pct"/>
            <w:vAlign w:val="center"/>
          </w:tcPr>
          <w:p w14:paraId="38261B10">
            <w:pPr>
              <w:spacing w:after="0" w:line="240" w:lineRule="auto"/>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29</w:t>
            </w:r>
          </w:p>
        </w:tc>
        <w:tc>
          <w:tcPr>
            <w:tcW w:w="504" w:type="pct"/>
            <w:vMerge w:val="continue"/>
            <w:vAlign w:val="center"/>
          </w:tcPr>
          <w:p w14:paraId="3C157BF6">
            <w:pPr>
              <w:spacing w:after="0" w:line="240" w:lineRule="auto"/>
              <w:jc w:val="center"/>
              <w:rPr>
                <w:rFonts w:ascii="Times New Roman" w:hAnsi="Times New Roman" w:eastAsia="宋体" w:cs="Times New Roman"/>
                <w:szCs w:val="21"/>
              </w:rPr>
            </w:pPr>
          </w:p>
        </w:tc>
        <w:tc>
          <w:tcPr>
            <w:tcW w:w="566" w:type="pct"/>
            <w:vAlign w:val="center"/>
          </w:tcPr>
          <w:p w14:paraId="5CD7D531">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行政服务中心</w:t>
            </w:r>
          </w:p>
        </w:tc>
        <w:tc>
          <w:tcPr>
            <w:tcW w:w="2823" w:type="pct"/>
          </w:tcPr>
          <w:p w14:paraId="4DE9D301">
            <w:pPr>
              <w:spacing w:after="0" w:line="240" w:lineRule="auto"/>
              <w:rPr>
                <w:rFonts w:ascii="Times New Roman" w:hAnsi="Times New Roman" w:eastAsia="宋体" w:cs="Times New Roman"/>
                <w:szCs w:val="21"/>
              </w:rPr>
            </w:pPr>
            <w:r>
              <w:rPr>
                <w:rFonts w:hint="eastAsia" w:ascii="Times New Roman" w:hAnsi="Times New Roman" w:eastAsia="宋体" w:cs="Times New Roman"/>
                <w:szCs w:val="21"/>
              </w:rPr>
              <w:t>对楼宇亮化设施进行维护，包括亮化灯具以及开关电源、控制终端、电缆、控制器、线槽管线、配电箱等配套设施。投标人自行查勘现场，须保证亮化设施按原规格（含技术参数、状态能力、与强电控制节点端兼容受控等）进行维保，保证整体亮化效果良好；并消除灯具、线槽管线脱落等安全隐患；落实维护范围内楼宇亮化巡查责任。如招标人发现未能达到要求须无条件进行整改。</w:t>
            </w:r>
          </w:p>
        </w:tc>
        <w:tc>
          <w:tcPr>
            <w:tcW w:w="450" w:type="pct"/>
            <w:vAlign w:val="center"/>
          </w:tcPr>
          <w:p w14:paraId="2F7403DC">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栋</w:t>
            </w:r>
          </w:p>
        </w:tc>
        <w:tc>
          <w:tcPr>
            <w:tcW w:w="406" w:type="pct"/>
            <w:vAlign w:val="center"/>
          </w:tcPr>
          <w:p w14:paraId="32001A52">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1</w:t>
            </w:r>
          </w:p>
        </w:tc>
      </w:tr>
      <w:tr w14:paraId="1B5F06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48" w:type="pct"/>
            <w:vAlign w:val="center"/>
          </w:tcPr>
          <w:p w14:paraId="253DA020">
            <w:pPr>
              <w:spacing w:after="0" w:line="240" w:lineRule="auto"/>
              <w:jc w:val="center"/>
              <w:rPr>
                <w:rFonts w:hint="eastAsia" w:ascii="Times New Roman" w:hAnsi="Times New Roman" w:eastAsia="宋体" w:cs="Times New Roman"/>
                <w:szCs w:val="21"/>
                <w:lang w:eastAsia="zh-CN"/>
              </w:rPr>
            </w:pPr>
            <w:r>
              <w:rPr>
                <w:rFonts w:ascii="Times New Roman" w:hAnsi="Times New Roman" w:eastAsia="宋体" w:cs="Times New Roman"/>
                <w:szCs w:val="21"/>
              </w:rPr>
              <w:t>3</w:t>
            </w:r>
            <w:r>
              <w:rPr>
                <w:rFonts w:hint="eastAsia" w:ascii="Times New Roman" w:hAnsi="Times New Roman" w:eastAsia="宋体" w:cs="Times New Roman"/>
                <w:szCs w:val="21"/>
                <w:lang w:val="en-US" w:eastAsia="zh-CN"/>
              </w:rPr>
              <w:t>0</w:t>
            </w:r>
          </w:p>
        </w:tc>
        <w:tc>
          <w:tcPr>
            <w:tcW w:w="504" w:type="pct"/>
            <w:vMerge w:val="continue"/>
            <w:vAlign w:val="center"/>
          </w:tcPr>
          <w:p w14:paraId="46E8E5BC">
            <w:pPr>
              <w:spacing w:after="0" w:line="240" w:lineRule="auto"/>
              <w:jc w:val="center"/>
              <w:rPr>
                <w:rFonts w:ascii="Times New Roman" w:hAnsi="Times New Roman" w:eastAsia="宋体" w:cs="Times New Roman"/>
                <w:szCs w:val="21"/>
              </w:rPr>
            </w:pPr>
          </w:p>
        </w:tc>
        <w:tc>
          <w:tcPr>
            <w:tcW w:w="566" w:type="pct"/>
            <w:vAlign w:val="center"/>
          </w:tcPr>
          <w:p w14:paraId="463FDAC9">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丽锦国际</w:t>
            </w:r>
          </w:p>
        </w:tc>
        <w:tc>
          <w:tcPr>
            <w:tcW w:w="2823" w:type="pct"/>
          </w:tcPr>
          <w:p w14:paraId="059AEC5B">
            <w:pPr>
              <w:spacing w:after="0" w:line="240" w:lineRule="auto"/>
              <w:rPr>
                <w:rFonts w:ascii="Times New Roman" w:hAnsi="Times New Roman" w:eastAsia="宋体" w:cs="Times New Roman"/>
                <w:szCs w:val="21"/>
              </w:rPr>
            </w:pPr>
            <w:r>
              <w:rPr>
                <w:rFonts w:hint="eastAsia" w:ascii="Times New Roman" w:hAnsi="Times New Roman" w:eastAsia="宋体" w:cs="Times New Roman"/>
                <w:szCs w:val="21"/>
              </w:rPr>
              <w:t>对楼宇亮化设施进行维护，包括亮化灯具以及开关电源、控制终端、电缆、控制器、线槽管线、配电箱等配套设施。投标人自行查勘现场，须保证亮化设施按原规格（含技术参数、状态能力、与强电控制节点端兼容受控等）进行维保，保证整体亮化效果良好；并消除灯具、线槽管线脱落等安全隐患；落实维护范围内楼宇亮化巡查责任。如招标人发现未能达到要求须无条件进行整改。</w:t>
            </w:r>
          </w:p>
        </w:tc>
        <w:tc>
          <w:tcPr>
            <w:tcW w:w="450" w:type="pct"/>
            <w:vAlign w:val="center"/>
          </w:tcPr>
          <w:p w14:paraId="4908D89A">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栋</w:t>
            </w:r>
          </w:p>
        </w:tc>
        <w:tc>
          <w:tcPr>
            <w:tcW w:w="406" w:type="pct"/>
            <w:vAlign w:val="center"/>
          </w:tcPr>
          <w:p w14:paraId="22ACC1BA">
            <w:pPr>
              <w:spacing w:after="0" w:line="240" w:lineRule="auto"/>
              <w:jc w:val="center"/>
              <w:rPr>
                <w:rFonts w:ascii="Times New Roman" w:hAnsi="Times New Roman" w:eastAsia="宋体" w:cs="Times New Roman"/>
                <w:szCs w:val="21"/>
              </w:rPr>
            </w:pPr>
            <w:r>
              <w:rPr>
                <w:rFonts w:ascii="Times New Roman" w:hAnsi="Times New Roman" w:eastAsia="宋体" w:cs="Times New Roman"/>
                <w:szCs w:val="21"/>
              </w:rPr>
              <w:t>1</w:t>
            </w:r>
          </w:p>
        </w:tc>
      </w:tr>
      <w:tr w14:paraId="2B8872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48" w:type="pct"/>
            <w:vAlign w:val="center"/>
          </w:tcPr>
          <w:p w14:paraId="5D44D66F">
            <w:pPr>
              <w:spacing w:after="0" w:line="240" w:lineRule="auto"/>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31</w:t>
            </w:r>
          </w:p>
        </w:tc>
        <w:tc>
          <w:tcPr>
            <w:tcW w:w="504" w:type="pct"/>
            <w:vMerge w:val="continue"/>
            <w:vAlign w:val="center"/>
          </w:tcPr>
          <w:p w14:paraId="461D2076">
            <w:pPr>
              <w:spacing w:after="0" w:line="240" w:lineRule="auto"/>
              <w:jc w:val="center"/>
              <w:rPr>
                <w:rFonts w:ascii="Times New Roman" w:hAnsi="Times New Roman" w:eastAsia="宋体" w:cs="Times New Roman"/>
                <w:szCs w:val="21"/>
              </w:rPr>
            </w:pPr>
          </w:p>
        </w:tc>
        <w:tc>
          <w:tcPr>
            <w:tcW w:w="566" w:type="pct"/>
            <w:shd w:val="clear" w:color="auto" w:fill="auto"/>
            <w:vAlign w:val="center"/>
          </w:tcPr>
          <w:p w14:paraId="3A56D847">
            <w:pPr>
              <w:spacing w:after="0" w:line="240" w:lineRule="auto"/>
              <w:jc w:val="center"/>
              <w:rPr>
                <w:rFonts w:hint="default" w:ascii="Times New Roman" w:hAnsi="Times New Roman" w:eastAsia="宋体" w:cs="Times New Roman"/>
                <w:sz w:val="21"/>
                <w:szCs w:val="21"/>
                <w:lang w:val="en-US" w:eastAsia="zh-CN" w:bidi="ar-SA"/>
              </w:rPr>
            </w:pPr>
            <w:r>
              <w:rPr>
                <w:rFonts w:ascii="Times New Roman" w:hAnsi="Times New Roman" w:eastAsia="宋体" w:cs="Times New Roman"/>
                <w:szCs w:val="21"/>
              </w:rPr>
              <w:t>高速出口</w:t>
            </w:r>
          </w:p>
        </w:tc>
        <w:tc>
          <w:tcPr>
            <w:tcW w:w="2823" w:type="pct"/>
            <w:shd w:val="clear" w:color="auto" w:fill="auto"/>
            <w:vAlign w:val="top"/>
          </w:tcPr>
          <w:p w14:paraId="0C13D807">
            <w:pPr>
              <w:spacing w:after="0" w:line="240" w:lineRule="auto"/>
              <w:rPr>
                <w:rFonts w:hint="default" w:ascii="Times New Roman" w:hAnsi="Times New Roman" w:eastAsia="宋体" w:cs="Times New Roman"/>
                <w:sz w:val="21"/>
                <w:szCs w:val="21"/>
                <w:lang w:val="en-US" w:eastAsia="zh-CN" w:bidi="ar-SA"/>
              </w:rPr>
            </w:pPr>
            <w:r>
              <w:rPr>
                <w:rFonts w:hint="eastAsia" w:ascii="Times New Roman" w:hAnsi="Times New Roman" w:eastAsia="宋体" w:cs="Times New Roman"/>
                <w:szCs w:val="21"/>
              </w:rPr>
              <w:t>对楼宇亮化设施进行维护，包括亮化灯具以及开关电源、控制终端、电缆、控制器、线槽管线、配电箱等配套设施。投标人自行查勘现场，须保证亮化设施按原规格（含技术参数、状态能力、与强电控制节点端兼容受控等）进行维保，保证整体亮化效果良好；并消除灯具、线槽管线脱落等安全隐患；落实维护范围内楼宇亮化巡查责任。如招标人发现未能达到要求须无条件进行整改。</w:t>
            </w:r>
          </w:p>
        </w:tc>
        <w:tc>
          <w:tcPr>
            <w:tcW w:w="450" w:type="pct"/>
            <w:shd w:val="clear" w:color="auto" w:fill="auto"/>
            <w:vAlign w:val="center"/>
          </w:tcPr>
          <w:p w14:paraId="18878C8E">
            <w:pPr>
              <w:spacing w:after="0" w:line="240" w:lineRule="auto"/>
              <w:jc w:val="center"/>
              <w:rPr>
                <w:rFonts w:hint="default" w:ascii="Times New Roman" w:hAnsi="Times New Roman" w:eastAsia="宋体" w:cs="Times New Roman"/>
                <w:sz w:val="21"/>
                <w:szCs w:val="21"/>
                <w:lang w:val="en-US" w:eastAsia="zh-CN" w:bidi="ar-SA"/>
              </w:rPr>
            </w:pPr>
            <w:r>
              <w:rPr>
                <w:rFonts w:ascii="Times New Roman" w:hAnsi="Times New Roman" w:eastAsia="宋体" w:cs="Times New Roman"/>
                <w:szCs w:val="21"/>
              </w:rPr>
              <w:t>栋</w:t>
            </w:r>
          </w:p>
        </w:tc>
        <w:tc>
          <w:tcPr>
            <w:tcW w:w="406" w:type="pct"/>
            <w:shd w:val="clear" w:color="auto" w:fill="auto"/>
            <w:vAlign w:val="center"/>
          </w:tcPr>
          <w:p w14:paraId="4BF3D9F7">
            <w:pPr>
              <w:spacing w:after="0" w:line="240" w:lineRule="auto"/>
              <w:jc w:val="center"/>
              <w:rPr>
                <w:rFonts w:hint="default" w:ascii="Times New Roman" w:hAnsi="Times New Roman" w:eastAsia="宋体" w:cs="Times New Roman"/>
                <w:sz w:val="21"/>
                <w:szCs w:val="21"/>
                <w:lang w:val="en-US" w:eastAsia="zh-CN" w:bidi="ar-SA"/>
              </w:rPr>
            </w:pPr>
            <w:r>
              <w:rPr>
                <w:rFonts w:ascii="Times New Roman" w:hAnsi="Times New Roman" w:eastAsia="宋体" w:cs="Times New Roman"/>
                <w:szCs w:val="21"/>
              </w:rPr>
              <w:t>2</w:t>
            </w:r>
          </w:p>
        </w:tc>
      </w:tr>
      <w:tr w14:paraId="15766A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48" w:type="pct"/>
            <w:vAlign w:val="center"/>
          </w:tcPr>
          <w:p w14:paraId="23B2C2CF">
            <w:pPr>
              <w:spacing w:after="0" w:line="240" w:lineRule="auto"/>
              <w:jc w:val="center"/>
              <w:rPr>
                <w:rFonts w:hint="eastAsia" w:ascii="Times New Roman" w:hAnsi="Times New Roman" w:eastAsia="宋体" w:cs="Times New Roman"/>
                <w:szCs w:val="21"/>
                <w:lang w:eastAsia="zh-CN"/>
              </w:rPr>
            </w:pPr>
            <w:r>
              <w:rPr>
                <w:rFonts w:ascii="Times New Roman" w:hAnsi="Times New Roman" w:eastAsia="宋体" w:cs="Times New Roman"/>
                <w:szCs w:val="21"/>
              </w:rPr>
              <w:t>3</w:t>
            </w:r>
            <w:r>
              <w:rPr>
                <w:rFonts w:hint="eastAsia" w:ascii="Times New Roman" w:hAnsi="Times New Roman" w:eastAsia="宋体" w:cs="Times New Roman"/>
                <w:szCs w:val="21"/>
                <w:lang w:val="en-US" w:eastAsia="zh-CN"/>
              </w:rPr>
              <w:t>2</w:t>
            </w:r>
          </w:p>
        </w:tc>
        <w:tc>
          <w:tcPr>
            <w:tcW w:w="504" w:type="pct"/>
            <w:vMerge w:val="continue"/>
            <w:vAlign w:val="center"/>
          </w:tcPr>
          <w:p w14:paraId="5C7D38DA">
            <w:pPr>
              <w:spacing w:after="0" w:line="240" w:lineRule="auto"/>
              <w:jc w:val="center"/>
              <w:rPr>
                <w:rFonts w:ascii="Times New Roman" w:hAnsi="Times New Roman" w:eastAsia="宋体" w:cs="Times New Roman"/>
                <w:szCs w:val="21"/>
              </w:rPr>
            </w:pPr>
          </w:p>
        </w:tc>
        <w:tc>
          <w:tcPr>
            <w:tcW w:w="566" w:type="pct"/>
            <w:shd w:val="clear" w:color="auto" w:fill="auto"/>
            <w:vAlign w:val="center"/>
          </w:tcPr>
          <w:p w14:paraId="0C1A6427">
            <w:pPr>
              <w:spacing w:after="0" w:line="240" w:lineRule="auto"/>
              <w:jc w:val="center"/>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Cs w:val="21"/>
                <w:lang w:val="en-US" w:eastAsia="zh-CN"/>
              </w:rPr>
              <w:t>景湖豪庭</w:t>
            </w:r>
          </w:p>
        </w:tc>
        <w:tc>
          <w:tcPr>
            <w:tcW w:w="2823" w:type="pct"/>
            <w:shd w:val="clear" w:color="auto" w:fill="auto"/>
            <w:vAlign w:val="top"/>
          </w:tcPr>
          <w:p w14:paraId="303DCD8B">
            <w:pPr>
              <w:spacing w:after="0" w:line="240" w:lineRule="auto"/>
              <w:rPr>
                <w:rFonts w:hint="default" w:ascii="Times New Roman" w:hAnsi="Times New Roman" w:eastAsia="宋体" w:cs="Times New Roman"/>
                <w:sz w:val="21"/>
                <w:szCs w:val="21"/>
                <w:lang w:val="en-US" w:eastAsia="zh-CN" w:bidi="ar-SA"/>
              </w:rPr>
            </w:pPr>
            <w:r>
              <w:rPr>
                <w:rFonts w:hint="eastAsia" w:ascii="Times New Roman" w:hAnsi="Times New Roman" w:eastAsia="宋体" w:cs="Times New Roman"/>
                <w:szCs w:val="21"/>
              </w:rPr>
              <w:t>对楼宇亮化设施进行维护，包括亮化灯具以及开关电源、控制终端、电缆、控制器、线槽管线、配电箱等配套设施。投标人自行查勘现场，须保证亮化设施按原规格（含技术参数、状态能力、与强电控制节点端兼容受控等）进行维保，保证整体亮化效果良好；并消除灯具、线槽管线脱落等安全隐患；落实维护范围内楼宇亮化巡查责任。如招标人发现未能达到要求须无条件进行整改。</w:t>
            </w:r>
          </w:p>
        </w:tc>
        <w:tc>
          <w:tcPr>
            <w:tcW w:w="450" w:type="pct"/>
            <w:shd w:val="clear" w:color="auto" w:fill="auto"/>
            <w:vAlign w:val="center"/>
          </w:tcPr>
          <w:p w14:paraId="11A0FAE5">
            <w:pPr>
              <w:spacing w:after="0" w:line="240" w:lineRule="auto"/>
              <w:jc w:val="center"/>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Cs w:val="21"/>
                <w:lang w:eastAsia="zh-CN"/>
              </w:rPr>
              <w:t>栋</w:t>
            </w:r>
          </w:p>
        </w:tc>
        <w:tc>
          <w:tcPr>
            <w:tcW w:w="406" w:type="pct"/>
            <w:shd w:val="clear" w:color="auto" w:fill="auto"/>
            <w:vAlign w:val="center"/>
          </w:tcPr>
          <w:p w14:paraId="569D6E05">
            <w:pPr>
              <w:spacing w:after="0" w:line="240" w:lineRule="auto"/>
              <w:jc w:val="center"/>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Cs w:val="21"/>
                <w:lang w:val="en-US" w:eastAsia="zh-CN"/>
              </w:rPr>
              <w:t>1</w:t>
            </w:r>
          </w:p>
        </w:tc>
      </w:tr>
      <w:bookmarkEnd w:id="171"/>
    </w:tbl>
    <w:p w14:paraId="6E54B93E">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二</w:t>
      </w:r>
      <w:r>
        <w:rPr>
          <w:rFonts w:hint="eastAsia" w:ascii="宋体" w:hAnsi="宋体" w:eastAsia="宋体" w:cs="宋体"/>
          <w:b/>
          <w:bCs/>
          <w:sz w:val="24"/>
          <w:szCs w:val="24"/>
        </w:rPr>
        <w:t>、</w:t>
      </w:r>
      <w:r>
        <w:rPr>
          <w:rFonts w:hint="eastAsia" w:ascii="宋体" w:hAnsi="宋体" w:eastAsia="宋体" w:cs="宋体"/>
          <w:b/>
          <w:bCs/>
          <w:sz w:val="24"/>
          <w:szCs w:val="24"/>
          <w:lang w:val="en-US" w:eastAsia="zh-CN"/>
        </w:rPr>
        <w:t>商务要求</w:t>
      </w:r>
    </w:p>
    <w:p w14:paraId="1AED316F">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440" w:lineRule="exact"/>
        <w:ind w:firstLine="480" w:firstLineChars="200"/>
        <w:jc w:val="both"/>
        <w:textAlignment w:val="auto"/>
        <w:rPr>
          <w:rFonts w:hint="eastAsia" w:ascii="宋体" w:hAnsi="宋体" w:eastAsia="宋体" w:cs="宋体"/>
          <w:lang w:val="en-US" w:eastAsia="zh-CN"/>
        </w:rPr>
      </w:pPr>
      <w:r>
        <w:rPr>
          <w:rFonts w:hint="eastAsia" w:ascii="宋体" w:hAnsi="宋体" w:eastAsia="宋体" w:cs="宋体"/>
          <w:lang w:val="en-US" w:eastAsia="zh-CN"/>
        </w:rPr>
        <w:t>1.服务项目：县城照明设备及楼宇亮化维护服务（二次）。</w:t>
      </w:r>
    </w:p>
    <w:p w14:paraId="5326F4F1">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440" w:lineRule="exact"/>
        <w:ind w:firstLine="480" w:firstLineChars="200"/>
        <w:jc w:val="both"/>
        <w:textAlignment w:val="auto"/>
        <w:rPr>
          <w:rFonts w:hint="eastAsia" w:ascii="宋体" w:hAnsi="宋体" w:eastAsia="宋体" w:cs="宋体"/>
          <w:lang w:val="en-US" w:eastAsia="zh-CN"/>
        </w:rPr>
      </w:pPr>
      <w:r>
        <w:rPr>
          <w:rFonts w:hint="eastAsia" w:ascii="宋体" w:hAnsi="宋体" w:eastAsia="宋体" w:cs="宋体"/>
          <w:lang w:val="en-US" w:eastAsia="zh-CN"/>
        </w:rPr>
        <w:t>2.履行地点：甲方指定地点。</w:t>
      </w:r>
    </w:p>
    <w:p w14:paraId="7E14E732">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440" w:lineRule="exact"/>
        <w:ind w:firstLine="480" w:firstLineChars="200"/>
        <w:jc w:val="both"/>
        <w:textAlignment w:val="auto"/>
        <w:rPr>
          <w:rFonts w:hint="default" w:ascii="宋体" w:hAnsi="宋体" w:eastAsia="宋体" w:cs="宋体"/>
          <w:lang w:val="en-US" w:eastAsia="zh-CN"/>
        </w:rPr>
      </w:pPr>
      <w:r>
        <w:rPr>
          <w:rFonts w:hint="eastAsia" w:ascii="宋体" w:hAnsi="宋体" w:eastAsia="宋体" w:cs="宋体"/>
          <w:lang w:val="en-US" w:eastAsia="zh-CN"/>
        </w:rPr>
        <w:t>3.履行方式：维护服务。</w:t>
      </w:r>
    </w:p>
    <w:p w14:paraId="2B6023EF">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440" w:lineRule="exact"/>
        <w:ind w:firstLine="480" w:firstLineChars="200"/>
        <w:jc w:val="both"/>
        <w:textAlignment w:val="auto"/>
        <w:rPr>
          <w:rFonts w:hint="default" w:ascii="宋体" w:hAnsi="宋体" w:eastAsia="宋体" w:cs="宋体"/>
          <w:lang w:val="en-US" w:eastAsia="zh-CN"/>
        </w:rPr>
      </w:pPr>
      <w:r>
        <w:rPr>
          <w:rFonts w:hint="eastAsia" w:ascii="宋体" w:hAnsi="宋体" w:eastAsia="宋体" w:cs="宋体"/>
          <w:lang w:val="en-US" w:eastAsia="zh-CN"/>
        </w:rPr>
        <w:t>4.履行时间（期限）：合同签订之日起一年。</w:t>
      </w:r>
    </w:p>
    <w:p w14:paraId="59CD0674">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440" w:lineRule="exact"/>
        <w:ind w:firstLine="480" w:firstLineChars="200"/>
        <w:jc w:val="both"/>
        <w:textAlignment w:val="auto"/>
        <w:rPr>
          <w:rFonts w:hint="eastAsia" w:ascii="宋体" w:hAnsi="宋体" w:eastAsia="宋体" w:cs="宋体"/>
          <w:lang w:val="en-US" w:eastAsia="zh-CN"/>
        </w:rPr>
      </w:pPr>
      <w:r>
        <w:rPr>
          <w:rFonts w:hint="eastAsia" w:ascii="宋体" w:hAnsi="宋体" w:eastAsia="宋体" w:cs="宋体"/>
          <w:lang w:val="en-US" w:eastAsia="zh-CN"/>
        </w:rPr>
        <w:t>5.验收要求：甲方成立验收小组，按照采购合同的约定对乙方的履约情况进行验收。验收时,甲方按照采购合同的约定对每一项技术、服务、安全标准的履约情况进行确认。验收结束后,验收小组出具验收报告,列明各项标准的验收情况及项目总体评价,由验收双方共同签署。验收结果与采购合同约定的资金支付及履约保证金返还条件挂钩。履约验收的各项资料存档备查。具体验收考核标准，详见合同附件《县城楼宇亮化维护考核标准》。</w:t>
      </w:r>
    </w:p>
    <w:p w14:paraId="3FBAD935">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440" w:lineRule="exact"/>
        <w:ind w:firstLine="480" w:firstLineChars="200"/>
        <w:jc w:val="both"/>
        <w:textAlignment w:val="auto"/>
        <w:rPr>
          <w:rFonts w:hint="eastAsia" w:ascii="宋体" w:hAnsi="宋体" w:eastAsia="宋体" w:cs="宋体"/>
          <w:lang w:val="en-US" w:eastAsia="zh-CN"/>
        </w:rPr>
      </w:pPr>
      <w:r>
        <w:rPr>
          <w:rFonts w:hint="eastAsia" w:ascii="宋体" w:hAnsi="宋体" w:eastAsia="宋体" w:cs="宋体"/>
          <w:lang w:val="en-US" w:eastAsia="zh-CN"/>
        </w:rPr>
        <w:t>6.质量要求：本项目提供的设备须提供三年原厂质保，质量保证期从最终验收合格之日起计算。</w:t>
      </w:r>
    </w:p>
    <w:p w14:paraId="5A139D4E">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440" w:lineRule="exact"/>
        <w:ind w:firstLine="480" w:firstLineChars="200"/>
        <w:jc w:val="both"/>
        <w:textAlignment w:val="auto"/>
        <w:rPr>
          <w:rFonts w:hint="eastAsia" w:ascii="宋体" w:hAnsi="宋体" w:eastAsia="宋体" w:cs="宋体"/>
          <w:b/>
          <w:bCs/>
        </w:rPr>
      </w:pPr>
      <w:r>
        <w:rPr>
          <w:rFonts w:hint="eastAsia" w:ascii="宋体" w:hAnsi="宋体" w:eastAsia="宋体" w:cs="宋体"/>
          <w:lang w:val="en-US" w:eastAsia="zh-CN"/>
        </w:rPr>
        <w:t>7.付款方式：签订合同后，支付合同价30%作为预付款；项目完成后并经验收合格，在服务期满后一次性结清。付款时须提供税务发票，采购方收到发票后10个工作日内将资金支付到合同约定的供应商账户。</w:t>
      </w:r>
      <w:r>
        <w:rPr>
          <w:rFonts w:hint="eastAsia" w:ascii="宋体" w:hAnsi="宋体" w:eastAsia="宋体" w:cs="宋体"/>
          <w:b/>
          <w:bCs/>
          <w:lang w:val="en-US" w:eastAsia="zh-CN"/>
        </w:rPr>
        <w:t>注：甲方不定期考核，如有考核罚款，付款时予以扣除，不再支付。</w:t>
      </w:r>
    </w:p>
    <w:p w14:paraId="17511FC3">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ind w:firstLine="480" w:firstLineChars="200"/>
        <w:jc w:val="both"/>
        <w:textAlignment w:val="auto"/>
        <w:rPr>
          <w:rFonts w:hint="eastAsia" w:ascii="宋体" w:hAnsi="宋体" w:eastAsia="宋体" w:cs="宋体"/>
          <w:lang w:val="en-US" w:eastAsia="zh-CN"/>
        </w:rPr>
      </w:pPr>
      <w:r>
        <w:rPr>
          <w:rFonts w:hint="eastAsia" w:ascii="宋体" w:hAnsi="宋体" w:eastAsia="宋体" w:cs="宋体"/>
          <w:lang w:val="en-US" w:eastAsia="zh-CN"/>
        </w:rPr>
        <w:t>8.安全要求：</w:t>
      </w:r>
    </w:p>
    <w:p w14:paraId="07AF1F2B">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ind w:firstLine="480" w:firstLineChars="200"/>
        <w:jc w:val="both"/>
        <w:textAlignment w:val="auto"/>
        <w:rPr>
          <w:rFonts w:hint="eastAsia" w:ascii="宋体" w:hAnsi="宋体" w:eastAsia="宋体" w:cs="宋体"/>
          <w:lang w:val="en-US" w:eastAsia="zh-CN"/>
        </w:rPr>
      </w:pPr>
      <w:r>
        <w:rPr>
          <w:rFonts w:hint="eastAsia" w:ascii="宋体" w:hAnsi="宋体" w:eastAsia="宋体" w:cs="宋体"/>
          <w:lang w:val="en-US" w:eastAsia="zh-CN"/>
        </w:rPr>
        <w:t>8.1乙方维护期间须配备专门的安全管理人员，明确责任人，做好施工安全保障措施和安全记录；相关作业人员（电工、高空作业人员等）须具备相关证件，持证上岗，在合同履行期间一切安全问题由乙方承担。</w:t>
      </w:r>
    </w:p>
    <w:p w14:paraId="55F2050C">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ind w:firstLine="480" w:firstLineChars="200"/>
        <w:jc w:val="both"/>
        <w:textAlignment w:val="auto"/>
        <w:rPr>
          <w:rFonts w:hint="default" w:ascii="宋体" w:hAnsi="宋体" w:eastAsia="宋体" w:cs="宋体"/>
          <w:lang w:val="en-US" w:eastAsia="zh-CN"/>
        </w:rPr>
      </w:pPr>
      <w:r>
        <w:rPr>
          <w:rFonts w:hint="eastAsia" w:ascii="宋体" w:hAnsi="宋体" w:eastAsia="宋体" w:cs="宋体"/>
          <w:lang w:val="en-US" w:eastAsia="zh-CN"/>
        </w:rPr>
        <w:t>8.2乙方应对其维护人员进行日常管理和培训，要求维护人员遵守相关的安全规范，并采取必要的安全防范措施，维护人员在工作期间发生的意外伤害、猝死、疾病等均由乙方作为用人单位承担相应责任，乙方应负责办理相关工伤或保险理赔等手续，所需金额如理赔不足的，剩余部分则由乙方承担。采购方不承担任何责任，也无需支付任何补偿金、赔偿金、慰问金等。</w:t>
      </w:r>
    </w:p>
    <w:p w14:paraId="44FF7216">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三、踏勘</w:t>
      </w:r>
    </w:p>
    <w:p w14:paraId="015D7C2E">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1.投标人在报价、编制运行维护实施方案及</w:t>
      </w:r>
      <w:r>
        <w:rPr>
          <w:rFonts w:hint="eastAsia" w:ascii="宋体" w:hAnsi="宋体" w:eastAsia="宋体" w:cs="宋体"/>
          <w:bCs/>
          <w:spacing w:val="-1"/>
          <w:sz w:val="24"/>
          <w:szCs w:val="24"/>
        </w:rPr>
        <w:t>售后服务</w:t>
      </w:r>
      <w:r>
        <w:rPr>
          <w:rFonts w:hint="eastAsia" w:ascii="宋体" w:hAnsi="宋体" w:eastAsia="宋体" w:cs="宋体"/>
          <w:bCs/>
          <w:sz w:val="24"/>
          <w:szCs w:val="24"/>
        </w:rPr>
        <w:t>方案</w:t>
      </w:r>
      <w:r>
        <w:rPr>
          <w:rFonts w:hint="eastAsia" w:ascii="宋体" w:hAnsi="宋体" w:eastAsia="宋体" w:cs="宋体"/>
          <w:sz w:val="24"/>
          <w:szCs w:val="24"/>
          <w:lang w:val="en-US" w:eastAsia="zh-CN" w:bidi="ar-SA"/>
        </w:rPr>
        <w:t>应充分考虑现场实际情况，如有需要，投标人应可自行到项目现场进行踏勘实训场地情况。充分了解实施位置、情况、道路、空间、装卸限制等相关要求、任何其他足以影响投标文件的情况，并将可能发生的相关费用全部考虑到投标文件中，成交后不再增加费用，任何因忽视或误解现场情况而导致的一切问题，均由投标人自行承担。</w:t>
      </w:r>
    </w:p>
    <w:p w14:paraId="39849435">
      <w:pPr>
        <w:pStyle w:val="34"/>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2.投标人踏勘现场发生的费用自理，投标人自行负责在踏勘现场中所发生的人员伤亡和财产损失。</w:t>
      </w:r>
    </w:p>
    <w:p w14:paraId="36B053C6">
      <w:pPr>
        <w:pStyle w:val="34"/>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firstLineChars="200"/>
        <w:jc w:val="both"/>
        <w:textAlignment w:val="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四、演示要求</w:t>
      </w:r>
    </w:p>
    <w:p w14:paraId="3F8D721A">
      <w:pPr>
        <w:pStyle w:val="34"/>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firstLineChars="200"/>
        <w:jc w:val="both"/>
        <w:textAlignment w:val="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1.演示方式：上传视频演示。</w:t>
      </w:r>
    </w:p>
    <w:p w14:paraId="2441A32C">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lang w:val="en-US" w:eastAsia="zh-CN"/>
        </w:rPr>
      </w:pPr>
      <w:r>
        <w:rPr>
          <w:rFonts w:hint="eastAsia" w:ascii="宋体" w:hAnsi="宋体" w:eastAsia="宋体" w:cs="宋体"/>
          <w:lang w:val="en-US" w:eastAsia="zh-CN"/>
        </w:rPr>
        <w:t>注：投标人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eastAsia="宋体" w:cs="宋体"/>
          <w:b/>
          <w:bCs/>
          <w:u w:val="single"/>
          <w:lang w:val="en-US" w:eastAsia="zh-CN"/>
        </w:rPr>
        <w:t>15</w:t>
      </w:r>
      <w:r>
        <w:rPr>
          <w:rFonts w:hint="eastAsia" w:ascii="宋体" w:hAnsi="宋体" w:eastAsia="宋体" w:cs="宋体"/>
          <w:lang w:val="en-US" w:eastAsia="zh-CN"/>
        </w:rPr>
        <w:t>分钟。</w:t>
      </w:r>
    </w:p>
    <w:p w14:paraId="17621691">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default" w:ascii="宋体" w:hAnsi="宋体" w:eastAsia="宋体" w:cs="宋体"/>
          <w:color w:val="auto"/>
          <w:sz w:val="24"/>
          <w:szCs w:val="24"/>
          <w:lang w:val="en-US" w:eastAsia="zh-CN"/>
        </w:rPr>
      </w:pPr>
      <w:r>
        <w:rPr>
          <w:rFonts w:hint="eastAsia" w:ascii="宋体" w:hAnsi="宋体" w:eastAsia="宋体" w:cs="宋体"/>
          <w:color w:val="000000"/>
          <w:sz w:val="24"/>
          <w:szCs w:val="24"/>
          <w:lang w:val="en-US" w:eastAsia="zh-CN"/>
        </w:rPr>
        <w:t>2.演示内容：详见清单及技术参数要求。</w:t>
      </w:r>
    </w:p>
    <w:p w14:paraId="1DCD6FD0">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b/>
          <w:bCs/>
          <w:i/>
          <w:color w:val="000000"/>
          <w:sz w:val="24"/>
          <w:szCs w:val="24"/>
          <w:highlight w:val="none"/>
          <w:u w:val="single"/>
          <w:lang w:val="en-US" w:eastAsia="zh-CN"/>
        </w:rPr>
      </w:pPr>
      <w:r>
        <w:rPr>
          <w:rFonts w:hint="eastAsia" w:ascii="宋体" w:hAnsi="宋体" w:eastAsia="宋体" w:cs="宋体"/>
          <w:b/>
          <w:bCs/>
          <w:color w:val="000000"/>
          <w:sz w:val="24"/>
          <w:szCs w:val="24"/>
          <w:highlight w:val="none"/>
          <w:lang w:val="en-US" w:eastAsia="zh-CN"/>
        </w:rPr>
        <w:t>五、</w:t>
      </w:r>
      <w:r>
        <w:rPr>
          <w:rFonts w:hint="eastAsia" w:ascii="宋体" w:hAnsi="宋体" w:eastAsia="宋体" w:cs="宋体"/>
          <w:b/>
          <w:bCs/>
          <w:i/>
          <w:color w:val="000000"/>
          <w:sz w:val="24"/>
          <w:szCs w:val="24"/>
          <w:highlight w:val="none"/>
          <w:u w:val="single"/>
          <w:lang w:val="en-US" w:eastAsia="zh-CN"/>
        </w:rPr>
        <w:t>本项目不接受进口产品投标。</w:t>
      </w:r>
    </w:p>
    <w:p w14:paraId="51B482BA">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eastAsia" w:ascii="宋体" w:hAnsi="宋体" w:eastAsia="宋体" w:cs="宋体"/>
          <w:sz w:val="24"/>
          <w:szCs w:val="24"/>
          <w:lang w:val="en-US" w:eastAsia="zh-CN" w:bidi="ar-SA"/>
        </w:rPr>
      </w:pPr>
      <w:r>
        <w:rPr>
          <w:rFonts w:hint="eastAsia" w:ascii="宋体" w:hAnsi="宋体" w:eastAsia="宋体" w:cs="宋体"/>
          <w:b/>
          <w:bCs/>
          <w:sz w:val="24"/>
          <w:szCs w:val="24"/>
          <w:lang w:val="en-US" w:eastAsia="zh-CN" w:bidi="ar-SA"/>
        </w:rPr>
        <w:t>六、采购标的对应的中小企业划分标准所属行业一览表</w:t>
      </w:r>
    </w:p>
    <w:tbl>
      <w:tblPr>
        <w:tblStyle w:val="37"/>
        <w:tblW w:w="9071" w:type="dxa"/>
        <w:jc w:val="center"/>
        <w:tblCellSpacing w:w="0" w:type="dxa"/>
        <w:tblLayout w:type="fixed"/>
        <w:tblCellMar>
          <w:top w:w="0" w:type="dxa"/>
          <w:left w:w="108" w:type="dxa"/>
          <w:bottom w:w="0" w:type="dxa"/>
          <w:right w:w="108" w:type="dxa"/>
        </w:tblCellMar>
      </w:tblPr>
      <w:tblGrid>
        <w:gridCol w:w="737"/>
        <w:gridCol w:w="4218"/>
        <w:gridCol w:w="4116"/>
      </w:tblGrid>
      <w:tr w14:paraId="5DFDE64F">
        <w:tblPrEx>
          <w:tblCellMar>
            <w:top w:w="0" w:type="dxa"/>
            <w:left w:w="108" w:type="dxa"/>
            <w:bottom w:w="0" w:type="dxa"/>
            <w:right w:w="108" w:type="dxa"/>
          </w:tblCellMar>
        </w:tblPrEx>
        <w:trPr>
          <w:trHeight w:val="546" w:hRule="atLeast"/>
          <w:tblCellSpacing w:w="0" w:type="dxa"/>
          <w:jc w:val="center"/>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3DC7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color w:val="auto"/>
                <w:sz w:val="21"/>
                <w:szCs w:val="21"/>
                <w:shd w:val="clear" w:color="auto" w:fill="FFFFFF"/>
              </w:rPr>
            </w:pPr>
            <w:r>
              <w:rPr>
                <w:rFonts w:hint="eastAsia" w:asciiTheme="minorEastAsia" w:hAnsiTheme="minorEastAsia" w:eastAsiaTheme="minorEastAsia" w:cstheme="minorEastAsia"/>
                <w:b/>
                <w:bCs/>
                <w:color w:val="auto"/>
                <w:sz w:val="21"/>
                <w:szCs w:val="21"/>
                <w:shd w:val="clear" w:color="auto" w:fill="FFFFFF"/>
              </w:rPr>
              <w:t>序号</w:t>
            </w:r>
          </w:p>
        </w:tc>
        <w:tc>
          <w:tcPr>
            <w:tcW w:w="4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C493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color w:val="auto"/>
                <w:sz w:val="21"/>
                <w:szCs w:val="21"/>
                <w:shd w:val="clear" w:color="auto" w:fill="FFFFFF"/>
              </w:rPr>
            </w:pPr>
            <w:r>
              <w:rPr>
                <w:rFonts w:hint="eastAsia" w:asciiTheme="minorEastAsia" w:hAnsiTheme="minorEastAsia" w:eastAsiaTheme="minorEastAsia" w:cstheme="minorEastAsia"/>
                <w:b/>
                <w:bCs/>
                <w:color w:val="auto"/>
                <w:sz w:val="21"/>
                <w:szCs w:val="21"/>
                <w:shd w:val="clear" w:color="auto" w:fill="FFFFFF"/>
              </w:rPr>
              <w:t>采购标的</w:t>
            </w:r>
          </w:p>
        </w:tc>
        <w:tc>
          <w:tcPr>
            <w:tcW w:w="4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C6D5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color w:val="auto"/>
                <w:sz w:val="21"/>
                <w:szCs w:val="21"/>
                <w:shd w:val="clear" w:color="auto" w:fill="FFFFFF"/>
              </w:rPr>
            </w:pPr>
            <w:r>
              <w:rPr>
                <w:rFonts w:hint="eastAsia" w:asciiTheme="minorEastAsia" w:hAnsiTheme="minorEastAsia" w:eastAsiaTheme="minorEastAsia" w:cstheme="minorEastAsia"/>
                <w:b/>
                <w:bCs/>
                <w:color w:val="auto"/>
                <w:sz w:val="21"/>
                <w:szCs w:val="21"/>
                <w:shd w:val="clear" w:color="auto" w:fill="FFFFFF"/>
              </w:rPr>
              <w:t>对应中小企业划分标准所属行业</w:t>
            </w:r>
          </w:p>
        </w:tc>
      </w:tr>
      <w:tr w14:paraId="07EA8424">
        <w:tblPrEx>
          <w:tblCellMar>
            <w:top w:w="0" w:type="dxa"/>
            <w:left w:w="108" w:type="dxa"/>
            <w:bottom w:w="0" w:type="dxa"/>
            <w:right w:w="108" w:type="dxa"/>
          </w:tblCellMar>
        </w:tblPrEx>
        <w:trPr>
          <w:trHeight w:val="646" w:hRule="atLeast"/>
          <w:tblCellSpacing w:w="0" w:type="dxa"/>
          <w:jc w:val="center"/>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333C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color w:val="auto"/>
                <w:sz w:val="21"/>
                <w:szCs w:val="21"/>
                <w:shd w:val="clear" w:color="auto" w:fill="FFFFFF"/>
              </w:rPr>
            </w:pPr>
            <w:r>
              <w:rPr>
                <w:rFonts w:hint="eastAsia" w:asciiTheme="minorEastAsia" w:hAnsiTheme="minorEastAsia" w:eastAsiaTheme="minorEastAsia" w:cstheme="minorEastAsia"/>
                <w:b w:val="0"/>
                <w:bCs w:val="0"/>
                <w:color w:val="auto"/>
                <w:sz w:val="21"/>
                <w:szCs w:val="21"/>
                <w:shd w:val="clear" w:color="auto" w:fill="FFFFFF"/>
              </w:rPr>
              <w:t>1</w:t>
            </w:r>
          </w:p>
        </w:tc>
        <w:tc>
          <w:tcPr>
            <w:tcW w:w="4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10F5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color w:val="auto"/>
                <w:sz w:val="21"/>
                <w:szCs w:val="21"/>
                <w:shd w:val="clear" w:color="auto" w:fill="FFFFFF"/>
                <w:lang w:eastAsia="zh-CN"/>
              </w:rPr>
            </w:pPr>
            <w:r>
              <w:rPr>
                <w:rFonts w:hint="eastAsia" w:eastAsia="宋体" w:asciiTheme="minorEastAsia" w:hAnsiTheme="minorEastAsia" w:cstheme="minorEastAsia"/>
                <w:b w:val="0"/>
                <w:bCs w:val="0"/>
                <w:color w:val="auto"/>
                <w:sz w:val="21"/>
                <w:szCs w:val="21"/>
                <w:shd w:val="clear" w:color="auto" w:fill="FFFFFF"/>
                <w:lang w:val="en-US" w:eastAsia="zh-CN"/>
              </w:rPr>
              <w:t>县城照明设备及楼宇亮化维护服务（二次）</w:t>
            </w:r>
          </w:p>
        </w:tc>
        <w:tc>
          <w:tcPr>
            <w:tcW w:w="4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53D0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eastAsia="宋体" w:asciiTheme="minorEastAsia" w:hAnsiTheme="minorEastAsia" w:cstheme="minorEastAsia"/>
                <w:b w:val="0"/>
                <w:bCs w:val="0"/>
                <w:color w:val="auto"/>
                <w:sz w:val="21"/>
                <w:szCs w:val="21"/>
                <w:shd w:val="clear" w:color="auto" w:fill="FFFFFF"/>
                <w:lang w:eastAsia="zh-CN"/>
              </w:rPr>
            </w:pPr>
            <w:r>
              <w:rPr>
                <w:rFonts w:hint="eastAsia" w:eastAsia="宋体" w:asciiTheme="minorEastAsia" w:hAnsiTheme="minorEastAsia" w:cstheme="minorEastAsia"/>
                <w:b w:val="0"/>
                <w:bCs w:val="0"/>
                <w:color w:val="auto"/>
                <w:sz w:val="21"/>
                <w:szCs w:val="21"/>
                <w:shd w:val="clear" w:color="auto" w:fill="FFFFFF"/>
                <w:lang w:val="en-US" w:eastAsia="zh-CN"/>
              </w:rPr>
              <w:t>工业</w:t>
            </w:r>
          </w:p>
        </w:tc>
      </w:tr>
    </w:tbl>
    <w:p w14:paraId="1D27E653">
      <w:pPr>
        <w:pStyle w:val="34"/>
        <w:keepNext/>
        <w:spacing w:beforeAutospacing="0" w:afterAutospacing="0"/>
        <w:jc w:val="center"/>
        <w:rPr>
          <w:sz w:val="36"/>
          <w:szCs w:val="36"/>
          <w:highlight w:val="none"/>
        </w:rPr>
      </w:pPr>
      <w:bookmarkStart w:id="172" w:name="_Toc120614281"/>
      <w:r>
        <w:rPr>
          <w:rFonts w:hint="eastAsia" w:ascii="黑体" w:hAnsi="宋体" w:eastAsia="黑体" w:cs="黑体"/>
          <w:color w:val="000000"/>
          <w:sz w:val="36"/>
          <w:szCs w:val="36"/>
          <w:highlight w:val="none"/>
        </w:rPr>
        <w:t>第五章</w:t>
      </w:r>
      <w:r>
        <w:rPr>
          <w:rFonts w:hint="eastAsia" w:ascii="黑体" w:hAnsi="宋体" w:eastAsia="黑体" w:cs="黑体"/>
          <w:color w:val="000000"/>
          <w:sz w:val="36"/>
          <w:szCs w:val="36"/>
          <w:highlight w:val="none"/>
          <w:lang w:val="en-US" w:eastAsia="zh-CN"/>
        </w:rPr>
        <w:t xml:space="preserve">  </w:t>
      </w:r>
      <w:r>
        <w:rPr>
          <w:rFonts w:hint="eastAsia" w:ascii="黑体" w:hAnsi="宋体" w:eastAsia="黑体" w:cs="黑体"/>
          <w:b/>
          <w:color w:val="000000"/>
          <w:sz w:val="36"/>
          <w:szCs w:val="36"/>
          <w:highlight w:val="none"/>
        </w:rPr>
        <w:t>评标方法与评标标准</w:t>
      </w:r>
    </w:p>
    <w:p w14:paraId="275E2286">
      <w:pPr>
        <w:pStyle w:val="34"/>
        <w:spacing w:beforeAutospacing="0" w:afterAutospacing="0"/>
        <w:jc w:val="both"/>
        <w:rPr>
          <w:highlight w:val="none"/>
        </w:rPr>
      </w:pPr>
      <w:r>
        <w:rPr>
          <w:highlight w:val="none"/>
        </w:rPr>
        <w:t> </w:t>
      </w:r>
    </w:p>
    <w:p w14:paraId="270A6E19">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一、定标原则</w:t>
      </w:r>
    </w:p>
    <w:p w14:paraId="437CFC9E">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法。</w:t>
      </w:r>
      <w:r>
        <w:rPr>
          <w:rFonts w:hint="eastAsia" w:ascii="宋体" w:hAnsi="宋体" w:eastAsia="宋体" w:cs="宋体"/>
          <w:color w:val="000000"/>
          <w:sz w:val="24"/>
          <w:szCs w:val="24"/>
          <w:highlight w:val="none"/>
        </w:rPr>
        <w:t>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p>
    <w:p w14:paraId="32D1899B">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400" w:lineRule="exact"/>
        <w:ind w:firstLine="441"/>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政府采购政策功能落实</w:t>
      </w:r>
    </w:p>
    <w:p w14:paraId="4EBCB0C3">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default" w:ascii="宋体" w:hAnsi="宋体" w:eastAsia="宋体" w:cs="宋体"/>
          <w:bCs/>
          <w:color w:val="000000"/>
          <w:sz w:val="24"/>
          <w:szCs w:val="24"/>
          <w:lang w:val="en-US" w:eastAsia="zh-CN"/>
        </w:rPr>
      </w:pPr>
      <w:r>
        <w:rPr>
          <w:rFonts w:hint="eastAsia" w:ascii="宋体" w:hAnsi="宋体" w:eastAsia="宋体" w:cs="宋体"/>
          <w:bCs/>
          <w:color w:val="000000"/>
          <w:sz w:val="24"/>
          <w:szCs w:val="24"/>
        </w:rPr>
        <w:t>1</w:t>
      </w:r>
      <w:r>
        <w:rPr>
          <w:rFonts w:hint="eastAsia" w:ascii="宋体" w:hAnsi="宋体" w:eastAsia="宋体" w:cs="宋体"/>
          <w:bCs/>
          <w:color w:val="000000"/>
          <w:sz w:val="24"/>
          <w:szCs w:val="24"/>
          <w:lang w:eastAsia="zh-CN"/>
        </w:rPr>
        <w:t>、</w:t>
      </w:r>
      <w:r>
        <w:rPr>
          <w:rFonts w:hint="eastAsia" w:ascii="宋体" w:hAnsi="宋体" w:eastAsia="宋体" w:cs="宋体"/>
          <w:bCs/>
          <w:color w:val="000000"/>
          <w:sz w:val="24"/>
          <w:szCs w:val="24"/>
        </w:rPr>
        <w:t>小微型</w:t>
      </w:r>
      <w:r>
        <w:rPr>
          <w:rFonts w:hint="eastAsia" w:ascii="宋体" w:hAnsi="宋体" w:eastAsia="宋体" w:cs="宋体"/>
          <w:bCs/>
          <w:color w:val="000000"/>
          <w:sz w:val="24"/>
          <w:szCs w:val="24"/>
          <w:lang w:val="en-US" w:eastAsia="zh-CN"/>
        </w:rPr>
        <w:t>企业价格扣除</w:t>
      </w:r>
    </w:p>
    <w:p w14:paraId="605381CF">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（1）本项目不专门面向中小企业采购，对符合规定的小型和微型企业报价给予</w:t>
      </w:r>
      <w:r>
        <w:rPr>
          <w:rFonts w:hint="eastAsia" w:ascii="宋体" w:hAnsi="宋体" w:eastAsia="宋体" w:cs="宋体"/>
          <w:bCs/>
          <w:color w:val="000000" w:themeColor="text1"/>
          <w:sz w:val="24"/>
          <w:szCs w:val="24"/>
          <w:u w:val="single"/>
          <w14:textFill>
            <w14:solidFill>
              <w14:schemeClr w14:val="tx1"/>
            </w14:solidFill>
          </w14:textFill>
        </w:rPr>
        <w:t>20%的扣除价格</w:t>
      </w:r>
      <w:r>
        <w:rPr>
          <w:rFonts w:hint="eastAsia" w:ascii="宋体" w:hAnsi="宋体" w:eastAsia="宋体" w:cs="宋体"/>
          <w:bCs/>
          <w:color w:val="000000" w:themeColor="text1"/>
          <w:sz w:val="24"/>
          <w:szCs w:val="24"/>
          <w14:textFill>
            <w14:solidFill>
              <w14:schemeClr w14:val="tx1"/>
            </w14:solidFill>
          </w14:textFill>
        </w:rPr>
        <w:t>，用扣除后的价格参与评审。</w:t>
      </w:r>
    </w:p>
    <w:p w14:paraId="1027CC39">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w:t>
      </w:r>
      <w:r>
        <w:rPr>
          <w:rFonts w:hint="eastAsia" w:ascii="宋体" w:hAnsi="宋体" w:eastAsia="宋体" w:cs="宋体"/>
          <w:bCs/>
          <w:color w:val="000000" w:themeColor="text1"/>
          <w:sz w:val="24"/>
          <w:szCs w:val="24"/>
          <w:lang w:val="en-US" w:eastAsia="zh-CN"/>
          <w14:textFill>
            <w14:solidFill>
              <w14:schemeClr w14:val="tx1"/>
            </w14:solidFill>
          </w14:textFill>
        </w:rPr>
        <w:t>供应商</w:t>
      </w:r>
      <w:r>
        <w:rPr>
          <w:rFonts w:hint="eastAsia" w:ascii="宋体" w:hAnsi="宋体" w:eastAsia="宋体" w:cs="宋体"/>
          <w:bCs/>
          <w:color w:val="000000" w:themeColor="text1"/>
          <w:sz w:val="24"/>
          <w:szCs w:val="24"/>
          <w14:textFill>
            <w14:solidFill>
              <w14:schemeClr w14:val="tx1"/>
            </w14:solidFill>
          </w14:textFill>
        </w:rPr>
        <w:t>需按照采购文件的要求提供相应的《</w:t>
      </w:r>
      <w:r>
        <w:rPr>
          <w:rFonts w:hint="eastAsia" w:ascii="宋体" w:hAnsi="宋体" w:eastAsia="宋体" w:cs="宋体"/>
          <w:bCs/>
          <w:color w:val="000000" w:themeColor="text1"/>
          <w:sz w:val="24"/>
          <w:szCs w:val="24"/>
          <w:lang w:val="en-US" w:eastAsia="zh-CN"/>
          <w14:textFill>
            <w14:solidFill>
              <w14:schemeClr w14:val="tx1"/>
            </w14:solidFill>
          </w14:textFill>
        </w:rPr>
        <w:t>中小</w:t>
      </w:r>
      <w:r>
        <w:rPr>
          <w:rFonts w:hint="eastAsia" w:ascii="宋体" w:hAnsi="宋体" w:eastAsia="宋体" w:cs="宋体"/>
          <w:bCs/>
          <w:color w:val="000000" w:themeColor="text1"/>
          <w:sz w:val="24"/>
          <w:szCs w:val="24"/>
          <w14:textFill>
            <w14:solidFill>
              <w14:schemeClr w14:val="tx1"/>
            </w14:solidFill>
          </w14:textFill>
        </w:rPr>
        <w:t>企业声明函》。</w:t>
      </w:r>
    </w:p>
    <w:p w14:paraId="64709482">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（3）企业标准请参照《关于印发中小企业划型标准规定的通知》（工信部联企业〔2011〕300号）文件规定自行填写。</w:t>
      </w:r>
    </w:p>
    <w:p w14:paraId="271D6F66">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w:t>
      </w:r>
      <w:r>
        <w:rPr>
          <w:rFonts w:hint="eastAsia" w:ascii="宋体" w:hAnsi="宋体" w:eastAsia="宋体" w:cs="宋体"/>
          <w:bCs/>
          <w:color w:val="000000" w:themeColor="text1"/>
          <w:sz w:val="24"/>
          <w:szCs w:val="24"/>
          <w:lang w:eastAsia="zh-CN"/>
          <w14:textFill>
            <w14:solidFill>
              <w14:schemeClr w14:val="tx1"/>
            </w14:solidFill>
          </w14:textFill>
        </w:rPr>
        <w:t>、</w:t>
      </w:r>
      <w:r>
        <w:rPr>
          <w:rFonts w:hint="eastAsia" w:ascii="宋体" w:hAnsi="宋体" w:eastAsia="宋体" w:cs="宋体"/>
          <w:bCs/>
          <w:color w:val="000000" w:themeColor="text1"/>
          <w:sz w:val="24"/>
          <w:szCs w:val="24"/>
          <w14:textFill>
            <w14:solidFill>
              <w14:schemeClr w14:val="tx1"/>
            </w14:solidFill>
          </w14:textFill>
        </w:rPr>
        <w:t>残疾人福利单位</w:t>
      </w:r>
      <w:r>
        <w:rPr>
          <w:rFonts w:hint="eastAsia" w:ascii="宋体" w:hAnsi="宋体" w:eastAsia="宋体" w:cs="宋体"/>
          <w:bCs/>
          <w:color w:val="000000"/>
          <w:sz w:val="24"/>
          <w:szCs w:val="24"/>
          <w:lang w:val="en-US" w:eastAsia="zh-CN"/>
        </w:rPr>
        <w:t>价格扣除</w:t>
      </w:r>
    </w:p>
    <w:p w14:paraId="3D550F05">
      <w:pPr>
        <w:pStyle w:val="34"/>
        <w:spacing w:before="120" w:beforeAutospacing="0" w:after="120" w:afterAutospacing="0" w:line="0" w:lineRule="atLeast"/>
        <w:ind w:left="120" w:firstLine="36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w:t>
      </w:r>
      <w:r>
        <w:rPr>
          <w:rFonts w:hint="eastAsia" w:ascii="宋体" w:hAnsi="宋体" w:eastAsia="宋体" w:cs="宋体"/>
          <w:color w:val="000000"/>
          <w:highlight w:val="none"/>
        </w:rPr>
        <w:t>本项目对残疾人福利性单位视同小型、微型企业，给予</w:t>
      </w:r>
      <w:r>
        <w:rPr>
          <w:rFonts w:hint="eastAsia" w:ascii="宋体" w:hAnsi="宋体" w:eastAsia="宋体" w:cs="宋体"/>
          <w:color w:val="000000"/>
          <w:highlight w:val="none"/>
          <w:u w:val="single"/>
        </w:rPr>
        <w:t>20%</w:t>
      </w:r>
      <w:r>
        <w:rPr>
          <w:rFonts w:hint="eastAsia" w:ascii="宋体" w:hAnsi="宋体" w:eastAsia="宋体" w:cs="宋体"/>
          <w:color w:val="000000"/>
          <w:highlight w:val="none"/>
          <w:u w:val="single"/>
          <w:lang w:eastAsia="zh-CN"/>
        </w:rPr>
        <w:t>的价格扣除。</w:t>
      </w:r>
    </w:p>
    <w:p w14:paraId="20337FC0">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（2）残疾人福利单位需按照采购文件的要求提供《残疾人福利性单位声明函》。</w:t>
      </w:r>
    </w:p>
    <w:p w14:paraId="166E2B38">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（3）残疾人福利单位标准请参照《关于促进残疾人就业政府采购政策的通知》（财库〔2017〕141号）。</w:t>
      </w:r>
    </w:p>
    <w:p w14:paraId="7D76F4E6">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w:t>
      </w:r>
      <w:r>
        <w:rPr>
          <w:rFonts w:hint="eastAsia" w:ascii="宋体" w:hAnsi="宋体" w:eastAsia="宋体" w:cs="宋体"/>
          <w:bCs/>
          <w:color w:val="000000" w:themeColor="text1"/>
          <w:sz w:val="24"/>
          <w:szCs w:val="24"/>
          <w:lang w:eastAsia="zh-CN"/>
          <w14:textFill>
            <w14:solidFill>
              <w14:schemeClr w14:val="tx1"/>
            </w14:solidFill>
          </w14:textFill>
        </w:rPr>
        <w:t>、</w:t>
      </w:r>
      <w:r>
        <w:rPr>
          <w:rFonts w:hint="eastAsia" w:ascii="宋体" w:hAnsi="宋体" w:eastAsia="宋体" w:cs="宋体"/>
          <w:bCs/>
          <w:color w:val="000000" w:themeColor="text1"/>
          <w:sz w:val="24"/>
          <w:szCs w:val="24"/>
          <w14:textFill>
            <w14:solidFill>
              <w14:schemeClr w14:val="tx1"/>
            </w14:solidFill>
          </w14:textFill>
        </w:rPr>
        <w:t>监狱和戒毒企业</w:t>
      </w:r>
      <w:r>
        <w:rPr>
          <w:rFonts w:hint="eastAsia" w:ascii="宋体" w:hAnsi="宋体" w:eastAsia="宋体" w:cs="宋体"/>
          <w:bCs/>
          <w:color w:val="000000"/>
          <w:sz w:val="24"/>
          <w:szCs w:val="24"/>
          <w:lang w:val="en-US" w:eastAsia="zh-CN"/>
        </w:rPr>
        <w:t>价格扣除</w:t>
      </w:r>
    </w:p>
    <w:p w14:paraId="4132E39E">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（1）本项目对监狱和戒毒企业（简称监狱企业）视同小型、微型企业，给予</w:t>
      </w:r>
      <w:r>
        <w:rPr>
          <w:rFonts w:hint="eastAsia" w:ascii="宋体" w:hAnsi="宋体" w:eastAsia="宋体" w:cs="宋体"/>
          <w:bCs/>
          <w:color w:val="000000" w:themeColor="text1"/>
          <w:sz w:val="24"/>
          <w:szCs w:val="24"/>
          <w:u w:val="single"/>
          <w14:textFill>
            <w14:solidFill>
              <w14:schemeClr w14:val="tx1"/>
            </w14:solidFill>
          </w14:textFill>
        </w:rPr>
        <w:t>20%</w:t>
      </w:r>
      <w:r>
        <w:rPr>
          <w:rFonts w:hint="eastAsia" w:ascii="宋体" w:hAnsi="宋体" w:eastAsia="宋体" w:cs="宋体"/>
          <w:bCs/>
          <w:color w:val="000000" w:themeColor="text1"/>
          <w:sz w:val="24"/>
          <w:szCs w:val="24"/>
          <w:u w:val="single"/>
          <w:lang w:eastAsia="zh-CN"/>
          <w14:textFill>
            <w14:solidFill>
              <w14:schemeClr w14:val="tx1"/>
            </w14:solidFill>
          </w14:textFill>
        </w:rPr>
        <w:t>的价格扣除。</w:t>
      </w:r>
    </w:p>
    <w:p w14:paraId="29C119EA">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（2）监狱企业参加政府采购活动时，需提供由省级以上监狱管理局、戒毒管理局(含新疆生产建设兵团)出具的属于监狱企业的证明文件。供应商如不提供上述证明文件，价格将不做相应扣除。</w:t>
      </w:r>
    </w:p>
    <w:p w14:paraId="4363CC1B">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（3）监狱企业标准请参照《关于政府采购支持监狱企业发展有关问题的通知》（财库〔2014〕68号）。</w:t>
      </w:r>
    </w:p>
    <w:p w14:paraId="39BC2E04">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4</w:t>
      </w:r>
      <w:r>
        <w:rPr>
          <w:rFonts w:hint="eastAsia" w:ascii="宋体" w:hAnsi="宋体" w:eastAsia="宋体" w:cs="宋体"/>
          <w:bCs/>
          <w:color w:val="000000" w:themeColor="text1"/>
          <w:sz w:val="24"/>
          <w:szCs w:val="24"/>
          <w:lang w:eastAsia="zh-CN"/>
          <w14:textFill>
            <w14:solidFill>
              <w14:schemeClr w14:val="tx1"/>
            </w14:solidFill>
          </w14:textFill>
        </w:rPr>
        <w:t>、</w:t>
      </w:r>
      <w:r>
        <w:rPr>
          <w:rFonts w:hint="eastAsia" w:ascii="宋体" w:hAnsi="宋体" w:eastAsia="宋体" w:cs="宋体"/>
          <w:bCs/>
          <w:color w:val="000000" w:themeColor="text1"/>
          <w:sz w:val="24"/>
          <w:szCs w:val="24"/>
          <w14:textFill>
            <w14:solidFill>
              <w14:schemeClr w14:val="tx1"/>
            </w14:solidFill>
          </w14:textFill>
        </w:rPr>
        <w:t>残疾人福利单位、监狱企业属于小型、微型企业的，不重复享受政策。</w:t>
      </w:r>
    </w:p>
    <w:p w14:paraId="3FFE87A6">
      <w:pPr>
        <w:keepNext w:val="0"/>
        <w:keepLines w:val="0"/>
        <w:pageBreakBefore w:val="0"/>
        <w:widowControl w:val="0"/>
        <w:kinsoku/>
        <w:wordWrap/>
        <w:overflowPunct/>
        <w:topLinePunct w:val="0"/>
        <w:autoSpaceDE/>
        <w:autoSpaceDN/>
        <w:bidi w:val="0"/>
        <w:adjustRightInd/>
        <w:snapToGrid/>
        <w:spacing w:line="400" w:lineRule="exact"/>
        <w:ind w:firstLine="480"/>
        <w:jc w:val="left"/>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themeColor="text1"/>
          <w:sz w:val="24"/>
          <w:szCs w:val="24"/>
          <w:lang w:val="en-US" w:eastAsia="zh-CN"/>
          <w14:textFill>
            <w14:solidFill>
              <w14:schemeClr w14:val="tx1"/>
            </w14:solidFill>
          </w14:textFill>
        </w:rPr>
        <w:t>5</w:t>
      </w:r>
      <w:r>
        <w:rPr>
          <w:rFonts w:hint="eastAsia" w:ascii="宋体" w:hAnsi="宋体" w:eastAsia="宋体" w:cs="宋体"/>
          <w:bCs/>
          <w:color w:val="000000" w:themeColor="text1"/>
          <w:sz w:val="24"/>
          <w:szCs w:val="24"/>
          <w14:textFill>
            <w14:solidFill>
              <w14:schemeClr w14:val="tx1"/>
            </w14:solidFill>
          </w14:textFill>
        </w:rPr>
        <w:t>、严格执行政府采购关于支持节能产品、环境标志产品的相关政策规定。如本次采购的产品属于财政部</w:t>
      </w:r>
      <w:r>
        <w:rPr>
          <w:rFonts w:hint="eastAsia" w:ascii="宋体" w:hAnsi="宋体" w:eastAsia="宋体" w:cs="宋体"/>
          <w:color w:val="000000"/>
          <w:sz w:val="24"/>
          <w:szCs w:val="24"/>
          <w:highlight w:val="none"/>
        </w:rPr>
        <w:t>、国家发展改革委、生态环境部、市场监管总局等部门发布的节能产品、环境标志产品品目清单政府强制采购范围的，</w:t>
      </w:r>
      <w:r>
        <w:rPr>
          <w:rFonts w:hint="eastAsia" w:ascii="宋体" w:hAnsi="宋体" w:eastAsia="宋体" w:cs="宋体"/>
          <w:color w:val="000000"/>
          <w:sz w:val="24"/>
          <w:szCs w:val="24"/>
          <w:highlight w:val="none"/>
          <w:lang w:eastAsia="zh-CN"/>
        </w:rPr>
        <w:t>投标人</w:t>
      </w:r>
      <w:r>
        <w:rPr>
          <w:rFonts w:hint="eastAsia" w:ascii="宋体" w:hAnsi="宋体" w:eastAsia="宋体" w:cs="宋体"/>
          <w:color w:val="000000"/>
          <w:sz w:val="24"/>
          <w:szCs w:val="24"/>
          <w:highlight w:val="none"/>
        </w:rPr>
        <w:t>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szCs w:val="24"/>
          <w:highlight w:val="none"/>
        </w:rPr>
        <w:t>如属政府强制采购产品未提供认证证书的或认证证书提供不全的将视为未实质性响应采购要求</w:t>
      </w:r>
      <w:r>
        <w:rPr>
          <w:rFonts w:hint="eastAsia" w:ascii="宋体" w:hAnsi="宋体" w:eastAsia="宋体" w:cs="宋体"/>
          <w:i/>
          <w:color w:val="000000"/>
          <w:sz w:val="24"/>
          <w:szCs w:val="24"/>
          <w:highlight w:val="none"/>
        </w:rPr>
        <w:t>。</w:t>
      </w:r>
      <w:r>
        <w:rPr>
          <w:rFonts w:hint="eastAsia" w:ascii="宋体" w:hAnsi="宋体" w:eastAsia="宋体" w:cs="宋体"/>
          <w:color w:val="000000"/>
          <w:sz w:val="24"/>
          <w:szCs w:val="24"/>
          <w:highlight w:val="none"/>
        </w:rPr>
        <w:t>其他条件相同情况下，应当优先采购节能产品、环境标志产品。</w:t>
      </w:r>
      <w:r>
        <w:rPr>
          <w:rFonts w:hint="eastAsia" w:ascii="宋体" w:hAnsi="宋体" w:eastAsia="宋体" w:cs="宋体"/>
          <w:color w:val="000000"/>
          <w:sz w:val="24"/>
          <w:szCs w:val="24"/>
          <w:highlight w:val="none"/>
          <w:lang w:val="en-US" w:eastAsia="zh-CN"/>
        </w:rPr>
        <w:t xml:space="preserve">            </w:t>
      </w:r>
    </w:p>
    <w:p w14:paraId="7CE3B1A5">
      <w:pPr>
        <w:keepNext w:val="0"/>
        <w:keepLines w:val="0"/>
        <w:pageBreakBefore w:val="0"/>
        <w:widowControl w:val="0"/>
        <w:kinsoku/>
        <w:wordWrap/>
        <w:overflowPunct/>
        <w:topLinePunct w:val="0"/>
        <w:autoSpaceDE/>
        <w:autoSpaceDN/>
        <w:bidi w:val="0"/>
        <w:adjustRightInd/>
        <w:snapToGrid/>
        <w:spacing w:line="400" w:lineRule="exact"/>
        <w:ind w:firstLine="480"/>
        <w:jc w:val="left"/>
        <w:textAlignment w:val="auto"/>
        <w:rPr>
          <w:rFonts w:hint="eastAsia" w:ascii="宋体" w:hAnsi="宋体" w:eastAsia="宋体" w:cs="宋体"/>
          <w:bCs/>
          <w:color w:val="000000"/>
          <w:sz w:val="24"/>
          <w:szCs w:val="24"/>
        </w:rPr>
      </w:pPr>
      <w:r>
        <w:rPr>
          <w:rFonts w:hint="eastAsia" w:ascii="宋体" w:hAnsi="宋体" w:eastAsia="宋体" w:cs="宋体"/>
          <w:b/>
          <w:bCs/>
          <w:color w:val="000000"/>
          <w:sz w:val="24"/>
          <w:szCs w:val="24"/>
        </w:rPr>
        <w:t>二、评标标准</w:t>
      </w:r>
      <w:r>
        <w:rPr>
          <w:rFonts w:hint="eastAsia" w:ascii="宋体" w:hAnsi="宋体" w:eastAsia="宋体" w:cs="宋体"/>
          <w:b/>
          <w:bCs/>
          <w:color w:val="000000"/>
          <w:sz w:val="24"/>
          <w:szCs w:val="24"/>
          <w:lang w:val="en-US" w:eastAsia="zh-CN"/>
        </w:rPr>
        <w:t xml:space="preserve">                                                        </w:t>
      </w:r>
      <w:r>
        <w:rPr>
          <w:rFonts w:hint="eastAsia" w:ascii="宋体" w:hAnsi="宋体" w:eastAsia="宋体" w:cs="宋体"/>
          <w:bCs/>
          <w:color w:val="000000"/>
          <w:sz w:val="24"/>
          <w:szCs w:val="24"/>
        </w:rPr>
        <w:t>本项目评分总分值为100分。</w:t>
      </w:r>
    </w:p>
    <w:tbl>
      <w:tblPr>
        <w:tblStyle w:val="37"/>
        <w:tblW w:w="508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9"/>
        <w:gridCol w:w="1207"/>
        <w:gridCol w:w="1210"/>
        <w:gridCol w:w="5826"/>
      </w:tblGrid>
      <w:tr w14:paraId="152A4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416" w:type="pct"/>
            <w:tcBorders>
              <w:top w:val="single" w:color="auto" w:sz="4" w:space="0"/>
              <w:left w:val="single" w:color="auto" w:sz="4" w:space="0"/>
              <w:bottom w:val="single" w:color="auto" w:sz="4" w:space="0"/>
              <w:right w:val="single" w:color="auto" w:sz="4" w:space="0"/>
            </w:tcBorders>
            <w:vAlign w:val="center"/>
          </w:tcPr>
          <w:p w14:paraId="5C8E3FAD">
            <w:pPr>
              <w:keepNext w:val="0"/>
              <w:keepLines w:val="0"/>
              <w:pageBreakBefore w:val="0"/>
              <w:widowControl/>
              <w:kinsoku/>
              <w:wordWrap/>
              <w:overflowPunct/>
              <w:topLinePunct w:val="0"/>
              <w:autoSpaceDE/>
              <w:autoSpaceDN/>
              <w:bidi w:val="0"/>
              <w:spacing w:line="400" w:lineRule="exact"/>
              <w:jc w:val="center"/>
              <w:textAlignment w:val="auto"/>
              <w:rPr>
                <w:rFonts w:hint="eastAsia" w:ascii="宋体" w:hAnsi="宋体" w:eastAsia="宋体" w:cs="宋体"/>
                <w:b/>
                <w:sz w:val="24"/>
                <w:szCs w:val="24"/>
              </w:rPr>
            </w:pPr>
            <w:r>
              <w:rPr>
                <w:rFonts w:hint="eastAsia" w:ascii="宋体" w:hAnsi="宋体" w:eastAsia="宋体" w:cs="宋体"/>
                <w:b/>
                <w:sz w:val="24"/>
                <w:szCs w:val="24"/>
                <w:lang w:bidi="ar"/>
              </w:rPr>
              <w:t>序号</w:t>
            </w:r>
          </w:p>
        </w:tc>
        <w:tc>
          <w:tcPr>
            <w:tcW w:w="671" w:type="pct"/>
            <w:tcBorders>
              <w:top w:val="single" w:color="auto" w:sz="4" w:space="0"/>
              <w:left w:val="single" w:color="auto" w:sz="4" w:space="0"/>
              <w:bottom w:val="single" w:color="auto" w:sz="4" w:space="0"/>
              <w:right w:val="single" w:color="auto" w:sz="4" w:space="0"/>
            </w:tcBorders>
            <w:vAlign w:val="center"/>
          </w:tcPr>
          <w:p w14:paraId="131C71B0">
            <w:pPr>
              <w:keepNext w:val="0"/>
              <w:keepLines w:val="0"/>
              <w:pageBreakBefore w:val="0"/>
              <w:widowControl/>
              <w:kinsoku/>
              <w:wordWrap/>
              <w:overflowPunct/>
              <w:topLinePunct w:val="0"/>
              <w:autoSpaceDE/>
              <w:autoSpaceDN/>
              <w:bidi w:val="0"/>
              <w:spacing w:line="400" w:lineRule="exact"/>
              <w:jc w:val="center"/>
              <w:textAlignment w:val="auto"/>
              <w:rPr>
                <w:rFonts w:hint="eastAsia" w:ascii="宋体" w:hAnsi="宋体" w:eastAsia="宋体" w:cs="宋体"/>
                <w:b/>
                <w:sz w:val="24"/>
                <w:szCs w:val="24"/>
              </w:rPr>
            </w:pPr>
            <w:r>
              <w:rPr>
                <w:rFonts w:hint="eastAsia" w:ascii="宋体" w:hAnsi="宋体" w:eastAsia="宋体" w:cs="宋体"/>
                <w:b/>
                <w:sz w:val="24"/>
                <w:szCs w:val="24"/>
                <w:lang w:bidi="ar"/>
              </w:rPr>
              <w:t>评分项目</w:t>
            </w:r>
          </w:p>
        </w:tc>
        <w:tc>
          <w:tcPr>
            <w:tcW w:w="673" w:type="pct"/>
            <w:tcBorders>
              <w:top w:val="single" w:color="auto" w:sz="4" w:space="0"/>
              <w:left w:val="single" w:color="auto" w:sz="4" w:space="0"/>
              <w:bottom w:val="single" w:color="auto" w:sz="4" w:space="0"/>
              <w:right w:val="single" w:color="auto" w:sz="4" w:space="0"/>
            </w:tcBorders>
            <w:vAlign w:val="center"/>
          </w:tcPr>
          <w:p w14:paraId="7DC3C209">
            <w:pPr>
              <w:keepNext w:val="0"/>
              <w:keepLines w:val="0"/>
              <w:pageBreakBefore w:val="0"/>
              <w:widowControl/>
              <w:kinsoku/>
              <w:wordWrap/>
              <w:overflowPunct/>
              <w:topLinePunct w:val="0"/>
              <w:autoSpaceDE/>
              <w:autoSpaceDN/>
              <w:bidi w:val="0"/>
              <w:spacing w:line="400" w:lineRule="exact"/>
              <w:jc w:val="center"/>
              <w:textAlignment w:val="auto"/>
              <w:rPr>
                <w:rFonts w:hint="eastAsia" w:ascii="宋体" w:hAnsi="宋体" w:eastAsia="宋体" w:cs="宋体"/>
                <w:b/>
                <w:sz w:val="24"/>
                <w:szCs w:val="24"/>
              </w:rPr>
            </w:pPr>
            <w:r>
              <w:rPr>
                <w:rFonts w:hint="eastAsia" w:ascii="宋体" w:hAnsi="宋体" w:eastAsia="宋体" w:cs="宋体"/>
                <w:b/>
                <w:sz w:val="24"/>
                <w:szCs w:val="24"/>
                <w:lang w:bidi="ar"/>
              </w:rPr>
              <w:t>评审因素</w:t>
            </w:r>
          </w:p>
        </w:tc>
        <w:tc>
          <w:tcPr>
            <w:tcW w:w="3240" w:type="pct"/>
            <w:tcBorders>
              <w:top w:val="single" w:color="auto" w:sz="4" w:space="0"/>
              <w:left w:val="single" w:color="auto" w:sz="4" w:space="0"/>
              <w:bottom w:val="single" w:color="auto" w:sz="4" w:space="0"/>
              <w:right w:val="single" w:color="auto" w:sz="4" w:space="0"/>
            </w:tcBorders>
            <w:vAlign w:val="center"/>
          </w:tcPr>
          <w:p w14:paraId="7B42A465">
            <w:pPr>
              <w:keepNext w:val="0"/>
              <w:keepLines w:val="0"/>
              <w:pageBreakBefore w:val="0"/>
              <w:widowControl/>
              <w:kinsoku/>
              <w:wordWrap/>
              <w:overflowPunct/>
              <w:topLinePunct w:val="0"/>
              <w:autoSpaceDE/>
              <w:autoSpaceDN/>
              <w:bidi w:val="0"/>
              <w:spacing w:line="400" w:lineRule="exact"/>
              <w:jc w:val="center"/>
              <w:textAlignment w:val="auto"/>
              <w:rPr>
                <w:rFonts w:hint="eastAsia" w:ascii="宋体" w:hAnsi="宋体" w:eastAsia="宋体" w:cs="宋体"/>
                <w:b/>
                <w:sz w:val="24"/>
                <w:szCs w:val="24"/>
              </w:rPr>
            </w:pPr>
            <w:r>
              <w:rPr>
                <w:rFonts w:hint="eastAsia" w:ascii="宋体" w:hAnsi="宋体" w:eastAsia="宋体" w:cs="宋体"/>
                <w:b/>
                <w:sz w:val="24"/>
                <w:szCs w:val="24"/>
                <w:lang w:bidi="ar"/>
              </w:rPr>
              <w:t>评分细则</w:t>
            </w:r>
          </w:p>
        </w:tc>
      </w:tr>
      <w:tr w14:paraId="50780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pct"/>
            <w:tcBorders>
              <w:top w:val="single" w:color="auto" w:sz="4" w:space="0"/>
              <w:left w:val="single" w:color="auto" w:sz="4" w:space="0"/>
              <w:bottom w:val="single" w:color="auto" w:sz="4" w:space="0"/>
              <w:right w:val="single" w:color="auto" w:sz="4" w:space="0"/>
            </w:tcBorders>
            <w:vAlign w:val="center"/>
          </w:tcPr>
          <w:p w14:paraId="2956D653">
            <w:pPr>
              <w:keepNext w:val="0"/>
              <w:keepLines w:val="0"/>
              <w:pageBreakBefore w:val="0"/>
              <w:widowControl/>
              <w:kinsoku/>
              <w:wordWrap/>
              <w:overflowPunct/>
              <w:topLinePunct w:val="0"/>
              <w:autoSpaceDE/>
              <w:autoSpaceDN/>
              <w:bidi w:val="0"/>
              <w:spacing w:line="400" w:lineRule="exact"/>
              <w:jc w:val="center"/>
              <w:textAlignment w:val="auto"/>
              <w:rPr>
                <w:rFonts w:hint="eastAsia" w:ascii="宋体" w:hAnsi="宋体" w:eastAsia="宋体" w:cs="宋体"/>
                <w:bCs/>
                <w:sz w:val="24"/>
                <w:szCs w:val="24"/>
              </w:rPr>
            </w:pPr>
            <w:r>
              <w:rPr>
                <w:rFonts w:hint="eastAsia" w:ascii="宋体" w:hAnsi="宋体" w:eastAsia="宋体" w:cs="宋体"/>
                <w:bCs/>
                <w:sz w:val="24"/>
                <w:szCs w:val="24"/>
                <w:lang w:bidi="ar"/>
              </w:rPr>
              <w:t>1</w:t>
            </w:r>
          </w:p>
        </w:tc>
        <w:tc>
          <w:tcPr>
            <w:tcW w:w="671" w:type="pct"/>
            <w:tcBorders>
              <w:top w:val="single" w:color="auto" w:sz="4" w:space="0"/>
              <w:left w:val="single" w:color="auto" w:sz="4" w:space="0"/>
              <w:bottom w:val="single" w:color="auto" w:sz="4" w:space="0"/>
              <w:right w:val="single" w:color="auto" w:sz="4" w:space="0"/>
            </w:tcBorders>
            <w:vAlign w:val="center"/>
          </w:tcPr>
          <w:p w14:paraId="0354BF50">
            <w:pPr>
              <w:keepNext w:val="0"/>
              <w:keepLines w:val="0"/>
              <w:pageBreakBefore w:val="0"/>
              <w:widowControl/>
              <w:kinsoku/>
              <w:wordWrap/>
              <w:overflowPunct/>
              <w:topLinePunct w:val="0"/>
              <w:autoSpaceDE/>
              <w:autoSpaceDN/>
              <w:bidi w:val="0"/>
              <w:spacing w:line="400" w:lineRule="exact"/>
              <w:jc w:val="center"/>
              <w:textAlignment w:val="auto"/>
              <w:rPr>
                <w:rFonts w:hint="eastAsia" w:ascii="宋体" w:hAnsi="宋体" w:eastAsia="宋体" w:cs="宋体"/>
                <w:bCs/>
                <w:sz w:val="24"/>
                <w:szCs w:val="24"/>
              </w:rPr>
            </w:pPr>
            <w:r>
              <w:rPr>
                <w:rFonts w:hint="eastAsia" w:ascii="宋体" w:hAnsi="宋体" w:eastAsia="宋体" w:cs="宋体"/>
                <w:bCs/>
                <w:sz w:val="24"/>
                <w:szCs w:val="24"/>
                <w:lang w:bidi="ar"/>
              </w:rPr>
              <w:t>投标报价10</w:t>
            </w:r>
          </w:p>
        </w:tc>
        <w:tc>
          <w:tcPr>
            <w:tcW w:w="673" w:type="pct"/>
            <w:tcBorders>
              <w:top w:val="single" w:color="auto" w:sz="4" w:space="0"/>
              <w:left w:val="single" w:color="auto" w:sz="4" w:space="0"/>
              <w:bottom w:val="single" w:color="auto" w:sz="4" w:space="0"/>
              <w:right w:val="single" w:color="auto" w:sz="4" w:space="0"/>
            </w:tcBorders>
            <w:vAlign w:val="center"/>
          </w:tcPr>
          <w:p w14:paraId="132C0FEB">
            <w:pPr>
              <w:keepNext w:val="0"/>
              <w:keepLines w:val="0"/>
              <w:pageBreakBefore w:val="0"/>
              <w:widowControl/>
              <w:kinsoku/>
              <w:wordWrap/>
              <w:overflowPunct/>
              <w:topLinePunct w:val="0"/>
              <w:autoSpaceDE/>
              <w:autoSpaceDN/>
              <w:bidi w:val="0"/>
              <w:spacing w:line="400" w:lineRule="exact"/>
              <w:jc w:val="center"/>
              <w:textAlignment w:val="auto"/>
              <w:rPr>
                <w:rFonts w:hint="eastAsia" w:ascii="宋体" w:hAnsi="宋体" w:eastAsia="宋体" w:cs="宋体"/>
                <w:bCs/>
                <w:sz w:val="24"/>
                <w:szCs w:val="24"/>
              </w:rPr>
            </w:pPr>
            <w:r>
              <w:rPr>
                <w:rFonts w:hint="eastAsia" w:ascii="宋体" w:hAnsi="宋体" w:eastAsia="宋体" w:cs="宋体"/>
                <w:bCs/>
                <w:sz w:val="24"/>
                <w:szCs w:val="24"/>
                <w:lang w:bidi="ar"/>
              </w:rPr>
              <w:t>投标报价10</w:t>
            </w:r>
          </w:p>
        </w:tc>
        <w:tc>
          <w:tcPr>
            <w:tcW w:w="3240" w:type="pct"/>
            <w:tcBorders>
              <w:top w:val="single" w:color="auto" w:sz="4" w:space="0"/>
              <w:left w:val="single" w:color="auto" w:sz="4" w:space="0"/>
              <w:bottom w:val="single" w:color="auto" w:sz="4" w:space="0"/>
              <w:right w:val="single" w:color="auto" w:sz="4" w:space="0"/>
            </w:tcBorders>
            <w:vAlign w:val="center"/>
          </w:tcPr>
          <w:p w14:paraId="2B69741D">
            <w:pPr>
              <w:keepNext w:val="0"/>
              <w:keepLines w:val="0"/>
              <w:pageBreakBefore w:val="0"/>
              <w:widowControl/>
              <w:kinsoku/>
              <w:wordWrap/>
              <w:overflowPunct/>
              <w:topLinePunct w:val="0"/>
              <w:autoSpaceDE/>
              <w:autoSpaceDN/>
              <w:bidi w:val="0"/>
              <w:spacing w:line="400" w:lineRule="exact"/>
              <w:textAlignment w:val="auto"/>
              <w:rPr>
                <w:rFonts w:hint="eastAsia" w:ascii="宋体" w:hAnsi="宋体" w:eastAsia="宋体" w:cs="宋体"/>
                <w:bCs/>
                <w:sz w:val="24"/>
                <w:szCs w:val="24"/>
                <w:lang w:bidi="ar"/>
              </w:rPr>
            </w:pPr>
            <w:r>
              <w:rPr>
                <w:rFonts w:hint="eastAsia" w:ascii="宋体" w:hAnsi="宋体" w:eastAsia="宋体" w:cs="宋体"/>
                <w:bCs/>
                <w:sz w:val="24"/>
                <w:szCs w:val="24"/>
                <w:lang w:bidi="ar"/>
              </w:rPr>
              <w:t>1. 评标总价是指通过资格审查、符合性检查且实质性响应招标文件要求，经修正、落实政府采购政策功能扣除后的总价。</w:t>
            </w:r>
          </w:p>
          <w:p w14:paraId="578A9A1C">
            <w:pPr>
              <w:keepNext w:val="0"/>
              <w:keepLines w:val="0"/>
              <w:pageBreakBefore w:val="0"/>
              <w:widowControl/>
              <w:kinsoku/>
              <w:wordWrap/>
              <w:overflowPunct/>
              <w:topLinePunct w:val="0"/>
              <w:autoSpaceDE/>
              <w:autoSpaceDN/>
              <w:bidi w:val="0"/>
              <w:spacing w:line="400" w:lineRule="exact"/>
              <w:textAlignment w:val="auto"/>
              <w:rPr>
                <w:rFonts w:hint="eastAsia" w:ascii="宋体" w:hAnsi="宋体" w:eastAsia="宋体" w:cs="宋体"/>
                <w:bCs/>
                <w:sz w:val="24"/>
                <w:szCs w:val="24"/>
                <w:lang w:bidi="ar"/>
              </w:rPr>
            </w:pPr>
            <w:r>
              <w:rPr>
                <w:rFonts w:hint="eastAsia" w:ascii="宋体" w:hAnsi="宋体" w:eastAsia="宋体" w:cs="宋体"/>
                <w:bCs/>
                <w:sz w:val="24"/>
                <w:szCs w:val="24"/>
                <w:lang w:bidi="ar"/>
              </w:rPr>
              <w:t>2. 评标基准价=评标总价中的最低总价。</w:t>
            </w:r>
          </w:p>
          <w:p w14:paraId="6C8AA8C5">
            <w:pPr>
              <w:keepNext w:val="0"/>
              <w:keepLines w:val="0"/>
              <w:pageBreakBefore w:val="0"/>
              <w:widowControl/>
              <w:kinsoku/>
              <w:wordWrap/>
              <w:overflowPunct/>
              <w:topLinePunct w:val="0"/>
              <w:autoSpaceDE/>
              <w:autoSpaceDN/>
              <w:bidi w:val="0"/>
              <w:spacing w:line="400" w:lineRule="exact"/>
              <w:textAlignment w:val="auto"/>
              <w:rPr>
                <w:rFonts w:hint="eastAsia" w:ascii="宋体" w:hAnsi="宋体" w:eastAsia="宋体" w:cs="宋体"/>
                <w:bCs/>
                <w:sz w:val="24"/>
                <w:szCs w:val="24"/>
              </w:rPr>
            </w:pPr>
            <w:r>
              <w:rPr>
                <w:rFonts w:hint="eastAsia" w:ascii="宋体" w:hAnsi="宋体" w:eastAsia="宋体" w:cs="宋体"/>
                <w:bCs/>
                <w:sz w:val="24"/>
                <w:szCs w:val="24"/>
                <w:lang w:bidi="ar"/>
              </w:rPr>
              <w:t>3. 当投标人的评标总价等于评标基准价的得10分，其他投标人的价格分按照下列公式计算：评标总价得分=（评标基准价/评标总价）×10分（计算结果保留2位小数，第三位四舍五入）。</w:t>
            </w:r>
          </w:p>
        </w:tc>
      </w:tr>
      <w:tr w14:paraId="2EF33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pct"/>
            <w:vMerge w:val="restart"/>
            <w:tcBorders>
              <w:top w:val="single" w:color="auto" w:sz="4" w:space="0"/>
              <w:left w:val="single" w:color="auto" w:sz="4" w:space="0"/>
              <w:bottom w:val="single" w:color="auto" w:sz="4" w:space="0"/>
              <w:right w:val="single" w:color="auto" w:sz="4" w:space="0"/>
            </w:tcBorders>
            <w:vAlign w:val="center"/>
          </w:tcPr>
          <w:p w14:paraId="41DCC873">
            <w:pPr>
              <w:keepNext w:val="0"/>
              <w:keepLines w:val="0"/>
              <w:pageBreakBefore w:val="0"/>
              <w:widowControl/>
              <w:kinsoku/>
              <w:wordWrap/>
              <w:overflowPunct/>
              <w:topLinePunct w:val="0"/>
              <w:autoSpaceDE/>
              <w:autoSpaceDN/>
              <w:bidi w:val="0"/>
              <w:spacing w:line="400" w:lineRule="exact"/>
              <w:jc w:val="center"/>
              <w:textAlignment w:val="auto"/>
              <w:rPr>
                <w:rFonts w:hint="eastAsia" w:ascii="宋体" w:hAnsi="宋体" w:eastAsia="宋体" w:cs="宋体"/>
                <w:bCs/>
                <w:sz w:val="24"/>
                <w:szCs w:val="24"/>
              </w:rPr>
            </w:pPr>
            <w:r>
              <w:rPr>
                <w:rFonts w:hint="eastAsia" w:ascii="宋体" w:hAnsi="宋体" w:eastAsia="宋体" w:cs="宋体"/>
                <w:bCs/>
                <w:sz w:val="24"/>
                <w:szCs w:val="24"/>
                <w:lang w:bidi="ar"/>
              </w:rPr>
              <w:t>2</w:t>
            </w:r>
          </w:p>
        </w:tc>
        <w:tc>
          <w:tcPr>
            <w:tcW w:w="671" w:type="pct"/>
            <w:vMerge w:val="restart"/>
            <w:tcBorders>
              <w:top w:val="single" w:color="auto" w:sz="4" w:space="0"/>
              <w:left w:val="single" w:color="auto" w:sz="4" w:space="0"/>
              <w:bottom w:val="single" w:color="auto" w:sz="4" w:space="0"/>
              <w:right w:val="single" w:color="auto" w:sz="4" w:space="0"/>
            </w:tcBorders>
            <w:vAlign w:val="center"/>
          </w:tcPr>
          <w:p w14:paraId="58230C91">
            <w:pPr>
              <w:keepNext w:val="0"/>
              <w:keepLines w:val="0"/>
              <w:pageBreakBefore w:val="0"/>
              <w:widowControl/>
              <w:kinsoku/>
              <w:wordWrap/>
              <w:overflowPunct/>
              <w:topLinePunct w:val="0"/>
              <w:autoSpaceDE/>
              <w:autoSpaceDN/>
              <w:bidi w:val="0"/>
              <w:spacing w:line="400" w:lineRule="exact"/>
              <w:jc w:val="center"/>
              <w:textAlignment w:val="auto"/>
              <w:rPr>
                <w:rFonts w:hint="eastAsia" w:ascii="宋体" w:hAnsi="宋体" w:eastAsia="宋体" w:cs="宋体"/>
                <w:bCs/>
                <w:sz w:val="24"/>
                <w:szCs w:val="24"/>
              </w:rPr>
            </w:pPr>
            <w:r>
              <w:rPr>
                <w:rFonts w:hint="eastAsia" w:ascii="宋体" w:hAnsi="宋体" w:eastAsia="宋体" w:cs="宋体"/>
                <w:bCs/>
                <w:sz w:val="24"/>
                <w:szCs w:val="24"/>
                <w:lang w:bidi="ar"/>
              </w:rPr>
              <w:t>企业实力30</w:t>
            </w:r>
          </w:p>
        </w:tc>
        <w:tc>
          <w:tcPr>
            <w:tcW w:w="673" w:type="pct"/>
            <w:tcBorders>
              <w:top w:val="single" w:color="auto" w:sz="4" w:space="0"/>
              <w:left w:val="single" w:color="auto" w:sz="4" w:space="0"/>
              <w:bottom w:val="single" w:color="auto" w:sz="4" w:space="0"/>
              <w:right w:val="single" w:color="auto" w:sz="4" w:space="0"/>
            </w:tcBorders>
            <w:vAlign w:val="center"/>
          </w:tcPr>
          <w:p w14:paraId="2D3D583B">
            <w:pPr>
              <w:keepNext w:val="0"/>
              <w:keepLines w:val="0"/>
              <w:pageBreakBefore w:val="0"/>
              <w:widowControl/>
              <w:kinsoku/>
              <w:wordWrap/>
              <w:overflowPunct/>
              <w:topLinePunct w:val="0"/>
              <w:autoSpaceDE/>
              <w:autoSpaceDN/>
              <w:bidi w:val="0"/>
              <w:spacing w:line="400" w:lineRule="exact"/>
              <w:jc w:val="center"/>
              <w:textAlignment w:val="auto"/>
              <w:rPr>
                <w:rFonts w:hint="eastAsia" w:ascii="宋体" w:hAnsi="宋体" w:eastAsia="宋体" w:cs="宋体"/>
                <w:bCs/>
                <w:sz w:val="24"/>
                <w:szCs w:val="24"/>
              </w:rPr>
            </w:pPr>
            <w:r>
              <w:rPr>
                <w:rFonts w:hint="eastAsia" w:ascii="宋体" w:hAnsi="宋体" w:eastAsia="宋体" w:cs="宋体"/>
                <w:bCs/>
                <w:sz w:val="24"/>
                <w:szCs w:val="24"/>
                <w:lang w:bidi="ar"/>
              </w:rPr>
              <w:t>业绩4</w:t>
            </w:r>
          </w:p>
        </w:tc>
        <w:tc>
          <w:tcPr>
            <w:tcW w:w="3240" w:type="pct"/>
            <w:tcBorders>
              <w:top w:val="single" w:color="auto" w:sz="4" w:space="0"/>
              <w:left w:val="single" w:color="auto" w:sz="4" w:space="0"/>
              <w:bottom w:val="single" w:color="auto" w:sz="4" w:space="0"/>
              <w:right w:val="single" w:color="auto" w:sz="4" w:space="0"/>
            </w:tcBorders>
            <w:vAlign w:val="center"/>
          </w:tcPr>
          <w:p w14:paraId="5C0CFEB8">
            <w:pPr>
              <w:keepNext w:val="0"/>
              <w:keepLines w:val="0"/>
              <w:pageBreakBefore w:val="0"/>
              <w:kinsoku/>
              <w:wordWrap/>
              <w:overflowPunct/>
              <w:topLinePunct w:val="0"/>
              <w:autoSpaceDE/>
              <w:autoSpaceDN/>
              <w:bidi w:val="0"/>
              <w:adjustRightInd w:val="0"/>
              <w:snapToGrid w:val="0"/>
              <w:spacing w:line="400" w:lineRule="exact"/>
              <w:textAlignment w:val="auto"/>
              <w:rPr>
                <w:rFonts w:hint="eastAsia" w:ascii="宋体" w:hAnsi="宋体" w:eastAsia="宋体" w:cs="宋体"/>
                <w:bCs/>
                <w:sz w:val="24"/>
                <w:szCs w:val="24"/>
              </w:rPr>
            </w:pPr>
            <w:r>
              <w:rPr>
                <w:rFonts w:hint="eastAsia" w:ascii="宋体" w:hAnsi="宋体" w:eastAsia="宋体" w:cs="宋体"/>
                <w:snapToGrid w:val="0"/>
                <w:sz w:val="24"/>
                <w:szCs w:val="24"/>
              </w:rPr>
              <w:t>投标人承接过相关智能化建设或照明项目相关业绩的，每提供1个得2分，最高得4分。</w:t>
            </w:r>
            <w:r>
              <w:rPr>
                <w:rFonts w:hint="eastAsia" w:ascii="宋体" w:hAnsi="宋体" w:eastAsia="宋体" w:cs="宋体"/>
                <w:b/>
                <w:bCs/>
                <w:snapToGrid w:val="0"/>
                <w:spacing w:val="-8"/>
                <w:sz w:val="24"/>
                <w:szCs w:val="24"/>
              </w:rPr>
              <w:t>（投标时须同时提供【中标通知书、合同和验收报告】扫描件，未提供或提供但缺少相关材料的不得分。）</w:t>
            </w:r>
          </w:p>
        </w:tc>
      </w:tr>
      <w:tr w14:paraId="0B0AE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5" w:hRule="atLeast"/>
        </w:trPr>
        <w:tc>
          <w:tcPr>
            <w:tcW w:w="416" w:type="pct"/>
            <w:vMerge w:val="continue"/>
            <w:tcBorders>
              <w:top w:val="single" w:color="auto" w:sz="4" w:space="0"/>
              <w:left w:val="single" w:color="auto" w:sz="4" w:space="0"/>
              <w:bottom w:val="single" w:color="auto" w:sz="4" w:space="0"/>
              <w:right w:val="single" w:color="auto" w:sz="4" w:space="0"/>
            </w:tcBorders>
            <w:vAlign w:val="center"/>
          </w:tcPr>
          <w:p w14:paraId="51B735EF">
            <w:pPr>
              <w:keepNext w:val="0"/>
              <w:keepLines w:val="0"/>
              <w:pageBreakBefore w:val="0"/>
              <w:kinsoku/>
              <w:wordWrap/>
              <w:overflowPunct/>
              <w:topLinePunct w:val="0"/>
              <w:autoSpaceDE/>
              <w:autoSpaceDN/>
              <w:bidi w:val="0"/>
              <w:spacing w:line="400" w:lineRule="exact"/>
              <w:jc w:val="center"/>
              <w:textAlignment w:val="auto"/>
              <w:rPr>
                <w:rFonts w:hint="eastAsia" w:ascii="宋体" w:hAnsi="宋体" w:eastAsia="宋体" w:cs="宋体"/>
                <w:bCs/>
                <w:sz w:val="24"/>
                <w:szCs w:val="24"/>
              </w:rPr>
            </w:pPr>
          </w:p>
        </w:tc>
        <w:tc>
          <w:tcPr>
            <w:tcW w:w="671" w:type="pct"/>
            <w:vMerge w:val="continue"/>
            <w:tcBorders>
              <w:top w:val="single" w:color="auto" w:sz="4" w:space="0"/>
              <w:left w:val="single" w:color="auto" w:sz="4" w:space="0"/>
              <w:bottom w:val="single" w:color="auto" w:sz="4" w:space="0"/>
              <w:right w:val="single" w:color="auto" w:sz="4" w:space="0"/>
            </w:tcBorders>
            <w:vAlign w:val="center"/>
          </w:tcPr>
          <w:p w14:paraId="545E4962">
            <w:pPr>
              <w:keepNext w:val="0"/>
              <w:keepLines w:val="0"/>
              <w:pageBreakBefore w:val="0"/>
              <w:kinsoku/>
              <w:wordWrap/>
              <w:overflowPunct/>
              <w:topLinePunct w:val="0"/>
              <w:autoSpaceDE/>
              <w:autoSpaceDN/>
              <w:bidi w:val="0"/>
              <w:spacing w:line="400" w:lineRule="exact"/>
              <w:jc w:val="center"/>
              <w:textAlignment w:val="auto"/>
              <w:rPr>
                <w:rFonts w:hint="eastAsia" w:ascii="宋体" w:hAnsi="宋体" w:eastAsia="宋体" w:cs="宋体"/>
                <w:bCs/>
                <w:sz w:val="24"/>
                <w:szCs w:val="24"/>
              </w:rPr>
            </w:pPr>
          </w:p>
        </w:tc>
        <w:tc>
          <w:tcPr>
            <w:tcW w:w="673" w:type="pct"/>
            <w:tcBorders>
              <w:top w:val="single" w:color="auto" w:sz="4" w:space="0"/>
              <w:left w:val="single" w:color="auto" w:sz="4" w:space="0"/>
              <w:bottom w:val="single" w:color="auto" w:sz="4" w:space="0"/>
              <w:right w:val="single" w:color="auto" w:sz="4" w:space="0"/>
            </w:tcBorders>
            <w:vAlign w:val="center"/>
          </w:tcPr>
          <w:p w14:paraId="29AAF4C0">
            <w:pPr>
              <w:keepNext w:val="0"/>
              <w:keepLines w:val="0"/>
              <w:pageBreakBefore w:val="0"/>
              <w:kinsoku/>
              <w:wordWrap/>
              <w:overflowPunct/>
              <w:topLinePunct w:val="0"/>
              <w:autoSpaceDE/>
              <w:autoSpaceDN/>
              <w:bidi w:val="0"/>
              <w:spacing w:line="400" w:lineRule="exact"/>
              <w:jc w:val="center"/>
              <w:textAlignment w:val="auto"/>
              <w:rPr>
                <w:rFonts w:hint="eastAsia" w:ascii="宋体" w:hAnsi="宋体" w:eastAsia="宋体" w:cs="宋体"/>
                <w:bCs/>
                <w:sz w:val="24"/>
                <w:szCs w:val="24"/>
              </w:rPr>
            </w:pPr>
            <w:r>
              <w:rPr>
                <w:rFonts w:hint="eastAsia" w:ascii="宋体" w:hAnsi="宋体" w:eastAsia="宋体" w:cs="宋体"/>
                <w:snapToGrid w:val="0"/>
                <w:spacing w:val="-1"/>
                <w:sz w:val="24"/>
                <w:szCs w:val="24"/>
              </w:rPr>
              <w:t>公司实力</w:t>
            </w:r>
            <w:r>
              <w:rPr>
                <w:rFonts w:hint="eastAsia" w:ascii="宋体" w:hAnsi="宋体" w:eastAsia="宋体" w:cs="宋体"/>
                <w:bCs/>
                <w:sz w:val="24"/>
                <w:szCs w:val="24"/>
              </w:rPr>
              <w:t>9</w:t>
            </w:r>
          </w:p>
        </w:tc>
        <w:tc>
          <w:tcPr>
            <w:tcW w:w="3240" w:type="pct"/>
            <w:tcBorders>
              <w:top w:val="single" w:color="auto" w:sz="4" w:space="0"/>
              <w:left w:val="single" w:color="auto" w:sz="4" w:space="0"/>
              <w:bottom w:val="single" w:color="auto" w:sz="4" w:space="0"/>
              <w:right w:val="single" w:color="auto" w:sz="4" w:space="0"/>
            </w:tcBorders>
            <w:vAlign w:val="center"/>
          </w:tcPr>
          <w:p w14:paraId="4846B020">
            <w:pPr>
              <w:keepNext w:val="0"/>
              <w:keepLines w:val="0"/>
              <w:pageBreakBefore w:val="0"/>
              <w:numPr>
                <w:ilvl w:val="0"/>
                <w:numId w:val="6"/>
              </w:numPr>
              <w:tabs>
                <w:tab w:val="left" w:pos="265"/>
              </w:tabs>
              <w:kinsoku/>
              <w:wordWrap/>
              <w:overflowPunct/>
              <w:topLinePunct w:val="0"/>
              <w:autoSpaceDE/>
              <w:autoSpaceDN/>
              <w:bidi w:val="0"/>
              <w:adjustRightInd w:val="0"/>
              <w:snapToGrid w:val="0"/>
              <w:spacing w:line="400" w:lineRule="exact"/>
              <w:textAlignment w:val="auto"/>
              <w:rPr>
                <w:rFonts w:hint="eastAsia" w:ascii="宋体" w:hAnsi="宋体" w:eastAsia="宋体" w:cs="宋体"/>
                <w:snapToGrid w:val="0"/>
                <w:spacing w:val="-8"/>
                <w:sz w:val="24"/>
                <w:szCs w:val="24"/>
              </w:rPr>
            </w:pPr>
            <w:r>
              <w:rPr>
                <w:rFonts w:hint="eastAsia" w:ascii="宋体" w:hAnsi="宋体" w:eastAsia="宋体" w:cs="宋体"/>
                <w:snapToGrid w:val="0"/>
                <w:spacing w:val="-8"/>
                <w:sz w:val="24"/>
                <w:szCs w:val="24"/>
              </w:rPr>
              <w:t>投标人具有软件能力成熟度CMMI证书，CMMI5级认证的得2分，CMMI4级认证得1分，其他的不得分，最高得2分。</w:t>
            </w:r>
            <w:r>
              <w:rPr>
                <w:rFonts w:hint="eastAsia" w:ascii="宋体" w:hAnsi="宋体" w:eastAsia="宋体" w:cs="宋体"/>
                <w:b/>
                <w:bCs/>
                <w:snapToGrid w:val="0"/>
                <w:spacing w:val="-8"/>
                <w:sz w:val="24"/>
                <w:szCs w:val="24"/>
              </w:rPr>
              <w:t>（投标时须提供证书扫描件，未提供不得分。）</w:t>
            </w:r>
          </w:p>
          <w:p w14:paraId="339F2B6E">
            <w:pPr>
              <w:keepNext w:val="0"/>
              <w:keepLines w:val="0"/>
              <w:pageBreakBefore w:val="0"/>
              <w:numPr>
                <w:ilvl w:val="0"/>
                <w:numId w:val="6"/>
              </w:numPr>
              <w:tabs>
                <w:tab w:val="left" w:pos="265"/>
              </w:tabs>
              <w:kinsoku/>
              <w:wordWrap/>
              <w:overflowPunct/>
              <w:topLinePunct w:val="0"/>
              <w:autoSpaceDE/>
              <w:autoSpaceDN/>
              <w:bidi w:val="0"/>
              <w:adjustRightInd w:val="0"/>
              <w:snapToGrid w:val="0"/>
              <w:spacing w:line="400" w:lineRule="exact"/>
              <w:textAlignment w:val="auto"/>
              <w:rPr>
                <w:rFonts w:hint="eastAsia" w:ascii="宋体" w:hAnsi="宋体" w:eastAsia="宋体" w:cs="宋体"/>
                <w:snapToGrid w:val="0"/>
                <w:spacing w:val="-8"/>
                <w:sz w:val="24"/>
                <w:szCs w:val="24"/>
              </w:rPr>
            </w:pPr>
            <w:r>
              <w:rPr>
                <w:rFonts w:hint="eastAsia" w:ascii="宋体" w:hAnsi="宋体" w:eastAsia="宋体" w:cs="宋体"/>
                <w:snapToGrid w:val="0"/>
                <w:spacing w:val="-8"/>
                <w:sz w:val="24"/>
                <w:szCs w:val="24"/>
              </w:rPr>
              <w:t>投标人具有ITSS信息技术服务标准运行维护服务二级及以上符合性证书得3分。</w:t>
            </w:r>
            <w:r>
              <w:rPr>
                <w:rFonts w:hint="eastAsia" w:ascii="宋体" w:hAnsi="宋体" w:eastAsia="宋体" w:cs="宋体"/>
                <w:b/>
                <w:bCs/>
                <w:snapToGrid w:val="0"/>
                <w:spacing w:val="-8"/>
                <w:sz w:val="24"/>
                <w:szCs w:val="24"/>
              </w:rPr>
              <w:t>（投标时须提供证书扫描件，未提供不得分。）</w:t>
            </w:r>
          </w:p>
          <w:p w14:paraId="74622C81">
            <w:pPr>
              <w:keepNext w:val="0"/>
              <w:keepLines w:val="0"/>
              <w:pageBreakBefore w:val="0"/>
              <w:numPr>
                <w:ilvl w:val="0"/>
                <w:numId w:val="6"/>
              </w:numPr>
              <w:tabs>
                <w:tab w:val="left" w:pos="265"/>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sz w:val="24"/>
                <w:szCs w:val="24"/>
              </w:rPr>
            </w:pPr>
            <w:r>
              <w:rPr>
                <w:rFonts w:hint="eastAsia" w:ascii="宋体" w:hAnsi="宋体" w:eastAsia="宋体" w:cs="宋体"/>
                <w:snapToGrid w:val="0"/>
                <w:spacing w:val="-8"/>
                <w:sz w:val="24"/>
                <w:szCs w:val="24"/>
              </w:rPr>
              <w:t>投标人具有质量管理体系认证、环境管理体系认证、IT服务管理体系认证、信息安全管理体系认证证书，每提供一项得1分，最高得4分。</w:t>
            </w:r>
            <w:r>
              <w:rPr>
                <w:rFonts w:hint="eastAsia" w:ascii="宋体" w:hAnsi="宋体" w:eastAsia="宋体" w:cs="宋体"/>
                <w:b/>
                <w:bCs/>
                <w:snapToGrid w:val="0"/>
                <w:spacing w:val="-8"/>
                <w:sz w:val="24"/>
                <w:szCs w:val="24"/>
              </w:rPr>
              <w:t>（投标时须提供证书扫描件，未提供不得分。）</w:t>
            </w:r>
          </w:p>
        </w:tc>
      </w:tr>
      <w:tr w14:paraId="1B4E5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5" w:hRule="atLeast"/>
        </w:trPr>
        <w:tc>
          <w:tcPr>
            <w:tcW w:w="416" w:type="pct"/>
            <w:vMerge w:val="continue"/>
            <w:tcBorders>
              <w:left w:val="single" w:color="auto" w:sz="4" w:space="0"/>
              <w:bottom w:val="single" w:color="auto" w:sz="4" w:space="0"/>
              <w:right w:val="single" w:color="auto" w:sz="4" w:space="0"/>
            </w:tcBorders>
            <w:vAlign w:val="center"/>
          </w:tcPr>
          <w:p w14:paraId="70D57A8D">
            <w:pPr>
              <w:keepNext w:val="0"/>
              <w:keepLines w:val="0"/>
              <w:pageBreakBefore w:val="0"/>
              <w:tabs>
                <w:tab w:val="left" w:pos="265"/>
              </w:tabs>
              <w:kinsoku/>
              <w:wordWrap/>
              <w:overflowPunct/>
              <w:topLinePunct w:val="0"/>
              <w:autoSpaceDE/>
              <w:autoSpaceDN/>
              <w:bidi w:val="0"/>
              <w:adjustRightInd w:val="0"/>
              <w:snapToGrid w:val="0"/>
              <w:spacing w:line="400" w:lineRule="exact"/>
              <w:textAlignment w:val="auto"/>
              <w:rPr>
                <w:rFonts w:hint="eastAsia" w:ascii="宋体" w:hAnsi="宋体" w:eastAsia="宋体" w:cs="宋体"/>
                <w:sz w:val="24"/>
                <w:szCs w:val="24"/>
              </w:rPr>
            </w:pPr>
          </w:p>
        </w:tc>
        <w:tc>
          <w:tcPr>
            <w:tcW w:w="671" w:type="pct"/>
            <w:vMerge w:val="continue"/>
            <w:tcBorders>
              <w:left w:val="single" w:color="auto" w:sz="4" w:space="0"/>
              <w:bottom w:val="single" w:color="auto" w:sz="4" w:space="0"/>
              <w:right w:val="single" w:color="auto" w:sz="4" w:space="0"/>
            </w:tcBorders>
            <w:vAlign w:val="center"/>
          </w:tcPr>
          <w:p w14:paraId="2BA42F41">
            <w:pPr>
              <w:keepNext w:val="0"/>
              <w:keepLines w:val="0"/>
              <w:pageBreakBefore w:val="0"/>
              <w:tabs>
                <w:tab w:val="left" w:pos="265"/>
              </w:tabs>
              <w:kinsoku/>
              <w:wordWrap/>
              <w:overflowPunct/>
              <w:topLinePunct w:val="0"/>
              <w:autoSpaceDE/>
              <w:autoSpaceDN/>
              <w:bidi w:val="0"/>
              <w:adjustRightInd w:val="0"/>
              <w:snapToGrid w:val="0"/>
              <w:spacing w:line="400" w:lineRule="exact"/>
              <w:textAlignment w:val="auto"/>
              <w:rPr>
                <w:rFonts w:hint="eastAsia" w:ascii="宋体" w:hAnsi="宋体" w:eastAsia="宋体" w:cs="宋体"/>
                <w:sz w:val="24"/>
                <w:szCs w:val="24"/>
              </w:rPr>
            </w:pPr>
          </w:p>
        </w:tc>
        <w:tc>
          <w:tcPr>
            <w:tcW w:w="673" w:type="pct"/>
            <w:tcBorders>
              <w:left w:val="single" w:color="auto" w:sz="4" w:space="0"/>
              <w:bottom w:val="single" w:color="auto" w:sz="4" w:space="0"/>
              <w:right w:val="single" w:color="auto" w:sz="4" w:space="0"/>
            </w:tcBorders>
            <w:vAlign w:val="center"/>
          </w:tcPr>
          <w:p w14:paraId="4D91045C">
            <w:pPr>
              <w:keepNext w:val="0"/>
              <w:keepLines w:val="0"/>
              <w:pageBreakBefore w:val="0"/>
              <w:tabs>
                <w:tab w:val="left" w:pos="265"/>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sz w:val="24"/>
                <w:szCs w:val="24"/>
              </w:rPr>
            </w:pPr>
            <w:r>
              <w:rPr>
                <w:rFonts w:hint="eastAsia" w:ascii="宋体" w:hAnsi="宋体" w:eastAsia="宋体" w:cs="宋体"/>
                <w:snapToGrid w:val="0"/>
                <w:spacing w:val="-1"/>
                <w:sz w:val="24"/>
                <w:szCs w:val="24"/>
              </w:rPr>
              <w:t>软著或专利证书</w:t>
            </w:r>
            <w:r>
              <w:rPr>
                <w:rFonts w:hint="eastAsia" w:ascii="宋体" w:hAnsi="宋体" w:eastAsia="宋体" w:cs="宋体"/>
                <w:sz w:val="24"/>
                <w:szCs w:val="24"/>
              </w:rPr>
              <w:t>4</w:t>
            </w:r>
          </w:p>
        </w:tc>
        <w:tc>
          <w:tcPr>
            <w:tcW w:w="3240" w:type="pct"/>
            <w:tcBorders>
              <w:top w:val="single" w:color="auto" w:sz="4" w:space="0"/>
              <w:left w:val="single" w:color="auto" w:sz="4" w:space="0"/>
              <w:bottom w:val="single" w:color="auto" w:sz="4" w:space="0"/>
              <w:right w:val="single" w:color="auto" w:sz="4" w:space="0"/>
            </w:tcBorders>
            <w:vAlign w:val="center"/>
          </w:tcPr>
          <w:p w14:paraId="1FA88035">
            <w:pPr>
              <w:keepNext w:val="0"/>
              <w:keepLines w:val="0"/>
              <w:pageBreakBefore w:val="0"/>
              <w:kinsoku/>
              <w:wordWrap/>
              <w:overflowPunct/>
              <w:topLinePunct w:val="0"/>
              <w:autoSpaceDE/>
              <w:autoSpaceDN/>
              <w:bidi w:val="0"/>
              <w:adjustRightInd w:val="0"/>
              <w:snapToGrid w:val="0"/>
              <w:spacing w:line="400" w:lineRule="exact"/>
              <w:textAlignment w:val="auto"/>
              <w:rPr>
                <w:rFonts w:hint="eastAsia" w:ascii="宋体" w:hAnsi="宋体" w:eastAsia="宋体" w:cs="宋体"/>
                <w:b/>
                <w:bCs/>
                <w:snapToGrid w:val="0"/>
                <w:spacing w:val="-3"/>
                <w:sz w:val="24"/>
                <w:szCs w:val="24"/>
              </w:rPr>
            </w:pPr>
            <w:r>
              <w:rPr>
                <w:rFonts w:hint="eastAsia" w:ascii="宋体" w:hAnsi="宋体" w:eastAsia="宋体" w:cs="宋体"/>
                <w:snapToGrid w:val="0"/>
                <w:spacing w:val="-3"/>
                <w:sz w:val="24"/>
                <w:szCs w:val="24"/>
              </w:rPr>
              <w:t>投标人具有与智慧交通或智慧照明等领域相关的计算机软件著作权登记证书或专利证书，每提供1个得1分，最高得4分。</w:t>
            </w:r>
            <w:r>
              <w:rPr>
                <w:rFonts w:hint="eastAsia" w:ascii="宋体" w:hAnsi="宋体" w:eastAsia="宋体" w:cs="宋体"/>
                <w:b/>
                <w:bCs/>
                <w:snapToGrid w:val="0"/>
                <w:spacing w:val="-3"/>
                <w:sz w:val="24"/>
                <w:szCs w:val="24"/>
              </w:rPr>
              <w:t>（投标时须提供软件著作权证书或专利证书的扫描件，未提供不得分。）</w:t>
            </w:r>
          </w:p>
        </w:tc>
      </w:tr>
      <w:tr w14:paraId="420AB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pct"/>
            <w:vMerge w:val="continue"/>
            <w:tcBorders>
              <w:top w:val="single" w:color="auto" w:sz="4" w:space="0"/>
              <w:left w:val="single" w:color="auto" w:sz="4" w:space="0"/>
              <w:bottom w:val="single" w:color="auto" w:sz="4" w:space="0"/>
              <w:right w:val="single" w:color="auto" w:sz="4" w:space="0"/>
            </w:tcBorders>
            <w:vAlign w:val="center"/>
          </w:tcPr>
          <w:p w14:paraId="071D4D1A">
            <w:pPr>
              <w:keepNext w:val="0"/>
              <w:keepLines w:val="0"/>
              <w:pageBreakBefore w:val="0"/>
              <w:kinsoku/>
              <w:wordWrap/>
              <w:overflowPunct/>
              <w:topLinePunct w:val="0"/>
              <w:autoSpaceDE/>
              <w:autoSpaceDN/>
              <w:bidi w:val="0"/>
              <w:spacing w:line="400" w:lineRule="exact"/>
              <w:jc w:val="center"/>
              <w:textAlignment w:val="auto"/>
              <w:rPr>
                <w:rFonts w:hint="eastAsia" w:ascii="宋体" w:hAnsi="宋体" w:eastAsia="宋体" w:cs="宋体"/>
                <w:bCs/>
                <w:sz w:val="24"/>
                <w:szCs w:val="24"/>
              </w:rPr>
            </w:pPr>
          </w:p>
        </w:tc>
        <w:tc>
          <w:tcPr>
            <w:tcW w:w="671" w:type="pct"/>
            <w:vMerge w:val="continue"/>
            <w:tcBorders>
              <w:top w:val="single" w:color="auto" w:sz="4" w:space="0"/>
              <w:left w:val="single" w:color="auto" w:sz="4" w:space="0"/>
              <w:bottom w:val="single" w:color="auto" w:sz="4" w:space="0"/>
              <w:right w:val="single" w:color="auto" w:sz="4" w:space="0"/>
            </w:tcBorders>
            <w:vAlign w:val="center"/>
          </w:tcPr>
          <w:p w14:paraId="1DC712AF">
            <w:pPr>
              <w:keepNext w:val="0"/>
              <w:keepLines w:val="0"/>
              <w:pageBreakBefore w:val="0"/>
              <w:kinsoku/>
              <w:wordWrap/>
              <w:overflowPunct/>
              <w:topLinePunct w:val="0"/>
              <w:autoSpaceDE/>
              <w:autoSpaceDN/>
              <w:bidi w:val="0"/>
              <w:spacing w:line="400" w:lineRule="exact"/>
              <w:jc w:val="center"/>
              <w:textAlignment w:val="auto"/>
              <w:rPr>
                <w:rFonts w:hint="eastAsia" w:ascii="宋体" w:hAnsi="宋体" w:eastAsia="宋体" w:cs="宋体"/>
                <w:bCs/>
                <w:sz w:val="24"/>
                <w:szCs w:val="24"/>
              </w:rPr>
            </w:pPr>
          </w:p>
        </w:tc>
        <w:tc>
          <w:tcPr>
            <w:tcW w:w="673" w:type="pct"/>
            <w:tcBorders>
              <w:top w:val="single" w:color="auto" w:sz="4" w:space="0"/>
              <w:left w:val="single" w:color="auto" w:sz="4" w:space="0"/>
              <w:bottom w:val="single" w:color="auto" w:sz="4" w:space="0"/>
              <w:right w:val="single" w:color="auto" w:sz="4" w:space="0"/>
            </w:tcBorders>
            <w:vAlign w:val="center"/>
          </w:tcPr>
          <w:p w14:paraId="3EE234FF">
            <w:pPr>
              <w:keepNext w:val="0"/>
              <w:keepLines w:val="0"/>
              <w:pageBreakBefore w:val="0"/>
              <w:kinsoku/>
              <w:wordWrap/>
              <w:overflowPunct/>
              <w:topLinePunct w:val="0"/>
              <w:autoSpaceDE/>
              <w:autoSpaceDN/>
              <w:bidi w:val="0"/>
              <w:spacing w:line="400" w:lineRule="exact"/>
              <w:jc w:val="center"/>
              <w:textAlignment w:val="auto"/>
              <w:rPr>
                <w:rFonts w:hint="eastAsia" w:ascii="宋体" w:hAnsi="宋体" w:eastAsia="宋体" w:cs="宋体"/>
                <w:bCs/>
                <w:sz w:val="24"/>
                <w:szCs w:val="24"/>
              </w:rPr>
            </w:pPr>
            <w:r>
              <w:rPr>
                <w:rFonts w:hint="eastAsia" w:ascii="宋体" w:hAnsi="宋体" w:eastAsia="宋体" w:cs="宋体"/>
                <w:bCs/>
                <w:sz w:val="24"/>
                <w:szCs w:val="24"/>
              </w:rPr>
              <w:t>项目团队13</w:t>
            </w:r>
          </w:p>
        </w:tc>
        <w:tc>
          <w:tcPr>
            <w:tcW w:w="3240" w:type="pct"/>
            <w:tcBorders>
              <w:top w:val="single" w:color="auto" w:sz="4" w:space="0"/>
              <w:left w:val="single" w:color="auto" w:sz="4" w:space="0"/>
              <w:bottom w:val="single" w:color="auto" w:sz="4" w:space="0"/>
              <w:right w:val="single" w:color="auto" w:sz="4" w:space="0"/>
            </w:tcBorders>
            <w:vAlign w:val="center"/>
          </w:tcPr>
          <w:p w14:paraId="3B0995CF">
            <w:pPr>
              <w:keepNext w:val="0"/>
              <w:keepLines w:val="0"/>
              <w:pageBreakBefore w:val="0"/>
              <w:numPr>
                <w:ilvl w:val="0"/>
                <w:numId w:val="7"/>
              </w:numPr>
              <w:tabs>
                <w:tab w:val="left" w:pos="265"/>
              </w:tabs>
              <w:kinsoku/>
              <w:wordWrap/>
              <w:overflowPunct/>
              <w:topLinePunct w:val="0"/>
              <w:autoSpaceDE/>
              <w:autoSpaceDN/>
              <w:bidi w:val="0"/>
              <w:adjustRightInd w:val="0"/>
              <w:snapToGrid w:val="0"/>
              <w:spacing w:line="400" w:lineRule="exact"/>
              <w:textAlignment w:val="auto"/>
              <w:rPr>
                <w:rFonts w:hint="eastAsia" w:ascii="宋体" w:hAnsi="宋体" w:eastAsia="宋体" w:cs="宋体"/>
                <w:b/>
                <w:bCs/>
                <w:snapToGrid w:val="0"/>
                <w:spacing w:val="-8"/>
                <w:sz w:val="24"/>
                <w:szCs w:val="24"/>
              </w:rPr>
            </w:pPr>
            <w:r>
              <w:rPr>
                <w:rFonts w:hint="eastAsia" w:ascii="宋体" w:hAnsi="宋体" w:eastAsia="宋体" w:cs="宋体"/>
                <w:snapToGrid w:val="0"/>
                <w:spacing w:val="-8"/>
                <w:sz w:val="24"/>
                <w:szCs w:val="24"/>
              </w:rPr>
              <w:t>投标人拟派项目负责人具有高级工程师职称、系统集成项目管理工程师，每具备1项证书得1分，最高得2分。</w:t>
            </w:r>
            <w:r>
              <w:rPr>
                <w:rFonts w:hint="eastAsia" w:ascii="宋体" w:hAnsi="宋体" w:eastAsia="宋体" w:cs="宋体"/>
                <w:b/>
                <w:bCs/>
                <w:snapToGrid w:val="0"/>
                <w:spacing w:val="-8"/>
                <w:sz w:val="24"/>
                <w:szCs w:val="24"/>
              </w:rPr>
              <w:t>（项目负责人须为投标人正式员工，投标时须提供相关证书的扫描件，同时提供从2025年6月开始至投标截止之日当月至少1个月在本单位缴纳养老保险缴费记录证明，证明以养老保险管理部门出具的证明材料为准，或者以社会养老保险管理部门的官方网站查询或验证结果打印件为准。未提供的不得分。）</w:t>
            </w:r>
          </w:p>
          <w:p w14:paraId="1190DEDA">
            <w:pPr>
              <w:keepNext w:val="0"/>
              <w:keepLines w:val="0"/>
              <w:pageBreakBefore w:val="0"/>
              <w:numPr>
                <w:ilvl w:val="0"/>
                <w:numId w:val="7"/>
              </w:numPr>
              <w:tabs>
                <w:tab w:val="left" w:pos="265"/>
              </w:tabs>
              <w:kinsoku/>
              <w:wordWrap/>
              <w:overflowPunct/>
              <w:topLinePunct w:val="0"/>
              <w:autoSpaceDE/>
              <w:autoSpaceDN/>
              <w:bidi w:val="0"/>
              <w:adjustRightInd w:val="0"/>
              <w:snapToGrid w:val="0"/>
              <w:spacing w:line="400" w:lineRule="exact"/>
              <w:textAlignment w:val="auto"/>
              <w:rPr>
                <w:rFonts w:hint="eastAsia" w:ascii="宋体" w:hAnsi="宋体" w:eastAsia="宋体" w:cs="宋体"/>
                <w:snapToGrid w:val="0"/>
                <w:spacing w:val="-8"/>
                <w:sz w:val="24"/>
                <w:szCs w:val="24"/>
              </w:rPr>
            </w:pPr>
            <w:r>
              <w:rPr>
                <w:rFonts w:hint="eastAsia" w:ascii="宋体" w:hAnsi="宋体" w:eastAsia="宋体" w:cs="宋体"/>
                <w:snapToGrid w:val="0"/>
                <w:spacing w:val="-8"/>
                <w:sz w:val="24"/>
                <w:szCs w:val="24"/>
              </w:rPr>
              <w:t>投标人拟派技术负责人具有信息系统项目管理师、项目管理PMP、高级工程师（电子信息工程）证书，每具备1项证书得0.5分，最高得1.5分。</w:t>
            </w:r>
            <w:r>
              <w:rPr>
                <w:rFonts w:hint="eastAsia" w:ascii="宋体" w:hAnsi="宋体" w:eastAsia="宋体" w:cs="宋体"/>
                <w:b/>
                <w:bCs/>
                <w:snapToGrid w:val="0"/>
                <w:spacing w:val="-8"/>
                <w:sz w:val="24"/>
                <w:szCs w:val="24"/>
              </w:rPr>
              <w:t>（技术负责人须为投标人正式员工，投标时须提供相关证书的扫描件，同时提供从2025年6月开始至投标截止之日当月至少1个月在本单位缴纳养老保险缴费记录证明，证明以养老保险管理部门出具的证明材料为准，或者以社会养老保险管理部门的官方网站查询或验证结果打印件为准。未提供的不得分。）</w:t>
            </w:r>
          </w:p>
          <w:p w14:paraId="51E4B919">
            <w:pPr>
              <w:keepNext w:val="0"/>
              <w:keepLines w:val="0"/>
              <w:pageBreakBefore w:val="0"/>
              <w:numPr>
                <w:ilvl w:val="0"/>
                <w:numId w:val="7"/>
              </w:numPr>
              <w:tabs>
                <w:tab w:val="left" w:pos="265"/>
              </w:tabs>
              <w:kinsoku/>
              <w:wordWrap/>
              <w:overflowPunct/>
              <w:topLinePunct w:val="0"/>
              <w:autoSpaceDE/>
              <w:autoSpaceDN/>
              <w:bidi w:val="0"/>
              <w:adjustRightInd w:val="0"/>
              <w:snapToGrid w:val="0"/>
              <w:spacing w:line="400" w:lineRule="exact"/>
              <w:textAlignment w:val="auto"/>
              <w:rPr>
                <w:rFonts w:hint="eastAsia" w:ascii="宋体" w:hAnsi="宋体" w:eastAsia="宋体" w:cs="宋体"/>
                <w:snapToGrid w:val="0"/>
                <w:spacing w:val="-8"/>
                <w:sz w:val="24"/>
                <w:szCs w:val="24"/>
              </w:rPr>
            </w:pPr>
            <w:r>
              <w:rPr>
                <w:rFonts w:hint="eastAsia" w:ascii="宋体" w:hAnsi="宋体" w:eastAsia="宋体" w:cs="宋体"/>
                <w:snapToGrid w:val="0"/>
                <w:spacing w:val="-8"/>
                <w:sz w:val="24"/>
                <w:szCs w:val="24"/>
              </w:rPr>
              <w:t>项目组成员中（除项目负责人和技术负责人外）具有CISP（注册信息安全工程师）、网络工程师、网络规划设计师、ITSS项目经理证书的，每具备1项证书得1分，最高得4分，如有一人多证、一证多人的，仅计取一次，不重复计分。</w:t>
            </w:r>
            <w:r>
              <w:rPr>
                <w:rFonts w:hint="eastAsia" w:ascii="宋体" w:hAnsi="宋体" w:eastAsia="宋体" w:cs="宋体"/>
                <w:b/>
                <w:bCs/>
                <w:snapToGrid w:val="0"/>
                <w:spacing w:val="-8"/>
                <w:sz w:val="24"/>
                <w:szCs w:val="24"/>
              </w:rPr>
              <w:t>（上述人员须为投标人正式员工，投标时须提供相关证书的扫描件，同时提供从2025年6月开始至投标截止之日当月至少1个月在本单位缴纳养老保险缴费记录证明，证明以养老保险管理部门出具的证明材料为准，或者以社会养老保险管理部门的官方网站查询或验证结果打印件为准。未提供的不得分。）</w:t>
            </w:r>
          </w:p>
          <w:p w14:paraId="0B3B0A2B">
            <w:pPr>
              <w:keepNext w:val="0"/>
              <w:keepLines w:val="0"/>
              <w:pageBreakBefore w:val="0"/>
              <w:numPr>
                <w:ilvl w:val="0"/>
                <w:numId w:val="7"/>
              </w:numPr>
              <w:tabs>
                <w:tab w:val="left" w:pos="265"/>
              </w:tabs>
              <w:kinsoku/>
              <w:wordWrap/>
              <w:overflowPunct/>
              <w:topLinePunct w:val="0"/>
              <w:autoSpaceDE/>
              <w:autoSpaceDN/>
              <w:bidi w:val="0"/>
              <w:adjustRightInd w:val="0"/>
              <w:snapToGrid w:val="0"/>
              <w:spacing w:line="400" w:lineRule="exact"/>
              <w:textAlignment w:val="auto"/>
              <w:rPr>
                <w:rFonts w:hint="eastAsia" w:ascii="宋体" w:hAnsi="宋体" w:eastAsia="宋体" w:cs="宋体"/>
                <w:snapToGrid w:val="0"/>
                <w:spacing w:val="-8"/>
                <w:sz w:val="24"/>
                <w:szCs w:val="24"/>
              </w:rPr>
            </w:pPr>
            <w:r>
              <w:rPr>
                <w:rFonts w:hint="eastAsia" w:ascii="宋体" w:hAnsi="宋体" w:eastAsia="宋体" w:cs="宋体"/>
                <w:snapToGrid w:val="0"/>
                <w:spacing w:val="-8"/>
                <w:sz w:val="24"/>
                <w:szCs w:val="24"/>
              </w:rPr>
              <w:t>项目组成员中（除项目负责人和技术负责人外）每提供一个材料员、质量员、施工员、机械员、资料员、标准员、劳务员、安全员证书得0.5分，最高得4分，如有一人多证、一证多人的，仅计取一次，不重复计分。</w:t>
            </w:r>
            <w:r>
              <w:rPr>
                <w:rFonts w:hint="eastAsia" w:ascii="宋体" w:hAnsi="宋体" w:eastAsia="宋体" w:cs="宋体"/>
                <w:b/>
                <w:bCs/>
                <w:snapToGrid w:val="0"/>
                <w:spacing w:val="-8"/>
                <w:sz w:val="24"/>
                <w:szCs w:val="24"/>
              </w:rPr>
              <w:t>（上述人员须为投标人正式员工，投标时须提供相关证书的扫描件，同时提供从2025年6月开始至投标截止之日当月至少1个月在本单位缴纳养老保险缴费记录证明，证明以养老保险管理部门出具的证明材料为准，或者以社会养老保险管理部门的官方网站查询或验证结果打印件为准。未提供的不得分。）</w:t>
            </w:r>
          </w:p>
          <w:p w14:paraId="2D4EAB78">
            <w:pPr>
              <w:keepNext w:val="0"/>
              <w:keepLines w:val="0"/>
              <w:pageBreakBefore w:val="0"/>
              <w:numPr>
                <w:ilvl w:val="0"/>
                <w:numId w:val="7"/>
              </w:numPr>
              <w:tabs>
                <w:tab w:val="left" w:pos="265"/>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sz w:val="24"/>
                <w:szCs w:val="24"/>
              </w:rPr>
            </w:pPr>
            <w:r>
              <w:rPr>
                <w:rFonts w:hint="eastAsia" w:ascii="宋体" w:hAnsi="宋体" w:eastAsia="宋体" w:cs="宋体"/>
                <w:snapToGrid w:val="0"/>
                <w:spacing w:val="-8"/>
                <w:sz w:val="24"/>
                <w:szCs w:val="24"/>
              </w:rPr>
              <w:t>项目组成员中（除项目负责人和技术负责人外）每提供一个特种作业人员高压电工证、低压电工证、登高证。每提供1个得0.5分，最高得1.5分，如有一人多证、一证多人的，仅计取一次，不重复计分。</w:t>
            </w:r>
            <w:r>
              <w:rPr>
                <w:rFonts w:hint="eastAsia" w:ascii="宋体" w:hAnsi="宋体" w:eastAsia="宋体" w:cs="宋体"/>
                <w:b/>
                <w:bCs/>
                <w:snapToGrid w:val="0"/>
                <w:spacing w:val="-8"/>
                <w:sz w:val="24"/>
                <w:szCs w:val="24"/>
              </w:rPr>
              <w:t>（上述人员须为投标人正式员工，投标时须提供相关证书的扫描件，同时提供从2025年6月开始至投标截止之日当月至少1个月在本单位缴纳养老保险缴费记录证明，证明以养老保险管理部门出具的证明材料为准，或者以社会养老保险管理部门的官方网站查询或验证结果打印件为准。未提供的不得分。）</w:t>
            </w:r>
          </w:p>
        </w:tc>
      </w:tr>
      <w:tr w14:paraId="1600B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pct"/>
            <w:vMerge w:val="restart"/>
            <w:tcBorders>
              <w:top w:val="single" w:color="auto" w:sz="4" w:space="0"/>
              <w:left w:val="single" w:color="auto" w:sz="4" w:space="0"/>
              <w:bottom w:val="single" w:color="auto" w:sz="4" w:space="0"/>
              <w:right w:val="single" w:color="auto" w:sz="4" w:space="0"/>
            </w:tcBorders>
            <w:vAlign w:val="center"/>
          </w:tcPr>
          <w:p w14:paraId="7193F08C">
            <w:pPr>
              <w:keepNext w:val="0"/>
              <w:keepLines w:val="0"/>
              <w:pageBreakBefore w:val="0"/>
              <w:kinsoku/>
              <w:wordWrap/>
              <w:overflowPunct/>
              <w:topLinePunct w:val="0"/>
              <w:autoSpaceDE/>
              <w:autoSpaceDN/>
              <w:bidi w:val="0"/>
              <w:spacing w:line="400" w:lineRule="exact"/>
              <w:jc w:val="center"/>
              <w:textAlignment w:val="auto"/>
              <w:rPr>
                <w:rFonts w:hint="eastAsia" w:ascii="宋体" w:hAnsi="宋体" w:eastAsia="宋体" w:cs="宋体"/>
                <w:bCs/>
                <w:sz w:val="24"/>
                <w:szCs w:val="24"/>
              </w:rPr>
            </w:pPr>
            <w:r>
              <w:rPr>
                <w:rFonts w:hint="eastAsia" w:ascii="宋体" w:hAnsi="宋体" w:eastAsia="宋体" w:cs="宋体"/>
                <w:bCs/>
                <w:sz w:val="24"/>
                <w:szCs w:val="24"/>
                <w:lang w:bidi="ar"/>
              </w:rPr>
              <w:t>3</w:t>
            </w:r>
          </w:p>
        </w:tc>
        <w:tc>
          <w:tcPr>
            <w:tcW w:w="671" w:type="pct"/>
            <w:vMerge w:val="restart"/>
            <w:tcBorders>
              <w:top w:val="single" w:color="auto" w:sz="4" w:space="0"/>
              <w:left w:val="single" w:color="auto" w:sz="4" w:space="0"/>
              <w:bottom w:val="single" w:color="auto" w:sz="4" w:space="0"/>
              <w:right w:val="single" w:color="auto" w:sz="4" w:space="0"/>
            </w:tcBorders>
            <w:vAlign w:val="center"/>
          </w:tcPr>
          <w:p w14:paraId="1A876FEC">
            <w:pPr>
              <w:keepNext w:val="0"/>
              <w:keepLines w:val="0"/>
              <w:pageBreakBefore w:val="0"/>
              <w:kinsoku/>
              <w:wordWrap/>
              <w:overflowPunct/>
              <w:topLinePunct w:val="0"/>
              <w:autoSpaceDE/>
              <w:autoSpaceDN/>
              <w:bidi w:val="0"/>
              <w:spacing w:line="400" w:lineRule="exact"/>
              <w:jc w:val="center"/>
              <w:textAlignment w:val="auto"/>
              <w:rPr>
                <w:rFonts w:hint="eastAsia" w:ascii="宋体" w:hAnsi="宋体" w:eastAsia="宋体" w:cs="宋体"/>
                <w:bCs/>
                <w:sz w:val="24"/>
                <w:szCs w:val="24"/>
              </w:rPr>
            </w:pPr>
            <w:r>
              <w:rPr>
                <w:rFonts w:hint="eastAsia" w:ascii="宋体" w:hAnsi="宋体" w:eastAsia="宋体" w:cs="宋体"/>
                <w:bCs/>
                <w:sz w:val="24"/>
                <w:szCs w:val="24"/>
              </w:rPr>
              <w:t>技术部分60</w:t>
            </w:r>
          </w:p>
        </w:tc>
        <w:tc>
          <w:tcPr>
            <w:tcW w:w="673" w:type="pct"/>
            <w:tcBorders>
              <w:top w:val="single" w:color="auto" w:sz="4" w:space="0"/>
              <w:left w:val="single" w:color="auto" w:sz="4" w:space="0"/>
              <w:bottom w:val="single" w:color="auto" w:sz="4" w:space="0"/>
              <w:right w:val="single" w:color="auto" w:sz="4" w:space="0"/>
            </w:tcBorders>
            <w:vAlign w:val="center"/>
          </w:tcPr>
          <w:p w14:paraId="31E5C2B7">
            <w:pPr>
              <w:keepNext w:val="0"/>
              <w:keepLines w:val="0"/>
              <w:pageBreakBefore w:val="0"/>
              <w:kinsoku/>
              <w:wordWrap/>
              <w:overflowPunct/>
              <w:topLinePunct w:val="0"/>
              <w:autoSpaceDE/>
              <w:autoSpaceDN/>
              <w:bidi w:val="0"/>
              <w:spacing w:line="400" w:lineRule="exact"/>
              <w:jc w:val="center"/>
              <w:textAlignment w:val="auto"/>
              <w:rPr>
                <w:rFonts w:hint="eastAsia" w:ascii="宋体" w:hAnsi="宋体" w:eastAsia="宋体" w:cs="宋体"/>
                <w:bCs/>
                <w:sz w:val="24"/>
                <w:szCs w:val="24"/>
              </w:rPr>
            </w:pPr>
            <w:r>
              <w:rPr>
                <w:rFonts w:hint="eastAsia" w:ascii="宋体" w:hAnsi="宋体" w:eastAsia="宋体" w:cs="宋体"/>
                <w:bCs/>
                <w:spacing w:val="-1"/>
                <w:sz w:val="24"/>
                <w:szCs w:val="24"/>
              </w:rPr>
              <w:t>产品技术响应30</w:t>
            </w:r>
          </w:p>
        </w:tc>
        <w:tc>
          <w:tcPr>
            <w:tcW w:w="3240" w:type="pct"/>
            <w:tcBorders>
              <w:top w:val="single" w:color="auto" w:sz="4" w:space="0"/>
              <w:left w:val="single" w:color="auto" w:sz="4" w:space="0"/>
              <w:right w:val="single" w:color="auto" w:sz="4" w:space="0"/>
            </w:tcBorders>
            <w:vAlign w:val="center"/>
          </w:tcPr>
          <w:p w14:paraId="3C6DA344">
            <w:pPr>
              <w:keepNext w:val="0"/>
              <w:keepLines w:val="0"/>
              <w:pageBreakBefore w:val="0"/>
              <w:widowControl/>
              <w:kinsoku/>
              <w:wordWrap/>
              <w:overflowPunct/>
              <w:topLinePunct w:val="0"/>
              <w:autoSpaceDE/>
              <w:autoSpaceDN/>
              <w:bidi w:val="0"/>
              <w:spacing w:line="400" w:lineRule="exact"/>
              <w:textAlignment w:val="auto"/>
              <w:rPr>
                <w:rFonts w:hint="eastAsia" w:ascii="宋体" w:hAnsi="宋体" w:eastAsia="宋体" w:cs="宋体"/>
                <w:bCs/>
                <w:spacing w:val="-3"/>
                <w:sz w:val="24"/>
                <w:szCs w:val="24"/>
              </w:rPr>
            </w:pPr>
            <w:r>
              <w:rPr>
                <w:rFonts w:hint="eastAsia" w:ascii="宋体" w:hAnsi="宋体" w:eastAsia="宋体" w:cs="宋体"/>
                <w:bCs/>
                <w:spacing w:val="-3"/>
                <w:sz w:val="24"/>
                <w:szCs w:val="24"/>
              </w:rPr>
              <w:t>根据投标人提供的投标文件，对招标文件所要求的技术要求、性能的响应和满足程度进行评分，完全满足招标文件技术参数要求的得30分，加</w:t>
            </w:r>
            <w:r>
              <w:rPr>
                <w:rFonts w:hint="eastAsia" w:ascii="宋体" w:hAnsi="宋体" w:eastAsia="宋体" w:cs="宋体"/>
                <w:sz w:val="24"/>
                <w:szCs w:val="24"/>
              </w:rPr>
              <w:t>★</w:t>
            </w:r>
            <w:r>
              <w:rPr>
                <w:rFonts w:hint="eastAsia" w:ascii="宋体" w:hAnsi="宋体" w:eastAsia="宋体" w:cs="宋体"/>
                <w:bCs/>
                <w:spacing w:val="-3"/>
                <w:sz w:val="24"/>
                <w:szCs w:val="24"/>
              </w:rPr>
              <w:t>项有一项负偏离的扣1.5分，其余项有一项负偏离的扣1分，扣完为止。</w:t>
            </w:r>
          </w:p>
          <w:p w14:paraId="461E43C4">
            <w:pPr>
              <w:keepNext w:val="0"/>
              <w:keepLines w:val="0"/>
              <w:pageBreakBefore w:val="0"/>
              <w:widowControl/>
              <w:kinsoku/>
              <w:wordWrap/>
              <w:overflowPunct/>
              <w:topLinePunct w:val="0"/>
              <w:autoSpaceDE/>
              <w:autoSpaceDN/>
              <w:bidi w:val="0"/>
              <w:spacing w:line="400" w:lineRule="exact"/>
              <w:textAlignment w:val="auto"/>
              <w:rPr>
                <w:rFonts w:hint="eastAsia" w:ascii="宋体" w:hAnsi="宋体" w:eastAsia="宋体" w:cs="宋体"/>
                <w:bCs/>
                <w:spacing w:val="-3"/>
                <w:sz w:val="24"/>
                <w:szCs w:val="24"/>
              </w:rPr>
            </w:pPr>
            <w:r>
              <w:rPr>
                <w:rFonts w:hint="eastAsia" w:ascii="宋体" w:hAnsi="宋体" w:eastAsia="宋体" w:cs="宋体"/>
                <w:b/>
                <w:bCs w:val="0"/>
                <w:spacing w:val="-3"/>
                <w:sz w:val="24"/>
                <w:szCs w:val="24"/>
              </w:rPr>
              <w:t>注：参数的正负偏离以提供以下材料为准：1. 技术要求响应及偏离表（格式附后）。2. 技术参数中要求投标时提供的证明材料，未按要求提供相关证明材料视为负偏离。3. 此项扣满30分将不作中标候选人推荐。</w:t>
            </w:r>
          </w:p>
        </w:tc>
      </w:tr>
      <w:tr w14:paraId="5FB3E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pct"/>
            <w:vMerge w:val="continue"/>
            <w:tcBorders>
              <w:top w:val="single" w:color="auto" w:sz="4" w:space="0"/>
              <w:left w:val="single" w:color="auto" w:sz="4" w:space="0"/>
              <w:bottom w:val="single" w:color="auto" w:sz="4" w:space="0"/>
              <w:right w:val="single" w:color="auto" w:sz="4" w:space="0"/>
            </w:tcBorders>
            <w:vAlign w:val="center"/>
          </w:tcPr>
          <w:p w14:paraId="5F224E60">
            <w:pPr>
              <w:keepNext w:val="0"/>
              <w:keepLines w:val="0"/>
              <w:pageBreakBefore w:val="0"/>
              <w:widowControl/>
              <w:kinsoku/>
              <w:wordWrap/>
              <w:overflowPunct/>
              <w:topLinePunct w:val="0"/>
              <w:autoSpaceDE/>
              <w:autoSpaceDN/>
              <w:bidi w:val="0"/>
              <w:spacing w:line="400" w:lineRule="exact"/>
              <w:jc w:val="center"/>
              <w:textAlignment w:val="auto"/>
              <w:rPr>
                <w:rFonts w:hint="eastAsia" w:ascii="宋体" w:hAnsi="宋体" w:eastAsia="宋体" w:cs="宋体"/>
                <w:bCs/>
                <w:sz w:val="24"/>
                <w:szCs w:val="24"/>
              </w:rPr>
            </w:pPr>
          </w:p>
        </w:tc>
        <w:tc>
          <w:tcPr>
            <w:tcW w:w="671" w:type="pct"/>
            <w:vMerge w:val="continue"/>
            <w:tcBorders>
              <w:top w:val="single" w:color="auto" w:sz="4" w:space="0"/>
              <w:left w:val="single" w:color="auto" w:sz="4" w:space="0"/>
              <w:bottom w:val="single" w:color="auto" w:sz="4" w:space="0"/>
              <w:right w:val="single" w:color="auto" w:sz="4" w:space="0"/>
            </w:tcBorders>
            <w:vAlign w:val="center"/>
          </w:tcPr>
          <w:p w14:paraId="112B7F0C">
            <w:pPr>
              <w:keepNext w:val="0"/>
              <w:keepLines w:val="0"/>
              <w:pageBreakBefore w:val="0"/>
              <w:widowControl/>
              <w:kinsoku/>
              <w:wordWrap/>
              <w:overflowPunct/>
              <w:topLinePunct w:val="0"/>
              <w:autoSpaceDE/>
              <w:autoSpaceDN/>
              <w:bidi w:val="0"/>
              <w:spacing w:line="400" w:lineRule="exact"/>
              <w:jc w:val="center"/>
              <w:textAlignment w:val="auto"/>
              <w:rPr>
                <w:rFonts w:hint="eastAsia" w:ascii="宋体" w:hAnsi="宋体" w:eastAsia="宋体" w:cs="宋体"/>
                <w:bCs/>
                <w:sz w:val="24"/>
                <w:szCs w:val="24"/>
              </w:rPr>
            </w:pPr>
          </w:p>
        </w:tc>
        <w:tc>
          <w:tcPr>
            <w:tcW w:w="673" w:type="pct"/>
            <w:tcBorders>
              <w:top w:val="single" w:color="auto" w:sz="4" w:space="0"/>
              <w:left w:val="single" w:color="auto" w:sz="4" w:space="0"/>
              <w:bottom w:val="single" w:color="auto" w:sz="4" w:space="0"/>
              <w:right w:val="single" w:color="auto" w:sz="4" w:space="0"/>
            </w:tcBorders>
            <w:vAlign w:val="center"/>
          </w:tcPr>
          <w:p w14:paraId="4C27AFE1">
            <w:pPr>
              <w:keepNext w:val="0"/>
              <w:keepLines w:val="0"/>
              <w:pageBreakBefore w:val="0"/>
              <w:widowControl/>
              <w:kinsoku/>
              <w:wordWrap/>
              <w:overflowPunct/>
              <w:topLinePunct w:val="0"/>
              <w:autoSpaceDE/>
              <w:autoSpaceDN/>
              <w:bidi w:val="0"/>
              <w:spacing w:line="400" w:lineRule="exact"/>
              <w:jc w:val="center"/>
              <w:textAlignment w:val="auto"/>
              <w:rPr>
                <w:rFonts w:hint="eastAsia" w:ascii="宋体" w:hAnsi="宋体" w:eastAsia="宋体" w:cs="宋体"/>
                <w:bCs/>
                <w:sz w:val="24"/>
                <w:szCs w:val="24"/>
              </w:rPr>
            </w:pPr>
            <w:r>
              <w:rPr>
                <w:rFonts w:hint="eastAsia" w:ascii="宋体" w:hAnsi="宋体" w:eastAsia="宋体" w:cs="宋体"/>
                <w:bCs/>
                <w:sz w:val="24"/>
                <w:szCs w:val="24"/>
              </w:rPr>
              <w:t>运行维护实施方案18</w:t>
            </w:r>
          </w:p>
        </w:tc>
        <w:tc>
          <w:tcPr>
            <w:tcW w:w="3240" w:type="pct"/>
            <w:tcBorders>
              <w:left w:val="single" w:color="auto" w:sz="4" w:space="0"/>
              <w:bottom w:val="single" w:color="auto" w:sz="4" w:space="0"/>
              <w:right w:val="single" w:color="auto" w:sz="4" w:space="0"/>
            </w:tcBorders>
            <w:vAlign w:val="center"/>
          </w:tcPr>
          <w:p w14:paraId="4957FE9B">
            <w:pPr>
              <w:keepNext w:val="0"/>
              <w:keepLines w:val="0"/>
              <w:pageBreakBefore w:val="0"/>
              <w:kinsoku/>
              <w:wordWrap/>
              <w:overflowPunct/>
              <w:topLinePunct w:val="0"/>
              <w:autoSpaceDE/>
              <w:autoSpaceDN/>
              <w:bidi w:val="0"/>
              <w:spacing w:line="400" w:lineRule="exact"/>
              <w:textAlignment w:val="auto"/>
              <w:rPr>
                <w:rFonts w:hint="eastAsia" w:ascii="宋体" w:hAnsi="宋体" w:eastAsia="宋体" w:cs="宋体"/>
                <w:sz w:val="24"/>
                <w:szCs w:val="24"/>
                <w:lang w:bidi="ar"/>
              </w:rPr>
            </w:pPr>
            <w:r>
              <w:rPr>
                <w:rFonts w:hint="eastAsia" w:ascii="宋体" w:hAnsi="宋体" w:eastAsia="宋体" w:cs="宋体"/>
                <w:sz w:val="24"/>
                <w:szCs w:val="24"/>
                <w:lang w:bidi="ar"/>
              </w:rPr>
              <w:t>投标人需结合现场勘察情况，</w:t>
            </w:r>
            <w:r>
              <w:rPr>
                <w:rFonts w:hint="eastAsia" w:ascii="宋体" w:hAnsi="宋体" w:eastAsia="宋体" w:cs="宋体"/>
                <w:bCs/>
                <w:sz w:val="24"/>
                <w:szCs w:val="24"/>
              </w:rPr>
              <w:t>按照楼宇亮化维护项目需求，</w:t>
            </w:r>
            <w:r>
              <w:rPr>
                <w:rFonts w:hint="eastAsia" w:ascii="宋体" w:hAnsi="宋体" w:eastAsia="宋体" w:cs="宋体"/>
                <w:sz w:val="24"/>
                <w:szCs w:val="24"/>
                <w:lang w:bidi="ar"/>
              </w:rPr>
              <w:t>针对本项目编写详细的实施方案，评委针对实施方案：</w:t>
            </w:r>
            <w:r>
              <w:rPr>
                <w:rFonts w:hint="eastAsia" w:ascii="宋体" w:hAnsi="宋体" w:eastAsia="宋体" w:cs="宋体"/>
                <w:sz w:val="24"/>
                <w:szCs w:val="24"/>
              </w:rPr>
              <w:t>1. 日常巡查与维护方案；2. 应急响应与节日保障方案；3. 安全作业管理方案；4. 设备物资保障方案；5. 特种作业专项方案；6. 档案与质量管控方案等</w:t>
            </w:r>
            <w:r>
              <w:rPr>
                <w:rFonts w:hint="eastAsia" w:ascii="宋体" w:hAnsi="宋体" w:eastAsia="宋体" w:cs="宋体"/>
                <w:sz w:val="24"/>
                <w:szCs w:val="24"/>
                <w:lang w:bidi="ar"/>
              </w:rPr>
              <w:t>内容进行评审：</w:t>
            </w:r>
          </w:p>
          <w:p w14:paraId="04F9EC38">
            <w:pPr>
              <w:keepNext w:val="0"/>
              <w:keepLines w:val="0"/>
              <w:pageBreakBefore w:val="0"/>
              <w:kinsoku/>
              <w:wordWrap/>
              <w:overflowPunct/>
              <w:topLinePunct w:val="0"/>
              <w:autoSpaceDE/>
              <w:autoSpaceDN/>
              <w:bidi w:val="0"/>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1. 日常巡查与维护方案（3分）</w:t>
            </w:r>
          </w:p>
          <w:p w14:paraId="4B20C192">
            <w:pPr>
              <w:keepNext w:val="0"/>
              <w:keepLines w:val="0"/>
              <w:pageBreakBefore w:val="0"/>
              <w:widowControl/>
              <w:kinsoku/>
              <w:wordWrap/>
              <w:overflowPunct/>
              <w:topLinePunct w:val="0"/>
              <w:autoSpaceDE/>
              <w:autoSpaceDN/>
              <w:bidi w:val="0"/>
              <w:spacing w:line="400" w:lineRule="exact"/>
              <w:textAlignment w:val="auto"/>
              <w:rPr>
                <w:rFonts w:hint="eastAsia" w:ascii="宋体" w:hAnsi="宋体" w:eastAsia="宋体" w:cs="宋体"/>
                <w:sz w:val="24"/>
                <w:szCs w:val="24"/>
                <w:lang w:bidi="ar"/>
              </w:rPr>
            </w:pPr>
            <w:r>
              <w:rPr>
                <w:rFonts w:hint="eastAsia" w:ascii="宋体" w:hAnsi="宋体" w:eastAsia="宋体" w:cs="宋体"/>
                <w:sz w:val="24"/>
                <w:szCs w:val="24"/>
                <w:lang w:bidi="ar"/>
              </w:rPr>
              <w:t>描述详细且优于采购人需求的得3分；</w:t>
            </w:r>
          </w:p>
          <w:p w14:paraId="4DBB22B3">
            <w:pPr>
              <w:keepNext w:val="0"/>
              <w:keepLines w:val="0"/>
              <w:pageBreakBefore w:val="0"/>
              <w:widowControl/>
              <w:kinsoku/>
              <w:wordWrap/>
              <w:overflowPunct/>
              <w:topLinePunct w:val="0"/>
              <w:autoSpaceDE/>
              <w:autoSpaceDN/>
              <w:bidi w:val="0"/>
              <w:spacing w:line="400" w:lineRule="exact"/>
              <w:textAlignment w:val="auto"/>
              <w:rPr>
                <w:rFonts w:hint="eastAsia" w:ascii="宋体" w:hAnsi="宋体" w:eastAsia="宋体" w:cs="宋体"/>
                <w:sz w:val="24"/>
                <w:szCs w:val="24"/>
                <w:lang w:bidi="ar"/>
              </w:rPr>
            </w:pPr>
            <w:r>
              <w:rPr>
                <w:rFonts w:hint="eastAsia" w:ascii="宋体" w:hAnsi="宋体" w:eastAsia="宋体" w:cs="宋体"/>
                <w:sz w:val="24"/>
                <w:szCs w:val="24"/>
                <w:lang w:bidi="ar"/>
              </w:rPr>
              <w:t>符合采购人需求的得2分；</w:t>
            </w:r>
          </w:p>
          <w:p w14:paraId="63ABCCF4">
            <w:pPr>
              <w:keepNext w:val="0"/>
              <w:keepLines w:val="0"/>
              <w:pageBreakBefore w:val="0"/>
              <w:widowControl/>
              <w:kinsoku/>
              <w:wordWrap/>
              <w:overflowPunct/>
              <w:topLinePunct w:val="0"/>
              <w:autoSpaceDE/>
              <w:autoSpaceDN/>
              <w:bidi w:val="0"/>
              <w:spacing w:line="400" w:lineRule="exact"/>
              <w:textAlignment w:val="auto"/>
              <w:rPr>
                <w:rFonts w:hint="eastAsia" w:ascii="宋体" w:hAnsi="宋体" w:eastAsia="宋体" w:cs="宋体"/>
                <w:sz w:val="24"/>
                <w:szCs w:val="24"/>
                <w:lang w:bidi="ar"/>
              </w:rPr>
            </w:pPr>
            <w:r>
              <w:rPr>
                <w:rFonts w:hint="eastAsia" w:ascii="宋体" w:hAnsi="宋体" w:eastAsia="宋体" w:cs="宋体"/>
                <w:sz w:val="24"/>
                <w:szCs w:val="24"/>
                <w:lang w:bidi="ar"/>
              </w:rPr>
              <w:t>基本满足采购人需求的得1分；</w:t>
            </w:r>
          </w:p>
          <w:p w14:paraId="24712EE9">
            <w:pPr>
              <w:keepNext w:val="0"/>
              <w:keepLines w:val="0"/>
              <w:pageBreakBefore w:val="0"/>
              <w:widowControl/>
              <w:kinsoku/>
              <w:wordWrap/>
              <w:overflowPunct/>
              <w:topLinePunct w:val="0"/>
              <w:autoSpaceDE/>
              <w:autoSpaceDN/>
              <w:bidi w:val="0"/>
              <w:spacing w:line="400" w:lineRule="exact"/>
              <w:textAlignment w:val="auto"/>
              <w:rPr>
                <w:rFonts w:hint="eastAsia" w:ascii="宋体" w:hAnsi="宋体" w:eastAsia="宋体" w:cs="宋体"/>
                <w:sz w:val="24"/>
                <w:szCs w:val="24"/>
                <w:lang w:bidi="ar"/>
              </w:rPr>
            </w:pPr>
            <w:r>
              <w:rPr>
                <w:rFonts w:hint="eastAsia" w:ascii="宋体" w:hAnsi="宋体" w:eastAsia="宋体" w:cs="宋体"/>
                <w:sz w:val="24"/>
                <w:szCs w:val="24"/>
                <w:lang w:bidi="ar"/>
              </w:rPr>
              <w:t>不符合或不描述的得0分。</w:t>
            </w:r>
          </w:p>
          <w:p w14:paraId="5EB8B530">
            <w:pPr>
              <w:keepNext w:val="0"/>
              <w:keepLines w:val="0"/>
              <w:pageBreakBefore w:val="0"/>
              <w:kinsoku/>
              <w:wordWrap/>
              <w:overflowPunct/>
              <w:topLinePunct w:val="0"/>
              <w:autoSpaceDE/>
              <w:autoSpaceDN/>
              <w:bidi w:val="0"/>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2. 应急响应与节日保障方案（3分）</w:t>
            </w:r>
          </w:p>
          <w:p w14:paraId="212FC98E">
            <w:pPr>
              <w:keepNext w:val="0"/>
              <w:keepLines w:val="0"/>
              <w:pageBreakBefore w:val="0"/>
              <w:widowControl/>
              <w:kinsoku/>
              <w:wordWrap/>
              <w:overflowPunct/>
              <w:topLinePunct w:val="0"/>
              <w:autoSpaceDE/>
              <w:autoSpaceDN/>
              <w:bidi w:val="0"/>
              <w:spacing w:line="400" w:lineRule="exact"/>
              <w:textAlignment w:val="auto"/>
              <w:rPr>
                <w:rFonts w:hint="eastAsia" w:ascii="宋体" w:hAnsi="宋体" w:eastAsia="宋体" w:cs="宋体"/>
                <w:sz w:val="24"/>
                <w:szCs w:val="24"/>
                <w:lang w:bidi="ar"/>
              </w:rPr>
            </w:pPr>
            <w:r>
              <w:rPr>
                <w:rFonts w:hint="eastAsia" w:ascii="宋体" w:hAnsi="宋体" w:eastAsia="宋体" w:cs="宋体"/>
                <w:sz w:val="24"/>
                <w:szCs w:val="24"/>
                <w:lang w:bidi="ar"/>
              </w:rPr>
              <w:t>描述详细且优于采购人需求的得3分；</w:t>
            </w:r>
          </w:p>
          <w:p w14:paraId="6F63DA66">
            <w:pPr>
              <w:keepNext w:val="0"/>
              <w:keepLines w:val="0"/>
              <w:pageBreakBefore w:val="0"/>
              <w:widowControl/>
              <w:kinsoku/>
              <w:wordWrap/>
              <w:overflowPunct/>
              <w:topLinePunct w:val="0"/>
              <w:autoSpaceDE/>
              <w:autoSpaceDN/>
              <w:bidi w:val="0"/>
              <w:spacing w:line="400" w:lineRule="exact"/>
              <w:textAlignment w:val="auto"/>
              <w:rPr>
                <w:rFonts w:hint="eastAsia" w:ascii="宋体" w:hAnsi="宋体" w:eastAsia="宋体" w:cs="宋体"/>
                <w:sz w:val="24"/>
                <w:szCs w:val="24"/>
                <w:lang w:bidi="ar"/>
              </w:rPr>
            </w:pPr>
            <w:r>
              <w:rPr>
                <w:rFonts w:hint="eastAsia" w:ascii="宋体" w:hAnsi="宋体" w:eastAsia="宋体" w:cs="宋体"/>
                <w:sz w:val="24"/>
                <w:szCs w:val="24"/>
                <w:lang w:bidi="ar"/>
              </w:rPr>
              <w:t>符合采购人需求的得2分；</w:t>
            </w:r>
          </w:p>
          <w:p w14:paraId="6F5921C4">
            <w:pPr>
              <w:keepNext w:val="0"/>
              <w:keepLines w:val="0"/>
              <w:pageBreakBefore w:val="0"/>
              <w:widowControl/>
              <w:kinsoku/>
              <w:wordWrap/>
              <w:overflowPunct/>
              <w:topLinePunct w:val="0"/>
              <w:autoSpaceDE/>
              <w:autoSpaceDN/>
              <w:bidi w:val="0"/>
              <w:spacing w:line="400" w:lineRule="exact"/>
              <w:textAlignment w:val="auto"/>
              <w:rPr>
                <w:rFonts w:hint="eastAsia" w:ascii="宋体" w:hAnsi="宋体" w:eastAsia="宋体" w:cs="宋体"/>
                <w:sz w:val="24"/>
                <w:szCs w:val="24"/>
                <w:lang w:bidi="ar"/>
              </w:rPr>
            </w:pPr>
            <w:r>
              <w:rPr>
                <w:rFonts w:hint="eastAsia" w:ascii="宋体" w:hAnsi="宋体" w:eastAsia="宋体" w:cs="宋体"/>
                <w:sz w:val="24"/>
                <w:szCs w:val="24"/>
                <w:lang w:bidi="ar"/>
              </w:rPr>
              <w:t>基本满足采购人需求的得1分；</w:t>
            </w:r>
          </w:p>
          <w:p w14:paraId="755B73B5">
            <w:pPr>
              <w:keepNext w:val="0"/>
              <w:keepLines w:val="0"/>
              <w:pageBreakBefore w:val="0"/>
              <w:kinsoku/>
              <w:wordWrap/>
              <w:overflowPunct/>
              <w:topLinePunct w:val="0"/>
              <w:autoSpaceDE/>
              <w:autoSpaceDN/>
              <w:bidi w:val="0"/>
              <w:spacing w:line="400" w:lineRule="exact"/>
              <w:textAlignment w:val="auto"/>
              <w:rPr>
                <w:rFonts w:hint="eastAsia" w:ascii="宋体" w:hAnsi="宋体" w:eastAsia="宋体" w:cs="宋体"/>
                <w:sz w:val="24"/>
                <w:szCs w:val="24"/>
              </w:rPr>
            </w:pPr>
            <w:r>
              <w:rPr>
                <w:rFonts w:hint="eastAsia" w:ascii="宋体" w:hAnsi="宋体" w:eastAsia="宋体" w:cs="宋体"/>
                <w:sz w:val="24"/>
                <w:szCs w:val="24"/>
                <w:lang w:bidi="ar"/>
              </w:rPr>
              <w:t>不符合或不描述的得0分。</w:t>
            </w:r>
          </w:p>
          <w:p w14:paraId="25E67D80">
            <w:pPr>
              <w:keepNext w:val="0"/>
              <w:keepLines w:val="0"/>
              <w:pageBreakBefore w:val="0"/>
              <w:kinsoku/>
              <w:wordWrap/>
              <w:overflowPunct/>
              <w:topLinePunct w:val="0"/>
              <w:autoSpaceDE/>
              <w:autoSpaceDN/>
              <w:bidi w:val="0"/>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3. 安全作业管理方案（3分）</w:t>
            </w:r>
          </w:p>
          <w:p w14:paraId="0BD00F83">
            <w:pPr>
              <w:keepNext w:val="0"/>
              <w:keepLines w:val="0"/>
              <w:pageBreakBefore w:val="0"/>
              <w:widowControl/>
              <w:kinsoku/>
              <w:wordWrap/>
              <w:overflowPunct/>
              <w:topLinePunct w:val="0"/>
              <w:autoSpaceDE/>
              <w:autoSpaceDN/>
              <w:bidi w:val="0"/>
              <w:spacing w:line="400" w:lineRule="exact"/>
              <w:textAlignment w:val="auto"/>
              <w:rPr>
                <w:rFonts w:hint="eastAsia" w:ascii="宋体" w:hAnsi="宋体" w:eastAsia="宋体" w:cs="宋体"/>
                <w:sz w:val="24"/>
                <w:szCs w:val="24"/>
                <w:lang w:bidi="ar"/>
              </w:rPr>
            </w:pPr>
            <w:r>
              <w:rPr>
                <w:rFonts w:hint="eastAsia" w:ascii="宋体" w:hAnsi="宋体" w:eastAsia="宋体" w:cs="宋体"/>
                <w:sz w:val="24"/>
                <w:szCs w:val="24"/>
                <w:lang w:bidi="ar"/>
              </w:rPr>
              <w:t>描述详细且优于采购人需求的得3分；</w:t>
            </w:r>
          </w:p>
          <w:p w14:paraId="7D4871FF">
            <w:pPr>
              <w:keepNext w:val="0"/>
              <w:keepLines w:val="0"/>
              <w:pageBreakBefore w:val="0"/>
              <w:widowControl/>
              <w:kinsoku/>
              <w:wordWrap/>
              <w:overflowPunct/>
              <w:topLinePunct w:val="0"/>
              <w:autoSpaceDE/>
              <w:autoSpaceDN/>
              <w:bidi w:val="0"/>
              <w:spacing w:line="400" w:lineRule="exact"/>
              <w:textAlignment w:val="auto"/>
              <w:rPr>
                <w:rFonts w:hint="eastAsia" w:ascii="宋体" w:hAnsi="宋体" w:eastAsia="宋体" w:cs="宋体"/>
                <w:sz w:val="24"/>
                <w:szCs w:val="24"/>
                <w:lang w:bidi="ar"/>
              </w:rPr>
            </w:pPr>
            <w:r>
              <w:rPr>
                <w:rFonts w:hint="eastAsia" w:ascii="宋体" w:hAnsi="宋体" w:eastAsia="宋体" w:cs="宋体"/>
                <w:sz w:val="24"/>
                <w:szCs w:val="24"/>
                <w:lang w:bidi="ar"/>
              </w:rPr>
              <w:t>符合采购人需求的得2分；</w:t>
            </w:r>
          </w:p>
          <w:p w14:paraId="65C1D93D">
            <w:pPr>
              <w:keepNext w:val="0"/>
              <w:keepLines w:val="0"/>
              <w:pageBreakBefore w:val="0"/>
              <w:widowControl/>
              <w:kinsoku/>
              <w:wordWrap/>
              <w:overflowPunct/>
              <w:topLinePunct w:val="0"/>
              <w:autoSpaceDE/>
              <w:autoSpaceDN/>
              <w:bidi w:val="0"/>
              <w:spacing w:line="400" w:lineRule="exact"/>
              <w:textAlignment w:val="auto"/>
              <w:rPr>
                <w:rFonts w:hint="eastAsia" w:ascii="宋体" w:hAnsi="宋体" w:eastAsia="宋体" w:cs="宋体"/>
                <w:sz w:val="24"/>
                <w:szCs w:val="24"/>
                <w:lang w:bidi="ar"/>
              </w:rPr>
            </w:pPr>
            <w:r>
              <w:rPr>
                <w:rFonts w:hint="eastAsia" w:ascii="宋体" w:hAnsi="宋体" w:eastAsia="宋体" w:cs="宋体"/>
                <w:sz w:val="24"/>
                <w:szCs w:val="24"/>
                <w:lang w:bidi="ar"/>
              </w:rPr>
              <w:t>基本满足采购人需求的得1分；</w:t>
            </w:r>
          </w:p>
          <w:p w14:paraId="3B6FB508">
            <w:pPr>
              <w:keepNext w:val="0"/>
              <w:keepLines w:val="0"/>
              <w:pageBreakBefore w:val="0"/>
              <w:kinsoku/>
              <w:wordWrap/>
              <w:overflowPunct/>
              <w:topLinePunct w:val="0"/>
              <w:autoSpaceDE/>
              <w:autoSpaceDN/>
              <w:bidi w:val="0"/>
              <w:spacing w:line="400" w:lineRule="exact"/>
              <w:textAlignment w:val="auto"/>
              <w:rPr>
                <w:rFonts w:hint="eastAsia" w:ascii="宋体" w:hAnsi="宋体" w:eastAsia="宋体" w:cs="宋体"/>
                <w:sz w:val="24"/>
                <w:szCs w:val="24"/>
              </w:rPr>
            </w:pPr>
            <w:r>
              <w:rPr>
                <w:rFonts w:hint="eastAsia" w:ascii="宋体" w:hAnsi="宋体" w:eastAsia="宋体" w:cs="宋体"/>
                <w:sz w:val="24"/>
                <w:szCs w:val="24"/>
                <w:lang w:bidi="ar"/>
              </w:rPr>
              <w:t>不符合或不描述的得0分。</w:t>
            </w:r>
          </w:p>
          <w:p w14:paraId="715354FE">
            <w:pPr>
              <w:keepNext w:val="0"/>
              <w:keepLines w:val="0"/>
              <w:pageBreakBefore w:val="0"/>
              <w:kinsoku/>
              <w:wordWrap/>
              <w:overflowPunct/>
              <w:topLinePunct w:val="0"/>
              <w:autoSpaceDE/>
              <w:autoSpaceDN/>
              <w:bidi w:val="0"/>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4. 设备物资保障方案（3分）</w:t>
            </w:r>
          </w:p>
          <w:p w14:paraId="37747921">
            <w:pPr>
              <w:keepNext w:val="0"/>
              <w:keepLines w:val="0"/>
              <w:pageBreakBefore w:val="0"/>
              <w:widowControl/>
              <w:kinsoku/>
              <w:wordWrap/>
              <w:overflowPunct/>
              <w:topLinePunct w:val="0"/>
              <w:autoSpaceDE/>
              <w:autoSpaceDN/>
              <w:bidi w:val="0"/>
              <w:spacing w:line="400" w:lineRule="exact"/>
              <w:textAlignment w:val="auto"/>
              <w:rPr>
                <w:rFonts w:hint="eastAsia" w:ascii="宋体" w:hAnsi="宋体" w:eastAsia="宋体" w:cs="宋体"/>
                <w:sz w:val="24"/>
                <w:szCs w:val="24"/>
                <w:lang w:bidi="ar"/>
              </w:rPr>
            </w:pPr>
            <w:r>
              <w:rPr>
                <w:rFonts w:hint="eastAsia" w:ascii="宋体" w:hAnsi="宋体" w:eastAsia="宋体" w:cs="宋体"/>
                <w:sz w:val="24"/>
                <w:szCs w:val="24"/>
                <w:lang w:bidi="ar"/>
              </w:rPr>
              <w:t>描述详细且优于采购人需求的得3分；</w:t>
            </w:r>
          </w:p>
          <w:p w14:paraId="03A400EE">
            <w:pPr>
              <w:keepNext w:val="0"/>
              <w:keepLines w:val="0"/>
              <w:pageBreakBefore w:val="0"/>
              <w:widowControl/>
              <w:kinsoku/>
              <w:wordWrap/>
              <w:overflowPunct/>
              <w:topLinePunct w:val="0"/>
              <w:autoSpaceDE/>
              <w:autoSpaceDN/>
              <w:bidi w:val="0"/>
              <w:spacing w:line="400" w:lineRule="exact"/>
              <w:textAlignment w:val="auto"/>
              <w:rPr>
                <w:rFonts w:hint="eastAsia" w:ascii="宋体" w:hAnsi="宋体" w:eastAsia="宋体" w:cs="宋体"/>
                <w:sz w:val="24"/>
                <w:szCs w:val="24"/>
                <w:lang w:bidi="ar"/>
              </w:rPr>
            </w:pPr>
            <w:r>
              <w:rPr>
                <w:rFonts w:hint="eastAsia" w:ascii="宋体" w:hAnsi="宋体" w:eastAsia="宋体" w:cs="宋体"/>
                <w:sz w:val="24"/>
                <w:szCs w:val="24"/>
                <w:lang w:bidi="ar"/>
              </w:rPr>
              <w:t>符合采购人需求的得2分；</w:t>
            </w:r>
          </w:p>
          <w:p w14:paraId="1E8A980B">
            <w:pPr>
              <w:keepNext w:val="0"/>
              <w:keepLines w:val="0"/>
              <w:pageBreakBefore w:val="0"/>
              <w:widowControl/>
              <w:kinsoku/>
              <w:wordWrap/>
              <w:overflowPunct/>
              <w:topLinePunct w:val="0"/>
              <w:autoSpaceDE/>
              <w:autoSpaceDN/>
              <w:bidi w:val="0"/>
              <w:spacing w:line="400" w:lineRule="exact"/>
              <w:textAlignment w:val="auto"/>
              <w:rPr>
                <w:rFonts w:hint="eastAsia" w:ascii="宋体" w:hAnsi="宋体" w:eastAsia="宋体" w:cs="宋体"/>
                <w:sz w:val="24"/>
                <w:szCs w:val="24"/>
                <w:lang w:bidi="ar"/>
              </w:rPr>
            </w:pPr>
            <w:r>
              <w:rPr>
                <w:rFonts w:hint="eastAsia" w:ascii="宋体" w:hAnsi="宋体" w:eastAsia="宋体" w:cs="宋体"/>
                <w:sz w:val="24"/>
                <w:szCs w:val="24"/>
                <w:lang w:bidi="ar"/>
              </w:rPr>
              <w:t>基本满足采购人需求的得1分；</w:t>
            </w:r>
          </w:p>
          <w:p w14:paraId="1C89F06C">
            <w:pPr>
              <w:keepNext w:val="0"/>
              <w:keepLines w:val="0"/>
              <w:pageBreakBefore w:val="0"/>
              <w:kinsoku/>
              <w:wordWrap/>
              <w:overflowPunct/>
              <w:topLinePunct w:val="0"/>
              <w:autoSpaceDE/>
              <w:autoSpaceDN/>
              <w:bidi w:val="0"/>
              <w:spacing w:line="400" w:lineRule="exact"/>
              <w:textAlignment w:val="auto"/>
              <w:rPr>
                <w:rFonts w:hint="eastAsia" w:ascii="宋体" w:hAnsi="宋体" w:eastAsia="宋体" w:cs="宋体"/>
                <w:sz w:val="24"/>
                <w:szCs w:val="24"/>
              </w:rPr>
            </w:pPr>
            <w:r>
              <w:rPr>
                <w:rFonts w:hint="eastAsia" w:ascii="宋体" w:hAnsi="宋体" w:eastAsia="宋体" w:cs="宋体"/>
                <w:sz w:val="24"/>
                <w:szCs w:val="24"/>
                <w:lang w:bidi="ar"/>
              </w:rPr>
              <w:t>不符合或不描述的得0分。</w:t>
            </w:r>
          </w:p>
          <w:p w14:paraId="387B276B">
            <w:pPr>
              <w:keepNext w:val="0"/>
              <w:keepLines w:val="0"/>
              <w:pageBreakBefore w:val="0"/>
              <w:kinsoku/>
              <w:wordWrap/>
              <w:overflowPunct/>
              <w:topLinePunct w:val="0"/>
              <w:autoSpaceDE/>
              <w:autoSpaceDN/>
              <w:bidi w:val="0"/>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5. 特种作业专项方案（3分）</w:t>
            </w:r>
          </w:p>
          <w:p w14:paraId="697F543A">
            <w:pPr>
              <w:keepNext w:val="0"/>
              <w:keepLines w:val="0"/>
              <w:pageBreakBefore w:val="0"/>
              <w:widowControl/>
              <w:kinsoku/>
              <w:wordWrap/>
              <w:overflowPunct/>
              <w:topLinePunct w:val="0"/>
              <w:autoSpaceDE/>
              <w:autoSpaceDN/>
              <w:bidi w:val="0"/>
              <w:spacing w:line="400" w:lineRule="exact"/>
              <w:textAlignment w:val="auto"/>
              <w:rPr>
                <w:rFonts w:hint="eastAsia" w:ascii="宋体" w:hAnsi="宋体" w:eastAsia="宋体" w:cs="宋体"/>
                <w:sz w:val="24"/>
                <w:szCs w:val="24"/>
                <w:lang w:bidi="ar"/>
              </w:rPr>
            </w:pPr>
            <w:r>
              <w:rPr>
                <w:rFonts w:hint="eastAsia" w:ascii="宋体" w:hAnsi="宋体" w:eastAsia="宋体" w:cs="宋体"/>
                <w:sz w:val="24"/>
                <w:szCs w:val="24"/>
                <w:lang w:bidi="ar"/>
              </w:rPr>
              <w:t>描述详细且优于采购人需求的得3分；</w:t>
            </w:r>
          </w:p>
          <w:p w14:paraId="4D125B97">
            <w:pPr>
              <w:keepNext w:val="0"/>
              <w:keepLines w:val="0"/>
              <w:pageBreakBefore w:val="0"/>
              <w:widowControl/>
              <w:kinsoku/>
              <w:wordWrap/>
              <w:overflowPunct/>
              <w:topLinePunct w:val="0"/>
              <w:autoSpaceDE/>
              <w:autoSpaceDN/>
              <w:bidi w:val="0"/>
              <w:spacing w:line="400" w:lineRule="exact"/>
              <w:textAlignment w:val="auto"/>
              <w:rPr>
                <w:rFonts w:hint="eastAsia" w:ascii="宋体" w:hAnsi="宋体" w:eastAsia="宋体" w:cs="宋体"/>
                <w:sz w:val="24"/>
                <w:szCs w:val="24"/>
                <w:lang w:bidi="ar"/>
              </w:rPr>
            </w:pPr>
            <w:r>
              <w:rPr>
                <w:rFonts w:hint="eastAsia" w:ascii="宋体" w:hAnsi="宋体" w:eastAsia="宋体" w:cs="宋体"/>
                <w:sz w:val="24"/>
                <w:szCs w:val="24"/>
                <w:lang w:bidi="ar"/>
              </w:rPr>
              <w:t>符合采购人需求的得2分；</w:t>
            </w:r>
          </w:p>
          <w:p w14:paraId="4B9E4BED">
            <w:pPr>
              <w:keepNext w:val="0"/>
              <w:keepLines w:val="0"/>
              <w:pageBreakBefore w:val="0"/>
              <w:widowControl/>
              <w:kinsoku/>
              <w:wordWrap/>
              <w:overflowPunct/>
              <w:topLinePunct w:val="0"/>
              <w:autoSpaceDE/>
              <w:autoSpaceDN/>
              <w:bidi w:val="0"/>
              <w:spacing w:line="400" w:lineRule="exact"/>
              <w:textAlignment w:val="auto"/>
              <w:rPr>
                <w:rFonts w:hint="eastAsia" w:ascii="宋体" w:hAnsi="宋体" w:eastAsia="宋体" w:cs="宋体"/>
                <w:sz w:val="24"/>
                <w:szCs w:val="24"/>
                <w:lang w:bidi="ar"/>
              </w:rPr>
            </w:pPr>
            <w:r>
              <w:rPr>
                <w:rFonts w:hint="eastAsia" w:ascii="宋体" w:hAnsi="宋体" w:eastAsia="宋体" w:cs="宋体"/>
                <w:sz w:val="24"/>
                <w:szCs w:val="24"/>
                <w:lang w:bidi="ar"/>
              </w:rPr>
              <w:t>基本满足采购人需求的得1分；</w:t>
            </w:r>
          </w:p>
          <w:p w14:paraId="36D13FFA">
            <w:pPr>
              <w:keepNext w:val="0"/>
              <w:keepLines w:val="0"/>
              <w:pageBreakBefore w:val="0"/>
              <w:kinsoku/>
              <w:wordWrap/>
              <w:overflowPunct/>
              <w:topLinePunct w:val="0"/>
              <w:autoSpaceDE/>
              <w:autoSpaceDN/>
              <w:bidi w:val="0"/>
              <w:spacing w:line="400" w:lineRule="exact"/>
              <w:textAlignment w:val="auto"/>
              <w:rPr>
                <w:rFonts w:hint="eastAsia" w:ascii="宋体" w:hAnsi="宋体" w:eastAsia="宋体" w:cs="宋体"/>
                <w:sz w:val="24"/>
                <w:szCs w:val="24"/>
              </w:rPr>
            </w:pPr>
            <w:r>
              <w:rPr>
                <w:rFonts w:hint="eastAsia" w:ascii="宋体" w:hAnsi="宋体" w:eastAsia="宋体" w:cs="宋体"/>
                <w:sz w:val="24"/>
                <w:szCs w:val="24"/>
                <w:lang w:bidi="ar"/>
              </w:rPr>
              <w:t>不符合或不描述的得0分。</w:t>
            </w:r>
          </w:p>
          <w:p w14:paraId="2F84F099">
            <w:pPr>
              <w:keepNext w:val="0"/>
              <w:keepLines w:val="0"/>
              <w:pageBreakBefore w:val="0"/>
              <w:kinsoku/>
              <w:wordWrap/>
              <w:overflowPunct/>
              <w:topLinePunct w:val="0"/>
              <w:autoSpaceDE/>
              <w:autoSpaceDN/>
              <w:bidi w:val="0"/>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6. 档案与质量管控方案（3分）</w:t>
            </w:r>
          </w:p>
          <w:p w14:paraId="2388497A">
            <w:pPr>
              <w:keepNext w:val="0"/>
              <w:keepLines w:val="0"/>
              <w:pageBreakBefore w:val="0"/>
              <w:widowControl/>
              <w:kinsoku/>
              <w:wordWrap/>
              <w:overflowPunct/>
              <w:topLinePunct w:val="0"/>
              <w:autoSpaceDE/>
              <w:autoSpaceDN/>
              <w:bidi w:val="0"/>
              <w:spacing w:line="400" w:lineRule="exact"/>
              <w:textAlignment w:val="auto"/>
              <w:rPr>
                <w:rFonts w:hint="eastAsia" w:ascii="宋体" w:hAnsi="宋体" w:eastAsia="宋体" w:cs="宋体"/>
                <w:sz w:val="24"/>
                <w:szCs w:val="24"/>
                <w:lang w:bidi="ar"/>
              </w:rPr>
            </w:pPr>
            <w:r>
              <w:rPr>
                <w:rFonts w:hint="eastAsia" w:ascii="宋体" w:hAnsi="宋体" w:eastAsia="宋体" w:cs="宋体"/>
                <w:sz w:val="24"/>
                <w:szCs w:val="24"/>
                <w:lang w:bidi="ar"/>
              </w:rPr>
              <w:t>描述详细且优于采购人需求的得3分；</w:t>
            </w:r>
          </w:p>
          <w:p w14:paraId="04DAC399">
            <w:pPr>
              <w:keepNext w:val="0"/>
              <w:keepLines w:val="0"/>
              <w:pageBreakBefore w:val="0"/>
              <w:widowControl/>
              <w:kinsoku/>
              <w:wordWrap/>
              <w:overflowPunct/>
              <w:topLinePunct w:val="0"/>
              <w:autoSpaceDE/>
              <w:autoSpaceDN/>
              <w:bidi w:val="0"/>
              <w:spacing w:line="400" w:lineRule="exact"/>
              <w:textAlignment w:val="auto"/>
              <w:rPr>
                <w:rFonts w:hint="eastAsia" w:ascii="宋体" w:hAnsi="宋体" w:eastAsia="宋体" w:cs="宋体"/>
                <w:sz w:val="24"/>
                <w:szCs w:val="24"/>
                <w:lang w:bidi="ar"/>
              </w:rPr>
            </w:pPr>
            <w:r>
              <w:rPr>
                <w:rFonts w:hint="eastAsia" w:ascii="宋体" w:hAnsi="宋体" w:eastAsia="宋体" w:cs="宋体"/>
                <w:sz w:val="24"/>
                <w:szCs w:val="24"/>
                <w:lang w:bidi="ar"/>
              </w:rPr>
              <w:t>符合采购人需求的得2分；</w:t>
            </w:r>
          </w:p>
          <w:p w14:paraId="20AF0BBC">
            <w:pPr>
              <w:keepNext w:val="0"/>
              <w:keepLines w:val="0"/>
              <w:pageBreakBefore w:val="0"/>
              <w:widowControl/>
              <w:kinsoku/>
              <w:wordWrap/>
              <w:overflowPunct/>
              <w:topLinePunct w:val="0"/>
              <w:autoSpaceDE/>
              <w:autoSpaceDN/>
              <w:bidi w:val="0"/>
              <w:spacing w:line="400" w:lineRule="exact"/>
              <w:textAlignment w:val="auto"/>
              <w:rPr>
                <w:rFonts w:hint="eastAsia" w:ascii="宋体" w:hAnsi="宋体" w:eastAsia="宋体" w:cs="宋体"/>
                <w:sz w:val="24"/>
                <w:szCs w:val="24"/>
                <w:lang w:bidi="ar"/>
              </w:rPr>
            </w:pPr>
            <w:r>
              <w:rPr>
                <w:rFonts w:hint="eastAsia" w:ascii="宋体" w:hAnsi="宋体" w:eastAsia="宋体" w:cs="宋体"/>
                <w:sz w:val="24"/>
                <w:szCs w:val="24"/>
                <w:lang w:bidi="ar"/>
              </w:rPr>
              <w:t>基本满足采购人需求的得1分；</w:t>
            </w:r>
          </w:p>
          <w:p w14:paraId="3ED6BA2E">
            <w:pPr>
              <w:keepNext w:val="0"/>
              <w:keepLines w:val="0"/>
              <w:pageBreakBefore w:val="0"/>
              <w:kinsoku/>
              <w:wordWrap/>
              <w:overflowPunct/>
              <w:topLinePunct w:val="0"/>
              <w:autoSpaceDE/>
              <w:autoSpaceDN/>
              <w:bidi w:val="0"/>
              <w:spacing w:line="400" w:lineRule="exact"/>
              <w:textAlignment w:val="auto"/>
              <w:rPr>
                <w:rFonts w:hint="eastAsia" w:ascii="宋体" w:hAnsi="宋体" w:eastAsia="宋体" w:cs="宋体"/>
                <w:bCs/>
                <w:sz w:val="24"/>
                <w:szCs w:val="24"/>
              </w:rPr>
            </w:pPr>
            <w:r>
              <w:rPr>
                <w:rFonts w:hint="eastAsia" w:ascii="宋体" w:hAnsi="宋体" w:eastAsia="宋体" w:cs="宋体"/>
                <w:sz w:val="24"/>
                <w:szCs w:val="24"/>
                <w:lang w:bidi="ar"/>
              </w:rPr>
              <w:t>不符合或不描述的得0分。</w:t>
            </w:r>
          </w:p>
        </w:tc>
      </w:tr>
      <w:tr w14:paraId="728BF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pct"/>
            <w:vMerge w:val="continue"/>
            <w:tcBorders>
              <w:top w:val="single" w:color="auto" w:sz="4" w:space="0"/>
              <w:left w:val="single" w:color="auto" w:sz="4" w:space="0"/>
              <w:bottom w:val="single" w:color="auto" w:sz="4" w:space="0"/>
              <w:right w:val="single" w:color="auto" w:sz="4" w:space="0"/>
            </w:tcBorders>
            <w:vAlign w:val="center"/>
          </w:tcPr>
          <w:p w14:paraId="6CF296F1">
            <w:pPr>
              <w:keepNext w:val="0"/>
              <w:keepLines w:val="0"/>
              <w:pageBreakBefore w:val="0"/>
              <w:kinsoku/>
              <w:wordWrap/>
              <w:overflowPunct/>
              <w:topLinePunct w:val="0"/>
              <w:autoSpaceDE/>
              <w:autoSpaceDN/>
              <w:bidi w:val="0"/>
              <w:spacing w:line="400" w:lineRule="exact"/>
              <w:jc w:val="center"/>
              <w:textAlignment w:val="auto"/>
              <w:rPr>
                <w:rFonts w:hint="eastAsia" w:ascii="宋体" w:hAnsi="宋体" w:eastAsia="宋体" w:cs="宋体"/>
                <w:bCs/>
                <w:sz w:val="24"/>
                <w:szCs w:val="24"/>
              </w:rPr>
            </w:pPr>
          </w:p>
        </w:tc>
        <w:tc>
          <w:tcPr>
            <w:tcW w:w="671" w:type="pct"/>
            <w:vMerge w:val="continue"/>
            <w:tcBorders>
              <w:top w:val="single" w:color="auto" w:sz="4" w:space="0"/>
              <w:left w:val="single" w:color="auto" w:sz="4" w:space="0"/>
              <w:bottom w:val="single" w:color="auto" w:sz="4" w:space="0"/>
              <w:right w:val="single" w:color="auto" w:sz="4" w:space="0"/>
            </w:tcBorders>
            <w:vAlign w:val="center"/>
          </w:tcPr>
          <w:p w14:paraId="6F13B01A">
            <w:pPr>
              <w:keepNext w:val="0"/>
              <w:keepLines w:val="0"/>
              <w:pageBreakBefore w:val="0"/>
              <w:kinsoku/>
              <w:wordWrap/>
              <w:overflowPunct/>
              <w:topLinePunct w:val="0"/>
              <w:autoSpaceDE/>
              <w:autoSpaceDN/>
              <w:bidi w:val="0"/>
              <w:spacing w:line="400" w:lineRule="exact"/>
              <w:jc w:val="center"/>
              <w:textAlignment w:val="auto"/>
              <w:rPr>
                <w:rFonts w:hint="eastAsia" w:ascii="宋体" w:hAnsi="宋体" w:eastAsia="宋体" w:cs="宋体"/>
                <w:bCs/>
                <w:sz w:val="24"/>
                <w:szCs w:val="24"/>
              </w:rPr>
            </w:pPr>
          </w:p>
        </w:tc>
        <w:tc>
          <w:tcPr>
            <w:tcW w:w="673" w:type="pct"/>
            <w:tcBorders>
              <w:top w:val="single" w:color="auto" w:sz="4" w:space="0"/>
              <w:left w:val="single" w:color="auto" w:sz="4" w:space="0"/>
              <w:bottom w:val="single" w:color="auto" w:sz="4" w:space="0"/>
              <w:right w:val="single" w:color="auto" w:sz="4" w:space="0"/>
            </w:tcBorders>
            <w:vAlign w:val="center"/>
          </w:tcPr>
          <w:p w14:paraId="29DC1936">
            <w:pPr>
              <w:keepNext w:val="0"/>
              <w:keepLines w:val="0"/>
              <w:pageBreakBefore w:val="0"/>
              <w:widowControl/>
              <w:kinsoku/>
              <w:wordWrap/>
              <w:overflowPunct/>
              <w:topLinePunct w:val="0"/>
              <w:autoSpaceDE/>
              <w:autoSpaceDN/>
              <w:bidi w:val="0"/>
              <w:spacing w:line="400" w:lineRule="exact"/>
              <w:jc w:val="center"/>
              <w:textAlignment w:val="auto"/>
              <w:rPr>
                <w:rFonts w:hint="eastAsia" w:ascii="宋体" w:hAnsi="宋体" w:eastAsia="宋体" w:cs="宋体"/>
                <w:bCs/>
                <w:sz w:val="24"/>
                <w:szCs w:val="24"/>
              </w:rPr>
            </w:pPr>
            <w:r>
              <w:rPr>
                <w:rFonts w:hint="eastAsia" w:ascii="宋体" w:hAnsi="宋体" w:eastAsia="宋体" w:cs="宋体"/>
                <w:bCs/>
                <w:spacing w:val="-1"/>
                <w:sz w:val="24"/>
                <w:szCs w:val="24"/>
              </w:rPr>
              <w:t>售后服务总</w:t>
            </w:r>
            <w:r>
              <w:rPr>
                <w:rFonts w:hint="eastAsia" w:ascii="宋体" w:hAnsi="宋体" w:eastAsia="宋体" w:cs="宋体"/>
                <w:bCs/>
                <w:sz w:val="24"/>
                <w:szCs w:val="24"/>
              </w:rPr>
              <w:t>体方案12</w:t>
            </w:r>
          </w:p>
        </w:tc>
        <w:tc>
          <w:tcPr>
            <w:tcW w:w="3240" w:type="pct"/>
            <w:tcBorders>
              <w:top w:val="single" w:color="auto" w:sz="4" w:space="0"/>
              <w:left w:val="single" w:color="auto" w:sz="4" w:space="0"/>
              <w:bottom w:val="single" w:color="auto" w:sz="4" w:space="0"/>
              <w:right w:val="single" w:color="auto" w:sz="4" w:space="0"/>
            </w:tcBorders>
            <w:vAlign w:val="center"/>
          </w:tcPr>
          <w:p w14:paraId="7DF503DF">
            <w:pPr>
              <w:keepNext w:val="0"/>
              <w:keepLines w:val="0"/>
              <w:pageBreakBefore w:val="0"/>
              <w:kinsoku/>
              <w:wordWrap/>
              <w:overflowPunct/>
              <w:topLinePunct w:val="0"/>
              <w:autoSpaceDE/>
              <w:autoSpaceDN/>
              <w:bidi w:val="0"/>
              <w:spacing w:line="400" w:lineRule="exact"/>
              <w:textAlignment w:val="auto"/>
              <w:rPr>
                <w:rFonts w:hint="eastAsia" w:ascii="宋体" w:hAnsi="宋体" w:eastAsia="宋体" w:cs="宋体"/>
                <w:sz w:val="24"/>
                <w:szCs w:val="24"/>
                <w:lang w:bidi="ar"/>
              </w:rPr>
            </w:pPr>
            <w:r>
              <w:rPr>
                <w:rFonts w:hint="eastAsia" w:ascii="宋体" w:hAnsi="宋体" w:eastAsia="宋体" w:cs="宋体"/>
                <w:sz w:val="24"/>
                <w:szCs w:val="24"/>
                <w:lang w:bidi="ar"/>
              </w:rPr>
              <w:t>投标人需结合现场勘察情况，针对本项目编写详细的</w:t>
            </w:r>
            <w:r>
              <w:rPr>
                <w:rFonts w:hint="eastAsia" w:ascii="宋体" w:hAnsi="宋体" w:eastAsia="宋体" w:cs="宋体"/>
                <w:bCs/>
                <w:spacing w:val="-1"/>
                <w:sz w:val="24"/>
                <w:szCs w:val="24"/>
              </w:rPr>
              <w:t>售后服务总</w:t>
            </w:r>
            <w:r>
              <w:rPr>
                <w:rFonts w:hint="eastAsia" w:ascii="宋体" w:hAnsi="宋体" w:eastAsia="宋体" w:cs="宋体"/>
                <w:bCs/>
                <w:sz w:val="24"/>
                <w:szCs w:val="24"/>
              </w:rPr>
              <w:t>体方案</w:t>
            </w:r>
            <w:r>
              <w:rPr>
                <w:rFonts w:hint="eastAsia" w:ascii="宋体" w:hAnsi="宋体" w:eastAsia="宋体" w:cs="宋体"/>
                <w:sz w:val="24"/>
                <w:szCs w:val="24"/>
                <w:lang w:bidi="ar"/>
              </w:rPr>
              <w:t>，评委针对方案：</w:t>
            </w:r>
            <w:r>
              <w:rPr>
                <w:rFonts w:hint="eastAsia" w:ascii="宋体" w:hAnsi="宋体" w:eastAsia="宋体" w:cs="宋体"/>
                <w:sz w:val="24"/>
                <w:szCs w:val="24"/>
              </w:rPr>
              <w:t>1. 服务体系与保障方案（组织架构、维保内容、标准、流程和总体要求等）；2. 运维服务实施与规范方案（巡检、服务方式、服务期限和人员安排等）；3. 应急响应与故障处置方案（故障、应急、突发事件等）；4. 技术支持、培训与专项服务方案（技术支撑、软件升级、技术培训、质保期和本地化服务等）</w:t>
            </w:r>
            <w:r>
              <w:rPr>
                <w:rFonts w:hint="eastAsia" w:ascii="宋体" w:hAnsi="宋体" w:eastAsia="宋体" w:cs="宋体"/>
                <w:sz w:val="24"/>
                <w:szCs w:val="24"/>
                <w:lang w:bidi="ar"/>
              </w:rPr>
              <w:t>内容进行评审：</w:t>
            </w:r>
          </w:p>
          <w:p w14:paraId="5EBC9178">
            <w:pPr>
              <w:keepNext w:val="0"/>
              <w:keepLines w:val="0"/>
              <w:pageBreakBefore w:val="0"/>
              <w:widowControl/>
              <w:kinsoku/>
              <w:wordWrap/>
              <w:overflowPunct/>
              <w:topLinePunct w:val="0"/>
              <w:autoSpaceDE/>
              <w:autoSpaceDN/>
              <w:bidi w:val="0"/>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1. 服务体系与保障方案（3分）</w:t>
            </w:r>
          </w:p>
          <w:p w14:paraId="615C405A">
            <w:pPr>
              <w:keepNext w:val="0"/>
              <w:keepLines w:val="0"/>
              <w:pageBreakBefore w:val="0"/>
              <w:widowControl/>
              <w:kinsoku/>
              <w:wordWrap/>
              <w:overflowPunct/>
              <w:topLinePunct w:val="0"/>
              <w:autoSpaceDE/>
              <w:autoSpaceDN/>
              <w:bidi w:val="0"/>
              <w:spacing w:line="400" w:lineRule="exact"/>
              <w:textAlignment w:val="auto"/>
              <w:rPr>
                <w:rFonts w:hint="eastAsia" w:ascii="宋体" w:hAnsi="宋体" w:eastAsia="宋体" w:cs="宋体"/>
                <w:sz w:val="24"/>
                <w:szCs w:val="24"/>
                <w:lang w:bidi="ar"/>
              </w:rPr>
            </w:pPr>
            <w:r>
              <w:rPr>
                <w:rFonts w:hint="eastAsia" w:ascii="宋体" w:hAnsi="宋体" w:eastAsia="宋体" w:cs="宋体"/>
                <w:sz w:val="24"/>
                <w:szCs w:val="24"/>
                <w:lang w:bidi="ar"/>
              </w:rPr>
              <w:t>描述详细且优于采购人需求的得3分；</w:t>
            </w:r>
          </w:p>
          <w:p w14:paraId="34FC5A7E">
            <w:pPr>
              <w:keepNext w:val="0"/>
              <w:keepLines w:val="0"/>
              <w:pageBreakBefore w:val="0"/>
              <w:widowControl/>
              <w:kinsoku/>
              <w:wordWrap/>
              <w:overflowPunct/>
              <w:topLinePunct w:val="0"/>
              <w:autoSpaceDE/>
              <w:autoSpaceDN/>
              <w:bidi w:val="0"/>
              <w:spacing w:line="400" w:lineRule="exact"/>
              <w:textAlignment w:val="auto"/>
              <w:rPr>
                <w:rFonts w:hint="eastAsia" w:ascii="宋体" w:hAnsi="宋体" w:eastAsia="宋体" w:cs="宋体"/>
                <w:sz w:val="24"/>
                <w:szCs w:val="24"/>
                <w:lang w:bidi="ar"/>
              </w:rPr>
            </w:pPr>
            <w:r>
              <w:rPr>
                <w:rFonts w:hint="eastAsia" w:ascii="宋体" w:hAnsi="宋体" w:eastAsia="宋体" w:cs="宋体"/>
                <w:sz w:val="24"/>
                <w:szCs w:val="24"/>
                <w:lang w:bidi="ar"/>
              </w:rPr>
              <w:t>符合采购人需求的得2分；</w:t>
            </w:r>
          </w:p>
          <w:p w14:paraId="440CEA08">
            <w:pPr>
              <w:keepNext w:val="0"/>
              <w:keepLines w:val="0"/>
              <w:pageBreakBefore w:val="0"/>
              <w:widowControl/>
              <w:kinsoku/>
              <w:wordWrap/>
              <w:overflowPunct/>
              <w:topLinePunct w:val="0"/>
              <w:autoSpaceDE/>
              <w:autoSpaceDN/>
              <w:bidi w:val="0"/>
              <w:spacing w:line="400" w:lineRule="exact"/>
              <w:textAlignment w:val="auto"/>
              <w:rPr>
                <w:rFonts w:hint="eastAsia" w:ascii="宋体" w:hAnsi="宋体" w:eastAsia="宋体" w:cs="宋体"/>
                <w:sz w:val="24"/>
                <w:szCs w:val="24"/>
                <w:lang w:bidi="ar"/>
              </w:rPr>
            </w:pPr>
            <w:r>
              <w:rPr>
                <w:rFonts w:hint="eastAsia" w:ascii="宋体" w:hAnsi="宋体" w:eastAsia="宋体" w:cs="宋体"/>
                <w:sz w:val="24"/>
                <w:szCs w:val="24"/>
                <w:lang w:bidi="ar"/>
              </w:rPr>
              <w:t>基本满足采购人需求的得1分；</w:t>
            </w:r>
          </w:p>
          <w:p w14:paraId="1F85D8E2">
            <w:pPr>
              <w:keepNext w:val="0"/>
              <w:keepLines w:val="0"/>
              <w:pageBreakBefore w:val="0"/>
              <w:widowControl/>
              <w:kinsoku/>
              <w:wordWrap/>
              <w:overflowPunct/>
              <w:topLinePunct w:val="0"/>
              <w:autoSpaceDE/>
              <w:autoSpaceDN/>
              <w:bidi w:val="0"/>
              <w:spacing w:line="400" w:lineRule="exact"/>
              <w:textAlignment w:val="auto"/>
              <w:rPr>
                <w:rFonts w:hint="eastAsia" w:ascii="宋体" w:hAnsi="宋体" w:eastAsia="宋体" w:cs="宋体"/>
                <w:sz w:val="24"/>
                <w:szCs w:val="24"/>
                <w:lang w:bidi="ar"/>
              </w:rPr>
            </w:pPr>
            <w:r>
              <w:rPr>
                <w:rFonts w:hint="eastAsia" w:ascii="宋体" w:hAnsi="宋体" w:eastAsia="宋体" w:cs="宋体"/>
                <w:sz w:val="24"/>
                <w:szCs w:val="24"/>
                <w:lang w:bidi="ar"/>
              </w:rPr>
              <w:t>不符合或不描述的得0分。</w:t>
            </w:r>
          </w:p>
          <w:p w14:paraId="11E364FE">
            <w:pPr>
              <w:keepNext w:val="0"/>
              <w:keepLines w:val="0"/>
              <w:pageBreakBefore w:val="0"/>
              <w:widowControl/>
              <w:kinsoku/>
              <w:wordWrap/>
              <w:overflowPunct/>
              <w:topLinePunct w:val="0"/>
              <w:autoSpaceDE/>
              <w:autoSpaceDN/>
              <w:bidi w:val="0"/>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2. 运维服务实施与规范方案（3分）</w:t>
            </w:r>
          </w:p>
          <w:p w14:paraId="3710F6CA">
            <w:pPr>
              <w:keepNext w:val="0"/>
              <w:keepLines w:val="0"/>
              <w:pageBreakBefore w:val="0"/>
              <w:widowControl/>
              <w:kinsoku/>
              <w:wordWrap/>
              <w:overflowPunct/>
              <w:topLinePunct w:val="0"/>
              <w:autoSpaceDE/>
              <w:autoSpaceDN/>
              <w:bidi w:val="0"/>
              <w:spacing w:line="400" w:lineRule="exact"/>
              <w:textAlignment w:val="auto"/>
              <w:rPr>
                <w:rFonts w:hint="eastAsia" w:ascii="宋体" w:hAnsi="宋体" w:eastAsia="宋体" w:cs="宋体"/>
                <w:sz w:val="24"/>
                <w:szCs w:val="24"/>
                <w:lang w:bidi="ar"/>
              </w:rPr>
            </w:pPr>
            <w:r>
              <w:rPr>
                <w:rFonts w:hint="eastAsia" w:ascii="宋体" w:hAnsi="宋体" w:eastAsia="宋体" w:cs="宋体"/>
                <w:sz w:val="24"/>
                <w:szCs w:val="24"/>
                <w:lang w:bidi="ar"/>
              </w:rPr>
              <w:t>描述详细且优于采购人需求的得3分；</w:t>
            </w:r>
          </w:p>
          <w:p w14:paraId="7765F19F">
            <w:pPr>
              <w:keepNext w:val="0"/>
              <w:keepLines w:val="0"/>
              <w:pageBreakBefore w:val="0"/>
              <w:widowControl/>
              <w:kinsoku/>
              <w:wordWrap/>
              <w:overflowPunct/>
              <w:topLinePunct w:val="0"/>
              <w:autoSpaceDE/>
              <w:autoSpaceDN/>
              <w:bidi w:val="0"/>
              <w:spacing w:line="400" w:lineRule="exact"/>
              <w:textAlignment w:val="auto"/>
              <w:rPr>
                <w:rFonts w:hint="eastAsia" w:ascii="宋体" w:hAnsi="宋体" w:eastAsia="宋体" w:cs="宋体"/>
                <w:sz w:val="24"/>
                <w:szCs w:val="24"/>
                <w:lang w:bidi="ar"/>
              </w:rPr>
            </w:pPr>
            <w:r>
              <w:rPr>
                <w:rFonts w:hint="eastAsia" w:ascii="宋体" w:hAnsi="宋体" w:eastAsia="宋体" w:cs="宋体"/>
                <w:sz w:val="24"/>
                <w:szCs w:val="24"/>
                <w:lang w:bidi="ar"/>
              </w:rPr>
              <w:t>符合采购人需求的得2分；</w:t>
            </w:r>
          </w:p>
          <w:p w14:paraId="6AFF040D">
            <w:pPr>
              <w:keepNext w:val="0"/>
              <w:keepLines w:val="0"/>
              <w:pageBreakBefore w:val="0"/>
              <w:widowControl/>
              <w:kinsoku/>
              <w:wordWrap/>
              <w:overflowPunct/>
              <w:topLinePunct w:val="0"/>
              <w:autoSpaceDE/>
              <w:autoSpaceDN/>
              <w:bidi w:val="0"/>
              <w:spacing w:line="400" w:lineRule="exact"/>
              <w:textAlignment w:val="auto"/>
              <w:rPr>
                <w:rFonts w:hint="eastAsia" w:ascii="宋体" w:hAnsi="宋体" w:eastAsia="宋体" w:cs="宋体"/>
                <w:sz w:val="24"/>
                <w:szCs w:val="24"/>
                <w:lang w:bidi="ar"/>
              </w:rPr>
            </w:pPr>
            <w:r>
              <w:rPr>
                <w:rFonts w:hint="eastAsia" w:ascii="宋体" w:hAnsi="宋体" w:eastAsia="宋体" w:cs="宋体"/>
                <w:sz w:val="24"/>
                <w:szCs w:val="24"/>
                <w:lang w:bidi="ar"/>
              </w:rPr>
              <w:t>基本满足采购人需求的得1分；</w:t>
            </w:r>
          </w:p>
          <w:p w14:paraId="1258BD0D">
            <w:pPr>
              <w:keepNext w:val="0"/>
              <w:keepLines w:val="0"/>
              <w:pageBreakBefore w:val="0"/>
              <w:widowControl/>
              <w:kinsoku/>
              <w:wordWrap/>
              <w:overflowPunct/>
              <w:topLinePunct w:val="0"/>
              <w:autoSpaceDE/>
              <w:autoSpaceDN/>
              <w:bidi w:val="0"/>
              <w:spacing w:line="400" w:lineRule="exact"/>
              <w:textAlignment w:val="auto"/>
              <w:rPr>
                <w:rFonts w:hint="eastAsia" w:ascii="宋体" w:hAnsi="宋体" w:eastAsia="宋体" w:cs="宋体"/>
                <w:sz w:val="24"/>
                <w:szCs w:val="24"/>
              </w:rPr>
            </w:pPr>
            <w:r>
              <w:rPr>
                <w:rFonts w:hint="eastAsia" w:ascii="宋体" w:hAnsi="宋体" w:eastAsia="宋体" w:cs="宋体"/>
                <w:sz w:val="24"/>
                <w:szCs w:val="24"/>
                <w:lang w:bidi="ar"/>
              </w:rPr>
              <w:t>不符合或不描述的得0分。</w:t>
            </w:r>
          </w:p>
          <w:p w14:paraId="6E2BD467">
            <w:pPr>
              <w:keepNext w:val="0"/>
              <w:keepLines w:val="0"/>
              <w:pageBreakBefore w:val="0"/>
              <w:widowControl/>
              <w:kinsoku/>
              <w:wordWrap/>
              <w:overflowPunct/>
              <w:topLinePunct w:val="0"/>
              <w:autoSpaceDE/>
              <w:autoSpaceDN/>
              <w:bidi w:val="0"/>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3. 应急响应与故障处置方案（3分）</w:t>
            </w:r>
          </w:p>
          <w:p w14:paraId="57333D77">
            <w:pPr>
              <w:keepNext w:val="0"/>
              <w:keepLines w:val="0"/>
              <w:pageBreakBefore w:val="0"/>
              <w:widowControl/>
              <w:kinsoku/>
              <w:wordWrap/>
              <w:overflowPunct/>
              <w:topLinePunct w:val="0"/>
              <w:autoSpaceDE/>
              <w:autoSpaceDN/>
              <w:bidi w:val="0"/>
              <w:spacing w:line="400" w:lineRule="exact"/>
              <w:textAlignment w:val="auto"/>
              <w:rPr>
                <w:rFonts w:hint="eastAsia" w:ascii="宋体" w:hAnsi="宋体" w:eastAsia="宋体" w:cs="宋体"/>
                <w:sz w:val="24"/>
                <w:szCs w:val="24"/>
                <w:lang w:bidi="ar"/>
              </w:rPr>
            </w:pPr>
            <w:r>
              <w:rPr>
                <w:rFonts w:hint="eastAsia" w:ascii="宋体" w:hAnsi="宋体" w:eastAsia="宋体" w:cs="宋体"/>
                <w:sz w:val="24"/>
                <w:szCs w:val="24"/>
                <w:lang w:bidi="ar"/>
              </w:rPr>
              <w:t>描述详细且优于采购人需求的得3分；</w:t>
            </w:r>
          </w:p>
          <w:p w14:paraId="45BFBB39">
            <w:pPr>
              <w:keepNext w:val="0"/>
              <w:keepLines w:val="0"/>
              <w:pageBreakBefore w:val="0"/>
              <w:widowControl/>
              <w:kinsoku/>
              <w:wordWrap/>
              <w:overflowPunct/>
              <w:topLinePunct w:val="0"/>
              <w:autoSpaceDE/>
              <w:autoSpaceDN/>
              <w:bidi w:val="0"/>
              <w:spacing w:line="400" w:lineRule="exact"/>
              <w:textAlignment w:val="auto"/>
              <w:rPr>
                <w:rFonts w:hint="eastAsia" w:ascii="宋体" w:hAnsi="宋体" w:eastAsia="宋体" w:cs="宋体"/>
                <w:sz w:val="24"/>
                <w:szCs w:val="24"/>
                <w:lang w:bidi="ar"/>
              </w:rPr>
            </w:pPr>
            <w:r>
              <w:rPr>
                <w:rFonts w:hint="eastAsia" w:ascii="宋体" w:hAnsi="宋体" w:eastAsia="宋体" w:cs="宋体"/>
                <w:sz w:val="24"/>
                <w:szCs w:val="24"/>
                <w:lang w:bidi="ar"/>
              </w:rPr>
              <w:t>符合采购人需求的得2分；</w:t>
            </w:r>
          </w:p>
          <w:p w14:paraId="1B42BDEC">
            <w:pPr>
              <w:keepNext w:val="0"/>
              <w:keepLines w:val="0"/>
              <w:pageBreakBefore w:val="0"/>
              <w:widowControl/>
              <w:kinsoku/>
              <w:wordWrap/>
              <w:overflowPunct/>
              <w:topLinePunct w:val="0"/>
              <w:autoSpaceDE/>
              <w:autoSpaceDN/>
              <w:bidi w:val="0"/>
              <w:spacing w:line="400" w:lineRule="exact"/>
              <w:textAlignment w:val="auto"/>
              <w:rPr>
                <w:rFonts w:hint="eastAsia" w:ascii="宋体" w:hAnsi="宋体" w:eastAsia="宋体" w:cs="宋体"/>
                <w:sz w:val="24"/>
                <w:szCs w:val="24"/>
                <w:lang w:bidi="ar"/>
              </w:rPr>
            </w:pPr>
            <w:r>
              <w:rPr>
                <w:rFonts w:hint="eastAsia" w:ascii="宋体" w:hAnsi="宋体" w:eastAsia="宋体" w:cs="宋体"/>
                <w:sz w:val="24"/>
                <w:szCs w:val="24"/>
                <w:lang w:bidi="ar"/>
              </w:rPr>
              <w:t>基本满足采购人需求的得1分；</w:t>
            </w:r>
          </w:p>
          <w:p w14:paraId="31DD71CF">
            <w:pPr>
              <w:keepNext w:val="0"/>
              <w:keepLines w:val="0"/>
              <w:pageBreakBefore w:val="0"/>
              <w:widowControl/>
              <w:kinsoku/>
              <w:wordWrap/>
              <w:overflowPunct/>
              <w:topLinePunct w:val="0"/>
              <w:autoSpaceDE/>
              <w:autoSpaceDN/>
              <w:bidi w:val="0"/>
              <w:spacing w:line="400" w:lineRule="exact"/>
              <w:textAlignment w:val="auto"/>
              <w:rPr>
                <w:rFonts w:hint="eastAsia" w:ascii="宋体" w:hAnsi="宋体" w:eastAsia="宋体" w:cs="宋体"/>
                <w:sz w:val="24"/>
                <w:szCs w:val="24"/>
                <w:lang w:bidi="ar"/>
              </w:rPr>
            </w:pPr>
            <w:r>
              <w:rPr>
                <w:rFonts w:hint="eastAsia" w:ascii="宋体" w:hAnsi="宋体" w:eastAsia="宋体" w:cs="宋体"/>
                <w:sz w:val="24"/>
                <w:szCs w:val="24"/>
                <w:lang w:bidi="ar"/>
              </w:rPr>
              <w:t>不符合或不描述的得0分。</w:t>
            </w:r>
          </w:p>
          <w:p w14:paraId="01D3700A">
            <w:pPr>
              <w:keepNext w:val="0"/>
              <w:keepLines w:val="0"/>
              <w:pageBreakBefore w:val="0"/>
              <w:widowControl/>
              <w:kinsoku/>
              <w:wordWrap/>
              <w:overflowPunct/>
              <w:topLinePunct w:val="0"/>
              <w:autoSpaceDE/>
              <w:autoSpaceDN/>
              <w:bidi w:val="0"/>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4. 技术支持、培训与专项服务方案（3分）</w:t>
            </w:r>
          </w:p>
          <w:p w14:paraId="27626F40">
            <w:pPr>
              <w:keepNext w:val="0"/>
              <w:keepLines w:val="0"/>
              <w:pageBreakBefore w:val="0"/>
              <w:widowControl/>
              <w:kinsoku/>
              <w:wordWrap/>
              <w:overflowPunct/>
              <w:topLinePunct w:val="0"/>
              <w:autoSpaceDE/>
              <w:autoSpaceDN/>
              <w:bidi w:val="0"/>
              <w:spacing w:line="400" w:lineRule="exact"/>
              <w:textAlignment w:val="auto"/>
              <w:rPr>
                <w:rFonts w:hint="eastAsia" w:ascii="宋体" w:hAnsi="宋体" w:eastAsia="宋体" w:cs="宋体"/>
                <w:sz w:val="24"/>
                <w:szCs w:val="24"/>
                <w:lang w:bidi="ar"/>
              </w:rPr>
            </w:pPr>
            <w:r>
              <w:rPr>
                <w:rFonts w:hint="eastAsia" w:ascii="宋体" w:hAnsi="宋体" w:eastAsia="宋体" w:cs="宋体"/>
                <w:sz w:val="24"/>
                <w:szCs w:val="24"/>
                <w:lang w:bidi="ar"/>
              </w:rPr>
              <w:t>描述详细且优于采购人需求的得3分；</w:t>
            </w:r>
          </w:p>
          <w:p w14:paraId="4982EBDE">
            <w:pPr>
              <w:keepNext w:val="0"/>
              <w:keepLines w:val="0"/>
              <w:pageBreakBefore w:val="0"/>
              <w:widowControl/>
              <w:kinsoku/>
              <w:wordWrap/>
              <w:overflowPunct/>
              <w:topLinePunct w:val="0"/>
              <w:autoSpaceDE/>
              <w:autoSpaceDN/>
              <w:bidi w:val="0"/>
              <w:spacing w:line="400" w:lineRule="exact"/>
              <w:textAlignment w:val="auto"/>
              <w:rPr>
                <w:rFonts w:hint="eastAsia" w:ascii="宋体" w:hAnsi="宋体" w:eastAsia="宋体" w:cs="宋体"/>
                <w:sz w:val="24"/>
                <w:szCs w:val="24"/>
                <w:lang w:bidi="ar"/>
              </w:rPr>
            </w:pPr>
            <w:r>
              <w:rPr>
                <w:rFonts w:hint="eastAsia" w:ascii="宋体" w:hAnsi="宋体" w:eastAsia="宋体" w:cs="宋体"/>
                <w:sz w:val="24"/>
                <w:szCs w:val="24"/>
                <w:lang w:bidi="ar"/>
              </w:rPr>
              <w:t>符合采购人需求的得2分；</w:t>
            </w:r>
          </w:p>
          <w:p w14:paraId="15CDE996">
            <w:pPr>
              <w:keepNext w:val="0"/>
              <w:keepLines w:val="0"/>
              <w:pageBreakBefore w:val="0"/>
              <w:widowControl/>
              <w:kinsoku/>
              <w:wordWrap/>
              <w:overflowPunct/>
              <w:topLinePunct w:val="0"/>
              <w:autoSpaceDE/>
              <w:autoSpaceDN/>
              <w:bidi w:val="0"/>
              <w:spacing w:line="400" w:lineRule="exact"/>
              <w:textAlignment w:val="auto"/>
              <w:rPr>
                <w:rFonts w:hint="eastAsia" w:ascii="宋体" w:hAnsi="宋体" w:eastAsia="宋体" w:cs="宋体"/>
                <w:sz w:val="24"/>
                <w:szCs w:val="24"/>
                <w:lang w:bidi="ar"/>
              </w:rPr>
            </w:pPr>
            <w:r>
              <w:rPr>
                <w:rFonts w:hint="eastAsia" w:ascii="宋体" w:hAnsi="宋体" w:eastAsia="宋体" w:cs="宋体"/>
                <w:sz w:val="24"/>
                <w:szCs w:val="24"/>
                <w:lang w:bidi="ar"/>
              </w:rPr>
              <w:t>基本满足采购人需求的得1分；</w:t>
            </w:r>
          </w:p>
          <w:p w14:paraId="66347141">
            <w:pPr>
              <w:keepNext w:val="0"/>
              <w:keepLines w:val="0"/>
              <w:pageBreakBefore w:val="0"/>
              <w:widowControl/>
              <w:kinsoku/>
              <w:wordWrap/>
              <w:overflowPunct/>
              <w:topLinePunct w:val="0"/>
              <w:autoSpaceDE/>
              <w:autoSpaceDN/>
              <w:bidi w:val="0"/>
              <w:spacing w:line="400" w:lineRule="exact"/>
              <w:textAlignment w:val="auto"/>
              <w:rPr>
                <w:rFonts w:hint="eastAsia" w:ascii="宋体" w:hAnsi="宋体" w:eastAsia="宋体" w:cs="宋体"/>
                <w:bCs/>
                <w:sz w:val="24"/>
                <w:szCs w:val="24"/>
              </w:rPr>
            </w:pPr>
            <w:r>
              <w:rPr>
                <w:rFonts w:hint="eastAsia" w:ascii="宋体" w:hAnsi="宋体" w:eastAsia="宋体" w:cs="宋体"/>
                <w:sz w:val="24"/>
                <w:szCs w:val="24"/>
                <w:lang w:bidi="ar"/>
              </w:rPr>
              <w:t>不符合或不描述的得0分。</w:t>
            </w:r>
          </w:p>
        </w:tc>
      </w:tr>
    </w:tbl>
    <w:p w14:paraId="4A473619">
      <w:pPr>
        <w:keepNext w:val="0"/>
        <w:keepLines w:val="0"/>
        <w:pageBreakBefore w:val="0"/>
        <w:widowControl w:val="0"/>
        <w:kinsoku/>
        <w:wordWrap/>
        <w:overflowPunct/>
        <w:topLinePunct w:val="0"/>
        <w:autoSpaceDE/>
        <w:autoSpaceDN/>
        <w:bidi w:val="0"/>
        <w:adjustRightInd/>
        <w:snapToGrid/>
        <w:spacing w:line="400" w:lineRule="exact"/>
        <w:ind w:firstLine="480"/>
        <w:jc w:val="left"/>
        <w:textAlignment w:val="auto"/>
        <w:rPr>
          <w:rFonts w:hint="eastAsia" w:ascii="宋体" w:hAnsi="宋体" w:eastAsia="宋体" w:cs="宋体"/>
          <w:bCs/>
          <w:color w:val="000000"/>
          <w:sz w:val="24"/>
          <w:szCs w:val="24"/>
        </w:rPr>
      </w:pPr>
    </w:p>
    <w:p w14:paraId="24D5DF42">
      <w:pPr>
        <w:pStyle w:val="34"/>
        <w:keepNext w:val="0"/>
        <w:keepLines w:val="0"/>
        <w:pageBreakBefore w:val="0"/>
        <w:widowControl w:val="0"/>
        <w:kinsoku/>
        <w:wordWrap/>
        <w:overflowPunct/>
        <w:topLinePunct w:val="0"/>
        <w:autoSpaceDE/>
        <w:autoSpaceDN/>
        <w:bidi w:val="0"/>
        <w:adjustRightInd/>
        <w:snapToGrid/>
        <w:spacing w:beforeAutospacing="0" w:afterAutospacing="0" w:line="400" w:lineRule="exac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注：投标人对所提供资料的真实性负责。采购人保留对中标单位所有资料进行复核的权利。如有弄虚作假者，一经发现，立即取消其中标资格，并向相关主管部门汇报。</w:t>
      </w:r>
      <w:bookmarkStart w:id="173" w:name="_Toc120614282"/>
      <w:bookmarkEnd w:id="173"/>
      <w:bookmarkStart w:id="174" w:name="_Toc49090576"/>
      <w:bookmarkEnd w:id="174"/>
      <w:bookmarkStart w:id="175" w:name="_Toc26554094"/>
      <w:bookmarkStart w:id="176" w:name="_Hlt26955039"/>
      <w:bookmarkStart w:id="177" w:name="_Hlt26671244"/>
    </w:p>
    <w:p w14:paraId="6E7393C0">
      <w:pPr>
        <w:pStyle w:val="34"/>
        <w:keepNext w:val="0"/>
        <w:keepLines w:val="0"/>
        <w:pageBreakBefore w:val="0"/>
        <w:widowControl w:val="0"/>
        <w:kinsoku/>
        <w:wordWrap/>
        <w:overflowPunct/>
        <w:topLinePunct w:val="0"/>
        <w:autoSpaceDE/>
        <w:autoSpaceDN/>
        <w:bidi w:val="0"/>
        <w:adjustRightInd/>
        <w:snapToGrid/>
        <w:spacing w:beforeAutospacing="0" w:afterAutospacing="0" w:line="400" w:lineRule="exact"/>
        <w:textAlignment w:val="auto"/>
        <w:rPr>
          <w:rFonts w:hint="eastAsia" w:ascii="宋体" w:hAnsi="宋体" w:eastAsia="宋体" w:cs="宋体"/>
          <w:b/>
          <w:color w:val="auto"/>
          <w:sz w:val="24"/>
          <w:szCs w:val="24"/>
          <w:highlight w:val="none"/>
        </w:rPr>
      </w:pPr>
    </w:p>
    <w:p w14:paraId="77348F22">
      <w:pPr>
        <w:pStyle w:val="34"/>
        <w:keepNext w:val="0"/>
        <w:keepLines w:val="0"/>
        <w:pageBreakBefore w:val="0"/>
        <w:widowControl w:val="0"/>
        <w:kinsoku/>
        <w:wordWrap/>
        <w:overflowPunct/>
        <w:topLinePunct w:val="0"/>
        <w:autoSpaceDE/>
        <w:autoSpaceDN/>
        <w:bidi w:val="0"/>
        <w:adjustRightInd/>
        <w:snapToGrid/>
        <w:spacing w:beforeAutospacing="0" w:afterAutospacing="0" w:line="400" w:lineRule="exact"/>
        <w:textAlignment w:val="auto"/>
        <w:rPr>
          <w:rFonts w:hint="eastAsia" w:ascii="宋体" w:hAnsi="宋体" w:eastAsia="宋体" w:cs="宋体"/>
          <w:b/>
          <w:color w:val="auto"/>
          <w:sz w:val="24"/>
          <w:szCs w:val="24"/>
          <w:highlight w:val="none"/>
        </w:rPr>
      </w:pPr>
    </w:p>
    <w:p w14:paraId="40E39861">
      <w:pPr>
        <w:pStyle w:val="34"/>
        <w:keepNext/>
        <w:spacing w:beforeAutospacing="0" w:afterAutospacing="0"/>
        <w:jc w:val="both"/>
        <w:rPr>
          <w:rFonts w:hint="eastAsia" w:ascii="黑体" w:hAnsi="宋体" w:eastAsia="黑体" w:cs="黑体"/>
          <w:b/>
          <w:color w:val="000000"/>
          <w:sz w:val="36"/>
          <w:szCs w:val="36"/>
          <w:highlight w:val="none"/>
        </w:rPr>
      </w:pPr>
    </w:p>
    <w:p w14:paraId="380A57F5">
      <w:pPr>
        <w:pStyle w:val="34"/>
        <w:spacing w:beforeAutospacing="0" w:afterAutospacing="0" w:line="0" w:lineRule="atLeast"/>
        <w:jc w:val="center"/>
        <w:rPr>
          <w:highlight w:val="none"/>
        </w:rPr>
      </w:pPr>
    </w:p>
    <w:p w14:paraId="390F4AE3">
      <w:pPr>
        <w:pStyle w:val="34"/>
        <w:spacing w:beforeAutospacing="0" w:afterAutospacing="0" w:line="0" w:lineRule="atLeast"/>
        <w:jc w:val="center"/>
        <w:rPr>
          <w:highlight w:val="none"/>
        </w:rPr>
      </w:pPr>
    </w:p>
    <w:p w14:paraId="33B61BD0">
      <w:pPr>
        <w:pStyle w:val="34"/>
        <w:spacing w:beforeAutospacing="0" w:afterAutospacing="0" w:line="0" w:lineRule="atLeast"/>
        <w:jc w:val="center"/>
        <w:rPr>
          <w:highlight w:val="none"/>
        </w:rPr>
      </w:pPr>
    </w:p>
    <w:p w14:paraId="716F0ABC">
      <w:pPr>
        <w:rPr>
          <w:rFonts w:hint="eastAsia" w:ascii="黑体" w:hAnsi="宋体" w:eastAsia="黑体" w:cs="黑体"/>
          <w:b/>
          <w:color w:val="000000"/>
          <w:sz w:val="36"/>
          <w:szCs w:val="36"/>
          <w:highlight w:val="none"/>
        </w:rPr>
      </w:pPr>
      <w:r>
        <w:rPr>
          <w:rFonts w:hint="eastAsia" w:ascii="黑体" w:hAnsi="宋体" w:eastAsia="黑体" w:cs="黑体"/>
          <w:b/>
          <w:color w:val="000000"/>
          <w:sz w:val="36"/>
          <w:szCs w:val="36"/>
          <w:highlight w:val="none"/>
        </w:rPr>
        <w:br w:type="page"/>
      </w:r>
    </w:p>
    <w:p w14:paraId="1011226C">
      <w:pPr>
        <w:pStyle w:val="34"/>
        <w:keepNext/>
        <w:spacing w:beforeAutospacing="0" w:afterAutospacing="0"/>
        <w:jc w:val="center"/>
        <w:rPr>
          <w:rFonts w:hint="eastAsia" w:ascii="黑体" w:hAnsi="宋体" w:eastAsia="黑体" w:cs="黑体"/>
          <w:b/>
          <w:color w:val="000000"/>
          <w:sz w:val="36"/>
          <w:szCs w:val="36"/>
          <w:highlight w:val="none"/>
        </w:rPr>
      </w:pPr>
      <w:r>
        <w:rPr>
          <w:rFonts w:hint="eastAsia" w:ascii="黑体" w:hAnsi="宋体" w:eastAsia="黑体" w:cs="黑体"/>
          <w:b/>
          <w:color w:val="000000"/>
          <w:sz w:val="36"/>
          <w:szCs w:val="36"/>
          <w:highlight w:val="none"/>
        </w:rPr>
        <w:t>第六章</w:t>
      </w:r>
      <w:r>
        <w:rPr>
          <w:rFonts w:hint="eastAsia" w:ascii="黑体" w:hAnsi="宋体" w:eastAsia="黑体" w:cs="黑体"/>
          <w:b/>
          <w:color w:val="000000"/>
          <w:sz w:val="36"/>
          <w:szCs w:val="36"/>
          <w:highlight w:val="none"/>
          <w:lang w:val="en-US" w:eastAsia="zh-CN"/>
        </w:rPr>
        <w:t xml:space="preserve">  </w:t>
      </w:r>
      <w:r>
        <w:rPr>
          <w:rFonts w:hint="eastAsia" w:ascii="黑体" w:hAnsi="宋体" w:eastAsia="黑体" w:cs="黑体"/>
          <w:b/>
          <w:color w:val="000000"/>
          <w:sz w:val="36"/>
          <w:szCs w:val="36"/>
          <w:highlight w:val="none"/>
        </w:rPr>
        <w:t>投标文件格式</w:t>
      </w:r>
    </w:p>
    <w:p w14:paraId="340397D5">
      <w:pPr>
        <w:pStyle w:val="34"/>
        <w:tabs>
          <w:tab w:val="left" w:pos="473"/>
        </w:tabs>
        <w:spacing w:beforeAutospacing="0" w:afterAutospacing="0"/>
        <w:jc w:val="left"/>
        <w:rPr>
          <w:rFonts w:hint="eastAsia" w:ascii="宋体" w:hAnsi="宋体" w:eastAsia="宋体" w:cs="宋体"/>
          <w:b/>
          <w:color w:val="000000"/>
          <w:sz w:val="72"/>
          <w:szCs w:val="72"/>
          <w:highlight w:val="none"/>
          <w:lang w:eastAsia="zh-CN"/>
        </w:rPr>
      </w:pPr>
    </w:p>
    <w:p w14:paraId="1DEE6958">
      <w:pPr>
        <w:pStyle w:val="34"/>
        <w:spacing w:beforeAutospacing="0" w:afterAutospacing="0"/>
        <w:jc w:val="center"/>
        <w:rPr>
          <w:rFonts w:hint="eastAsia" w:ascii="宋体" w:hAnsi="宋体" w:eastAsia="宋体" w:cs="宋体"/>
          <w:b/>
          <w:color w:val="000000"/>
          <w:sz w:val="72"/>
          <w:szCs w:val="72"/>
          <w:highlight w:val="none"/>
        </w:rPr>
      </w:pPr>
    </w:p>
    <w:p w14:paraId="1F74E37C">
      <w:pPr>
        <w:pStyle w:val="34"/>
        <w:spacing w:beforeAutospacing="0" w:afterAutospacing="0"/>
        <w:jc w:val="center"/>
        <w:rPr>
          <w:highlight w:val="none"/>
        </w:rPr>
      </w:pPr>
      <w:r>
        <w:rPr>
          <w:rFonts w:hint="eastAsia" w:ascii="宋体" w:hAnsi="宋体" w:eastAsia="宋体" w:cs="宋体"/>
          <w:b/>
          <w:color w:val="000000"/>
          <w:sz w:val="72"/>
          <w:szCs w:val="72"/>
          <w:highlight w:val="none"/>
        </w:rPr>
        <w:t>投</w:t>
      </w:r>
      <w:r>
        <w:rPr>
          <w:rFonts w:hint="eastAsia" w:ascii="宋体" w:hAnsi="宋体" w:eastAsia="宋体" w:cs="宋体"/>
          <w:b/>
          <w:color w:val="000000"/>
          <w:sz w:val="72"/>
          <w:szCs w:val="72"/>
          <w:highlight w:val="none"/>
          <w:lang w:val="en-US" w:eastAsia="zh-CN"/>
        </w:rPr>
        <w:t xml:space="preserve"> </w:t>
      </w:r>
      <w:r>
        <w:rPr>
          <w:rFonts w:hint="eastAsia" w:ascii="宋体" w:hAnsi="宋体" w:eastAsia="宋体" w:cs="宋体"/>
          <w:b/>
          <w:color w:val="000000"/>
          <w:sz w:val="72"/>
          <w:szCs w:val="72"/>
          <w:highlight w:val="none"/>
        </w:rPr>
        <w:t xml:space="preserve"> 标</w:t>
      </w:r>
      <w:r>
        <w:rPr>
          <w:rFonts w:hint="eastAsia" w:ascii="宋体" w:hAnsi="宋体" w:eastAsia="宋体" w:cs="宋体"/>
          <w:b/>
          <w:color w:val="000000"/>
          <w:sz w:val="72"/>
          <w:szCs w:val="72"/>
          <w:highlight w:val="none"/>
          <w:lang w:val="en-US" w:eastAsia="zh-CN"/>
        </w:rPr>
        <w:t xml:space="preserve"> </w:t>
      </w:r>
      <w:r>
        <w:rPr>
          <w:rFonts w:hint="eastAsia" w:ascii="宋体" w:hAnsi="宋体" w:eastAsia="宋体" w:cs="宋体"/>
          <w:b/>
          <w:color w:val="000000"/>
          <w:sz w:val="72"/>
          <w:szCs w:val="72"/>
          <w:highlight w:val="none"/>
        </w:rPr>
        <w:t xml:space="preserve"> 文</w:t>
      </w:r>
      <w:r>
        <w:rPr>
          <w:rFonts w:hint="eastAsia" w:ascii="宋体" w:hAnsi="宋体" w:eastAsia="宋体" w:cs="宋体"/>
          <w:b/>
          <w:color w:val="000000"/>
          <w:sz w:val="72"/>
          <w:szCs w:val="72"/>
          <w:highlight w:val="none"/>
          <w:lang w:val="en-US" w:eastAsia="zh-CN"/>
        </w:rPr>
        <w:t xml:space="preserve"> </w:t>
      </w:r>
      <w:r>
        <w:rPr>
          <w:rFonts w:hint="eastAsia" w:ascii="宋体" w:hAnsi="宋体" w:eastAsia="宋体" w:cs="宋体"/>
          <w:b/>
          <w:color w:val="000000"/>
          <w:sz w:val="72"/>
          <w:szCs w:val="72"/>
          <w:highlight w:val="none"/>
        </w:rPr>
        <w:t xml:space="preserve"> 件</w:t>
      </w:r>
    </w:p>
    <w:p w14:paraId="4DE325B1">
      <w:pPr>
        <w:pStyle w:val="34"/>
        <w:spacing w:beforeAutospacing="0" w:afterAutospacing="0"/>
        <w:jc w:val="center"/>
        <w:rPr>
          <w:highlight w:val="none"/>
        </w:rPr>
      </w:pPr>
      <w:r>
        <w:rPr>
          <w:highlight w:val="none"/>
        </w:rPr>
        <w:t> </w:t>
      </w:r>
    </w:p>
    <w:p w14:paraId="5BEA3715">
      <w:pPr>
        <w:pStyle w:val="34"/>
        <w:spacing w:beforeAutospacing="0" w:afterAutospacing="0"/>
        <w:jc w:val="center"/>
        <w:rPr>
          <w:highlight w:val="none"/>
        </w:rPr>
      </w:pPr>
      <w:r>
        <w:rPr>
          <w:highlight w:val="none"/>
        </w:rPr>
        <w:t> </w:t>
      </w:r>
    </w:p>
    <w:p w14:paraId="202DDE25">
      <w:pPr>
        <w:pStyle w:val="34"/>
        <w:spacing w:beforeAutospacing="0" w:afterAutospacing="0"/>
        <w:jc w:val="center"/>
        <w:rPr>
          <w:highlight w:val="none"/>
        </w:rPr>
      </w:pPr>
      <w:r>
        <w:rPr>
          <w:highlight w:val="none"/>
        </w:rPr>
        <w:t> </w:t>
      </w:r>
    </w:p>
    <w:p w14:paraId="551CE7B5">
      <w:pPr>
        <w:pStyle w:val="34"/>
        <w:spacing w:beforeAutospacing="0" w:afterAutospacing="0"/>
        <w:jc w:val="center"/>
        <w:rPr>
          <w:highlight w:val="none"/>
        </w:rPr>
      </w:pPr>
      <w:r>
        <w:rPr>
          <w:highlight w:val="none"/>
        </w:rPr>
        <w:t> </w:t>
      </w:r>
    </w:p>
    <w:p w14:paraId="31062ED3">
      <w:pPr>
        <w:pStyle w:val="34"/>
        <w:spacing w:beforeAutospacing="0" w:afterAutospacing="0"/>
        <w:jc w:val="center"/>
        <w:rPr>
          <w:highlight w:val="none"/>
        </w:rPr>
      </w:pPr>
      <w:r>
        <w:rPr>
          <w:highlight w:val="none"/>
        </w:rPr>
        <w:t> </w:t>
      </w:r>
    </w:p>
    <w:p w14:paraId="0EDA67F7">
      <w:pPr>
        <w:pStyle w:val="34"/>
        <w:spacing w:beforeAutospacing="0" w:afterAutospacing="0"/>
        <w:ind w:firstLine="1084"/>
        <w:jc w:val="both"/>
        <w:rPr>
          <w:highlight w:val="none"/>
        </w:rPr>
      </w:pPr>
      <w:r>
        <w:rPr>
          <w:rFonts w:hint="eastAsia" w:ascii="宋体" w:hAnsi="宋体" w:eastAsia="宋体" w:cs="宋体"/>
          <w:b/>
          <w:color w:val="000000"/>
          <w:sz w:val="36"/>
          <w:szCs w:val="36"/>
          <w:highlight w:val="none"/>
        </w:rPr>
        <w:t>项 目 名 称：</w:t>
      </w:r>
      <w:r>
        <w:rPr>
          <w:rFonts w:hint="eastAsia" w:ascii="宋体" w:hAnsi="宋体" w:eastAsia="宋体" w:cs="宋体"/>
          <w:b/>
          <w:color w:val="000000"/>
          <w:sz w:val="36"/>
          <w:szCs w:val="36"/>
          <w:highlight w:val="none"/>
          <w:u w:val="single"/>
        </w:rPr>
        <w:t>             </w:t>
      </w:r>
    </w:p>
    <w:p w14:paraId="1847F3AF">
      <w:pPr>
        <w:pStyle w:val="34"/>
        <w:spacing w:beforeAutospacing="0" w:afterAutospacing="0"/>
        <w:ind w:firstLine="1084"/>
        <w:jc w:val="both"/>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rPr>
        <w:t>项 目 编 号：</w:t>
      </w:r>
      <w:r>
        <w:rPr>
          <w:rFonts w:hint="eastAsia" w:ascii="宋体" w:hAnsi="宋体" w:eastAsia="宋体" w:cs="宋体"/>
          <w:b/>
          <w:color w:val="000000"/>
          <w:sz w:val="36"/>
          <w:szCs w:val="36"/>
          <w:highlight w:val="none"/>
          <w:u w:val="single"/>
        </w:rPr>
        <w:t>             </w:t>
      </w:r>
    </w:p>
    <w:p w14:paraId="6F4850FF">
      <w:pPr>
        <w:pStyle w:val="34"/>
        <w:spacing w:beforeAutospacing="0" w:afterAutospacing="0"/>
        <w:ind w:firstLine="1084"/>
        <w:jc w:val="both"/>
        <w:rPr>
          <w:rFonts w:hint="default" w:ascii="宋体" w:hAnsi="宋体" w:eastAsia="宋体" w:cs="宋体"/>
          <w:b/>
          <w:color w:val="000000"/>
          <w:sz w:val="36"/>
          <w:szCs w:val="36"/>
          <w:highlight w:val="none"/>
          <w:u w:val="single"/>
          <w:lang w:val="en-US" w:eastAsia="zh-CN"/>
        </w:rPr>
      </w:pPr>
      <w:r>
        <w:rPr>
          <w:rFonts w:hint="eastAsia" w:ascii="宋体" w:hAnsi="宋体" w:eastAsia="宋体" w:cs="宋体"/>
          <w:b/>
          <w:color w:val="000000"/>
          <w:sz w:val="36"/>
          <w:szCs w:val="36"/>
          <w:highlight w:val="none"/>
        </w:rPr>
        <w:t>投标人名称</w:t>
      </w:r>
      <w:r>
        <w:rPr>
          <w:rFonts w:hint="eastAsia" w:ascii="宋体" w:hAnsi="宋体" w:eastAsia="宋体" w:cs="宋体"/>
          <w:b/>
          <w:color w:val="000000"/>
          <w:sz w:val="36"/>
          <w:szCs w:val="36"/>
          <w:highlight w:val="none"/>
          <w:lang w:val="en-US" w:eastAsia="zh-CN"/>
        </w:rPr>
        <w:t xml:space="preserve"> </w:t>
      </w:r>
      <w:r>
        <w:rPr>
          <w:rFonts w:hint="eastAsia" w:ascii="宋体" w:hAnsi="宋体" w:eastAsia="宋体" w:cs="宋体"/>
          <w:b/>
          <w:color w:val="000000"/>
          <w:sz w:val="36"/>
          <w:szCs w:val="36"/>
          <w:highlight w:val="none"/>
        </w:rPr>
        <w:t>：</w:t>
      </w:r>
      <w:r>
        <w:rPr>
          <w:rFonts w:hint="eastAsia" w:ascii="宋体" w:hAnsi="宋体" w:eastAsia="宋体" w:cs="宋体"/>
          <w:b/>
          <w:color w:val="000000"/>
          <w:sz w:val="36"/>
          <w:szCs w:val="36"/>
          <w:highlight w:val="none"/>
          <w:u w:val="single"/>
        </w:rPr>
        <w:t>（加盖CA电子公章）</w:t>
      </w:r>
      <w:r>
        <w:rPr>
          <w:rFonts w:hint="eastAsia" w:ascii="宋体" w:hAnsi="宋体" w:eastAsia="宋体" w:cs="宋体"/>
          <w:b/>
          <w:color w:val="000000"/>
          <w:sz w:val="36"/>
          <w:szCs w:val="36"/>
          <w:highlight w:val="none"/>
          <w:u w:val="single"/>
          <w:lang w:val="en-US" w:eastAsia="zh-CN"/>
        </w:rPr>
        <w:t xml:space="preserve">       </w:t>
      </w:r>
    </w:p>
    <w:p w14:paraId="4A6A66A4">
      <w:pPr>
        <w:pStyle w:val="34"/>
        <w:spacing w:beforeAutospacing="0" w:afterAutospacing="0"/>
        <w:ind w:firstLine="1084"/>
        <w:jc w:val="both"/>
        <w:rPr>
          <w:highlight w:val="none"/>
        </w:rPr>
      </w:pPr>
      <w:r>
        <w:rPr>
          <w:rFonts w:hint="eastAsia" w:ascii="宋体" w:hAnsi="宋体" w:eastAsia="宋体" w:cs="宋体"/>
          <w:b/>
          <w:color w:val="000000"/>
          <w:sz w:val="36"/>
          <w:szCs w:val="36"/>
          <w:highlight w:val="none"/>
        </w:rPr>
        <w:t>日</w:t>
      </w:r>
      <w:r>
        <w:rPr>
          <w:rFonts w:hint="eastAsia" w:ascii="宋体" w:hAnsi="宋体" w:eastAsia="宋体" w:cs="宋体"/>
          <w:b/>
          <w:color w:val="000000"/>
          <w:sz w:val="36"/>
          <w:szCs w:val="36"/>
          <w:highlight w:val="none"/>
          <w:lang w:val="en-US" w:eastAsia="zh-CN"/>
        </w:rPr>
        <w:t xml:space="preserve">     </w:t>
      </w:r>
      <w:r>
        <w:rPr>
          <w:rFonts w:hint="eastAsia" w:ascii="宋体" w:hAnsi="宋体" w:eastAsia="宋体" w:cs="宋体"/>
          <w:b/>
          <w:color w:val="000000"/>
          <w:sz w:val="36"/>
          <w:szCs w:val="36"/>
          <w:highlight w:val="none"/>
        </w:rPr>
        <w:t xml:space="preserve"> 期</w:t>
      </w:r>
      <w:r>
        <w:rPr>
          <w:rFonts w:hint="eastAsia" w:ascii="宋体" w:hAnsi="宋体" w:eastAsia="宋体" w:cs="宋体"/>
          <w:b/>
          <w:color w:val="000000"/>
          <w:sz w:val="36"/>
          <w:szCs w:val="36"/>
          <w:highlight w:val="none"/>
          <w:lang w:val="en-US" w:eastAsia="zh-CN"/>
        </w:rPr>
        <w:t xml:space="preserve"> </w:t>
      </w:r>
      <w:r>
        <w:rPr>
          <w:rFonts w:hint="eastAsia" w:ascii="宋体" w:hAnsi="宋体" w:eastAsia="宋体" w:cs="宋体"/>
          <w:b/>
          <w:color w:val="000000"/>
          <w:sz w:val="36"/>
          <w:szCs w:val="36"/>
          <w:highlight w:val="none"/>
        </w:rPr>
        <w:t>：</w:t>
      </w:r>
      <w:r>
        <w:rPr>
          <w:rFonts w:hint="eastAsia" w:ascii="宋体" w:hAnsi="宋体" w:eastAsia="宋体" w:cs="宋体"/>
          <w:b/>
          <w:color w:val="000000"/>
          <w:sz w:val="36"/>
          <w:szCs w:val="36"/>
          <w:highlight w:val="none"/>
          <w:u w:val="single"/>
        </w:rPr>
        <w:t>             </w:t>
      </w:r>
    </w:p>
    <w:p w14:paraId="786AB93B">
      <w:pPr>
        <w:pStyle w:val="34"/>
        <w:spacing w:beforeAutospacing="0" w:afterAutospacing="0" w:line="0" w:lineRule="atLeast"/>
        <w:jc w:val="center"/>
        <w:rPr>
          <w:highlight w:val="none"/>
        </w:rPr>
      </w:pPr>
    </w:p>
    <w:p w14:paraId="3196831A">
      <w:pPr>
        <w:pStyle w:val="34"/>
        <w:spacing w:beforeAutospacing="0" w:afterAutospacing="0" w:line="0" w:lineRule="atLeast"/>
        <w:jc w:val="center"/>
        <w:rPr>
          <w:highlight w:val="none"/>
        </w:rPr>
      </w:pPr>
    </w:p>
    <w:p w14:paraId="56088B73">
      <w:pPr>
        <w:pStyle w:val="34"/>
        <w:spacing w:beforeAutospacing="0" w:afterAutospacing="0" w:line="0" w:lineRule="atLeast"/>
        <w:jc w:val="center"/>
        <w:rPr>
          <w:highlight w:val="none"/>
        </w:rPr>
      </w:pPr>
    </w:p>
    <w:p w14:paraId="1D6F8275">
      <w:pPr>
        <w:pStyle w:val="34"/>
        <w:spacing w:beforeAutospacing="0" w:afterAutospacing="0" w:line="0" w:lineRule="atLeast"/>
        <w:jc w:val="center"/>
        <w:rPr>
          <w:highlight w:val="none"/>
        </w:rPr>
      </w:pPr>
    </w:p>
    <w:p w14:paraId="2EC588E6">
      <w:pPr>
        <w:pStyle w:val="34"/>
        <w:spacing w:beforeAutospacing="0" w:afterAutospacing="0" w:line="0" w:lineRule="atLeast"/>
        <w:jc w:val="center"/>
        <w:rPr>
          <w:highlight w:val="none"/>
        </w:rPr>
      </w:pPr>
    </w:p>
    <w:p w14:paraId="4DB2917F">
      <w:pPr>
        <w:pStyle w:val="34"/>
        <w:spacing w:beforeAutospacing="0" w:afterAutospacing="0" w:line="0" w:lineRule="atLeast"/>
        <w:jc w:val="center"/>
        <w:rPr>
          <w:highlight w:val="none"/>
        </w:rPr>
      </w:pPr>
    </w:p>
    <w:p w14:paraId="1BF118BE">
      <w:pPr>
        <w:pStyle w:val="34"/>
        <w:spacing w:beforeAutospacing="0" w:afterAutospacing="0" w:line="0" w:lineRule="atLeast"/>
        <w:jc w:val="center"/>
        <w:rPr>
          <w:highlight w:val="none"/>
        </w:rPr>
      </w:pPr>
    </w:p>
    <w:p w14:paraId="2D92B83B">
      <w:pPr>
        <w:pStyle w:val="34"/>
        <w:spacing w:beforeAutospacing="0" w:afterAutospacing="0" w:line="0" w:lineRule="atLeast"/>
        <w:jc w:val="both"/>
        <w:rPr>
          <w:highlight w:val="none"/>
        </w:rPr>
      </w:pPr>
    </w:p>
    <w:p w14:paraId="30D07C18">
      <w:pPr>
        <w:pStyle w:val="34"/>
        <w:spacing w:beforeAutospacing="0" w:afterAutospacing="0" w:line="0" w:lineRule="atLeast"/>
        <w:jc w:val="center"/>
        <w:rPr>
          <w:highlight w:val="none"/>
        </w:rPr>
      </w:pPr>
    </w:p>
    <w:p w14:paraId="1A02C4A9">
      <w:pPr>
        <w:pStyle w:val="34"/>
        <w:spacing w:beforeAutospacing="0" w:afterAutospacing="0" w:line="0" w:lineRule="atLeast"/>
        <w:jc w:val="center"/>
        <w:rPr>
          <w:highlight w:val="none"/>
        </w:rPr>
      </w:pPr>
    </w:p>
    <w:p w14:paraId="0FC4366E">
      <w:pPr>
        <w:pStyle w:val="34"/>
        <w:spacing w:beforeAutospacing="0" w:afterAutospacing="0" w:line="0" w:lineRule="atLeast"/>
        <w:jc w:val="center"/>
        <w:rPr>
          <w:highlight w:val="none"/>
        </w:rPr>
      </w:pPr>
    </w:p>
    <w:p w14:paraId="005BFFE0">
      <w:pPr>
        <w:pStyle w:val="34"/>
        <w:spacing w:beforeAutospacing="0" w:afterAutospacing="0" w:line="0" w:lineRule="atLeast"/>
        <w:jc w:val="center"/>
        <w:rPr>
          <w:highlight w:val="none"/>
        </w:rPr>
      </w:pPr>
    </w:p>
    <w:p w14:paraId="3E5C4B81">
      <w:pPr>
        <w:pStyle w:val="34"/>
        <w:spacing w:beforeAutospacing="0" w:afterAutospacing="0" w:line="0" w:lineRule="atLeast"/>
        <w:jc w:val="center"/>
        <w:rPr>
          <w:highlight w:val="none"/>
        </w:rPr>
      </w:pPr>
    </w:p>
    <w:p w14:paraId="7025D715">
      <w:pPr>
        <w:rPr>
          <w:highlight w:val="none"/>
        </w:rPr>
      </w:pPr>
      <w:r>
        <w:rPr>
          <w:rFonts w:hint="eastAsia" w:ascii="宋体" w:hAnsi="宋体" w:eastAsia="宋体" w:cs="宋体"/>
          <w:b/>
          <w:color w:val="000000"/>
          <w:sz w:val="32"/>
          <w:szCs w:val="32"/>
          <w:highlight w:val="none"/>
        </w:rPr>
        <w:br w:type="page" w:clear="all"/>
      </w:r>
    </w:p>
    <w:p w14:paraId="71046713">
      <w:pPr>
        <w:pStyle w:val="34"/>
        <w:spacing w:beforeAutospacing="0" w:afterAutospacing="0" w:line="0" w:lineRule="atLeast"/>
        <w:jc w:val="center"/>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t>投标文件目录</w:t>
      </w:r>
    </w:p>
    <w:p w14:paraId="657FE531">
      <w:pPr>
        <w:pStyle w:val="34"/>
        <w:spacing w:beforeAutospacing="0" w:afterAutospacing="0" w:line="0" w:lineRule="atLeast"/>
        <w:jc w:val="center"/>
        <w:rPr>
          <w:highlight w:val="none"/>
        </w:rPr>
      </w:pPr>
      <w:r>
        <w:rPr>
          <w:highlight w:val="none"/>
        </w:rPr>
        <w:t> </w:t>
      </w:r>
    </w:p>
    <w:p w14:paraId="55681F13">
      <w:pPr>
        <w:pStyle w:val="3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i/>
          <w:iCs/>
          <w:u w:val="single"/>
        </w:rPr>
      </w:pPr>
      <w:r>
        <w:rPr>
          <w:rFonts w:hint="eastAsia" w:ascii="宋体" w:hAnsi="宋体" w:eastAsia="宋体" w:cs="宋体"/>
          <w:i/>
          <w:iCs/>
          <w:u w:val="single"/>
        </w:rPr>
        <w:t>一、法人或者其他组织的营业执照等证明文件，自然人的身份证明</w:t>
      </w:r>
    </w:p>
    <w:p w14:paraId="10A0D248">
      <w:pPr>
        <w:pStyle w:val="3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i/>
          <w:iCs/>
          <w:u w:val="single"/>
        </w:rPr>
      </w:pPr>
      <w:r>
        <w:rPr>
          <w:rFonts w:hint="eastAsia" w:ascii="宋体" w:hAnsi="宋体" w:eastAsia="宋体" w:cs="宋体"/>
          <w:i/>
          <w:iCs/>
          <w:u w:val="single"/>
          <w:lang w:val="en-US" w:eastAsia="zh-CN"/>
        </w:rPr>
        <w:t>二、上一年度的财务状况报告（提供2025年度，至少提供资产负债表、利润表、现金流量表，投标人成立不满一年无需提供</w:t>
      </w:r>
      <w:r>
        <w:rPr>
          <w:rFonts w:hint="eastAsia" w:ascii="宋体" w:hAnsi="宋体" w:eastAsia="宋体" w:cs="宋体"/>
          <w:i/>
          <w:iCs/>
          <w:u w:val="single"/>
        </w:rPr>
        <w:t>）</w:t>
      </w:r>
    </w:p>
    <w:p w14:paraId="415CC06E">
      <w:pPr>
        <w:pStyle w:val="3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i/>
          <w:iCs/>
          <w:u w:val="single"/>
        </w:rPr>
      </w:pPr>
      <w:r>
        <w:rPr>
          <w:rFonts w:hint="eastAsia" w:ascii="宋体" w:hAnsi="宋体" w:eastAsia="宋体" w:cs="宋体"/>
          <w:i/>
          <w:iCs/>
          <w:u w:val="single"/>
          <w:lang w:val="en-US" w:eastAsia="zh-CN"/>
        </w:rPr>
        <w:t>三</w:t>
      </w:r>
      <w:r>
        <w:rPr>
          <w:rFonts w:hint="eastAsia" w:ascii="宋体" w:hAnsi="宋体" w:eastAsia="宋体" w:cs="宋体"/>
          <w:i/>
          <w:iCs/>
          <w:u w:val="single"/>
        </w:rPr>
        <w:t>、具备履行合同所必需的设备和专业技术能力的书面声明</w:t>
      </w:r>
    </w:p>
    <w:p w14:paraId="11BED49A">
      <w:pPr>
        <w:pStyle w:val="3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i/>
          <w:iCs/>
          <w:u w:val="single"/>
        </w:rPr>
      </w:pPr>
      <w:r>
        <w:rPr>
          <w:rFonts w:hint="eastAsia" w:ascii="宋体" w:hAnsi="宋体" w:eastAsia="宋体" w:cs="宋体"/>
          <w:i/>
          <w:iCs/>
          <w:u w:val="single"/>
          <w:lang w:val="en-US" w:eastAsia="zh-CN"/>
        </w:rPr>
        <w:t>四</w:t>
      </w:r>
      <w:r>
        <w:rPr>
          <w:rFonts w:hint="eastAsia" w:ascii="宋体" w:hAnsi="宋体" w:eastAsia="宋体" w:cs="宋体"/>
          <w:i/>
          <w:iCs/>
          <w:u w:val="single"/>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3572E58C">
      <w:pPr>
        <w:pStyle w:val="3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i/>
          <w:iCs/>
          <w:u w:val="single"/>
        </w:rPr>
      </w:pPr>
      <w:r>
        <w:rPr>
          <w:rFonts w:hint="eastAsia" w:ascii="宋体" w:hAnsi="宋体" w:eastAsia="宋体" w:cs="宋体"/>
          <w:i/>
          <w:iCs/>
          <w:u w:val="single"/>
        </w:rPr>
        <w:t>五、参加政府采购活动前3年内在经营活动中没有重大违法记录的书面声明</w:t>
      </w:r>
    </w:p>
    <w:p w14:paraId="2973AE6D">
      <w:pPr>
        <w:pStyle w:val="3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i/>
          <w:iCs/>
          <w:u w:val="single"/>
        </w:rPr>
      </w:pPr>
      <w:r>
        <w:rPr>
          <w:rFonts w:hint="eastAsia" w:ascii="宋体" w:hAnsi="宋体" w:eastAsia="宋体" w:cs="宋体"/>
          <w:i/>
          <w:iCs/>
          <w:u w:val="single"/>
        </w:rPr>
        <w:t>六、特定资格要求的证明文件（如果本项目设置特定资格要求，则需要提供）</w:t>
      </w:r>
    </w:p>
    <w:p w14:paraId="699B76DC">
      <w:pPr>
        <w:pStyle w:val="3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i/>
          <w:iCs/>
          <w:u w:val="single"/>
        </w:rPr>
      </w:pPr>
      <w:r>
        <w:rPr>
          <w:rFonts w:hint="eastAsia" w:ascii="宋体" w:hAnsi="宋体" w:eastAsia="宋体" w:cs="宋体"/>
          <w:i/>
          <w:iCs/>
          <w:u w:val="single"/>
        </w:rPr>
        <w:t>七、法人授权书</w:t>
      </w:r>
    </w:p>
    <w:p w14:paraId="3511B2BD">
      <w:pPr>
        <w:pStyle w:val="3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i/>
          <w:iCs/>
          <w:u w:val="single"/>
        </w:rPr>
      </w:pPr>
      <w:r>
        <w:rPr>
          <w:rFonts w:hint="eastAsia" w:ascii="宋体" w:hAnsi="宋体" w:eastAsia="宋体" w:cs="宋体"/>
          <w:i/>
          <w:iCs/>
          <w:u w:val="single"/>
        </w:rPr>
        <w:t>八、投标函</w:t>
      </w:r>
    </w:p>
    <w:p w14:paraId="34233CB0">
      <w:pPr>
        <w:pStyle w:val="34"/>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i w:val="0"/>
          <w:iCs/>
          <w:highlight w:val="none"/>
          <w:u w:val="none"/>
        </w:rPr>
      </w:pPr>
      <w:r>
        <w:rPr>
          <w:rFonts w:hint="eastAsia" w:ascii="宋体" w:hAnsi="宋体" w:eastAsia="宋体" w:cs="宋体"/>
          <w:i w:val="0"/>
          <w:iCs/>
          <w:color w:val="000000"/>
          <w:highlight w:val="none"/>
          <w:u w:val="none"/>
        </w:rPr>
        <w:t>九、</w:t>
      </w:r>
      <w:r>
        <w:rPr>
          <w:rFonts w:hint="eastAsia" w:ascii="宋体" w:hAnsi="宋体" w:eastAsia="宋体" w:cs="宋体"/>
          <w:i w:val="0"/>
          <w:iCs/>
          <w:color w:val="auto"/>
          <w:highlight w:val="none"/>
          <w:u w:val="none"/>
          <w:lang w:val="en-US" w:eastAsia="zh-CN"/>
        </w:rPr>
        <w:t>中小</w:t>
      </w:r>
      <w:r>
        <w:rPr>
          <w:rFonts w:hint="eastAsia" w:ascii="宋体" w:hAnsi="宋体" w:eastAsia="宋体" w:cs="宋体"/>
          <w:i w:val="0"/>
          <w:iCs/>
          <w:color w:val="auto"/>
          <w:highlight w:val="none"/>
          <w:u w:val="none"/>
        </w:rPr>
        <w:t>企业声明函</w:t>
      </w:r>
    </w:p>
    <w:p w14:paraId="0CA378CB">
      <w:pPr>
        <w:pStyle w:val="34"/>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i w:val="0"/>
          <w:iCs/>
          <w:highlight w:val="none"/>
          <w:u w:val="none"/>
        </w:rPr>
      </w:pPr>
      <w:r>
        <w:rPr>
          <w:rFonts w:hint="eastAsia" w:ascii="宋体" w:hAnsi="宋体" w:eastAsia="宋体" w:cs="宋体"/>
          <w:i w:val="0"/>
          <w:iCs/>
          <w:color w:val="000000"/>
          <w:highlight w:val="none"/>
          <w:u w:val="none"/>
        </w:rPr>
        <w:t>十、残疾人福利性单位声明函</w:t>
      </w:r>
    </w:p>
    <w:p w14:paraId="264AB1FF">
      <w:pPr>
        <w:pStyle w:val="34"/>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i w:val="0"/>
          <w:iCs/>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一</w:t>
      </w:r>
      <w:r>
        <w:rPr>
          <w:rFonts w:hint="eastAsia" w:ascii="宋体" w:hAnsi="宋体" w:eastAsia="宋体" w:cs="宋体"/>
          <w:i w:val="0"/>
          <w:iCs/>
          <w:color w:val="000000"/>
          <w:highlight w:val="none"/>
          <w:u w:val="none"/>
        </w:rPr>
        <w:t>、投标分项报价表</w:t>
      </w:r>
    </w:p>
    <w:p w14:paraId="12318F60">
      <w:pPr>
        <w:pStyle w:val="34"/>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i w:val="0"/>
          <w:iCs/>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二</w:t>
      </w:r>
      <w:r>
        <w:rPr>
          <w:rFonts w:hint="eastAsia" w:ascii="宋体" w:hAnsi="宋体" w:eastAsia="宋体" w:cs="宋体"/>
          <w:i w:val="0"/>
          <w:iCs/>
          <w:color w:val="000000"/>
          <w:highlight w:val="none"/>
          <w:u w:val="none"/>
        </w:rPr>
        <w:t>、技术要求响应及偏离表</w:t>
      </w:r>
    </w:p>
    <w:p w14:paraId="1A235041">
      <w:pPr>
        <w:pStyle w:val="34"/>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i w:val="0"/>
          <w:iCs/>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三</w:t>
      </w:r>
      <w:r>
        <w:rPr>
          <w:rFonts w:hint="eastAsia" w:ascii="宋体" w:hAnsi="宋体" w:eastAsia="宋体" w:cs="宋体"/>
          <w:i w:val="0"/>
          <w:iCs/>
          <w:color w:val="000000"/>
          <w:highlight w:val="none"/>
          <w:u w:val="none"/>
        </w:rPr>
        <w:t>、商务要求响应及偏离表</w:t>
      </w:r>
    </w:p>
    <w:p w14:paraId="46EC2FBC">
      <w:pPr>
        <w:pStyle w:val="3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i/>
          <w:iCs/>
          <w:u w:val="single"/>
        </w:rPr>
      </w:pPr>
      <w:r>
        <w:rPr>
          <w:rFonts w:hint="eastAsia" w:ascii="宋体" w:hAnsi="宋体" w:eastAsia="宋体" w:cs="宋体"/>
          <w:i/>
          <w:iCs/>
          <w:u w:val="single"/>
        </w:rPr>
        <w:t>十</w:t>
      </w:r>
      <w:r>
        <w:rPr>
          <w:rFonts w:hint="eastAsia" w:ascii="宋体" w:hAnsi="宋体" w:eastAsia="宋体" w:cs="宋体"/>
          <w:i/>
          <w:iCs/>
          <w:u w:val="single"/>
          <w:lang w:val="en-US" w:eastAsia="zh-CN"/>
        </w:rPr>
        <w:t>四</w:t>
      </w:r>
      <w:r>
        <w:rPr>
          <w:rFonts w:hint="eastAsia" w:ascii="宋体" w:hAnsi="宋体" w:eastAsia="宋体" w:cs="宋体"/>
          <w:i/>
          <w:iCs/>
          <w:u w:val="single"/>
        </w:rPr>
        <w:t>、开标一览表</w:t>
      </w:r>
    </w:p>
    <w:p w14:paraId="68D2C792">
      <w:pPr>
        <w:pStyle w:val="34"/>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i w:val="0"/>
          <w:iCs/>
          <w:color w:val="000000"/>
          <w:highlight w:val="none"/>
          <w:u w:val="none"/>
        </w:rPr>
      </w:pPr>
      <w:r>
        <w:rPr>
          <w:rFonts w:hint="eastAsia" w:ascii="宋体" w:hAnsi="宋体" w:eastAsia="宋体" w:cs="宋体"/>
          <w:i w:val="0"/>
          <w:iCs/>
          <w:color w:val="000000"/>
          <w:sz w:val="24"/>
          <w:highlight w:val="none"/>
          <w:u w:val="none"/>
        </w:rPr>
        <w:t>十</w:t>
      </w:r>
      <w:r>
        <w:rPr>
          <w:rFonts w:hint="eastAsia" w:ascii="宋体" w:hAnsi="宋体" w:eastAsia="宋体" w:cs="宋体"/>
          <w:i w:val="0"/>
          <w:iCs/>
          <w:color w:val="000000"/>
          <w:sz w:val="24"/>
          <w:highlight w:val="none"/>
          <w:u w:val="none"/>
          <w:lang w:val="en-US" w:eastAsia="zh-CN"/>
        </w:rPr>
        <w:t>五</w:t>
      </w:r>
      <w:r>
        <w:rPr>
          <w:rFonts w:hint="eastAsia" w:ascii="宋体" w:hAnsi="宋体" w:eastAsia="宋体" w:cs="宋体"/>
          <w:i w:val="0"/>
          <w:iCs/>
          <w:color w:val="000000"/>
          <w:sz w:val="24"/>
          <w:highlight w:val="none"/>
          <w:u w:val="none"/>
        </w:rPr>
        <w:t>、</w:t>
      </w:r>
      <w:r>
        <w:rPr>
          <w:rFonts w:hint="eastAsia" w:ascii="宋体" w:hAnsi="宋体" w:eastAsia="宋体" w:cs="宋体"/>
          <w:i w:val="0"/>
          <w:iCs/>
          <w:color w:val="000000"/>
          <w:highlight w:val="none"/>
          <w:u w:val="none"/>
        </w:rPr>
        <w:t>项目组成员一览表</w:t>
      </w:r>
    </w:p>
    <w:p w14:paraId="51ECC4B7">
      <w:pPr>
        <w:keepNext w:val="0"/>
        <w:keepLines w:val="0"/>
        <w:pageBreakBefore w:val="0"/>
        <w:widowControl/>
        <w:kinsoku/>
        <w:wordWrap/>
        <w:overflowPunct/>
        <w:topLinePunct w:val="0"/>
        <w:autoSpaceDE/>
        <w:autoSpaceDN/>
        <w:bidi w:val="0"/>
        <w:adjustRightInd/>
        <w:snapToGrid/>
        <w:spacing w:before="50" w:after="50" w:line="360" w:lineRule="auto"/>
        <w:ind w:firstLine="480"/>
        <w:textAlignment w:val="auto"/>
        <w:rPr>
          <w:rFonts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十</w:t>
      </w:r>
      <w:r>
        <w:rPr>
          <w:rFonts w:hint="eastAsia" w:ascii="宋体" w:hAnsi="宋体" w:eastAsia="宋体" w:cs="宋体"/>
          <w:i w:val="0"/>
          <w:iCs/>
          <w:color w:val="000000"/>
          <w:sz w:val="24"/>
          <w:highlight w:val="none"/>
          <w:u w:val="none"/>
          <w:lang w:val="en-US" w:eastAsia="zh-CN"/>
        </w:rPr>
        <w:t>六</w:t>
      </w:r>
      <w:r>
        <w:rPr>
          <w:rFonts w:hint="eastAsia" w:ascii="宋体" w:hAnsi="宋体" w:eastAsia="宋体" w:cs="宋体"/>
          <w:i w:val="0"/>
          <w:iCs/>
          <w:color w:val="000000"/>
          <w:sz w:val="24"/>
          <w:highlight w:val="none"/>
          <w:u w:val="none"/>
        </w:rPr>
        <w:t>、</w:t>
      </w:r>
      <w:r>
        <w:rPr>
          <w:rFonts w:hint="eastAsia" w:ascii="宋体" w:hAnsi="宋体" w:eastAsia="宋体" w:cs="宋体"/>
          <w:i w:val="0"/>
          <w:iCs/>
          <w:color w:val="000000"/>
          <w:sz w:val="24"/>
          <w:highlight w:val="none"/>
          <w:u w:val="none"/>
          <w:lang w:val="en-US" w:eastAsia="zh-CN"/>
        </w:rPr>
        <w:t>企业实力、</w:t>
      </w:r>
      <w:r>
        <w:rPr>
          <w:rFonts w:hint="eastAsia" w:ascii="宋体" w:hAnsi="宋体" w:eastAsia="宋体" w:cs="宋体"/>
          <w:i w:val="0"/>
          <w:iCs/>
          <w:color w:val="000000"/>
          <w:sz w:val="24"/>
          <w:highlight w:val="none"/>
          <w:u w:val="none"/>
        </w:rPr>
        <w:t>技术方案等</w:t>
      </w:r>
    </w:p>
    <w:p w14:paraId="0FCEC0BD">
      <w:pPr>
        <w:pStyle w:val="34"/>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七</w:t>
      </w:r>
      <w:r>
        <w:rPr>
          <w:rFonts w:hint="eastAsia" w:ascii="宋体" w:hAnsi="宋体" w:eastAsia="宋体" w:cs="宋体"/>
          <w:i w:val="0"/>
          <w:iCs/>
          <w:color w:val="000000"/>
          <w:highlight w:val="none"/>
          <w:u w:val="none"/>
        </w:rPr>
        <w:t>、盐城市政府采购事前信用承诺书</w:t>
      </w:r>
    </w:p>
    <w:p w14:paraId="41DFAF6C">
      <w:pPr>
        <w:pStyle w:val="34"/>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十八、</w:t>
      </w:r>
      <w:r>
        <w:rPr>
          <w:rFonts w:hint="eastAsia" w:ascii="宋体" w:hAnsi="宋体" w:eastAsia="宋体" w:cs="宋体"/>
          <w:i w:val="0"/>
          <w:iCs/>
          <w:color w:val="000000"/>
          <w:highlight w:val="none"/>
          <w:u w:val="none"/>
        </w:rPr>
        <w:t>投标人认为需要提供的其他材料</w:t>
      </w:r>
      <w:r>
        <w:rPr>
          <w:rFonts w:hint="eastAsia" w:ascii="宋体" w:hAnsi="宋体" w:eastAsia="宋体" w:cs="宋体"/>
          <w:i w:val="0"/>
          <w:iCs/>
          <w:color w:val="000000"/>
          <w:highlight w:val="none"/>
          <w:u w:val="none"/>
          <w:lang w:eastAsia="zh-CN"/>
        </w:rPr>
        <w:t>（</w:t>
      </w:r>
      <w:r>
        <w:rPr>
          <w:rFonts w:hint="eastAsia" w:ascii="宋体" w:hAnsi="宋体" w:eastAsia="宋体" w:cs="宋体"/>
          <w:i w:val="0"/>
          <w:iCs/>
          <w:color w:val="000000"/>
          <w:highlight w:val="none"/>
          <w:u w:val="none"/>
          <w:lang w:val="en-US" w:eastAsia="zh-CN"/>
        </w:rPr>
        <w:t>如有</w:t>
      </w:r>
      <w:r>
        <w:rPr>
          <w:rFonts w:hint="eastAsia" w:ascii="宋体" w:hAnsi="宋体" w:eastAsia="宋体" w:cs="宋体"/>
          <w:i w:val="0"/>
          <w:iCs/>
          <w:color w:val="000000"/>
          <w:highlight w:val="none"/>
          <w:u w:val="none"/>
          <w:lang w:eastAsia="zh-CN"/>
        </w:rPr>
        <w:t>）</w:t>
      </w:r>
    </w:p>
    <w:p w14:paraId="6F3BB33A">
      <w:pPr>
        <w:pStyle w:val="34"/>
        <w:spacing w:beforeAutospacing="0" w:afterAutospacing="0" w:line="0" w:lineRule="atLeast"/>
        <w:ind w:firstLine="480"/>
        <w:jc w:val="both"/>
        <w:rPr>
          <w:highlight w:val="none"/>
        </w:rPr>
      </w:pPr>
    </w:p>
    <w:p w14:paraId="042E4846">
      <w:pPr>
        <w:pStyle w:val="212"/>
        <w:keepNext w:val="0"/>
        <w:keepLines w:val="0"/>
        <w:pageBreakBefore w:val="0"/>
        <w:widowControl w:val="0"/>
        <w:spacing w:beforeAutospacing="0" w:afterAutospacing="0" w:line="360" w:lineRule="auto"/>
        <w:ind w:firstLine="0"/>
        <w:jc w:val="both"/>
        <w:rPr>
          <w:rFonts w:hint="eastAsia" w:ascii="宋体" w:hAnsi="宋体" w:eastAsia="宋体" w:cs="宋体"/>
          <w:b/>
          <w:bCs/>
          <w:color w:val="0000FF"/>
          <w:sz w:val="21"/>
          <w:szCs w:val="21"/>
        </w:rPr>
      </w:pPr>
      <w:r>
        <w:rPr>
          <w:rFonts w:hint="eastAsia" w:ascii="宋体" w:hAnsi="宋体" w:eastAsia="宋体" w:cs="宋体"/>
          <w:b/>
          <w:bCs/>
          <w:color w:val="0000FF"/>
          <w:sz w:val="21"/>
          <w:szCs w:val="21"/>
        </w:rPr>
        <w:t>特别提示：电子投标文件制作时建议将本项目投标文件“封面”上传至“目录”项内。</w:t>
      </w:r>
    </w:p>
    <w:p w14:paraId="4F5E236D">
      <w:pPr>
        <w:pStyle w:val="34"/>
        <w:spacing w:beforeAutospacing="0" w:afterAutospacing="0" w:line="0" w:lineRule="atLeast"/>
        <w:ind w:firstLine="480"/>
        <w:jc w:val="both"/>
        <w:rPr>
          <w:highlight w:val="none"/>
        </w:rPr>
      </w:pPr>
    </w:p>
    <w:p w14:paraId="0E881332">
      <w:pPr>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br w:type="page" w:clear="all"/>
      </w:r>
    </w:p>
    <w:p w14:paraId="69A30E2C">
      <w:pPr>
        <w:pStyle w:val="34"/>
        <w:numPr>
          <w:ilvl w:val="0"/>
          <w:numId w:val="0"/>
        </w:numPr>
        <w:spacing w:beforeAutospacing="0" w:afterAutospacing="0"/>
        <w:jc w:val="both"/>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u w:val="single"/>
          <w:lang w:val="en-US" w:eastAsia="zh-CN" w:bidi="ar-SA"/>
        </w:rPr>
        <w:t>一、</w:t>
      </w:r>
      <w:r>
        <w:rPr>
          <w:rFonts w:hint="eastAsia" w:ascii="黑体" w:hAnsi="宋体" w:eastAsia="黑体" w:cs="黑体"/>
          <w:i/>
          <w:color w:val="000000"/>
          <w:sz w:val="32"/>
          <w:szCs w:val="32"/>
          <w:highlight w:val="none"/>
          <w:u w:val="single"/>
        </w:rPr>
        <w:t>法人或者其他组织的营业执照等证明文件，自然人的身份证明</w:t>
      </w:r>
    </w:p>
    <w:p w14:paraId="75E7DE9B">
      <w:pPr>
        <w:pStyle w:val="34"/>
        <w:numPr>
          <w:ilvl w:val="0"/>
          <w:numId w:val="0"/>
        </w:numPr>
        <w:spacing w:beforeAutospacing="0" w:afterAutospacing="0"/>
        <w:jc w:val="both"/>
        <w:rPr>
          <w:rFonts w:hint="eastAsia" w:ascii="黑体" w:hAnsi="宋体" w:eastAsia="黑体" w:cs="黑体"/>
          <w:i/>
          <w:color w:val="000000"/>
          <w:sz w:val="32"/>
          <w:szCs w:val="32"/>
          <w:highlight w:val="none"/>
          <w:u w:val="single"/>
        </w:rPr>
      </w:pPr>
    </w:p>
    <w:p w14:paraId="58A1E17E">
      <w:pPr>
        <w:pStyle w:val="34"/>
        <w:spacing w:beforeAutospacing="0" w:afterAutospacing="0" w:line="0" w:lineRule="atLeast"/>
        <w:ind w:firstLine="480"/>
        <w:jc w:val="both"/>
        <w:rPr>
          <w:highlight w:val="none"/>
        </w:rPr>
      </w:pPr>
      <w:r>
        <w:rPr>
          <w:highlight w:val="none"/>
        </w:rPr>
        <w:t> </w:t>
      </w:r>
    </w:p>
    <w:p w14:paraId="10E9452B">
      <w:pPr>
        <w:pStyle w:val="34"/>
        <w:spacing w:beforeAutospacing="0" w:afterAutospacing="0"/>
        <w:jc w:val="both"/>
        <w:rPr>
          <w:rFonts w:hint="eastAsia" w:eastAsia="黑体"/>
          <w:highlight w:val="none"/>
          <w:lang w:eastAsia="zh-CN"/>
        </w:rPr>
      </w:pPr>
      <w:r>
        <w:rPr>
          <w:rFonts w:hint="eastAsia" w:ascii="黑体" w:hAnsi="宋体" w:eastAsia="黑体" w:cs="黑体"/>
          <w:i/>
          <w:color w:val="000000"/>
          <w:sz w:val="32"/>
          <w:szCs w:val="32"/>
          <w:highlight w:val="none"/>
          <w:u w:val="single"/>
        </w:rPr>
        <w:t>二、上一年度的财务状况报</w:t>
      </w:r>
      <w:r>
        <w:rPr>
          <w:rFonts w:hint="eastAsia" w:ascii="黑体" w:hAnsi="宋体" w:eastAsia="黑体" w:cs="黑体"/>
          <w:i/>
          <w:color w:val="000000"/>
          <w:sz w:val="32"/>
          <w:szCs w:val="32"/>
          <w:highlight w:val="none"/>
          <w:u w:val="single"/>
          <w:lang w:val="en-US" w:eastAsia="zh-CN"/>
        </w:rPr>
        <w:t>告</w:t>
      </w:r>
    </w:p>
    <w:p w14:paraId="5A28FC1B">
      <w:pPr>
        <w:pStyle w:val="34"/>
        <w:spacing w:beforeAutospacing="0" w:afterAutospacing="0" w:line="0" w:lineRule="atLeast"/>
        <w:ind w:firstLine="492"/>
        <w:jc w:val="both"/>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提供2025年度，至少提供资产负债表、利润表、现金流量表，</w:t>
      </w:r>
      <w:r>
        <w:rPr>
          <w:rFonts w:hint="eastAsia" w:ascii="宋体" w:hAnsi="宋体" w:eastAsia="宋体" w:cs="宋体"/>
          <w:color w:val="000000"/>
          <w:highlight w:val="none"/>
        </w:rPr>
        <w:t>投标人成立不满一年无需提供</w:t>
      </w:r>
      <w:r>
        <w:rPr>
          <w:rFonts w:hint="eastAsia" w:ascii="宋体" w:hAnsi="宋体" w:eastAsia="宋体" w:cs="宋体"/>
          <w:color w:val="000000"/>
          <w:highlight w:val="none"/>
          <w:lang w:eastAsia="zh-CN"/>
        </w:rPr>
        <w:t>。</w:t>
      </w:r>
    </w:p>
    <w:p w14:paraId="70DD688D">
      <w:pPr>
        <w:pStyle w:val="34"/>
        <w:spacing w:beforeAutospacing="0" w:afterAutospacing="0" w:line="0" w:lineRule="atLeast"/>
        <w:ind w:firstLine="492"/>
        <w:jc w:val="both"/>
        <w:rPr>
          <w:rFonts w:hint="eastAsia" w:ascii="宋体" w:hAnsi="宋体" w:eastAsia="宋体" w:cs="宋体"/>
          <w:color w:val="000000"/>
          <w:highlight w:val="none"/>
          <w:lang w:eastAsia="zh-CN"/>
        </w:rPr>
      </w:pPr>
    </w:p>
    <w:p w14:paraId="655F7140">
      <w:pPr>
        <w:pStyle w:val="44"/>
        <w:rPr>
          <w:rFonts w:hint="eastAsia"/>
          <w:lang w:eastAsia="zh-CN"/>
        </w:rPr>
      </w:pPr>
    </w:p>
    <w:p w14:paraId="033A55A4">
      <w:pPr>
        <w:pStyle w:val="34"/>
        <w:spacing w:beforeAutospacing="0" w:afterAutospacing="0"/>
        <w:jc w:val="both"/>
        <w:rPr>
          <w:highlight w:val="none"/>
        </w:rPr>
      </w:pPr>
      <w:r>
        <w:rPr>
          <w:rFonts w:hint="eastAsia" w:ascii="黑体" w:hAnsi="宋体" w:eastAsia="黑体" w:cs="黑体"/>
          <w:i/>
          <w:color w:val="000000"/>
          <w:sz w:val="32"/>
          <w:szCs w:val="32"/>
          <w:highlight w:val="none"/>
          <w:u w:val="single"/>
          <w:lang w:val="en-US" w:eastAsia="zh-CN"/>
        </w:rPr>
        <w:t>三</w:t>
      </w:r>
      <w:r>
        <w:rPr>
          <w:rFonts w:hint="eastAsia" w:ascii="黑体" w:hAnsi="宋体" w:eastAsia="黑体" w:cs="黑体"/>
          <w:i/>
          <w:color w:val="000000"/>
          <w:sz w:val="32"/>
          <w:szCs w:val="32"/>
          <w:highlight w:val="none"/>
          <w:u w:val="single"/>
        </w:rPr>
        <w:t>、具备履行合同所必需的设备和专业技术能力的书面声明</w:t>
      </w:r>
    </w:p>
    <w:p w14:paraId="003D1B86">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92"/>
        <w:jc w:val="both"/>
        <w:textAlignment w:val="auto"/>
        <w:rPr>
          <w:highlight w:val="none"/>
        </w:rPr>
      </w:pPr>
      <w:r>
        <w:rPr>
          <w:rFonts w:hint="eastAsia" w:ascii="宋体" w:hAnsi="宋体" w:eastAsia="宋体" w:cs="宋体"/>
          <w:color w:val="000000"/>
          <w:highlight w:val="none"/>
        </w:rPr>
        <w:t>我单位郑重声明：我单位具备履行本项采购合同所必需的设备和专业技术能力，为履行本项采购合同我公司具备如下主要设备和主要专业技术能力：</w:t>
      </w:r>
    </w:p>
    <w:p w14:paraId="5082525F">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92"/>
        <w:jc w:val="both"/>
        <w:textAlignment w:val="auto"/>
        <w:rPr>
          <w:highlight w:val="none"/>
        </w:rPr>
      </w:pPr>
      <w:r>
        <w:rPr>
          <w:rFonts w:hint="eastAsia" w:ascii="宋体" w:hAnsi="宋体" w:eastAsia="宋体" w:cs="宋体"/>
          <w:color w:val="000000"/>
          <w:highlight w:val="none"/>
        </w:rPr>
        <w:t>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p w14:paraId="78DEB15D">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eastAsia="宋体"/>
          <w:lang w:val="en-US" w:eastAsia="zh-CN"/>
        </w:rPr>
      </w:pPr>
      <w:r>
        <w:rPr>
          <w:rFonts w:hint="eastAsia" w:ascii="宋体" w:hAnsi="宋体" w:eastAsia="宋体" w:cs="宋体"/>
          <w:color w:val="000000"/>
          <w:highlight w:val="none"/>
        </w:rPr>
        <w:t>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r>
        <w:rPr>
          <w:rFonts w:hint="eastAsia" w:eastAsia="宋体"/>
          <w:lang w:val="en-US" w:eastAsia="zh-CN"/>
        </w:rPr>
        <w:t xml:space="preserve"> </w:t>
      </w:r>
    </w:p>
    <w:p w14:paraId="649F1062">
      <w:pPr>
        <w:pStyle w:val="34"/>
        <w:spacing w:beforeAutospacing="0" w:afterAutospacing="0"/>
        <w:jc w:val="both"/>
        <w:rPr>
          <w:rFonts w:hint="eastAsia" w:ascii="宋体" w:hAnsi="宋体" w:eastAsia="宋体" w:cs="宋体"/>
          <w:color w:val="000000"/>
          <w:highlight w:val="none"/>
        </w:rPr>
      </w:pPr>
    </w:p>
    <w:p w14:paraId="16AB516C">
      <w:pPr>
        <w:pStyle w:val="34"/>
        <w:spacing w:beforeAutospacing="0" w:afterAutospacing="0"/>
        <w:jc w:val="both"/>
        <w:rPr>
          <w:highlight w:val="none"/>
        </w:rPr>
      </w:pPr>
      <w:r>
        <w:rPr>
          <w:rFonts w:hint="eastAsia" w:ascii="黑体" w:hAnsi="宋体" w:eastAsia="黑体" w:cs="黑体"/>
          <w:i/>
          <w:color w:val="000000"/>
          <w:sz w:val="32"/>
          <w:szCs w:val="32"/>
          <w:highlight w:val="none"/>
          <w:u w:val="single"/>
          <w:lang w:val="en-US" w:eastAsia="zh-CN"/>
        </w:rPr>
        <w:t>四</w:t>
      </w:r>
      <w:r>
        <w:rPr>
          <w:rFonts w:hint="eastAsia" w:ascii="黑体" w:hAnsi="宋体" w:eastAsia="黑体" w:cs="黑体"/>
          <w:i/>
          <w:color w:val="000000"/>
          <w:sz w:val="32"/>
          <w:szCs w:val="32"/>
          <w:highlight w:val="none"/>
          <w:u w:val="single"/>
        </w:rPr>
        <w:t>、依法缴纳税收和社会保障资金的相关材料</w:t>
      </w:r>
    </w:p>
    <w:p w14:paraId="00B2F36C">
      <w:pPr>
        <w:pStyle w:val="34"/>
        <w:spacing w:beforeAutospacing="0" w:afterAutospacing="0"/>
        <w:ind w:firstLine="480"/>
        <w:jc w:val="both"/>
        <w:rPr>
          <w:rFonts w:hint="eastAsia" w:ascii="宋体" w:hAnsi="宋体" w:eastAsia="宋体" w:cs="宋体"/>
          <w:color w:val="000000"/>
          <w:highlight w:val="none"/>
        </w:rPr>
      </w:pPr>
      <w:r>
        <w:rPr>
          <w:rFonts w:hint="eastAsia" w:ascii="宋体" w:hAnsi="宋体" w:eastAsia="宋体" w:cs="宋体"/>
          <w:color w:val="000000"/>
          <w:highlight w:val="none"/>
        </w:rPr>
        <w:t>提供提交投标文件截止时间前一年内至少一个月依法缴纳税收及缴纳社会保障资金的证明材料。投标人依法享受缓缴、免缴税收、社会保障资金的提供证明材料。</w:t>
      </w:r>
    </w:p>
    <w:p w14:paraId="5D9E9295">
      <w:pPr>
        <w:pStyle w:val="34"/>
        <w:spacing w:beforeAutospacing="0" w:afterAutospacing="0"/>
        <w:ind w:firstLine="480"/>
        <w:jc w:val="both"/>
        <w:rPr>
          <w:rFonts w:hint="eastAsia" w:ascii="宋体" w:hAnsi="宋体" w:eastAsia="宋体" w:cs="宋体"/>
          <w:color w:val="000000"/>
          <w:highlight w:val="none"/>
        </w:rPr>
      </w:pPr>
    </w:p>
    <w:p w14:paraId="2511A5B9">
      <w:pPr>
        <w:pStyle w:val="34"/>
        <w:spacing w:beforeAutospacing="0" w:afterAutospacing="0"/>
        <w:jc w:val="both"/>
        <w:rPr>
          <w:highlight w:val="none"/>
        </w:rPr>
      </w:pPr>
      <w:r>
        <w:rPr>
          <w:highlight w:val="none"/>
        </w:rPr>
        <w:t> </w:t>
      </w:r>
    </w:p>
    <w:p w14:paraId="226A02E2">
      <w:pPr>
        <w:pStyle w:val="34"/>
        <w:spacing w:beforeAutospacing="0" w:afterAutospacing="0"/>
        <w:jc w:val="both"/>
        <w:rPr>
          <w:highlight w:val="none"/>
        </w:rPr>
      </w:pPr>
      <w:r>
        <w:rPr>
          <w:rFonts w:hint="eastAsia" w:ascii="黑体" w:hAnsi="宋体" w:eastAsia="黑体" w:cs="黑体"/>
          <w:i/>
          <w:color w:val="000000"/>
          <w:sz w:val="32"/>
          <w:szCs w:val="32"/>
          <w:highlight w:val="none"/>
          <w:u w:val="single"/>
        </w:rPr>
        <w:t>五、参加政府采购活动前 3 年内在经营活动中没有重大违法记录的书面声明</w:t>
      </w:r>
    </w:p>
    <w:p w14:paraId="249D499E">
      <w:pPr>
        <w:pStyle w:val="34"/>
        <w:spacing w:beforeAutospacing="0" w:afterAutospacing="0" w:line="0" w:lineRule="atLeast"/>
        <w:jc w:val="both"/>
        <w:rPr>
          <w:rFonts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w:t>
      </w:r>
    </w:p>
    <w:p w14:paraId="061AAED4">
      <w:pPr>
        <w:pStyle w:val="34"/>
        <w:spacing w:beforeAutospacing="0" w:afterAutospacing="0" w:line="0" w:lineRule="atLeast"/>
        <w:ind w:firstLine="3092"/>
        <w:jc w:val="both"/>
        <w:rPr>
          <w:highlight w:val="none"/>
        </w:rPr>
      </w:pPr>
      <w:r>
        <w:rPr>
          <w:rFonts w:hint="eastAsia" w:ascii="宋体" w:hAnsi="宋体" w:eastAsia="宋体" w:cs="宋体"/>
          <w:b/>
          <w:color w:val="000000"/>
          <w:sz w:val="44"/>
          <w:szCs w:val="44"/>
          <w:highlight w:val="none"/>
        </w:rPr>
        <w:t xml:space="preserve"> 声  明</w:t>
      </w:r>
    </w:p>
    <w:p w14:paraId="392066A3">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highlight w:val="none"/>
        </w:rPr>
      </w:pPr>
      <w:r>
        <w:rPr>
          <w:rFonts w:hint="eastAsia" w:ascii="宋体" w:hAnsi="宋体" w:eastAsia="宋体" w:cs="宋体"/>
          <w:color w:val="000000"/>
          <w:highlight w:val="none"/>
        </w:rPr>
        <w:t>我单位郑重声明：参加本次政府采购活动前 3 年内，我单位在经营活动中没有因违法经营受到刑事处罚或者责令停产停业、吊销许可证或者执照、较大数额罚款等行政处罚。</w:t>
      </w:r>
    </w:p>
    <w:p w14:paraId="6AFB730C">
      <w:pPr>
        <w:pStyle w:val="34"/>
        <w:spacing w:beforeAutospacing="0" w:afterAutospacing="0"/>
        <w:jc w:val="both"/>
        <w:rPr>
          <w:rFonts w:hint="eastAsia"/>
        </w:rPr>
      </w:pPr>
    </w:p>
    <w:p w14:paraId="115CAC3D">
      <w:pPr>
        <w:pStyle w:val="34"/>
        <w:spacing w:beforeAutospacing="0" w:afterAutospacing="0"/>
        <w:jc w:val="both"/>
        <w:rPr>
          <w:rFonts w:hint="eastAsia"/>
        </w:rPr>
      </w:pPr>
    </w:p>
    <w:p w14:paraId="6573E419">
      <w:pPr>
        <w:pStyle w:val="34"/>
        <w:spacing w:beforeAutospacing="0" w:afterAutospacing="0"/>
        <w:jc w:val="both"/>
        <w:rPr>
          <w:highlight w:val="none"/>
        </w:rPr>
      </w:pPr>
      <w:r>
        <w:rPr>
          <w:rFonts w:hint="eastAsia" w:ascii="黑体" w:hAnsi="宋体" w:eastAsia="黑体" w:cs="黑体"/>
          <w:i/>
          <w:color w:val="000000"/>
          <w:sz w:val="32"/>
          <w:szCs w:val="32"/>
          <w:highlight w:val="none"/>
          <w:u w:val="single"/>
        </w:rPr>
        <w:t>六、特定资格要求的证明文件</w:t>
      </w:r>
    </w:p>
    <w:p w14:paraId="78AF9AE7">
      <w:pPr>
        <w:pStyle w:val="34"/>
        <w:spacing w:beforeAutospacing="0" w:afterAutospacing="0" w:line="0" w:lineRule="atLeast"/>
        <w:jc w:val="both"/>
        <w:rPr>
          <w:highlight w:val="none"/>
        </w:rPr>
      </w:pPr>
      <w:r>
        <w:rPr>
          <w:rFonts w:hint="eastAsia" w:ascii="宋体" w:hAnsi="宋体" w:eastAsia="宋体" w:cs="宋体"/>
          <w:color w:val="000000"/>
          <w:highlight w:val="none"/>
        </w:rPr>
        <w:t>   如果本项目申请人的特定资格要求中要求提供的，必须提供。</w:t>
      </w:r>
    </w:p>
    <w:p w14:paraId="1F883EF9">
      <w:pPr>
        <w:pStyle w:val="34"/>
        <w:spacing w:beforeAutospacing="0" w:afterAutospacing="0"/>
        <w:jc w:val="center"/>
        <w:rPr>
          <w:rFonts w:ascii="黑体" w:hAnsi="宋体" w:eastAsia="黑体" w:cs="黑体"/>
          <w:i/>
          <w:color w:val="000000"/>
          <w:sz w:val="32"/>
          <w:szCs w:val="32"/>
          <w:highlight w:val="none"/>
          <w:u w:val="single"/>
        </w:rPr>
      </w:pPr>
      <w:bookmarkStart w:id="178" w:name="_Toc120614284"/>
    </w:p>
    <w:p w14:paraId="072A5B0F">
      <w:pPr>
        <w:pStyle w:val="34"/>
        <w:spacing w:beforeAutospacing="0" w:afterAutospacing="0"/>
        <w:jc w:val="center"/>
        <w:rPr>
          <w:rFonts w:ascii="黑体" w:hAnsi="宋体" w:eastAsia="黑体" w:cs="黑体"/>
          <w:i/>
          <w:color w:val="000000"/>
          <w:sz w:val="32"/>
          <w:szCs w:val="32"/>
          <w:highlight w:val="none"/>
          <w:u w:val="single"/>
        </w:rPr>
      </w:pPr>
    </w:p>
    <w:p w14:paraId="53F5B76F">
      <w:pPr>
        <w:pStyle w:val="34"/>
        <w:spacing w:beforeAutospacing="0" w:afterAutospacing="0"/>
        <w:jc w:val="center"/>
        <w:rPr>
          <w:rFonts w:ascii="黑体" w:hAnsi="宋体" w:eastAsia="黑体" w:cs="黑体"/>
          <w:i/>
          <w:color w:val="000000"/>
          <w:sz w:val="32"/>
          <w:szCs w:val="32"/>
          <w:highlight w:val="none"/>
          <w:u w:val="single"/>
        </w:rPr>
      </w:pPr>
    </w:p>
    <w:p w14:paraId="6E9111B7">
      <w:pPr>
        <w:pStyle w:val="34"/>
        <w:spacing w:beforeAutospacing="0" w:afterAutospacing="0"/>
        <w:jc w:val="center"/>
        <w:rPr>
          <w:rFonts w:ascii="黑体" w:hAnsi="宋体" w:eastAsia="黑体" w:cs="黑体"/>
          <w:i/>
          <w:color w:val="000000"/>
          <w:sz w:val="32"/>
          <w:szCs w:val="32"/>
          <w:highlight w:val="none"/>
          <w:u w:val="single"/>
        </w:rPr>
      </w:pPr>
    </w:p>
    <w:p w14:paraId="6EDA681F">
      <w:pPr>
        <w:numPr>
          <w:ilvl w:val="0"/>
          <w:numId w:val="8"/>
        </w:numPr>
        <w:jc w:val="center"/>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t>法人授权书</w:t>
      </w:r>
    </w:p>
    <w:p w14:paraId="3D6C2626">
      <w:pPr>
        <w:numPr>
          <w:ilvl w:val="0"/>
          <w:numId w:val="0"/>
        </w:numPr>
        <w:jc w:val="both"/>
        <w:rPr>
          <w:rFonts w:hint="eastAsia" w:ascii="黑体" w:hAnsi="宋体" w:eastAsia="黑体" w:cs="黑体"/>
          <w:i/>
          <w:color w:val="000000"/>
          <w:sz w:val="32"/>
          <w:szCs w:val="32"/>
          <w:highlight w:val="none"/>
          <w:u w:val="single"/>
        </w:rPr>
      </w:pPr>
    </w:p>
    <w:p w14:paraId="051CADD0">
      <w:pPr>
        <w:pStyle w:val="34"/>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360" w:lineRule="auto"/>
        <w:ind w:firstLine="482"/>
        <w:jc w:val="both"/>
        <w:textAlignment w:val="auto"/>
        <w:rPr>
          <w:highlight w:val="none"/>
        </w:rPr>
      </w:pPr>
      <w:r>
        <w:rPr>
          <w:rFonts w:ascii="Times New Roman" w:hAnsi="Times New Roman"/>
          <w:color w:val="000000"/>
          <w:highlight w:val="none"/>
        </w:rPr>
        <w:t>本授权书声明：____________（投标人名称）授权________________（被授权人的姓名）为我方就</w:t>
      </w:r>
      <w:r>
        <w:rPr>
          <w:rFonts w:ascii="Times New Roman" w:hAnsi="Times New Roman"/>
        </w:rPr>
        <w:t>JSZC-</w:t>
      </w:r>
      <w:r>
        <w:rPr>
          <w:rFonts w:ascii="Times New Roman" w:hAnsi="Times New Roman"/>
          <w:u w:val="single"/>
        </w:rPr>
        <w:t xml:space="preserve">        </w:t>
      </w:r>
      <w:r>
        <w:rPr>
          <w:rFonts w:ascii="Times New Roman" w:hAnsi="Times New Roman"/>
          <w:color w:val="000000"/>
          <w:highlight w:val="none"/>
        </w:rPr>
        <w:t>号________________项目采购活动的合法代理人，以本单位名义全权处理一切与该项目采购有关的事务。</w:t>
      </w:r>
    </w:p>
    <w:p w14:paraId="7525A84A">
      <w:pPr>
        <w:pStyle w:val="34"/>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360" w:lineRule="auto"/>
        <w:ind w:firstLine="482"/>
        <w:jc w:val="both"/>
        <w:textAlignment w:val="auto"/>
        <w:rPr>
          <w:rFonts w:ascii="Times New Roman" w:hAnsi="Times New Roman"/>
          <w:color w:val="000000"/>
          <w:highlight w:val="none"/>
        </w:rPr>
      </w:pPr>
      <w:r>
        <w:rPr>
          <w:rFonts w:ascii="Times New Roman" w:hAnsi="Times New Roman"/>
          <w:color w:val="000000"/>
          <w:highlight w:val="none"/>
        </w:rPr>
        <w:t>本授权书于______年____月____日起生效，特此声明。</w:t>
      </w:r>
    </w:p>
    <w:p w14:paraId="2BD7BF44">
      <w:pPr>
        <w:pStyle w:val="34"/>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360" w:lineRule="auto"/>
        <w:ind w:firstLine="482"/>
        <w:jc w:val="both"/>
        <w:textAlignment w:val="auto"/>
        <w:rPr>
          <w:rFonts w:ascii="Times New Roman" w:hAnsi="Times New Roman"/>
          <w:color w:val="000000"/>
          <w:highlight w:val="none"/>
          <w:u w:val="single"/>
        </w:rPr>
      </w:pPr>
      <w:r>
        <w:rPr>
          <w:rFonts w:ascii="Times New Roman" w:hAnsi="Times New Roman"/>
          <w:color w:val="000000"/>
          <w:highlight w:val="none"/>
        </w:rPr>
        <w:t>被授权人身份证号码：</w:t>
      </w:r>
      <w:r>
        <w:rPr>
          <w:rFonts w:ascii="Times New Roman" w:hAnsi="Times New Roman"/>
          <w:color w:val="000000"/>
          <w:highlight w:val="none"/>
          <w:u w:val="single"/>
        </w:rPr>
        <w:t xml:space="preserve">                              </w:t>
      </w:r>
    </w:p>
    <w:p w14:paraId="59DE71FD">
      <w:pPr>
        <w:pStyle w:val="34"/>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360" w:lineRule="auto"/>
        <w:ind w:firstLine="482"/>
        <w:jc w:val="both"/>
        <w:textAlignment w:val="auto"/>
        <w:rPr>
          <w:rFonts w:ascii="Times New Roman" w:hAnsi="Times New Roman"/>
          <w:color w:val="000000"/>
          <w:highlight w:val="none"/>
          <w:u w:val="single"/>
        </w:rPr>
      </w:pPr>
      <w:r>
        <w:rPr>
          <w:rFonts w:ascii="Times New Roman" w:hAnsi="Times New Roman"/>
          <w:color w:val="000000"/>
          <w:highlight w:val="none"/>
        </w:rPr>
        <w:t>被授权人联系电话：（手机）</w:t>
      </w:r>
      <w:r>
        <w:rPr>
          <w:rFonts w:ascii="Times New Roman" w:hAnsi="Times New Roman"/>
          <w:color w:val="000000"/>
          <w:highlight w:val="none"/>
          <w:u w:val="single"/>
        </w:rPr>
        <w:t xml:space="preserve">                          </w:t>
      </w:r>
    </w:p>
    <w:p w14:paraId="77F247DE">
      <w:pPr>
        <w:pStyle w:val="34"/>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360" w:lineRule="auto"/>
        <w:ind w:firstLine="482"/>
        <w:jc w:val="both"/>
        <w:textAlignment w:val="auto"/>
        <w:rPr>
          <w:rFonts w:ascii="Times New Roman" w:hAnsi="Times New Roman"/>
          <w:color w:val="000000"/>
          <w:highlight w:val="none"/>
          <w:u w:val="single"/>
        </w:rPr>
      </w:pPr>
      <w:r>
        <w:rPr>
          <w:rFonts w:ascii="Times New Roman" w:hAnsi="Times New Roman"/>
          <w:color w:val="000000"/>
          <w:highlight w:val="none"/>
        </w:rPr>
        <w:t>授权单位名称：</w:t>
      </w:r>
      <w:r>
        <w:rPr>
          <w:rFonts w:ascii="Times New Roman" w:hAnsi="Times New Roman"/>
          <w:color w:val="000000"/>
          <w:highlight w:val="none"/>
          <w:u w:val="single"/>
        </w:rPr>
        <w:t>（加盖CA电子公章）</w:t>
      </w:r>
    </w:p>
    <w:p w14:paraId="25B0EFC7">
      <w:pPr>
        <w:pStyle w:val="34"/>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360" w:lineRule="auto"/>
        <w:ind w:firstLine="482"/>
        <w:jc w:val="both"/>
        <w:textAlignment w:val="auto"/>
        <w:rPr>
          <w:rFonts w:ascii="Times New Roman" w:hAnsi="Times New Roman"/>
          <w:color w:val="000000"/>
          <w:highlight w:val="none"/>
          <w:u w:val="single"/>
        </w:rPr>
      </w:pPr>
      <w:r>
        <w:rPr>
          <w:rFonts w:ascii="Times New Roman" w:hAnsi="Times New Roman"/>
          <w:color w:val="000000"/>
          <w:highlight w:val="none"/>
        </w:rPr>
        <w:t>单位地址：</w:t>
      </w:r>
      <w:r>
        <w:rPr>
          <w:rFonts w:ascii="Times New Roman" w:hAnsi="Times New Roman"/>
          <w:color w:val="000000"/>
          <w:highlight w:val="none"/>
          <w:u w:val="single"/>
        </w:rPr>
        <w:t xml:space="preserve">                                         </w:t>
      </w:r>
    </w:p>
    <w:p w14:paraId="195ED7A5">
      <w:pPr>
        <w:pStyle w:val="34"/>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360" w:lineRule="auto"/>
        <w:ind w:firstLine="482"/>
        <w:jc w:val="both"/>
        <w:textAlignment w:val="auto"/>
        <w:rPr>
          <w:highlight w:val="none"/>
        </w:rPr>
      </w:pPr>
      <w:r>
        <w:rPr>
          <w:rFonts w:ascii="Times New Roman" w:hAnsi="Times New Roman"/>
          <w:color w:val="000000"/>
          <w:highlight w:val="none"/>
        </w:rPr>
        <w:t>日期：</w:t>
      </w:r>
      <w:bookmarkStart w:id="179" w:name="_格式3__银行出具的资信证明"/>
      <w:bookmarkStart w:id="180" w:name="_Hlt26955070"/>
      <w:bookmarkStart w:id="181" w:name="_Hlt26671380"/>
      <w:r>
        <w:rPr>
          <w:rFonts w:ascii="Times New Roman" w:hAnsi="Times New Roman"/>
          <w:color w:val="000000"/>
          <w:highlight w:val="none"/>
          <w:u w:val="single"/>
        </w:rPr>
        <w:t xml:space="preserve">                                         </w:t>
      </w:r>
    </w:p>
    <w:p w14:paraId="00B55D0F">
      <w:pPr>
        <w:rPr>
          <w:rFonts w:hint="eastAsia" w:ascii="黑体" w:hAnsi="宋体" w:eastAsia="黑体" w:cs="黑体"/>
          <w:b/>
          <w:i/>
          <w:color w:val="000000"/>
          <w:sz w:val="32"/>
          <w:szCs w:val="32"/>
          <w:highlight w:val="none"/>
          <w:u w:val="single"/>
        </w:rPr>
      </w:pPr>
      <w:r>
        <w:rPr>
          <w:rFonts w:hint="eastAsia" w:ascii="黑体" w:hAnsi="宋体" w:eastAsia="黑体" w:cs="黑体"/>
          <w:b/>
          <w:i/>
          <w:color w:val="000000"/>
          <w:sz w:val="32"/>
          <w:szCs w:val="32"/>
          <w:highlight w:val="none"/>
          <w:u w:val="single"/>
        </w:rPr>
        <w:br w:type="page" w:clear="all"/>
      </w:r>
    </w:p>
    <w:p w14:paraId="4B81E3FF">
      <w:pPr>
        <w:pStyle w:val="34"/>
        <w:keepNext/>
        <w:keepLines/>
        <w:spacing w:before="260" w:beforeAutospacing="0" w:after="260" w:afterAutospacing="0" w:line="415" w:lineRule="auto"/>
        <w:ind w:firstLine="3390"/>
        <w:jc w:val="both"/>
        <w:rPr>
          <w:highlight w:val="none"/>
        </w:rPr>
      </w:pPr>
      <w:r>
        <w:rPr>
          <w:rFonts w:hint="eastAsia" w:ascii="黑体" w:hAnsi="宋体" w:eastAsia="黑体" w:cs="黑体"/>
          <w:b/>
          <w:i/>
          <w:color w:val="000000"/>
          <w:sz w:val="32"/>
          <w:szCs w:val="32"/>
          <w:highlight w:val="none"/>
          <w:u w:val="single"/>
        </w:rPr>
        <w:t>八、投标函</w:t>
      </w:r>
    </w:p>
    <w:p w14:paraId="6FC379AB">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default" w:eastAsia="宋体"/>
          <w:highlight w:val="none"/>
          <w:lang w:val="en-US" w:eastAsia="zh-CN"/>
        </w:rPr>
      </w:pPr>
      <w:r>
        <w:rPr>
          <w:rFonts w:hint="eastAsia" w:ascii="宋体" w:hAnsi="宋体" w:eastAsia="宋体" w:cs="宋体"/>
          <w:color w:val="000000"/>
          <w:highlight w:val="none"/>
        </w:rPr>
        <w:t>致：</w:t>
      </w:r>
      <w:r>
        <w:rPr>
          <w:rFonts w:hint="eastAsia" w:ascii="宋体" w:hAnsi="宋体" w:eastAsia="宋体" w:cs="宋体"/>
        </w:rPr>
        <w:t>滨海县城市管理局</w:t>
      </w:r>
    </w:p>
    <w:p w14:paraId="4215D982">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highlight w:val="none"/>
        </w:rPr>
      </w:pPr>
      <w:r>
        <w:rPr>
          <w:rFonts w:hint="eastAsia" w:ascii="宋体" w:hAnsi="宋体" w:eastAsia="宋体" w:cs="宋体"/>
          <w:color w:val="000000"/>
          <w:highlight w:val="none"/>
        </w:rPr>
        <w:t>根据贵方的</w:t>
      </w:r>
      <w:r>
        <w:rPr>
          <w:rFonts w:hint="eastAsia" w:ascii="宋体" w:hAnsi="宋体" w:eastAsia="宋体" w:cs="宋体"/>
          <w:u w:val="single"/>
        </w:rPr>
        <w:t>JSZC-</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号招标文件，正式授权下述签字人</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(姓名)代表我方</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（投标人的名称），全权处理本次项目投标的有关事宜。</w:t>
      </w:r>
    </w:p>
    <w:p w14:paraId="709AD83A">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highlight w:val="none"/>
        </w:rPr>
      </w:pPr>
      <w:r>
        <w:rPr>
          <w:rFonts w:hint="eastAsia" w:ascii="宋体" w:hAnsi="宋体" w:eastAsia="宋体" w:cs="宋体"/>
          <w:color w:val="000000"/>
          <w:highlight w:val="none"/>
        </w:rPr>
        <w:t>据此函，</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签字人兹宣布同意如下：</w:t>
      </w:r>
    </w:p>
    <w:p w14:paraId="467DE771">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highlight w:val="none"/>
        </w:rPr>
      </w:pPr>
      <w:r>
        <w:rPr>
          <w:rFonts w:hint="eastAsia" w:ascii="宋体" w:hAnsi="宋体" w:eastAsia="宋体" w:cs="宋体"/>
          <w:color w:val="000000"/>
          <w:highlight w:val="none"/>
        </w:rPr>
        <w:t>1.按招标文件规定的各项要求，向买方提供所需服务（包含与服务相关的货物）。</w:t>
      </w:r>
    </w:p>
    <w:p w14:paraId="0DC3E996">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highlight w:val="none"/>
        </w:rPr>
      </w:pPr>
      <w:r>
        <w:rPr>
          <w:rFonts w:hint="eastAsia" w:ascii="宋体" w:hAnsi="宋体" w:eastAsia="宋体" w:cs="宋体"/>
          <w:color w:val="000000"/>
          <w:highlight w:val="none"/>
        </w:rPr>
        <w:t>2.我们完全理解贵方不一定将合同授予最低报价的投标人。</w:t>
      </w:r>
    </w:p>
    <w:p w14:paraId="6BB1CC03">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highlight w:val="none"/>
        </w:rPr>
      </w:pPr>
      <w:r>
        <w:rPr>
          <w:rFonts w:hint="eastAsia" w:ascii="宋体" w:hAnsi="宋体" w:eastAsia="宋体" w:cs="宋体"/>
          <w:color w:val="000000"/>
          <w:highlight w:val="none"/>
        </w:rPr>
        <w:t>3.我们已详细审核全部招标文件及其有效补充文件，我们知道必须放弃提出含糊不清或误解问题的权利。</w:t>
      </w:r>
    </w:p>
    <w:p w14:paraId="53CF6ADF">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highlight w:val="none"/>
        </w:rPr>
      </w:pPr>
      <w:r>
        <w:rPr>
          <w:rFonts w:hint="eastAsia" w:ascii="宋体" w:hAnsi="宋体" w:eastAsia="宋体" w:cs="宋体"/>
          <w:color w:val="000000"/>
          <w:highlight w:val="none"/>
        </w:rPr>
        <w:t>4.我们同意从规定的开标日期起遵循本投标文件，并在规定的投标有效期期满之前均具有约束力。</w:t>
      </w:r>
    </w:p>
    <w:p w14:paraId="0F65C488">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highlight w:val="none"/>
        </w:rPr>
      </w:pPr>
      <w:r>
        <w:rPr>
          <w:rFonts w:hint="eastAsia" w:ascii="宋体" w:hAnsi="宋体" w:eastAsia="宋体" w:cs="宋体"/>
          <w:color w:val="000000"/>
          <w:highlight w:val="none"/>
        </w:rPr>
        <w:t>5.同意向贵方提供贵方可能另外要求的与投标有关的任何证据或资料，并保证我方已提供和将要提供的文件是真实的、准确的。</w:t>
      </w:r>
    </w:p>
    <w:p w14:paraId="6717C094">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highlight w:val="none"/>
        </w:rPr>
      </w:pPr>
      <w:r>
        <w:rPr>
          <w:rFonts w:hint="eastAsia" w:ascii="宋体" w:hAnsi="宋体" w:eastAsia="宋体" w:cs="宋体"/>
          <w:color w:val="000000"/>
          <w:highlight w:val="none"/>
        </w:rPr>
        <w:t>6.一旦我方中标,我方将根据招标文件的规定，严格履行合同的责任和义务,并保证在招标文件规定的时间完成项目，交付买方验收、使用。</w:t>
      </w:r>
    </w:p>
    <w:p w14:paraId="5C72B4DB">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5"/>
        <w:textAlignment w:val="auto"/>
        <w:rPr>
          <w:highlight w:val="none"/>
        </w:rPr>
      </w:pPr>
      <w:r>
        <w:rPr>
          <w:rFonts w:hint="eastAsia" w:ascii="宋体" w:hAnsi="宋体" w:eastAsia="宋体" w:cs="宋体"/>
          <w:color w:val="000000"/>
          <w:highlight w:val="none"/>
        </w:rPr>
        <w:t>7.与本投标有关的正式通讯地址为：</w:t>
      </w:r>
    </w:p>
    <w:p w14:paraId="142A4967">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highlight w:val="none"/>
        </w:rPr>
      </w:pPr>
      <w:r>
        <w:rPr>
          <w:rFonts w:hint="eastAsia" w:ascii="宋体" w:hAnsi="宋体" w:eastAsia="宋体" w:cs="宋体"/>
          <w:color w:val="000000"/>
          <w:highlight w:val="none"/>
        </w:rPr>
        <w:t>地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址：</w:t>
      </w:r>
    </w:p>
    <w:p w14:paraId="2A82EBBB">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highlight w:val="none"/>
        </w:rPr>
      </w:pPr>
      <w:r>
        <w:rPr>
          <w:rFonts w:hint="eastAsia" w:ascii="宋体" w:hAnsi="宋体" w:eastAsia="宋体" w:cs="宋体"/>
          <w:color w:val="000000"/>
          <w:highlight w:val="none"/>
        </w:rPr>
        <w:t>邮    编：</w:t>
      </w:r>
    </w:p>
    <w:p w14:paraId="4A678B94">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highlight w:val="none"/>
        </w:rPr>
      </w:pPr>
      <w:r>
        <w:rPr>
          <w:rFonts w:hint="eastAsia" w:ascii="宋体" w:hAnsi="宋体" w:eastAsia="宋体" w:cs="宋体"/>
          <w:color w:val="000000"/>
          <w:highlight w:val="none"/>
        </w:rPr>
        <w:t>电    话：</w:t>
      </w:r>
    </w:p>
    <w:p w14:paraId="5467E88B">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highlight w:val="none"/>
        </w:rPr>
      </w:pPr>
      <w:r>
        <w:rPr>
          <w:rFonts w:hint="eastAsia" w:ascii="宋体" w:hAnsi="宋体" w:eastAsia="宋体" w:cs="宋体"/>
          <w:color w:val="000000"/>
          <w:highlight w:val="none"/>
        </w:rPr>
        <w:t>传    真：</w:t>
      </w:r>
    </w:p>
    <w:p w14:paraId="167B0769">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highlight w:val="none"/>
        </w:rPr>
      </w:pPr>
      <w:r>
        <w:rPr>
          <w:rFonts w:hint="eastAsia" w:ascii="宋体" w:hAnsi="宋体" w:eastAsia="宋体" w:cs="宋体"/>
          <w:color w:val="000000"/>
          <w:highlight w:val="none"/>
        </w:rPr>
        <w:t>投标人开户行：</w:t>
      </w:r>
    </w:p>
    <w:p w14:paraId="6C839041">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highlight w:val="none"/>
        </w:rPr>
      </w:pPr>
      <w:r>
        <w:rPr>
          <w:rFonts w:hint="eastAsia" w:ascii="宋体" w:hAnsi="宋体" w:eastAsia="宋体" w:cs="宋体"/>
          <w:color w:val="000000"/>
          <w:highlight w:val="none"/>
        </w:rPr>
        <w:t xml:space="preserve">账    号： </w:t>
      </w:r>
    </w:p>
    <w:p w14:paraId="6AD7CE0C">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highlight w:val="none"/>
        </w:rPr>
      </w:pPr>
      <w:r>
        <w:rPr>
          <w:rFonts w:hint="eastAsia" w:ascii="宋体" w:hAnsi="宋体" w:eastAsia="宋体" w:cs="宋体"/>
          <w:color w:val="000000"/>
          <w:highlight w:val="none"/>
        </w:rPr>
        <w:t>日    期：________年____月____日</w:t>
      </w:r>
    </w:p>
    <w:p w14:paraId="2712F9C4">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p>
    <w:p w14:paraId="25DFE974">
      <w:pPr>
        <w:pStyle w:val="34"/>
        <w:spacing w:beforeAutospacing="0" w:afterAutospacing="0" w:line="0" w:lineRule="atLeast"/>
        <w:ind w:firstLine="240"/>
        <w:jc w:val="center"/>
        <w:rPr>
          <w:color w:val="auto"/>
          <w:highlight w:val="none"/>
        </w:rPr>
      </w:pPr>
      <w:r>
        <w:rPr>
          <w:rFonts w:hint="eastAsia" w:ascii="黑体" w:hAnsi="宋体" w:eastAsia="黑体" w:cs="黑体"/>
          <w:b/>
          <w:color w:val="auto"/>
          <w:sz w:val="32"/>
          <w:szCs w:val="32"/>
          <w:highlight w:val="none"/>
        </w:rPr>
        <w:t>九、</w:t>
      </w:r>
      <w:r>
        <w:rPr>
          <w:rFonts w:hint="eastAsia" w:ascii="黑体" w:hAnsi="宋体" w:eastAsia="黑体" w:cs="黑体"/>
          <w:b/>
          <w:color w:val="auto"/>
          <w:sz w:val="32"/>
          <w:szCs w:val="32"/>
          <w:highlight w:val="none"/>
          <w:lang w:val="en-US" w:eastAsia="zh-CN"/>
        </w:rPr>
        <w:t>中小</w:t>
      </w:r>
      <w:r>
        <w:rPr>
          <w:rFonts w:hint="eastAsia" w:ascii="黑体" w:hAnsi="宋体" w:eastAsia="黑体" w:cs="黑体"/>
          <w:b/>
          <w:color w:val="auto"/>
          <w:sz w:val="32"/>
          <w:szCs w:val="32"/>
          <w:highlight w:val="none"/>
        </w:rPr>
        <w:t>企业声明函（</w:t>
      </w:r>
      <w:r>
        <w:rPr>
          <w:rFonts w:hint="eastAsia" w:ascii="黑体" w:hAnsi="宋体" w:eastAsia="黑体" w:cs="黑体"/>
          <w:b/>
          <w:color w:val="auto"/>
          <w:sz w:val="32"/>
          <w:szCs w:val="32"/>
          <w:highlight w:val="none"/>
          <w:lang w:val="en-US" w:eastAsia="zh-CN"/>
        </w:rPr>
        <w:t>服务</w:t>
      </w:r>
      <w:r>
        <w:rPr>
          <w:rFonts w:hint="eastAsia" w:ascii="黑体" w:hAnsi="宋体" w:eastAsia="黑体" w:cs="黑体"/>
          <w:b/>
          <w:color w:val="auto"/>
          <w:sz w:val="32"/>
          <w:szCs w:val="32"/>
          <w:highlight w:val="none"/>
        </w:rPr>
        <w:t>）</w:t>
      </w:r>
    </w:p>
    <w:p w14:paraId="62F895FB">
      <w:pPr>
        <w:spacing w:line="500" w:lineRule="exact"/>
        <w:ind w:firstLine="480"/>
        <w:jc w:val="both"/>
        <w:rPr>
          <w:rFonts w:hint="eastAsia"/>
          <w:color w:val="auto"/>
          <w:sz w:val="24"/>
          <w:highlight w:val="none"/>
        </w:rPr>
      </w:pPr>
      <w:r>
        <w:rPr>
          <w:rFonts w:hint="eastAsia"/>
          <w:color w:val="auto"/>
          <w:sz w:val="24"/>
          <w:highlight w:val="none"/>
        </w:rPr>
        <w:t>本公司（联合体）郑重声明，根据《政府采购促进中小企业发展管理办法》（财库﹝2020﹞46 号）的规定，本公司（联合体）参加</w:t>
      </w:r>
      <w:r>
        <w:rPr>
          <w:rFonts w:hint="eastAsia" w:ascii="宋体" w:hAnsi="宋体" w:eastAsia="宋体" w:cs="宋体"/>
          <w:bCs/>
          <w:sz w:val="24"/>
          <w:u w:val="single"/>
          <w:lang w:val="en-US" w:eastAsia="zh-CN"/>
        </w:rPr>
        <w:t>滨海县城市管理局</w:t>
      </w:r>
      <w:r>
        <w:rPr>
          <w:rFonts w:hint="eastAsia" w:ascii="宋体" w:hAnsi="宋体" w:eastAsia="宋体" w:cs="宋体"/>
          <w:bCs/>
          <w:sz w:val="24"/>
          <w:u w:val="none"/>
          <w:lang w:val="en-US" w:eastAsia="zh-CN"/>
        </w:rPr>
        <w:t>单位的</w:t>
      </w:r>
      <w:r>
        <w:rPr>
          <w:rFonts w:hint="eastAsia"/>
          <w:color w:val="auto"/>
          <w:sz w:val="24"/>
          <w:highlight w:val="none"/>
        </w:rPr>
        <w:t>采购编号</w:t>
      </w:r>
      <w:r>
        <w:rPr>
          <w:rFonts w:hint="eastAsia" w:ascii="宋体" w:hAnsi="宋体" w:eastAsia="宋体" w:cs="宋体"/>
          <w:sz w:val="22"/>
          <w:szCs w:val="28"/>
          <w:u w:val="single"/>
          <w:lang w:eastAsia="zh-CN"/>
        </w:rPr>
        <w:t>JSZC-320922-JSQG-G2026-0003</w:t>
      </w:r>
      <w:r>
        <w:rPr>
          <w:rFonts w:hint="eastAsia"/>
          <w:color w:val="auto"/>
          <w:sz w:val="24"/>
          <w:highlight w:val="none"/>
          <w:lang w:val="en-US" w:eastAsia="zh-CN"/>
        </w:rPr>
        <w:t>的</w:t>
      </w:r>
      <w:r>
        <w:rPr>
          <w:rFonts w:hint="eastAsia" w:ascii="宋体" w:hAnsi="宋体" w:eastAsia="宋体" w:cs="宋体"/>
          <w:bCs/>
          <w:sz w:val="24"/>
          <w:u w:val="single"/>
          <w:lang w:val="en-US" w:eastAsia="zh-CN"/>
        </w:rPr>
        <w:t>县城照明设备及楼宇亮化维护服务（二次）</w:t>
      </w:r>
      <w:r>
        <w:rPr>
          <w:rFonts w:hint="eastAsia"/>
          <w:color w:val="auto"/>
          <w:sz w:val="24"/>
          <w:highlight w:val="none"/>
        </w:rPr>
        <w:t>的采购活动，</w:t>
      </w:r>
      <w:r>
        <w:rPr>
          <w:rFonts w:hint="eastAsia"/>
          <w:color w:val="auto"/>
          <w:sz w:val="24"/>
          <w:highlight w:val="none"/>
          <w:lang w:val="en-US" w:eastAsia="zh-CN"/>
        </w:rPr>
        <w:t>服务</w:t>
      </w:r>
      <w:r>
        <w:rPr>
          <w:rFonts w:hint="eastAsia"/>
          <w:color w:val="auto"/>
          <w:sz w:val="24"/>
          <w:highlight w:val="none"/>
        </w:rPr>
        <w:t>全部由符合政策要求的中小企业承接。相关企业（含联合体中的中小企业、签订分包意向协议的中小企业）的具体情况如下：</w:t>
      </w:r>
    </w:p>
    <w:p w14:paraId="32604D9A">
      <w:pPr>
        <w:numPr>
          <w:ilvl w:val="0"/>
          <w:numId w:val="9"/>
        </w:numPr>
        <w:spacing w:line="500" w:lineRule="exact"/>
        <w:ind w:firstLine="48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3D87CF61">
      <w:pPr>
        <w:numPr>
          <w:ilvl w:val="0"/>
          <w:numId w:val="0"/>
        </w:numPr>
        <w:spacing w:line="500" w:lineRule="exact"/>
        <w:ind w:firstLine="48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0D10BB46">
      <w:pPr>
        <w:numPr>
          <w:ilvl w:val="0"/>
          <w:numId w:val="0"/>
        </w:numPr>
        <w:spacing w:line="500" w:lineRule="exact"/>
        <w:ind w:firstLine="480"/>
        <w:jc w:val="both"/>
        <w:rPr>
          <w:rFonts w:hint="eastAsia"/>
          <w:color w:val="auto"/>
          <w:sz w:val="24"/>
          <w:highlight w:val="none"/>
        </w:rPr>
      </w:pPr>
      <w:r>
        <w:rPr>
          <w:rFonts w:hint="eastAsia"/>
          <w:color w:val="auto"/>
          <w:sz w:val="24"/>
          <w:highlight w:val="none"/>
        </w:rPr>
        <w:t>……</w:t>
      </w:r>
    </w:p>
    <w:p w14:paraId="0327D789">
      <w:pPr>
        <w:numPr>
          <w:ilvl w:val="0"/>
          <w:numId w:val="0"/>
        </w:numPr>
        <w:spacing w:line="500" w:lineRule="exact"/>
        <w:ind w:firstLine="480"/>
        <w:jc w:val="both"/>
        <w:rPr>
          <w:rFonts w:hint="eastAsia"/>
          <w:color w:val="auto"/>
          <w:sz w:val="24"/>
          <w:highlight w:val="none"/>
        </w:rPr>
      </w:pPr>
      <w:r>
        <w:rPr>
          <w:rFonts w:hint="eastAsia"/>
          <w:color w:val="auto"/>
          <w:sz w:val="24"/>
          <w:highlight w:val="none"/>
        </w:rPr>
        <w:t>以上企业，不属于大企业的分支机构，不存在控股股东为大企业的情形，也不存在与大企业的负责人为同一人的情形。</w:t>
      </w:r>
    </w:p>
    <w:p w14:paraId="34E99482">
      <w:pPr>
        <w:numPr>
          <w:ilvl w:val="0"/>
          <w:numId w:val="0"/>
        </w:numPr>
        <w:spacing w:line="500" w:lineRule="exact"/>
        <w:ind w:firstLine="480"/>
        <w:jc w:val="both"/>
        <w:rPr>
          <w:rFonts w:hint="eastAsia"/>
          <w:color w:val="auto"/>
          <w:sz w:val="24"/>
          <w:highlight w:val="none"/>
        </w:rPr>
      </w:pPr>
      <w:r>
        <w:rPr>
          <w:rFonts w:hint="eastAsia"/>
          <w:color w:val="auto"/>
          <w:sz w:val="24"/>
          <w:highlight w:val="none"/>
        </w:rPr>
        <w:t>本企业对上述声明内容的真实性负责。如有虚假，将依法承担相应责任。</w:t>
      </w:r>
    </w:p>
    <w:p w14:paraId="26B503E2">
      <w:pPr>
        <w:pStyle w:val="34"/>
        <w:spacing w:beforeAutospacing="0" w:afterAutospacing="0" w:line="0" w:lineRule="atLeast"/>
        <w:ind w:right="720"/>
        <w:jc w:val="both"/>
        <w:rPr>
          <w:color w:val="auto"/>
          <w:highlight w:val="none"/>
        </w:rPr>
      </w:pPr>
      <w:r>
        <w:rPr>
          <w:color w:val="auto"/>
          <w:highlight w:val="none"/>
        </w:rPr>
        <w:t> </w:t>
      </w:r>
    </w:p>
    <w:p w14:paraId="43BC1897">
      <w:pPr>
        <w:pStyle w:val="34"/>
        <w:spacing w:beforeAutospacing="0" w:afterAutospacing="0" w:line="0" w:lineRule="atLeast"/>
        <w:ind w:right="180" w:firstLine="360"/>
        <w:jc w:val="right"/>
        <w:rPr>
          <w:color w:val="auto"/>
          <w:highlight w:val="none"/>
        </w:rPr>
      </w:pPr>
      <w:r>
        <w:rPr>
          <w:rFonts w:hint="eastAsia" w:ascii="宋体" w:hAnsi="宋体" w:eastAsia="宋体" w:cs="宋体"/>
          <w:color w:val="auto"/>
          <w:highlight w:val="none"/>
        </w:rPr>
        <w:t>企业名称（加盖CA电子公章）：</w:t>
      </w:r>
    </w:p>
    <w:p w14:paraId="5623B4EA">
      <w:pPr>
        <w:pStyle w:val="34"/>
        <w:spacing w:beforeAutospacing="0" w:afterAutospacing="0" w:line="0" w:lineRule="atLeast"/>
        <w:ind w:right="480" w:firstLine="5400"/>
        <w:jc w:val="both"/>
        <w:rPr>
          <w:color w:val="auto"/>
          <w:highlight w:val="none"/>
        </w:rPr>
      </w:pPr>
      <w:r>
        <w:rPr>
          <w:rFonts w:hint="eastAsia" w:ascii="宋体" w:hAnsi="宋体" w:eastAsia="宋体" w:cs="宋体"/>
          <w:color w:val="auto"/>
          <w:highlight w:val="none"/>
        </w:rPr>
        <w:t>日  期：</w:t>
      </w:r>
    </w:p>
    <w:p w14:paraId="535F4121">
      <w:pPr>
        <w:pStyle w:val="34"/>
        <w:spacing w:beforeAutospacing="0" w:afterAutospacing="0" w:line="0" w:lineRule="atLeast"/>
        <w:ind w:firstLine="240"/>
        <w:jc w:val="both"/>
        <w:rPr>
          <w:color w:val="auto"/>
          <w:highlight w:val="none"/>
        </w:rPr>
      </w:pPr>
      <w:r>
        <w:rPr>
          <w:color w:val="auto"/>
          <w:highlight w:val="none"/>
        </w:rPr>
        <w:t> </w:t>
      </w:r>
    </w:p>
    <w:p w14:paraId="7823A5CC">
      <w:pPr>
        <w:pStyle w:val="34"/>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33189E75">
      <w:pPr>
        <w:pStyle w:val="34"/>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备注2：供应商如不提供此声明函，价格将不做相应扣除</w:t>
      </w:r>
      <w:r>
        <w:rPr>
          <w:rFonts w:hint="eastAsia" w:ascii="宋体" w:hAnsi="宋体" w:eastAsia="宋体" w:cs="宋体"/>
          <w:color w:val="auto"/>
          <w:highlight w:val="none"/>
          <w:lang w:eastAsia="zh-CN"/>
        </w:rPr>
        <w:t>（如项目全面面向中小企业，则资格审查不通过）</w:t>
      </w:r>
      <w:r>
        <w:rPr>
          <w:rFonts w:hint="eastAsia" w:ascii="宋体" w:hAnsi="宋体" w:eastAsia="宋体" w:cs="宋体"/>
          <w:color w:val="auto"/>
          <w:highlight w:val="none"/>
        </w:rPr>
        <w:t>。</w:t>
      </w:r>
    </w:p>
    <w:p w14:paraId="5DA7B4D1">
      <w:pPr>
        <w:pStyle w:val="34"/>
        <w:spacing w:beforeAutospacing="0" w:afterAutospacing="0" w:line="0" w:lineRule="atLeast"/>
        <w:jc w:val="center"/>
        <w:rPr>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000000"/>
          <w:sz w:val="32"/>
          <w:szCs w:val="32"/>
          <w:highlight w:val="none"/>
        </w:rPr>
        <w:t>十、残疾人福利性单位声明函</w:t>
      </w:r>
    </w:p>
    <w:p w14:paraId="40AD2CD4">
      <w:pPr>
        <w:pStyle w:val="34"/>
        <w:spacing w:beforeAutospacing="0" w:afterAutospacing="0" w:line="0" w:lineRule="atLeast"/>
        <w:ind w:firstLine="480"/>
        <w:jc w:val="both"/>
        <w:rPr>
          <w:highlight w:val="none"/>
        </w:rPr>
      </w:pPr>
      <w:r>
        <w:rPr>
          <w:rFonts w:hint="eastAsia" w:ascii="宋体" w:hAnsi="宋体" w:eastAsia="宋体" w:cs="宋体"/>
          <w:color w:val="000000"/>
          <w:highlight w:val="none"/>
        </w:rPr>
        <w:t>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〔2017〕141号</w:t>
      </w:r>
      <w:r>
        <w:rPr>
          <w:rFonts w:hint="eastAsia" w:ascii="宋体" w:hAnsi="宋体" w:eastAsia="宋体" w:cs="宋体"/>
          <w:color w:val="000000"/>
          <w:highlight w:val="none"/>
        </w:rPr>
        <w:t>）的规定，本单位为符合条件的残疾人福利性单位，且本单位参加</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单位的采购文件编号为</w:t>
      </w:r>
      <w:r>
        <w:rPr>
          <w:rFonts w:hint="eastAsia" w:ascii="宋体" w:hAnsi="宋体" w:eastAsia="宋体" w:cs="宋体"/>
          <w:color w:val="000000"/>
          <w:highlight w:val="none"/>
          <w:u w:val="single"/>
          <w:lang w:eastAsia="zh-CN"/>
        </w:rPr>
        <w:t>JSZC-320922-JSQG-G2026-0003</w:t>
      </w:r>
      <w:r>
        <w:rPr>
          <w:rFonts w:hint="eastAsia" w:ascii="宋体" w:hAnsi="宋体" w:eastAsia="宋体" w:cs="宋体"/>
          <w:color w:val="000000"/>
          <w:highlight w:val="none"/>
        </w:rPr>
        <w:t>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项目（分包号：**）采购活动由本单位提供服务。</w:t>
      </w:r>
    </w:p>
    <w:p w14:paraId="7214428A">
      <w:pPr>
        <w:pStyle w:val="34"/>
        <w:spacing w:beforeAutospacing="0" w:afterAutospacing="0" w:line="0" w:lineRule="atLeast"/>
        <w:ind w:firstLine="480"/>
        <w:jc w:val="both"/>
        <w:rPr>
          <w:highlight w:val="none"/>
        </w:rPr>
      </w:pPr>
      <w:r>
        <w:rPr>
          <w:rFonts w:hint="eastAsia" w:ascii="宋体" w:hAnsi="宋体" w:eastAsia="宋体" w:cs="宋体"/>
          <w:color w:val="000000"/>
          <w:highlight w:val="none"/>
        </w:rPr>
        <w:t>本单位对上述声明的真实性负责。如有虚假，将依法承担相应责任。</w:t>
      </w:r>
    </w:p>
    <w:p w14:paraId="13451427">
      <w:pPr>
        <w:pStyle w:val="34"/>
        <w:spacing w:beforeAutospacing="0" w:afterAutospacing="0" w:line="0" w:lineRule="atLeast"/>
        <w:ind w:firstLine="480"/>
        <w:jc w:val="both"/>
        <w:rPr>
          <w:highlight w:val="none"/>
        </w:rPr>
      </w:pPr>
      <w:r>
        <w:rPr>
          <w:highlight w:val="none"/>
        </w:rPr>
        <w:t> </w:t>
      </w:r>
    </w:p>
    <w:p w14:paraId="2FAF371E">
      <w:pPr>
        <w:pStyle w:val="34"/>
        <w:spacing w:beforeAutospacing="0" w:afterAutospacing="0" w:line="0" w:lineRule="atLeast"/>
        <w:ind w:firstLine="480"/>
        <w:jc w:val="both"/>
        <w:rPr>
          <w:rFonts w:hint="eastAsia" w:eastAsia="宋体"/>
          <w:highlight w:val="none"/>
          <w:lang w:eastAsia="zh-CN"/>
        </w:rPr>
      </w:pPr>
      <w:r>
        <w:rPr>
          <w:rFonts w:hint="eastAsia" w:ascii="宋体" w:hAnsi="宋体" w:eastAsia="宋体" w:cs="宋体"/>
          <w:color w:val="000000"/>
          <w:highlight w:val="none"/>
        </w:rPr>
        <w:t>备注：1、供应商如不提供此声明函，价格将不做相应扣除</w:t>
      </w:r>
      <w:r>
        <w:rPr>
          <w:rFonts w:hint="eastAsia" w:ascii="宋体" w:hAnsi="宋体" w:eastAsia="宋体" w:cs="宋体"/>
          <w:color w:val="000000"/>
          <w:highlight w:val="none"/>
          <w:lang w:eastAsia="zh-CN"/>
        </w:rPr>
        <w:t>（如项目全面面向中小企业，则资格审查不通过）。</w:t>
      </w:r>
    </w:p>
    <w:p w14:paraId="29CEDC66">
      <w:pPr>
        <w:pStyle w:val="34"/>
        <w:spacing w:beforeAutospacing="0" w:afterAutospacing="0" w:line="0" w:lineRule="atLeast"/>
        <w:ind w:firstLine="480"/>
        <w:jc w:val="both"/>
        <w:rPr>
          <w:highlight w:val="none"/>
        </w:rPr>
      </w:pPr>
      <w:r>
        <w:rPr>
          <w:rFonts w:hint="eastAsia" w:ascii="宋体" w:hAnsi="宋体" w:eastAsia="宋体" w:cs="宋体"/>
          <w:color w:val="000000"/>
          <w:highlight w:val="none"/>
        </w:rPr>
        <w:t>2、中标人为残疾人福利单位的，此声明函将随中标结果同时公告，接受社会监督</w:t>
      </w:r>
    </w:p>
    <w:p w14:paraId="20641D17">
      <w:pPr>
        <w:pStyle w:val="34"/>
        <w:spacing w:beforeAutospacing="0" w:afterAutospacing="0" w:line="0" w:lineRule="atLeast"/>
        <w:ind w:firstLine="624"/>
        <w:jc w:val="both"/>
        <w:rPr>
          <w:highlight w:val="none"/>
        </w:rPr>
      </w:pPr>
      <w:r>
        <w:rPr>
          <w:highlight w:val="none"/>
        </w:rPr>
        <w:t> </w:t>
      </w:r>
    </w:p>
    <w:p w14:paraId="707517C5">
      <w:pPr>
        <w:pStyle w:val="34"/>
        <w:tabs>
          <w:tab w:val="left" w:pos="4864"/>
        </w:tabs>
        <w:spacing w:beforeAutospacing="0" w:afterAutospacing="0" w:line="0" w:lineRule="atLeast"/>
        <w:ind w:right="200" w:rightChars="0" w:firstLine="624"/>
        <w:jc w:val="center"/>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供应商全称（加盖CA电子公章）：</w:t>
      </w:r>
    </w:p>
    <w:p w14:paraId="6A7CD415">
      <w:pPr>
        <w:pStyle w:val="34"/>
        <w:tabs>
          <w:tab w:val="left" w:pos="4864"/>
        </w:tabs>
        <w:spacing w:beforeAutospacing="0" w:afterAutospacing="0" w:line="0" w:lineRule="atLeast"/>
        <w:ind w:right="1560" w:firstLine="480"/>
        <w:jc w:val="center"/>
        <w:rPr>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日  期：</w:t>
      </w:r>
    </w:p>
    <w:p w14:paraId="379F2FFA">
      <w:pPr>
        <w:pStyle w:val="34"/>
        <w:spacing w:beforeAutospacing="0" w:afterAutospacing="0" w:line="0" w:lineRule="atLeast"/>
        <w:jc w:val="center"/>
        <w:rPr>
          <w:highlight w:val="none"/>
        </w:rPr>
      </w:pPr>
      <w:r>
        <w:rPr>
          <w:highlight w:val="none"/>
        </w:rPr>
        <w:t> </w:t>
      </w:r>
    </w:p>
    <w:p w14:paraId="23155AE1">
      <w:pPr>
        <w:rPr>
          <w:highlight w:val="none"/>
        </w:rPr>
      </w:pPr>
      <w:r>
        <w:rPr>
          <w:highlight w:val="none"/>
        </w:rPr>
        <w:t> </w:t>
      </w:r>
    </w:p>
    <w:p w14:paraId="6035F873">
      <w:pPr>
        <w:pStyle w:val="34"/>
        <w:spacing w:beforeAutospacing="0" w:afterAutospacing="0" w:line="0" w:lineRule="atLeast"/>
        <w:jc w:val="both"/>
        <w:rPr>
          <w:highlight w:val="none"/>
        </w:rPr>
      </w:pPr>
      <w:r>
        <w:rPr>
          <w:highlight w:val="none"/>
        </w:rPr>
        <w:t> </w:t>
      </w:r>
    </w:p>
    <w:p w14:paraId="3EA50F44">
      <w:pPr>
        <w:pStyle w:val="34"/>
        <w:spacing w:beforeAutospacing="0" w:afterAutospacing="0" w:line="0" w:lineRule="atLeast"/>
        <w:jc w:val="both"/>
        <w:rPr>
          <w:highlight w:val="none"/>
        </w:rPr>
      </w:pPr>
      <w:r>
        <w:rPr>
          <w:highlight w:val="none"/>
        </w:rPr>
        <w:t> </w:t>
      </w:r>
    </w:p>
    <w:p w14:paraId="52B300A9">
      <w:pPr>
        <w:pStyle w:val="34"/>
        <w:spacing w:beforeAutospacing="0" w:afterAutospacing="0" w:line="0" w:lineRule="atLeast"/>
        <w:jc w:val="both"/>
        <w:rPr>
          <w:highlight w:val="none"/>
        </w:rPr>
      </w:pPr>
      <w:r>
        <w:rPr>
          <w:highlight w:val="none"/>
        </w:rPr>
        <w:t> </w:t>
      </w:r>
    </w:p>
    <w:p w14:paraId="0C638BBD">
      <w:pPr>
        <w:pStyle w:val="34"/>
        <w:spacing w:beforeAutospacing="0" w:afterAutospacing="0" w:line="0" w:lineRule="atLeast"/>
        <w:jc w:val="both"/>
        <w:rPr>
          <w:highlight w:val="none"/>
        </w:rPr>
      </w:pPr>
      <w:r>
        <w:rPr>
          <w:highlight w:val="none"/>
        </w:rPr>
        <w:t> </w:t>
      </w:r>
    </w:p>
    <w:p w14:paraId="7B3F1376">
      <w:pPr>
        <w:pStyle w:val="34"/>
        <w:spacing w:beforeAutospacing="0" w:afterAutospacing="0" w:line="0" w:lineRule="atLeast"/>
        <w:jc w:val="both"/>
        <w:rPr>
          <w:highlight w:val="none"/>
        </w:rPr>
      </w:pPr>
    </w:p>
    <w:p w14:paraId="793CB7EA">
      <w:pPr>
        <w:pStyle w:val="34"/>
        <w:spacing w:beforeAutospacing="0" w:afterAutospacing="0" w:line="0" w:lineRule="atLeast"/>
        <w:jc w:val="both"/>
        <w:rPr>
          <w:highlight w:val="none"/>
        </w:rPr>
      </w:pPr>
    </w:p>
    <w:p w14:paraId="16B60785">
      <w:pPr>
        <w:pStyle w:val="34"/>
        <w:spacing w:beforeAutospacing="0" w:afterAutospacing="0" w:line="0" w:lineRule="atLeast"/>
        <w:jc w:val="both"/>
        <w:rPr>
          <w:highlight w:val="none"/>
        </w:rPr>
      </w:pPr>
    </w:p>
    <w:p w14:paraId="4B7CAA54">
      <w:pPr>
        <w:pStyle w:val="34"/>
        <w:spacing w:beforeAutospacing="0" w:afterAutospacing="0" w:line="0" w:lineRule="atLeast"/>
        <w:jc w:val="both"/>
        <w:rPr>
          <w:highlight w:val="none"/>
        </w:rPr>
      </w:pPr>
    </w:p>
    <w:p w14:paraId="658F94D6">
      <w:pPr>
        <w:pStyle w:val="34"/>
        <w:spacing w:beforeAutospacing="0" w:afterAutospacing="0" w:line="0" w:lineRule="atLeast"/>
        <w:jc w:val="both"/>
        <w:rPr>
          <w:highlight w:val="none"/>
        </w:rPr>
      </w:pPr>
    </w:p>
    <w:p w14:paraId="2808E859">
      <w:pPr>
        <w:pStyle w:val="34"/>
        <w:spacing w:beforeAutospacing="0" w:afterAutospacing="0" w:line="0" w:lineRule="atLeast"/>
        <w:jc w:val="both"/>
        <w:rPr>
          <w:highlight w:val="none"/>
        </w:rPr>
      </w:pPr>
    </w:p>
    <w:p w14:paraId="3FB26D4C">
      <w:pPr>
        <w:pStyle w:val="34"/>
        <w:spacing w:beforeAutospacing="0" w:afterAutospacing="0" w:line="0" w:lineRule="atLeast"/>
        <w:jc w:val="both"/>
        <w:rPr>
          <w:highlight w:val="none"/>
        </w:rPr>
      </w:pPr>
    </w:p>
    <w:p w14:paraId="1F233775">
      <w:pPr>
        <w:pStyle w:val="34"/>
        <w:spacing w:beforeAutospacing="0" w:afterAutospacing="0" w:line="0" w:lineRule="atLeast"/>
        <w:jc w:val="both"/>
        <w:rPr>
          <w:highlight w:val="none"/>
        </w:rPr>
      </w:pPr>
    </w:p>
    <w:p w14:paraId="647FCF91">
      <w:pPr>
        <w:pStyle w:val="34"/>
        <w:spacing w:beforeAutospacing="0" w:afterAutospacing="0" w:line="0" w:lineRule="atLeast"/>
        <w:jc w:val="both"/>
        <w:rPr>
          <w:highlight w:val="none"/>
        </w:rPr>
      </w:pPr>
    </w:p>
    <w:p w14:paraId="49191EB7">
      <w:pPr>
        <w:pStyle w:val="34"/>
        <w:spacing w:beforeAutospacing="0" w:afterAutospacing="0" w:line="0" w:lineRule="atLeast"/>
        <w:jc w:val="both"/>
        <w:rPr>
          <w:highlight w:val="none"/>
        </w:rPr>
      </w:pPr>
    </w:p>
    <w:p w14:paraId="63835318">
      <w:pPr>
        <w:pStyle w:val="34"/>
        <w:spacing w:beforeAutospacing="0" w:afterAutospacing="0" w:line="0" w:lineRule="atLeast"/>
        <w:jc w:val="both"/>
        <w:rPr>
          <w:highlight w:val="none"/>
        </w:rPr>
      </w:pPr>
    </w:p>
    <w:p w14:paraId="16B63B28">
      <w:pPr>
        <w:pStyle w:val="34"/>
        <w:spacing w:beforeAutospacing="0" w:afterAutospacing="0" w:line="0" w:lineRule="atLeast"/>
        <w:jc w:val="both"/>
        <w:rPr>
          <w:highlight w:val="none"/>
        </w:rPr>
      </w:pPr>
    </w:p>
    <w:p w14:paraId="67BA62C0">
      <w:pPr>
        <w:pStyle w:val="34"/>
        <w:spacing w:beforeAutospacing="0" w:afterAutospacing="0" w:line="0" w:lineRule="atLeast"/>
        <w:jc w:val="both"/>
        <w:rPr>
          <w:highlight w:val="none"/>
        </w:rPr>
      </w:pPr>
    </w:p>
    <w:p w14:paraId="3255725E">
      <w:pPr>
        <w:pStyle w:val="34"/>
        <w:spacing w:beforeAutospacing="0" w:afterAutospacing="0" w:line="0" w:lineRule="atLeast"/>
        <w:jc w:val="both"/>
        <w:rPr>
          <w:highlight w:val="none"/>
        </w:rPr>
      </w:pPr>
    </w:p>
    <w:p w14:paraId="77C9BB99">
      <w:pPr>
        <w:pStyle w:val="34"/>
        <w:spacing w:beforeAutospacing="0" w:afterAutospacing="0" w:line="0" w:lineRule="atLeast"/>
        <w:jc w:val="both"/>
        <w:rPr>
          <w:highlight w:val="none"/>
        </w:rPr>
      </w:pPr>
    </w:p>
    <w:p w14:paraId="583EE80E">
      <w:pPr>
        <w:pStyle w:val="34"/>
        <w:spacing w:beforeAutospacing="0" w:afterAutospacing="0" w:line="0" w:lineRule="atLeast"/>
        <w:jc w:val="both"/>
        <w:rPr>
          <w:highlight w:val="none"/>
        </w:rPr>
      </w:pPr>
    </w:p>
    <w:p w14:paraId="6E1E0EEC">
      <w:pPr>
        <w:pStyle w:val="34"/>
        <w:spacing w:beforeAutospacing="0" w:afterAutospacing="0" w:line="0" w:lineRule="atLeast"/>
        <w:jc w:val="both"/>
        <w:rPr>
          <w:highlight w:val="none"/>
        </w:rPr>
      </w:pPr>
      <w:r>
        <w:rPr>
          <w:highlight w:val="none"/>
        </w:rPr>
        <w:t> </w:t>
      </w:r>
    </w:p>
    <w:p w14:paraId="0B05129F">
      <w:pPr>
        <w:pStyle w:val="34"/>
        <w:spacing w:beforeAutospacing="0" w:afterAutospacing="0" w:line="0" w:lineRule="atLeast"/>
        <w:jc w:val="both"/>
        <w:rPr>
          <w:highlight w:val="none"/>
        </w:rPr>
      </w:pPr>
      <w:r>
        <w:rPr>
          <w:highlight w:val="none"/>
        </w:rPr>
        <w:t> </w:t>
      </w:r>
    </w:p>
    <w:p w14:paraId="704A58CC">
      <w:pPr>
        <w:pStyle w:val="34"/>
        <w:spacing w:beforeAutospacing="0" w:afterAutospacing="0"/>
        <w:jc w:val="both"/>
        <w:rPr>
          <w:highlight w:val="none"/>
        </w:rPr>
      </w:pPr>
      <w:r>
        <w:rPr>
          <w:highlight w:val="none"/>
        </w:rPr>
        <w:t> </w:t>
      </w:r>
    </w:p>
    <w:p w14:paraId="5975E588">
      <w:pPr>
        <w:rPr>
          <w:highlight w:val="none"/>
        </w:rPr>
      </w:pPr>
      <w:r>
        <w:rPr>
          <w:rFonts w:hint="eastAsia" w:ascii="黑体" w:hAnsi="宋体" w:eastAsia="黑体" w:cs="黑体"/>
          <w:b/>
          <w:color w:val="000000"/>
          <w:sz w:val="32"/>
          <w:szCs w:val="32"/>
          <w:highlight w:val="none"/>
        </w:rPr>
        <w:br w:type="page" w:clear="all"/>
      </w:r>
    </w:p>
    <w:p w14:paraId="400BC634">
      <w:pPr>
        <w:pStyle w:val="34"/>
        <w:numPr>
          <w:ilvl w:val="0"/>
          <w:numId w:val="0"/>
        </w:numPr>
        <w:spacing w:beforeAutospacing="0" w:afterAutospacing="0"/>
        <w:jc w:val="center"/>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lang w:val="en-US" w:eastAsia="zh-CN" w:bidi="ar-SA"/>
        </w:rPr>
        <w:t>十一、</w:t>
      </w:r>
      <w:r>
        <w:rPr>
          <w:rFonts w:hint="eastAsia" w:ascii="黑体" w:hAnsi="宋体" w:eastAsia="黑体" w:cs="黑体"/>
          <w:b/>
          <w:color w:val="000000"/>
          <w:sz w:val="32"/>
          <w:szCs w:val="32"/>
          <w:highlight w:val="none"/>
        </w:rPr>
        <w:t>投标分项报价表</w:t>
      </w:r>
    </w:p>
    <w:tbl>
      <w:tblPr>
        <w:tblStyle w:val="37"/>
        <w:tblW w:w="8778" w:type="dxa"/>
        <w:tblCellSpacing w:w="0" w:type="dxa"/>
        <w:tblInd w:w="10" w:type="dxa"/>
        <w:tblLayout w:type="fixed"/>
        <w:tblCellMar>
          <w:top w:w="0" w:type="dxa"/>
          <w:left w:w="108" w:type="dxa"/>
          <w:bottom w:w="0" w:type="dxa"/>
          <w:right w:w="108" w:type="dxa"/>
        </w:tblCellMar>
      </w:tblPr>
      <w:tblGrid>
        <w:gridCol w:w="952"/>
        <w:gridCol w:w="1254"/>
        <w:gridCol w:w="1242"/>
        <w:gridCol w:w="905"/>
        <w:gridCol w:w="1163"/>
        <w:gridCol w:w="1548"/>
        <w:gridCol w:w="1714"/>
      </w:tblGrid>
      <w:tr w14:paraId="758A5F5A">
        <w:tblPrEx>
          <w:tblCellMar>
            <w:top w:w="0" w:type="dxa"/>
            <w:left w:w="108" w:type="dxa"/>
            <w:bottom w:w="0" w:type="dxa"/>
            <w:right w:w="108" w:type="dxa"/>
          </w:tblCellMar>
        </w:tblPrEx>
        <w:trPr>
          <w:trHeight w:val="578" w:hRule="atLeast"/>
          <w:tblCellSpacing w:w="0" w:type="dxa"/>
        </w:trPr>
        <w:tc>
          <w:tcPr>
            <w:tcW w:w="9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AE34EE">
            <w:pPr>
              <w:pStyle w:val="34"/>
              <w:spacing w:beforeAutospacing="0" w:afterAutospacing="0" w:line="0" w:lineRule="atLeast"/>
              <w:jc w:val="center"/>
              <w:rPr>
                <w:highlight w:val="none"/>
              </w:rPr>
            </w:pPr>
            <w:r>
              <w:rPr>
                <w:rFonts w:hint="eastAsia" w:ascii="宋体" w:hAnsi="宋体" w:eastAsia="宋体" w:cs="宋体"/>
                <w:color w:val="000000"/>
                <w:highlight w:val="none"/>
              </w:rPr>
              <w:t>序号</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F58C9">
            <w:pPr>
              <w:pStyle w:val="34"/>
              <w:spacing w:beforeAutospacing="0" w:afterAutospacing="0" w:line="0" w:lineRule="atLeast"/>
              <w:jc w:val="center"/>
              <w:rPr>
                <w:highlight w:val="none"/>
              </w:rPr>
            </w:pPr>
            <w:r>
              <w:rPr>
                <w:rFonts w:hint="eastAsia" w:ascii="宋体" w:hAnsi="宋体" w:eastAsia="宋体" w:cs="宋体"/>
                <w:color w:val="000000"/>
                <w:highlight w:val="none"/>
              </w:rPr>
              <w:t>1</w:t>
            </w:r>
          </w:p>
        </w:tc>
        <w:tc>
          <w:tcPr>
            <w:tcW w:w="12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F68CD">
            <w:pPr>
              <w:pStyle w:val="34"/>
              <w:spacing w:beforeAutospacing="0" w:afterAutospacing="0" w:line="0" w:lineRule="atLeast"/>
              <w:jc w:val="center"/>
              <w:rPr>
                <w:highlight w:val="none"/>
              </w:rPr>
            </w:pPr>
            <w:r>
              <w:rPr>
                <w:rFonts w:hint="eastAsia" w:ascii="宋体" w:hAnsi="宋体" w:eastAsia="宋体" w:cs="宋体"/>
                <w:color w:val="000000"/>
                <w:highlight w:val="none"/>
              </w:rPr>
              <w:t>2</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8254C">
            <w:pPr>
              <w:pStyle w:val="34"/>
              <w:spacing w:beforeAutospacing="0" w:afterAutospacing="0" w:line="0" w:lineRule="atLeast"/>
              <w:jc w:val="center"/>
              <w:rPr>
                <w:highlight w:val="none"/>
              </w:rPr>
            </w:pPr>
            <w:r>
              <w:rPr>
                <w:rFonts w:hint="eastAsia" w:ascii="宋体" w:hAnsi="宋体" w:eastAsia="宋体" w:cs="宋体"/>
                <w:color w:val="000000"/>
                <w:highlight w:val="none"/>
              </w:rPr>
              <w:t>3</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F9750">
            <w:pPr>
              <w:pStyle w:val="34"/>
              <w:spacing w:beforeAutospacing="0" w:afterAutospacing="0" w:line="0" w:lineRule="atLeast"/>
              <w:jc w:val="center"/>
              <w:rPr>
                <w:highlight w:val="none"/>
              </w:rPr>
            </w:pPr>
            <w:r>
              <w:rPr>
                <w:rFonts w:hint="eastAsia" w:ascii="宋体" w:hAnsi="宋体" w:eastAsia="宋体" w:cs="宋体"/>
                <w:color w:val="000000"/>
                <w:highlight w:val="none"/>
              </w:rPr>
              <w:t>4</w:t>
            </w:r>
          </w:p>
        </w:tc>
        <w:tc>
          <w:tcPr>
            <w:tcW w:w="1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AE153">
            <w:pPr>
              <w:pStyle w:val="34"/>
              <w:spacing w:beforeAutospacing="0" w:afterAutospacing="0" w:line="0" w:lineRule="atLeast"/>
              <w:jc w:val="center"/>
              <w:rPr>
                <w:highlight w:val="none"/>
              </w:rPr>
            </w:pPr>
            <w:r>
              <w:rPr>
                <w:rFonts w:hint="eastAsia" w:ascii="宋体" w:hAnsi="宋体" w:eastAsia="宋体" w:cs="宋体"/>
                <w:color w:val="000000"/>
                <w:highlight w:val="none"/>
              </w:rPr>
              <w:t>5</w:t>
            </w:r>
          </w:p>
        </w:tc>
        <w:tc>
          <w:tcPr>
            <w:tcW w:w="1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0787F">
            <w:pPr>
              <w:pStyle w:val="34"/>
              <w:spacing w:beforeAutospacing="0" w:afterAutospacing="0" w:line="0" w:lineRule="atLeast"/>
              <w:jc w:val="center"/>
              <w:rPr>
                <w:highlight w:val="none"/>
              </w:rPr>
            </w:pPr>
            <w:r>
              <w:rPr>
                <w:rFonts w:hint="eastAsia" w:ascii="宋体" w:hAnsi="宋体" w:eastAsia="宋体" w:cs="宋体"/>
                <w:color w:val="000000"/>
                <w:highlight w:val="none"/>
              </w:rPr>
              <w:t>6</w:t>
            </w:r>
          </w:p>
        </w:tc>
      </w:tr>
      <w:tr w14:paraId="37407F45">
        <w:tblPrEx>
          <w:tblCellMar>
            <w:top w:w="0" w:type="dxa"/>
            <w:left w:w="108" w:type="dxa"/>
            <w:bottom w:w="0" w:type="dxa"/>
            <w:right w:w="108" w:type="dxa"/>
          </w:tblCellMar>
        </w:tblPrEx>
        <w:trPr>
          <w:trHeight w:val="658" w:hRule="atLeast"/>
          <w:tblCellSpacing w:w="0" w:type="dxa"/>
        </w:trPr>
        <w:tc>
          <w:tcPr>
            <w:tcW w:w="9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122418">
            <w:pPr>
              <w:rPr>
                <w:rFonts w:ascii="宋体"/>
                <w:sz w:val="24"/>
                <w:highlight w:val="none"/>
              </w:rPr>
            </w:pP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A2E31">
            <w:pPr>
              <w:pStyle w:val="34"/>
              <w:spacing w:beforeAutospacing="0" w:afterAutospacing="0" w:line="0" w:lineRule="atLeast"/>
              <w:jc w:val="center"/>
              <w:rPr>
                <w:highlight w:val="none"/>
              </w:rPr>
            </w:pPr>
            <w:r>
              <w:rPr>
                <w:rFonts w:hint="eastAsia" w:ascii="宋体" w:hAnsi="宋体" w:eastAsia="宋体" w:cs="宋体"/>
                <w:color w:val="000000"/>
                <w:highlight w:val="none"/>
              </w:rPr>
              <w:t>分项服务名称</w:t>
            </w:r>
          </w:p>
        </w:tc>
        <w:tc>
          <w:tcPr>
            <w:tcW w:w="12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CD636">
            <w:pPr>
              <w:pStyle w:val="34"/>
              <w:spacing w:beforeAutospacing="0" w:afterAutospacing="0" w:line="0" w:lineRule="atLeast"/>
              <w:jc w:val="center"/>
              <w:rPr>
                <w:highlight w:val="none"/>
              </w:rPr>
            </w:pPr>
            <w:r>
              <w:rPr>
                <w:rFonts w:hint="eastAsia" w:ascii="宋体" w:hAnsi="宋体" w:eastAsia="宋体" w:cs="宋体"/>
                <w:color w:val="000000"/>
                <w:highlight w:val="none"/>
              </w:rPr>
              <w:t>交付期</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40811">
            <w:pPr>
              <w:pStyle w:val="34"/>
              <w:spacing w:beforeAutospacing="0" w:afterAutospacing="0" w:line="0" w:lineRule="atLeast"/>
              <w:jc w:val="center"/>
              <w:rPr>
                <w:highlight w:val="none"/>
              </w:rPr>
            </w:pPr>
            <w:r>
              <w:rPr>
                <w:rFonts w:hint="eastAsia" w:ascii="宋体" w:hAnsi="宋体" w:eastAsia="宋体" w:cs="宋体"/>
                <w:color w:val="000000"/>
                <w:highlight w:val="none"/>
              </w:rPr>
              <w:t>分项单位</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97D99">
            <w:pPr>
              <w:pStyle w:val="34"/>
              <w:spacing w:beforeAutospacing="0" w:afterAutospacing="0" w:line="0" w:lineRule="atLeast"/>
              <w:jc w:val="center"/>
              <w:rPr>
                <w:highlight w:val="none"/>
              </w:rPr>
            </w:pPr>
            <w:r>
              <w:rPr>
                <w:rFonts w:hint="eastAsia" w:ascii="宋体" w:hAnsi="宋体" w:eastAsia="宋体" w:cs="宋体"/>
                <w:color w:val="000000"/>
                <w:highlight w:val="none"/>
              </w:rPr>
              <w:t>数量</w:t>
            </w:r>
          </w:p>
        </w:tc>
        <w:tc>
          <w:tcPr>
            <w:tcW w:w="1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ADA8C">
            <w:pPr>
              <w:pStyle w:val="34"/>
              <w:spacing w:beforeAutospacing="0" w:afterAutospacing="0" w:line="0" w:lineRule="atLeast"/>
              <w:jc w:val="center"/>
              <w:rPr>
                <w:highlight w:val="none"/>
              </w:rPr>
            </w:pPr>
            <w:r>
              <w:rPr>
                <w:rFonts w:hint="eastAsia" w:ascii="宋体" w:hAnsi="宋体" w:eastAsia="宋体" w:cs="宋体"/>
                <w:color w:val="000000"/>
                <w:highlight w:val="none"/>
              </w:rPr>
              <w:t>分项</w:t>
            </w:r>
          </w:p>
          <w:p w14:paraId="04CE5FC7">
            <w:pPr>
              <w:pStyle w:val="34"/>
              <w:spacing w:beforeAutospacing="0" w:afterAutospacing="0" w:line="0" w:lineRule="atLeast"/>
              <w:jc w:val="center"/>
              <w:rPr>
                <w:highlight w:val="none"/>
              </w:rPr>
            </w:pPr>
            <w:r>
              <w:rPr>
                <w:rFonts w:hint="eastAsia" w:ascii="宋体" w:hAnsi="宋体" w:eastAsia="宋体" w:cs="宋体"/>
                <w:color w:val="000000"/>
                <w:highlight w:val="none"/>
              </w:rPr>
              <w:t>单价</w:t>
            </w:r>
          </w:p>
        </w:tc>
        <w:tc>
          <w:tcPr>
            <w:tcW w:w="1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280E1">
            <w:pPr>
              <w:pStyle w:val="34"/>
              <w:spacing w:beforeAutospacing="0" w:afterAutospacing="0" w:line="0" w:lineRule="atLeast"/>
              <w:jc w:val="center"/>
              <w:rPr>
                <w:highlight w:val="none"/>
              </w:rPr>
            </w:pPr>
            <w:r>
              <w:rPr>
                <w:rFonts w:hint="eastAsia" w:ascii="宋体" w:hAnsi="宋体" w:eastAsia="宋体" w:cs="宋体"/>
                <w:color w:val="000000"/>
                <w:highlight w:val="none"/>
              </w:rPr>
              <w:t>分项</w:t>
            </w:r>
          </w:p>
          <w:p w14:paraId="0FEC4C65">
            <w:pPr>
              <w:pStyle w:val="34"/>
              <w:spacing w:beforeAutospacing="0" w:afterAutospacing="0" w:line="0" w:lineRule="atLeast"/>
              <w:jc w:val="center"/>
              <w:rPr>
                <w:highlight w:val="none"/>
              </w:rPr>
            </w:pPr>
            <w:r>
              <w:rPr>
                <w:rFonts w:hint="eastAsia" w:ascii="宋体" w:hAnsi="宋体" w:eastAsia="宋体" w:cs="宋体"/>
                <w:color w:val="000000"/>
                <w:highlight w:val="none"/>
              </w:rPr>
              <w:t>总价</w:t>
            </w:r>
          </w:p>
        </w:tc>
      </w:tr>
      <w:tr w14:paraId="051188F1">
        <w:tblPrEx>
          <w:tblCellMar>
            <w:top w:w="0" w:type="dxa"/>
            <w:left w:w="108" w:type="dxa"/>
            <w:bottom w:w="0" w:type="dxa"/>
            <w:right w:w="108" w:type="dxa"/>
          </w:tblCellMar>
        </w:tblPrEx>
        <w:trPr>
          <w:trHeight w:val="691" w:hRule="atLeast"/>
          <w:tblCellSpacing w:w="0" w:type="dxa"/>
        </w:trPr>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F8FE3">
            <w:pPr>
              <w:pStyle w:val="34"/>
              <w:spacing w:beforeAutospacing="0" w:afterAutospacing="0" w:line="0" w:lineRule="atLeast"/>
              <w:jc w:val="center"/>
              <w:rPr>
                <w:highlight w:val="none"/>
              </w:rPr>
            </w:pPr>
            <w:r>
              <w:rPr>
                <w:rFonts w:hint="eastAsia" w:ascii="宋体" w:hAnsi="宋体" w:eastAsia="宋体" w:cs="宋体"/>
                <w:color w:val="000000"/>
                <w:highlight w:val="none"/>
              </w:rPr>
              <w:t>1</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07B1A">
            <w:pPr>
              <w:pStyle w:val="34"/>
              <w:spacing w:beforeAutospacing="0" w:afterAutospacing="0" w:line="0" w:lineRule="atLeast"/>
              <w:jc w:val="center"/>
              <w:rPr>
                <w:highlight w:val="none"/>
              </w:rPr>
            </w:pPr>
            <w:r>
              <w:rPr>
                <w:highlight w:val="none"/>
              </w:rPr>
              <w:t> </w:t>
            </w:r>
          </w:p>
        </w:tc>
        <w:tc>
          <w:tcPr>
            <w:tcW w:w="12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8BDA3">
            <w:pPr>
              <w:pStyle w:val="34"/>
              <w:spacing w:beforeAutospacing="0" w:afterAutospacing="0" w:line="0" w:lineRule="atLeast"/>
              <w:jc w:val="center"/>
              <w:rPr>
                <w:highlight w:val="none"/>
              </w:rPr>
            </w:pPr>
            <w:r>
              <w:rPr>
                <w:highlight w:val="none"/>
              </w:rPr>
              <w:t> </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42F8A">
            <w:pPr>
              <w:pStyle w:val="34"/>
              <w:spacing w:beforeAutospacing="0" w:afterAutospacing="0" w:line="0" w:lineRule="atLeast"/>
              <w:jc w:val="center"/>
              <w:rPr>
                <w:highlight w:val="none"/>
              </w:rPr>
            </w:pPr>
            <w:r>
              <w:rPr>
                <w:highlight w:val="none"/>
              </w:rPr>
              <w:t> </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23D31">
            <w:pPr>
              <w:pStyle w:val="34"/>
              <w:spacing w:beforeAutospacing="0" w:afterAutospacing="0" w:line="0" w:lineRule="atLeast"/>
              <w:jc w:val="center"/>
              <w:rPr>
                <w:highlight w:val="none"/>
              </w:rPr>
            </w:pPr>
            <w:r>
              <w:rPr>
                <w:highlight w:val="none"/>
              </w:rPr>
              <w:t> </w:t>
            </w:r>
          </w:p>
        </w:tc>
        <w:tc>
          <w:tcPr>
            <w:tcW w:w="1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00A88">
            <w:pPr>
              <w:pStyle w:val="34"/>
              <w:spacing w:beforeAutospacing="0" w:afterAutospacing="0" w:line="0" w:lineRule="atLeast"/>
              <w:jc w:val="center"/>
              <w:rPr>
                <w:highlight w:val="none"/>
              </w:rPr>
            </w:pPr>
            <w:r>
              <w:rPr>
                <w:highlight w:val="none"/>
              </w:rPr>
              <w:t> </w:t>
            </w:r>
          </w:p>
        </w:tc>
        <w:tc>
          <w:tcPr>
            <w:tcW w:w="1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F1C85">
            <w:pPr>
              <w:pStyle w:val="34"/>
              <w:spacing w:beforeAutospacing="0" w:afterAutospacing="0" w:line="0" w:lineRule="atLeast"/>
              <w:jc w:val="center"/>
              <w:rPr>
                <w:highlight w:val="none"/>
              </w:rPr>
            </w:pPr>
            <w:r>
              <w:rPr>
                <w:highlight w:val="none"/>
              </w:rPr>
              <w:t> </w:t>
            </w:r>
          </w:p>
        </w:tc>
      </w:tr>
      <w:tr w14:paraId="38B54F89">
        <w:tblPrEx>
          <w:tblCellMar>
            <w:top w:w="0" w:type="dxa"/>
            <w:left w:w="108" w:type="dxa"/>
            <w:bottom w:w="0" w:type="dxa"/>
            <w:right w:w="108" w:type="dxa"/>
          </w:tblCellMar>
        </w:tblPrEx>
        <w:trPr>
          <w:trHeight w:val="691" w:hRule="atLeast"/>
          <w:tblCellSpacing w:w="0" w:type="dxa"/>
        </w:trPr>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25EC1">
            <w:pPr>
              <w:pStyle w:val="34"/>
              <w:spacing w:beforeAutospacing="0" w:afterAutospacing="0" w:line="0" w:lineRule="atLeast"/>
              <w:jc w:val="center"/>
              <w:rPr>
                <w:highlight w:val="none"/>
              </w:rPr>
            </w:pPr>
            <w:r>
              <w:rPr>
                <w:rFonts w:hint="eastAsia" w:ascii="宋体" w:hAnsi="宋体" w:eastAsia="宋体" w:cs="宋体"/>
                <w:color w:val="000000"/>
                <w:highlight w:val="none"/>
              </w:rPr>
              <w:t>2</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7070D">
            <w:pPr>
              <w:pStyle w:val="34"/>
              <w:spacing w:beforeAutospacing="0" w:afterAutospacing="0" w:line="0" w:lineRule="atLeast"/>
              <w:jc w:val="center"/>
              <w:rPr>
                <w:highlight w:val="none"/>
              </w:rPr>
            </w:pPr>
            <w:r>
              <w:rPr>
                <w:highlight w:val="none"/>
              </w:rPr>
              <w:t> </w:t>
            </w:r>
          </w:p>
        </w:tc>
        <w:tc>
          <w:tcPr>
            <w:tcW w:w="12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9BEE5">
            <w:pPr>
              <w:pStyle w:val="34"/>
              <w:spacing w:beforeAutospacing="0" w:afterAutospacing="0" w:line="0" w:lineRule="atLeast"/>
              <w:jc w:val="center"/>
              <w:rPr>
                <w:highlight w:val="none"/>
              </w:rPr>
            </w:pPr>
            <w:r>
              <w:rPr>
                <w:highlight w:val="none"/>
              </w:rPr>
              <w:t> </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8C31E">
            <w:pPr>
              <w:pStyle w:val="34"/>
              <w:spacing w:beforeAutospacing="0" w:afterAutospacing="0" w:line="0" w:lineRule="atLeast"/>
              <w:jc w:val="center"/>
              <w:rPr>
                <w:highlight w:val="none"/>
              </w:rPr>
            </w:pPr>
            <w:r>
              <w:rPr>
                <w:highlight w:val="none"/>
              </w:rPr>
              <w:t> </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72ECF">
            <w:pPr>
              <w:pStyle w:val="34"/>
              <w:spacing w:beforeAutospacing="0" w:afterAutospacing="0" w:line="0" w:lineRule="atLeast"/>
              <w:jc w:val="center"/>
              <w:rPr>
                <w:highlight w:val="none"/>
              </w:rPr>
            </w:pPr>
            <w:r>
              <w:rPr>
                <w:highlight w:val="none"/>
              </w:rPr>
              <w:t> </w:t>
            </w:r>
          </w:p>
        </w:tc>
        <w:tc>
          <w:tcPr>
            <w:tcW w:w="1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61FA2">
            <w:pPr>
              <w:pStyle w:val="34"/>
              <w:spacing w:beforeAutospacing="0" w:afterAutospacing="0" w:line="0" w:lineRule="atLeast"/>
              <w:jc w:val="center"/>
              <w:rPr>
                <w:highlight w:val="none"/>
              </w:rPr>
            </w:pPr>
            <w:r>
              <w:rPr>
                <w:highlight w:val="none"/>
              </w:rPr>
              <w:t> </w:t>
            </w:r>
          </w:p>
        </w:tc>
        <w:tc>
          <w:tcPr>
            <w:tcW w:w="1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4ADCD">
            <w:pPr>
              <w:pStyle w:val="34"/>
              <w:spacing w:beforeAutospacing="0" w:afterAutospacing="0" w:line="0" w:lineRule="atLeast"/>
              <w:jc w:val="center"/>
              <w:rPr>
                <w:highlight w:val="none"/>
              </w:rPr>
            </w:pPr>
            <w:r>
              <w:rPr>
                <w:highlight w:val="none"/>
              </w:rPr>
              <w:t> </w:t>
            </w:r>
          </w:p>
        </w:tc>
      </w:tr>
      <w:tr w14:paraId="17F8E46F">
        <w:tblPrEx>
          <w:tblCellMar>
            <w:top w:w="0" w:type="dxa"/>
            <w:left w:w="108" w:type="dxa"/>
            <w:bottom w:w="0" w:type="dxa"/>
            <w:right w:w="108" w:type="dxa"/>
          </w:tblCellMar>
        </w:tblPrEx>
        <w:trPr>
          <w:trHeight w:val="691" w:hRule="atLeast"/>
          <w:tblCellSpacing w:w="0" w:type="dxa"/>
        </w:trPr>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22935">
            <w:pPr>
              <w:pStyle w:val="34"/>
              <w:spacing w:beforeAutospacing="0" w:afterAutospacing="0" w:line="0" w:lineRule="atLeast"/>
              <w:jc w:val="center"/>
              <w:rPr>
                <w:highlight w:val="none"/>
              </w:rPr>
            </w:pPr>
            <w:r>
              <w:rPr>
                <w:rFonts w:hint="eastAsia" w:ascii="宋体" w:hAnsi="宋体" w:eastAsia="宋体" w:cs="宋体"/>
                <w:color w:val="000000"/>
                <w:highlight w:val="none"/>
              </w:rPr>
              <w:t>3</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02EF2">
            <w:pPr>
              <w:pStyle w:val="34"/>
              <w:spacing w:beforeAutospacing="0" w:afterAutospacing="0" w:line="0" w:lineRule="atLeast"/>
              <w:jc w:val="center"/>
              <w:rPr>
                <w:highlight w:val="none"/>
              </w:rPr>
            </w:pPr>
            <w:r>
              <w:rPr>
                <w:highlight w:val="none"/>
              </w:rPr>
              <w:t> </w:t>
            </w:r>
          </w:p>
        </w:tc>
        <w:tc>
          <w:tcPr>
            <w:tcW w:w="12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F1897">
            <w:pPr>
              <w:pStyle w:val="34"/>
              <w:spacing w:beforeAutospacing="0" w:afterAutospacing="0" w:line="0" w:lineRule="atLeast"/>
              <w:jc w:val="center"/>
              <w:rPr>
                <w:highlight w:val="none"/>
              </w:rPr>
            </w:pPr>
            <w:r>
              <w:rPr>
                <w:highlight w:val="none"/>
              </w:rPr>
              <w:t> </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6AEE1">
            <w:pPr>
              <w:pStyle w:val="34"/>
              <w:spacing w:beforeAutospacing="0" w:afterAutospacing="0" w:line="0" w:lineRule="atLeast"/>
              <w:jc w:val="center"/>
              <w:rPr>
                <w:highlight w:val="none"/>
              </w:rPr>
            </w:pPr>
            <w:r>
              <w:rPr>
                <w:highlight w:val="none"/>
              </w:rPr>
              <w:t> </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4B383">
            <w:pPr>
              <w:pStyle w:val="34"/>
              <w:spacing w:beforeAutospacing="0" w:afterAutospacing="0" w:line="0" w:lineRule="atLeast"/>
              <w:jc w:val="center"/>
              <w:rPr>
                <w:highlight w:val="none"/>
              </w:rPr>
            </w:pPr>
            <w:r>
              <w:rPr>
                <w:highlight w:val="none"/>
              </w:rPr>
              <w:t> </w:t>
            </w:r>
          </w:p>
        </w:tc>
        <w:tc>
          <w:tcPr>
            <w:tcW w:w="1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8819F">
            <w:pPr>
              <w:pStyle w:val="34"/>
              <w:spacing w:beforeAutospacing="0" w:afterAutospacing="0" w:line="0" w:lineRule="atLeast"/>
              <w:jc w:val="center"/>
              <w:rPr>
                <w:highlight w:val="none"/>
              </w:rPr>
            </w:pPr>
            <w:r>
              <w:rPr>
                <w:highlight w:val="none"/>
              </w:rPr>
              <w:t> </w:t>
            </w:r>
          </w:p>
        </w:tc>
        <w:tc>
          <w:tcPr>
            <w:tcW w:w="1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A2B2B">
            <w:pPr>
              <w:pStyle w:val="34"/>
              <w:spacing w:beforeAutospacing="0" w:afterAutospacing="0" w:line="0" w:lineRule="atLeast"/>
              <w:jc w:val="center"/>
              <w:rPr>
                <w:highlight w:val="none"/>
              </w:rPr>
            </w:pPr>
            <w:r>
              <w:rPr>
                <w:highlight w:val="none"/>
              </w:rPr>
              <w:t> </w:t>
            </w:r>
          </w:p>
        </w:tc>
      </w:tr>
      <w:tr w14:paraId="1775547D">
        <w:tblPrEx>
          <w:tblCellMar>
            <w:top w:w="0" w:type="dxa"/>
            <w:left w:w="108" w:type="dxa"/>
            <w:bottom w:w="0" w:type="dxa"/>
            <w:right w:w="108" w:type="dxa"/>
          </w:tblCellMar>
        </w:tblPrEx>
        <w:trPr>
          <w:trHeight w:val="691" w:hRule="atLeast"/>
          <w:tblCellSpacing w:w="0" w:type="dxa"/>
        </w:trPr>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7242B">
            <w:pPr>
              <w:pStyle w:val="34"/>
              <w:spacing w:beforeAutospacing="0" w:afterAutospacing="0" w:line="0" w:lineRule="atLeast"/>
              <w:jc w:val="center"/>
              <w:rPr>
                <w:highlight w:val="none"/>
              </w:rPr>
            </w:pPr>
            <w:r>
              <w:rPr>
                <w:rFonts w:hint="eastAsia" w:ascii="宋体" w:hAnsi="宋体" w:eastAsia="宋体" w:cs="宋体"/>
                <w:color w:val="000000"/>
                <w:highlight w:val="none"/>
              </w:rPr>
              <w:t>……</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B7D92">
            <w:pPr>
              <w:pStyle w:val="34"/>
              <w:spacing w:beforeAutospacing="0" w:afterAutospacing="0" w:line="0" w:lineRule="atLeast"/>
              <w:jc w:val="center"/>
              <w:rPr>
                <w:highlight w:val="none"/>
              </w:rPr>
            </w:pPr>
            <w:r>
              <w:rPr>
                <w:rFonts w:hint="eastAsia" w:ascii="宋体" w:hAnsi="宋体" w:eastAsia="宋体" w:cs="宋体"/>
                <w:color w:val="000000"/>
                <w:highlight w:val="none"/>
              </w:rPr>
              <w:t>……</w:t>
            </w:r>
          </w:p>
        </w:tc>
        <w:tc>
          <w:tcPr>
            <w:tcW w:w="12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E03AA">
            <w:pPr>
              <w:pStyle w:val="34"/>
              <w:spacing w:beforeAutospacing="0" w:afterAutospacing="0" w:line="0" w:lineRule="atLeast"/>
              <w:jc w:val="center"/>
              <w:rPr>
                <w:highlight w:val="none"/>
              </w:rPr>
            </w:pPr>
            <w:r>
              <w:rPr>
                <w:highlight w:val="none"/>
              </w:rPr>
              <w:t> </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639F5">
            <w:pPr>
              <w:pStyle w:val="34"/>
              <w:spacing w:beforeAutospacing="0" w:afterAutospacing="0" w:line="0" w:lineRule="atLeast"/>
              <w:jc w:val="center"/>
              <w:rPr>
                <w:highlight w:val="none"/>
              </w:rPr>
            </w:pPr>
            <w:r>
              <w:rPr>
                <w:highlight w:val="none"/>
              </w:rPr>
              <w:t> </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67D3B">
            <w:pPr>
              <w:pStyle w:val="34"/>
              <w:spacing w:beforeAutospacing="0" w:afterAutospacing="0" w:line="0" w:lineRule="atLeast"/>
              <w:jc w:val="center"/>
              <w:rPr>
                <w:highlight w:val="none"/>
              </w:rPr>
            </w:pPr>
            <w:r>
              <w:rPr>
                <w:highlight w:val="none"/>
              </w:rPr>
              <w:t> </w:t>
            </w:r>
          </w:p>
        </w:tc>
        <w:tc>
          <w:tcPr>
            <w:tcW w:w="1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A0F55">
            <w:pPr>
              <w:pStyle w:val="34"/>
              <w:spacing w:beforeAutospacing="0" w:afterAutospacing="0" w:line="0" w:lineRule="atLeast"/>
              <w:jc w:val="center"/>
              <w:rPr>
                <w:highlight w:val="none"/>
              </w:rPr>
            </w:pPr>
            <w:r>
              <w:rPr>
                <w:highlight w:val="none"/>
              </w:rPr>
              <w:t> </w:t>
            </w:r>
          </w:p>
        </w:tc>
        <w:tc>
          <w:tcPr>
            <w:tcW w:w="1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2D2B5">
            <w:pPr>
              <w:pStyle w:val="34"/>
              <w:spacing w:beforeAutospacing="0" w:afterAutospacing="0" w:line="0" w:lineRule="atLeast"/>
              <w:jc w:val="center"/>
              <w:rPr>
                <w:highlight w:val="none"/>
              </w:rPr>
            </w:pPr>
            <w:r>
              <w:rPr>
                <w:highlight w:val="none"/>
              </w:rPr>
              <w:t> </w:t>
            </w:r>
          </w:p>
        </w:tc>
      </w:tr>
      <w:tr w14:paraId="6E902B74">
        <w:tblPrEx>
          <w:tblCellMar>
            <w:top w:w="0" w:type="dxa"/>
            <w:left w:w="108" w:type="dxa"/>
            <w:bottom w:w="0" w:type="dxa"/>
            <w:right w:w="108" w:type="dxa"/>
          </w:tblCellMar>
        </w:tblPrEx>
        <w:trPr>
          <w:trHeight w:val="519" w:hRule="atLeast"/>
          <w:tblCellSpacing w:w="0" w:type="dxa"/>
        </w:trPr>
        <w:tc>
          <w:tcPr>
            <w:tcW w:w="7064"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D8D1C51">
            <w:pPr>
              <w:pStyle w:val="34"/>
              <w:spacing w:beforeAutospacing="0" w:afterAutospacing="0" w:line="0" w:lineRule="atLeast"/>
              <w:jc w:val="center"/>
              <w:rPr>
                <w:highlight w:val="none"/>
              </w:rPr>
            </w:pPr>
            <w:r>
              <w:rPr>
                <w:rFonts w:hint="eastAsia" w:ascii="宋体" w:hAnsi="宋体" w:eastAsia="宋体" w:cs="宋体"/>
                <w:color w:val="000000"/>
                <w:highlight w:val="none"/>
              </w:rPr>
              <w:t>投标总报价（人民币：元）</w:t>
            </w:r>
          </w:p>
        </w:tc>
        <w:tc>
          <w:tcPr>
            <w:tcW w:w="1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0E3BD">
            <w:pPr>
              <w:pStyle w:val="34"/>
              <w:spacing w:beforeAutospacing="0" w:afterAutospacing="0" w:line="0" w:lineRule="atLeast"/>
              <w:jc w:val="both"/>
              <w:rPr>
                <w:highlight w:val="none"/>
              </w:rPr>
            </w:pPr>
            <w:r>
              <w:rPr>
                <w:highlight w:val="none"/>
              </w:rPr>
              <w:t> </w:t>
            </w:r>
          </w:p>
        </w:tc>
      </w:tr>
    </w:tbl>
    <w:p w14:paraId="36F4F46C">
      <w:pPr>
        <w:pStyle w:val="34"/>
        <w:spacing w:beforeAutospacing="0" w:afterAutospacing="0" w:line="0" w:lineRule="atLeast"/>
        <w:ind w:firstLine="48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w:t>
      </w:r>
      <w:r>
        <w:rPr>
          <w:rFonts w:hint="eastAsia" w:ascii="宋体" w:hAnsi="宋体" w:eastAsia="宋体" w:cs="宋体"/>
          <w:color w:val="000000"/>
          <w:highlight w:val="none"/>
          <w:lang w:val="en-US" w:eastAsia="zh-CN"/>
        </w:rPr>
        <w:t>的其它所有费用，招标文件另有规定的除外。2. “投标分项报价表”中“投标总报价”数额应当与“开标一览表”中“投标总报价”数额一致。</w:t>
      </w:r>
    </w:p>
    <w:p w14:paraId="61583005">
      <w:pPr>
        <w:pStyle w:val="34"/>
        <w:spacing w:beforeAutospacing="0" w:afterAutospacing="0" w:line="0" w:lineRule="atLeast"/>
        <w:ind w:firstLine="48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w:t>
      </w:r>
    </w:p>
    <w:p w14:paraId="6FBAFDDB">
      <w:pPr>
        <w:pStyle w:val="34"/>
        <w:tabs>
          <w:tab w:val="left" w:pos="4864"/>
        </w:tabs>
        <w:spacing w:beforeAutospacing="0" w:afterAutospacing="0" w:line="0" w:lineRule="atLeast"/>
        <w:ind w:right="200" w:rightChars="0" w:firstLine="624"/>
        <w:jc w:val="center"/>
        <w:rPr>
          <w:highlight w:val="none"/>
        </w:rPr>
      </w:pPr>
    </w:p>
    <w:p w14:paraId="110F947B">
      <w:pPr>
        <w:pStyle w:val="34"/>
        <w:tabs>
          <w:tab w:val="left" w:pos="4864"/>
        </w:tabs>
        <w:spacing w:beforeAutospacing="0" w:afterAutospacing="0" w:line="0" w:lineRule="atLeast"/>
        <w:ind w:right="200" w:rightChars="0" w:firstLine="624"/>
        <w:jc w:val="center"/>
        <w:rPr>
          <w:highlight w:val="none"/>
        </w:rPr>
      </w:pPr>
    </w:p>
    <w:p w14:paraId="4DC37C7C">
      <w:pPr>
        <w:pStyle w:val="34"/>
        <w:tabs>
          <w:tab w:val="left" w:pos="4864"/>
        </w:tabs>
        <w:spacing w:beforeAutospacing="0" w:afterAutospacing="0" w:line="0" w:lineRule="atLeast"/>
        <w:ind w:right="200" w:rightChars="0" w:firstLine="624"/>
        <w:jc w:val="center"/>
        <w:rPr>
          <w:highlight w:val="none"/>
        </w:rPr>
      </w:pPr>
      <w:r>
        <w:rPr>
          <w:rFonts w:hint="eastAsia" w:eastAsia="宋体"/>
          <w:highlight w:val="none"/>
          <w:lang w:val="en-US" w:eastAsia="zh-CN"/>
        </w:rPr>
        <w:t xml:space="preserve">          </w:t>
      </w:r>
      <w:r>
        <w:rPr>
          <w:highlight w:val="none"/>
        </w:rPr>
        <w:t> </w:t>
      </w:r>
      <w:r>
        <w:rPr>
          <w:rFonts w:hint="eastAsia" w:ascii="宋体" w:hAnsi="宋体" w:eastAsia="宋体" w:cs="宋体"/>
          <w:color w:val="000000"/>
          <w:highlight w:val="none"/>
        </w:rPr>
        <w:t>供应商全称（加盖CA电子公章）：</w:t>
      </w:r>
    </w:p>
    <w:p w14:paraId="351625D5">
      <w:pPr>
        <w:pStyle w:val="34"/>
        <w:spacing w:beforeAutospacing="0" w:afterAutospacing="0"/>
        <w:jc w:val="center"/>
        <w:rPr>
          <w:rFonts w:hint="default" w:eastAsia="宋体"/>
          <w:highlight w:val="none"/>
          <w:lang w:val="en-US" w:eastAsia="zh-CN"/>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日  期：</w:t>
      </w:r>
      <w:r>
        <w:rPr>
          <w:rFonts w:hint="eastAsia" w:ascii="宋体" w:hAnsi="宋体" w:eastAsia="宋体" w:cs="宋体"/>
          <w:color w:val="000000"/>
          <w:highlight w:val="none"/>
          <w:lang w:val="en-US" w:eastAsia="zh-CN"/>
        </w:rPr>
        <w:t xml:space="preserve">    年    月    日</w:t>
      </w:r>
    </w:p>
    <w:p w14:paraId="4DC7E6D7">
      <w:pPr>
        <w:pStyle w:val="34"/>
        <w:spacing w:beforeAutospacing="0" w:afterAutospacing="0"/>
        <w:ind w:firstLine="643" w:firstLineChars="200"/>
        <w:jc w:val="both"/>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br w:type="page" w:clear="all"/>
      </w:r>
    </w:p>
    <w:p w14:paraId="6F531A38">
      <w:pPr>
        <w:pStyle w:val="34"/>
        <w:spacing w:beforeAutospacing="0" w:afterAutospacing="0" w:line="360" w:lineRule="auto"/>
        <w:jc w:val="center"/>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t>十</w:t>
      </w:r>
      <w:r>
        <w:rPr>
          <w:rFonts w:hint="eastAsia" w:ascii="黑体" w:hAnsi="宋体" w:eastAsia="黑体" w:cs="黑体"/>
          <w:b/>
          <w:color w:val="000000"/>
          <w:sz w:val="32"/>
          <w:szCs w:val="32"/>
          <w:highlight w:val="none"/>
          <w:lang w:val="en-US" w:eastAsia="zh-CN"/>
        </w:rPr>
        <w:t>二</w:t>
      </w:r>
      <w:r>
        <w:rPr>
          <w:rFonts w:hint="eastAsia" w:ascii="黑体" w:hAnsi="宋体" w:eastAsia="黑体" w:cs="黑体"/>
          <w:b/>
          <w:color w:val="000000"/>
          <w:sz w:val="32"/>
          <w:szCs w:val="32"/>
          <w:highlight w:val="none"/>
        </w:rPr>
        <w:t>、技术要求响应及偏离表</w:t>
      </w:r>
    </w:p>
    <w:p w14:paraId="75370161">
      <w:pPr>
        <w:pStyle w:val="34"/>
        <w:spacing w:beforeAutospacing="0" w:afterAutospacing="0"/>
        <w:jc w:val="left"/>
        <w:rPr>
          <w:rFonts w:hint="eastAsia" w:ascii="黑体" w:hAnsi="宋体" w:eastAsia="黑体" w:cs="黑体"/>
          <w:b/>
          <w:color w:val="000000"/>
          <w:sz w:val="32"/>
          <w:szCs w:val="32"/>
          <w:highlight w:val="none"/>
        </w:rPr>
      </w:pPr>
      <w:r>
        <w:rPr>
          <w:rFonts w:hint="eastAsia" w:ascii="宋体" w:hAnsi="宋体" w:eastAsia="宋体" w:cs="宋体"/>
          <w:color w:val="000000"/>
          <w:highlight w:val="none"/>
        </w:rPr>
        <w:t>供应商全称（加盖CA电子公章）：</w:t>
      </w:r>
    </w:p>
    <w:tbl>
      <w:tblPr>
        <w:tblStyle w:val="37"/>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1501CD2B">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505B3E">
            <w:pPr>
              <w:pStyle w:val="34"/>
              <w:spacing w:beforeAutospacing="0" w:afterAutospacing="0"/>
              <w:jc w:val="center"/>
              <w:rPr>
                <w:highlight w:val="none"/>
              </w:rPr>
            </w:pPr>
            <w:r>
              <w:rPr>
                <w:rFonts w:hint="eastAsia" w:ascii="宋体" w:hAnsi="宋体" w:eastAsia="宋体" w:cs="宋体"/>
                <w:color w:val="000000"/>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4043CA">
            <w:pPr>
              <w:pStyle w:val="34"/>
              <w:spacing w:beforeAutospacing="0" w:afterAutospacing="0"/>
              <w:jc w:val="center"/>
              <w:rPr>
                <w:highlight w:val="none"/>
              </w:rPr>
            </w:pPr>
            <w:r>
              <w:rPr>
                <w:rFonts w:hint="eastAsia" w:ascii="宋体" w:hAnsi="宋体" w:eastAsia="宋体" w:cs="宋体"/>
                <w:color w:val="000000"/>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CF1EE0">
            <w:pPr>
              <w:pStyle w:val="34"/>
              <w:spacing w:beforeAutospacing="0" w:afterAutospacing="0"/>
              <w:jc w:val="center"/>
              <w:rPr>
                <w:highlight w:val="none"/>
              </w:rPr>
            </w:pPr>
            <w:r>
              <w:rPr>
                <w:rFonts w:hint="eastAsia" w:ascii="宋体" w:hAnsi="宋体" w:eastAsia="宋体" w:cs="宋体"/>
                <w:color w:val="000000"/>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794299">
            <w:pPr>
              <w:pStyle w:val="34"/>
              <w:spacing w:beforeAutospacing="0" w:afterAutospacing="0"/>
              <w:jc w:val="center"/>
              <w:rPr>
                <w:highlight w:val="none"/>
              </w:rPr>
            </w:pPr>
            <w:r>
              <w:rPr>
                <w:rFonts w:hint="eastAsia" w:ascii="宋体" w:hAnsi="宋体" w:eastAsia="宋体" w:cs="宋体"/>
                <w:color w:val="000000"/>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85354D">
            <w:pPr>
              <w:pStyle w:val="34"/>
              <w:spacing w:beforeAutospacing="0" w:afterAutospacing="0"/>
              <w:jc w:val="center"/>
              <w:rPr>
                <w:highlight w:val="none"/>
              </w:rPr>
            </w:pPr>
            <w:r>
              <w:rPr>
                <w:rFonts w:hint="eastAsia" w:ascii="宋体" w:hAnsi="宋体" w:eastAsia="宋体" w:cs="宋体"/>
                <w:color w:val="000000"/>
                <w:highlight w:val="none"/>
              </w:rPr>
              <w:t>证明</w:t>
            </w:r>
          </w:p>
          <w:p w14:paraId="4742AB54">
            <w:pPr>
              <w:pStyle w:val="34"/>
              <w:spacing w:beforeAutospacing="0" w:afterAutospacing="0"/>
              <w:jc w:val="center"/>
              <w:rPr>
                <w:highlight w:val="none"/>
              </w:rPr>
            </w:pPr>
            <w:r>
              <w:rPr>
                <w:rFonts w:hint="eastAsia" w:ascii="宋体" w:hAnsi="宋体" w:eastAsia="宋体" w:cs="宋体"/>
                <w:color w:val="000000"/>
                <w:highlight w:val="none"/>
              </w:rPr>
              <w:t>材料</w:t>
            </w:r>
          </w:p>
        </w:tc>
      </w:tr>
      <w:tr w14:paraId="7EEC259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8DD3E8">
            <w:pPr>
              <w:pStyle w:val="34"/>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18C2F3">
            <w:pPr>
              <w:pStyle w:val="34"/>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6D66A4">
            <w:pPr>
              <w:pStyle w:val="34"/>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D19713">
            <w:pPr>
              <w:pStyle w:val="34"/>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5DAC8D">
            <w:pPr>
              <w:pStyle w:val="34"/>
              <w:spacing w:beforeAutospacing="0" w:afterAutospacing="0"/>
              <w:jc w:val="center"/>
              <w:rPr>
                <w:highlight w:val="none"/>
              </w:rPr>
            </w:pPr>
            <w:r>
              <w:rPr>
                <w:highlight w:val="none"/>
              </w:rPr>
              <w:t> </w:t>
            </w:r>
          </w:p>
        </w:tc>
      </w:tr>
      <w:tr w14:paraId="654DCED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A1BE0E">
            <w:pPr>
              <w:pStyle w:val="34"/>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2D44BB">
            <w:pPr>
              <w:pStyle w:val="34"/>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36A915">
            <w:pPr>
              <w:pStyle w:val="34"/>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46AE6F">
            <w:pPr>
              <w:pStyle w:val="34"/>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7CF0EB">
            <w:pPr>
              <w:pStyle w:val="34"/>
              <w:spacing w:beforeAutospacing="0" w:afterAutospacing="0"/>
              <w:jc w:val="center"/>
              <w:rPr>
                <w:highlight w:val="none"/>
              </w:rPr>
            </w:pPr>
            <w:r>
              <w:rPr>
                <w:highlight w:val="none"/>
              </w:rPr>
              <w:t> </w:t>
            </w:r>
          </w:p>
        </w:tc>
      </w:tr>
      <w:tr w14:paraId="76A074A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22F184">
            <w:pPr>
              <w:pStyle w:val="34"/>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ADAA40">
            <w:pPr>
              <w:pStyle w:val="34"/>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BFDAB5">
            <w:pPr>
              <w:pStyle w:val="34"/>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D99FB6">
            <w:pPr>
              <w:pStyle w:val="34"/>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61F2A4">
            <w:pPr>
              <w:pStyle w:val="34"/>
              <w:spacing w:beforeAutospacing="0" w:afterAutospacing="0"/>
              <w:jc w:val="center"/>
              <w:rPr>
                <w:highlight w:val="none"/>
              </w:rPr>
            </w:pPr>
            <w:r>
              <w:rPr>
                <w:highlight w:val="none"/>
              </w:rPr>
              <w:t> </w:t>
            </w:r>
          </w:p>
        </w:tc>
      </w:tr>
      <w:tr w14:paraId="4D4D56E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0BFCA8">
            <w:pPr>
              <w:pStyle w:val="34"/>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23437B">
            <w:pPr>
              <w:pStyle w:val="34"/>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0A147D">
            <w:pPr>
              <w:pStyle w:val="34"/>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CB6B84">
            <w:pPr>
              <w:pStyle w:val="34"/>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8CEE08">
            <w:pPr>
              <w:pStyle w:val="34"/>
              <w:spacing w:beforeAutospacing="0" w:afterAutospacing="0"/>
              <w:jc w:val="center"/>
              <w:rPr>
                <w:highlight w:val="none"/>
              </w:rPr>
            </w:pPr>
            <w:r>
              <w:rPr>
                <w:highlight w:val="none"/>
              </w:rPr>
              <w:t> </w:t>
            </w:r>
          </w:p>
        </w:tc>
      </w:tr>
      <w:tr w14:paraId="20B8DE1B">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4CEA17">
            <w:pPr>
              <w:pStyle w:val="34"/>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422297">
            <w:pPr>
              <w:pStyle w:val="34"/>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762429">
            <w:pPr>
              <w:pStyle w:val="34"/>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DCD7AB">
            <w:pPr>
              <w:pStyle w:val="34"/>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26672E">
            <w:pPr>
              <w:pStyle w:val="34"/>
              <w:spacing w:beforeAutospacing="0" w:afterAutospacing="0"/>
              <w:jc w:val="center"/>
              <w:rPr>
                <w:highlight w:val="none"/>
              </w:rPr>
            </w:pPr>
            <w:r>
              <w:rPr>
                <w:highlight w:val="none"/>
              </w:rPr>
              <w:t> </w:t>
            </w:r>
          </w:p>
        </w:tc>
      </w:tr>
      <w:tr w14:paraId="51C9310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65C6EC">
            <w:pPr>
              <w:pStyle w:val="34"/>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132B16">
            <w:pPr>
              <w:pStyle w:val="34"/>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A66F8F">
            <w:pPr>
              <w:pStyle w:val="34"/>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C9170F">
            <w:pPr>
              <w:pStyle w:val="34"/>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96A340">
            <w:pPr>
              <w:pStyle w:val="34"/>
              <w:spacing w:beforeAutospacing="0" w:afterAutospacing="0"/>
              <w:jc w:val="center"/>
              <w:rPr>
                <w:highlight w:val="none"/>
              </w:rPr>
            </w:pPr>
            <w:r>
              <w:rPr>
                <w:highlight w:val="none"/>
              </w:rPr>
              <w:t> </w:t>
            </w:r>
          </w:p>
        </w:tc>
      </w:tr>
      <w:tr w14:paraId="3FD7C24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1D0657">
            <w:pPr>
              <w:pStyle w:val="34"/>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590D36">
            <w:pPr>
              <w:pStyle w:val="34"/>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1C5674">
            <w:pPr>
              <w:pStyle w:val="34"/>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54D08D">
            <w:pPr>
              <w:pStyle w:val="34"/>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8CA337">
            <w:pPr>
              <w:pStyle w:val="34"/>
              <w:spacing w:beforeAutospacing="0" w:afterAutospacing="0"/>
              <w:jc w:val="center"/>
              <w:rPr>
                <w:highlight w:val="none"/>
              </w:rPr>
            </w:pPr>
            <w:r>
              <w:rPr>
                <w:highlight w:val="none"/>
              </w:rPr>
              <w:t> </w:t>
            </w:r>
          </w:p>
        </w:tc>
      </w:tr>
      <w:tr w14:paraId="2999CD9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7EBFE4">
            <w:pPr>
              <w:pStyle w:val="34"/>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FE946F">
            <w:pPr>
              <w:pStyle w:val="34"/>
              <w:spacing w:beforeAutospacing="0" w:afterAutospacing="0"/>
              <w:jc w:val="center"/>
              <w:rPr>
                <w:highlight w:val="none"/>
              </w:rPr>
            </w:pPr>
            <w:r>
              <w:rPr>
                <w:rFonts w:hint="eastAsia" w:ascii="宋体" w:hAnsi="宋体" w:eastAsia="宋体" w:cs="宋体"/>
                <w:color w:val="000000"/>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CE8401">
            <w:pPr>
              <w:pStyle w:val="34"/>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9C441A">
            <w:pPr>
              <w:pStyle w:val="34"/>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419F76">
            <w:pPr>
              <w:pStyle w:val="34"/>
              <w:spacing w:beforeAutospacing="0" w:afterAutospacing="0"/>
              <w:jc w:val="center"/>
              <w:rPr>
                <w:highlight w:val="none"/>
              </w:rPr>
            </w:pPr>
            <w:r>
              <w:rPr>
                <w:highlight w:val="none"/>
              </w:rPr>
              <w:t> </w:t>
            </w:r>
          </w:p>
        </w:tc>
      </w:tr>
    </w:tbl>
    <w:p w14:paraId="26CFA033">
      <w:pPr>
        <w:pStyle w:val="34"/>
        <w:spacing w:beforeAutospacing="0" w:afterAutospacing="0"/>
        <w:jc w:val="both"/>
        <w:rPr>
          <w:highlight w:val="none"/>
        </w:rPr>
      </w:pPr>
      <w:r>
        <w:rPr>
          <w:rFonts w:hint="eastAsia" w:ascii="宋体" w:hAnsi="宋体" w:eastAsia="宋体" w:cs="宋体"/>
          <w:color w:val="000000"/>
          <w:highlight w:val="none"/>
        </w:rPr>
        <w:t>注： 行数不够，可自行添加。</w:t>
      </w:r>
    </w:p>
    <w:p w14:paraId="53AB09BE">
      <w:pPr>
        <w:pStyle w:val="34"/>
        <w:spacing w:beforeAutospacing="0" w:afterAutospacing="0"/>
        <w:jc w:val="both"/>
        <w:rPr>
          <w:highlight w:val="none"/>
        </w:rPr>
      </w:pPr>
      <w:r>
        <w:rPr>
          <w:highlight w:val="none"/>
        </w:rPr>
        <w:t> </w:t>
      </w:r>
    </w:p>
    <w:p w14:paraId="11DFEA37">
      <w:pPr>
        <w:rPr>
          <w:rFonts w:hint="eastAsia" w:ascii="黑体" w:hAnsi="宋体" w:eastAsia="黑体" w:cs="黑体"/>
          <w:b/>
          <w:color w:val="000000"/>
          <w:sz w:val="32"/>
          <w:szCs w:val="32"/>
          <w:highlight w:val="none"/>
        </w:rPr>
      </w:pPr>
      <w:bookmarkStart w:id="182" w:name="_Hlt26955054"/>
      <w:r>
        <w:rPr>
          <w:rFonts w:hint="eastAsia" w:ascii="黑体" w:hAnsi="宋体" w:eastAsia="黑体" w:cs="黑体"/>
          <w:b/>
          <w:color w:val="000000"/>
          <w:sz w:val="32"/>
          <w:szCs w:val="32"/>
          <w:highlight w:val="none"/>
        </w:rPr>
        <w:br w:type="page" w:clear="all"/>
      </w:r>
    </w:p>
    <w:p w14:paraId="06ADC23B">
      <w:pPr>
        <w:pStyle w:val="34"/>
        <w:numPr>
          <w:ilvl w:val="0"/>
          <w:numId w:val="0"/>
        </w:numPr>
        <w:spacing w:beforeAutospacing="0" w:afterAutospacing="0" w:line="360" w:lineRule="auto"/>
        <w:ind w:left="0" w:leftChars="0" w:firstLine="0" w:firstLineChars="0"/>
        <w:jc w:val="center"/>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lang w:val="en-US" w:eastAsia="zh-CN" w:bidi="ar-SA"/>
        </w:rPr>
        <w:t>十三、</w:t>
      </w:r>
      <w:r>
        <w:rPr>
          <w:rFonts w:hint="eastAsia" w:ascii="黑体" w:hAnsi="宋体" w:eastAsia="黑体" w:cs="黑体"/>
          <w:b/>
          <w:color w:val="000000"/>
          <w:sz w:val="32"/>
          <w:szCs w:val="32"/>
          <w:highlight w:val="none"/>
        </w:rPr>
        <w:t>商务要求响应及偏离表</w:t>
      </w:r>
    </w:p>
    <w:p w14:paraId="6A46B530">
      <w:pPr>
        <w:pStyle w:val="34"/>
        <w:numPr>
          <w:ilvl w:val="0"/>
          <w:numId w:val="0"/>
        </w:numPr>
        <w:spacing w:beforeAutospacing="0" w:afterAutospacing="0"/>
        <w:ind w:leftChars="0"/>
        <w:jc w:val="both"/>
        <w:rPr>
          <w:rFonts w:hint="eastAsia" w:ascii="黑体" w:hAnsi="宋体" w:eastAsia="黑体" w:cs="黑体"/>
          <w:b/>
          <w:color w:val="000000"/>
          <w:sz w:val="32"/>
          <w:szCs w:val="32"/>
          <w:highlight w:val="none"/>
        </w:rPr>
      </w:pPr>
      <w:r>
        <w:rPr>
          <w:rFonts w:hint="eastAsia" w:ascii="宋体" w:hAnsi="宋体" w:eastAsia="宋体" w:cs="宋体"/>
          <w:color w:val="000000"/>
          <w:highlight w:val="none"/>
        </w:rPr>
        <w:t>供应商全称（加盖CA电子公章）：</w:t>
      </w:r>
    </w:p>
    <w:tbl>
      <w:tblPr>
        <w:tblStyle w:val="37"/>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41CB8AF4">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8D145B">
            <w:pPr>
              <w:pStyle w:val="34"/>
              <w:spacing w:beforeAutospacing="0" w:afterAutospacing="0"/>
              <w:jc w:val="center"/>
              <w:rPr>
                <w:highlight w:val="none"/>
              </w:rPr>
            </w:pPr>
            <w:bookmarkStart w:id="183" w:name="_Hlt26955064"/>
            <w:bookmarkStart w:id="184" w:name="_Hlt26782999"/>
            <w:bookmarkStart w:id="185" w:name="_Hlt26671372"/>
            <w:bookmarkStart w:id="186" w:name="_Hlt26671343"/>
            <w:bookmarkStart w:id="187" w:name="_Hlt26609391"/>
            <w:bookmarkStart w:id="188" w:name="_Hlt24879081"/>
            <w:bookmarkStart w:id="189" w:name="_Hlt26955056"/>
            <w:bookmarkStart w:id="190" w:name="_Hlt26580838"/>
            <w:r>
              <w:rPr>
                <w:rFonts w:hint="eastAsia" w:ascii="宋体" w:hAnsi="宋体" w:eastAsia="宋体" w:cs="宋体"/>
                <w:color w:val="000000"/>
                <w:highlight w:val="none"/>
              </w:rPr>
              <w:t>序号</w:t>
            </w:r>
            <w:bookmarkEnd w:id="183"/>
            <w:bookmarkEnd w:id="184"/>
            <w:bookmarkEnd w:id="185"/>
            <w:bookmarkEnd w:id="186"/>
            <w:bookmarkEnd w:id="187"/>
            <w:bookmarkEnd w:id="188"/>
            <w:bookmarkEnd w:id="189"/>
            <w:bookmarkEnd w:id="190"/>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29F6FB">
            <w:pPr>
              <w:pStyle w:val="34"/>
              <w:spacing w:beforeAutospacing="0" w:afterAutospacing="0"/>
              <w:jc w:val="center"/>
              <w:rPr>
                <w:highlight w:val="none"/>
              </w:rPr>
            </w:pPr>
            <w:r>
              <w:rPr>
                <w:rFonts w:hint="eastAsia" w:ascii="宋体" w:hAnsi="宋体" w:eastAsia="宋体" w:cs="宋体"/>
                <w:color w:val="000000"/>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462DE0">
            <w:pPr>
              <w:pStyle w:val="34"/>
              <w:spacing w:beforeAutospacing="0" w:afterAutospacing="0"/>
              <w:jc w:val="center"/>
              <w:rPr>
                <w:highlight w:val="none"/>
              </w:rPr>
            </w:pPr>
            <w:r>
              <w:rPr>
                <w:rFonts w:hint="eastAsia" w:ascii="宋体" w:hAnsi="宋体" w:eastAsia="宋体" w:cs="宋体"/>
                <w:color w:val="000000"/>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74E190">
            <w:pPr>
              <w:pStyle w:val="34"/>
              <w:spacing w:beforeAutospacing="0" w:afterAutospacing="0"/>
              <w:jc w:val="center"/>
              <w:rPr>
                <w:highlight w:val="none"/>
              </w:rPr>
            </w:pPr>
            <w:r>
              <w:rPr>
                <w:rFonts w:hint="eastAsia" w:ascii="宋体" w:hAnsi="宋体" w:eastAsia="宋体" w:cs="宋体"/>
                <w:color w:val="000000"/>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7AF2C2">
            <w:pPr>
              <w:pStyle w:val="34"/>
              <w:spacing w:beforeAutospacing="0" w:afterAutospacing="0"/>
              <w:jc w:val="center"/>
              <w:rPr>
                <w:highlight w:val="none"/>
              </w:rPr>
            </w:pPr>
            <w:r>
              <w:rPr>
                <w:rFonts w:hint="eastAsia" w:ascii="宋体" w:hAnsi="宋体" w:eastAsia="宋体" w:cs="宋体"/>
                <w:color w:val="000000"/>
                <w:highlight w:val="none"/>
              </w:rPr>
              <w:t>证明</w:t>
            </w:r>
          </w:p>
          <w:p w14:paraId="3F22DC20">
            <w:pPr>
              <w:pStyle w:val="34"/>
              <w:spacing w:beforeAutospacing="0" w:afterAutospacing="0"/>
              <w:jc w:val="center"/>
              <w:rPr>
                <w:highlight w:val="none"/>
              </w:rPr>
            </w:pPr>
            <w:r>
              <w:rPr>
                <w:rFonts w:hint="eastAsia" w:ascii="宋体" w:hAnsi="宋体" w:eastAsia="宋体" w:cs="宋体"/>
                <w:color w:val="000000"/>
                <w:highlight w:val="none"/>
              </w:rPr>
              <w:t>材料</w:t>
            </w:r>
          </w:p>
        </w:tc>
      </w:tr>
      <w:tr w14:paraId="783C828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A9398D">
            <w:pPr>
              <w:pStyle w:val="34"/>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F25625">
            <w:pPr>
              <w:pStyle w:val="34"/>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31C154">
            <w:pPr>
              <w:pStyle w:val="34"/>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1B46E4">
            <w:pPr>
              <w:pStyle w:val="34"/>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1099BA">
            <w:pPr>
              <w:pStyle w:val="34"/>
              <w:spacing w:beforeAutospacing="0" w:afterAutospacing="0"/>
              <w:jc w:val="center"/>
              <w:rPr>
                <w:highlight w:val="none"/>
              </w:rPr>
            </w:pPr>
            <w:r>
              <w:rPr>
                <w:highlight w:val="none"/>
              </w:rPr>
              <w:t> </w:t>
            </w:r>
          </w:p>
        </w:tc>
      </w:tr>
      <w:tr w14:paraId="6F54C00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A96D82">
            <w:pPr>
              <w:pStyle w:val="34"/>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EDC415">
            <w:pPr>
              <w:pStyle w:val="34"/>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7CD1C6">
            <w:pPr>
              <w:pStyle w:val="34"/>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F29F98">
            <w:pPr>
              <w:pStyle w:val="34"/>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52AA71">
            <w:pPr>
              <w:pStyle w:val="34"/>
              <w:spacing w:beforeAutospacing="0" w:afterAutospacing="0"/>
              <w:jc w:val="center"/>
              <w:rPr>
                <w:highlight w:val="none"/>
              </w:rPr>
            </w:pPr>
            <w:r>
              <w:rPr>
                <w:highlight w:val="none"/>
              </w:rPr>
              <w:t> </w:t>
            </w:r>
          </w:p>
        </w:tc>
      </w:tr>
      <w:tr w14:paraId="3C7D315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3E73DA">
            <w:pPr>
              <w:pStyle w:val="34"/>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437B6A">
            <w:pPr>
              <w:pStyle w:val="34"/>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8C3503">
            <w:pPr>
              <w:pStyle w:val="34"/>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885D88">
            <w:pPr>
              <w:pStyle w:val="34"/>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E8C2CE">
            <w:pPr>
              <w:pStyle w:val="34"/>
              <w:spacing w:beforeAutospacing="0" w:afterAutospacing="0"/>
              <w:jc w:val="center"/>
              <w:rPr>
                <w:highlight w:val="none"/>
              </w:rPr>
            </w:pPr>
            <w:r>
              <w:rPr>
                <w:highlight w:val="none"/>
              </w:rPr>
              <w:t> </w:t>
            </w:r>
          </w:p>
        </w:tc>
      </w:tr>
      <w:tr w14:paraId="48345C1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0D0CD2">
            <w:pPr>
              <w:pStyle w:val="34"/>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E52F67">
            <w:pPr>
              <w:pStyle w:val="34"/>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D9D22B">
            <w:pPr>
              <w:pStyle w:val="34"/>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F74A7C">
            <w:pPr>
              <w:pStyle w:val="34"/>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328694">
            <w:pPr>
              <w:pStyle w:val="34"/>
              <w:spacing w:beforeAutospacing="0" w:afterAutospacing="0"/>
              <w:jc w:val="center"/>
              <w:rPr>
                <w:highlight w:val="none"/>
              </w:rPr>
            </w:pPr>
            <w:r>
              <w:rPr>
                <w:highlight w:val="none"/>
              </w:rPr>
              <w:t> </w:t>
            </w:r>
          </w:p>
        </w:tc>
      </w:tr>
      <w:tr w14:paraId="1CAA17B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B97BB5">
            <w:pPr>
              <w:pStyle w:val="34"/>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FB64CC">
            <w:pPr>
              <w:pStyle w:val="34"/>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42A44B">
            <w:pPr>
              <w:pStyle w:val="34"/>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F1C829">
            <w:pPr>
              <w:pStyle w:val="34"/>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180287">
            <w:pPr>
              <w:pStyle w:val="34"/>
              <w:spacing w:beforeAutospacing="0" w:afterAutospacing="0"/>
              <w:jc w:val="center"/>
              <w:rPr>
                <w:highlight w:val="none"/>
              </w:rPr>
            </w:pPr>
            <w:r>
              <w:rPr>
                <w:highlight w:val="none"/>
              </w:rPr>
              <w:t> </w:t>
            </w:r>
          </w:p>
        </w:tc>
      </w:tr>
      <w:tr w14:paraId="5634544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9BFC0A">
            <w:pPr>
              <w:pStyle w:val="34"/>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59B988">
            <w:pPr>
              <w:pStyle w:val="34"/>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FF5F38">
            <w:pPr>
              <w:pStyle w:val="34"/>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1B77E7">
            <w:pPr>
              <w:pStyle w:val="34"/>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3CC177">
            <w:pPr>
              <w:pStyle w:val="34"/>
              <w:spacing w:beforeAutospacing="0" w:afterAutospacing="0"/>
              <w:jc w:val="center"/>
              <w:rPr>
                <w:highlight w:val="none"/>
              </w:rPr>
            </w:pPr>
            <w:r>
              <w:rPr>
                <w:highlight w:val="none"/>
              </w:rPr>
              <w:t> </w:t>
            </w:r>
          </w:p>
        </w:tc>
      </w:tr>
      <w:tr w14:paraId="7EB92DE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0353B0">
            <w:pPr>
              <w:pStyle w:val="34"/>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42B6F5">
            <w:pPr>
              <w:pStyle w:val="34"/>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97FCB2">
            <w:pPr>
              <w:pStyle w:val="34"/>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A02ED6">
            <w:pPr>
              <w:pStyle w:val="34"/>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141BFA">
            <w:pPr>
              <w:pStyle w:val="34"/>
              <w:spacing w:beforeAutospacing="0" w:afterAutospacing="0"/>
              <w:jc w:val="center"/>
              <w:rPr>
                <w:highlight w:val="none"/>
              </w:rPr>
            </w:pPr>
            <w:r>
              <w:rPr>
                <w:highlight w:val="none"/>
              </w:rPr>
              <w:t> </w:t>
            </w:r>
          </w:p>
        </w:tc>
      </w:tr>
      <w:tr w14:paraId="594DBA7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5D4F6D">
            <w:pPr>
              <w:pStyle w:val="34"/>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6B8CF0">
            <w:pPr>
              <w:pStyle w:val="34"/>
              <w:spacing w:beforeAutospacing="0" w:afterAutospacing="0"/>
              <w:jc w:val="center"/>
              <w:rPr>
                <w:highlight w:val="none"/>
              </w:rPr>
            </w:pPr>
            <w:r>
              <w:rPr>
                <w:rFonts w:hint="eastAsia" w:ascii="宋体" w:hAnsi="宋体" w:eastAsia="宋体" w:cs="宋体"/>
                <w:color w:val="000000"/>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6D6FD5">
            <w:pPr>
              <w:pStyle w:val="34"/>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F4E294">
            <w:pPr>
              <w:pStyle w:val="34"/>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652A6A">
            <w:pPr>
              <w:pStyle w:val="34"/>
              <w:spacing w:beforeAutospacing="0" w:afterAutospacing="0"/>
              <w:jc w:val="center"/>
              <w:rPr>
                <w:highlight w:val="none"/>
              </w:rPr>
            </w:pPr>
            <w:r>
              <w:rPr>
                <w:highlight w:val="none"/>
              </w:rPr>
              <w:t> </w:t>
            </w:r>
          </w:p>
        </w:tc>
      </w:tr>
    </w:tbl>
    <w:p w14:paraId="2472E451">
      <w:pPr>
        <w:pStyle w:val="34"/>
        <w:spacing w:beforeAutospacing="0" w:afterAutospacing="0"/>
        <w:jc w:val="both"/>
        <w:rPr>
          <w:highlight w:val="none"/>
        </w:rPr>
      </w:pPr>
      <w:r>
        <w:rPr>
          <w:rFonts w:hint="eastAsia" w:ascii="宋体" w:hAnsi="宋体" w:eastAsia="宋体" w:cs="宋体"/>
          <w:color w:val="000000"/>
          <w:highlight w:val="none"/>
        </w:rPr>
        <w:t>注： 行数不够，可自行添加。</w:t>
      </w:r>
    </w:p>
    <w:p w14:paraId="72C0161C">
      <w:pPr>
        <w:pStyle w:val="34"/>
        <w:spacing w:beforeAutospacing="0" w:afterAutospacing="0"/>
        <w:jc w:val="both"/>
        <w:rPr>
          <w:highlight w:val="none"/>
        </w:rPr>
      </w:pPr>
      <w:bookmarkStart w:id="191" w:name="_Toc462564146"/>
      <w:bookmarkStart w:id="192" w:name="_Hlt26955066"/>
      <w:bookmarkStart w:id="193" w:name="_Hlt26609389"/>
      <w:bookmarkStart w:id="194" w:name="_Hlt26671374"/>
      <w:bookmarkStart w:id="195" w:name="_格式2__法定代表人授权书"/>
    </w:p>
    <w:p w14:paraId="57B6EC8E">
      <w:pPr>
        <w:rPr>
          <w:rFonts w:hint="eastAsia" w:ascii="黑体" w:hAnsi="宋体" w:eastAsia="黑体" w:cs="黑体"/>
          <w:b/>
          <w:i/>
          <w:color w:val="000000"/>
          <w:sz w:val="32"/>
          <w:szCs w:val="32"/>
          <w:highlight w:val="none"/>
          <w:u w:val="single"/>
        </w:rPr>
      </w:pPr>
      <w:r>
        <w:rPr>
          <w:rFonts w:hint="eastAsia" w:ascii="黑体" w:hAnsi="宋体" w:eastAsia="黑体" w:cs="黑体"/>
          <w:b/>
          <w:i/>
          <w:color w:val="000000"/>
          <w:sz w:val="32"/>
          <w:szCs w:val="32"/>
          <w:highlight w:val="none"/>
          <w:u w:val="single"/>
        </w:rPr>
        <w:br w:type="page" w:clear="all"/>
      </w:r>
    </w:p>
    <w:p w14:paraId="337BA4B7">
      <w:pPr>
        <w:widowControl/>
        <w:spacing w:before="50" w:after="50"/>
        <w:jc w:val="center"/>
        <w:rPr>
          <w:highlight w:val="none"/>
        </w:rPr>
      </w:pPr>
      <w:r>
        <w:rPr>
          <w:rFonts w:hint="eastAsia" w:ascii="黑体" w:hAnsi="宋体" w:eastAsia="黑体" w:cs="黑体"/>
          <w:b/>
          <w:i/>
          <w:color w:val="000000"/>
          <w:sz w:val="32"/>
          <w:szCs w:val="32"/>
          <w:highlight w:val="none"/>
          <w:u w:val="single"/>
        </w:rPr>
        <w:t>十</w:t>
      </w:r>
      <w:r>
        <w:rPr>
          <w:rFonts w:hint="eastAsia" w:ascii="黑体" w:hAnsi="宋体" w:eastAsia="黑体" w:cs="黑体"/>
          <w:b/>
          <w:i/>
          <w:color w:val="000000"/>
          <w:sz w:val="32"/>
          <w:szCs w:val="32"/>
          <w:highlight w:val="none"/>
          <w:u w:val="single"/>
          <w:lang w:val="en-US" w:eastAsia="zh-CN"/>
        </w:rPr>
        <w:t>四</w:t>
      </w:r>
      <w:r>
        <w:rPr>
          <w:rFonts w:hint="eastAsia" w:ascii="黑体" w:hAnsi="宋体" w:eastAsia="黑体" w:cs="黑体"/>
          <w:b/>
          <w:i/>
          <w:color w:val="000000"/>
          <w:sz w:val="32"/>
          <w:szCs w:val="32"/>
          <w:highlight w:val="none"/>
          <w:u w:val="single"/>
        </w:rPr>
        <w:t>、开标一览表</w:t>
      </w:r>
      <w:r>
        <w:rPr>
          <w:highlight w:val="none"/>
        </w:rPr>
        <w:tab/>
      </w:r>
    </w:p>
    <w:p w14:paraId="34800596">
      <w:pPr>
        <w:widowControl/>
        <w:spacing w:before="50" w:after="50"/>
        <w:jc w:val="center"/>
        <w:rPr>
          <w:highlight w:val="none"/>
        </w:rPr>
      </w:pPr>
    </w:p>
    <w:p w14:paraId="252DC2EE">
      <w:pPr>
        <w:pStyle w:val="212"/>
        <w:spacing w:beforeAutospacing="0" w:afterAutospacing="0"/>
        <w:ind w:firstLine="480"/>
        <w:jc w:val="both"/>
        <w:rPr>
          <w:rFonts w:hint="eastAsia"/>
          <w:color w:val="auto"/>
        </w:rPr>
      </w:pPr>
    </w:p>
    <w:p w14:paraId="3BE6FEFB">
      <w:pPr>
        <w:pStyle w:val="21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jc w:val="both"/>
        <w:textAlignment w:val="auto"/>
        <w:rPr>
          <w:rFonts w:hint="eastAsia" w:asciiTheme="minorHAnsi" w:hAnsiTheme="minorHAnsi" w:eastAsiaTheme="minorEastAsia" w:cstheme="minorBidi"/>
          <w:color w:val="auto"/>
          <w:sz w:val="24"/>
          <w:szCs w:val="24"/>
          <w:highlight w:val="none"/>
          <w:lang w:val="en-US" w:eastAsia="zh-CN" w:bidi="ar-SA"/>
        </w:rPr>
      </w:pPr>
      <w:r>
        <w:rPr>
          <w:rFonts w:hint="eastAsia" w:asciiTheme="minorHAnsi" w:hAnsiTheme="minorHAnsi" w:eastAsiaTheme="minorEastAsia" w:cstheme="minorBidi"/>
          <w:color w:val="auto"/>
          <w:sz w:val="24"/>
          <w:szCs w:val="24"/>
          <w:highlight w:val="none"/>
          <w:lang w:val="en-US" w:eastAsia="zh-CN" w:bidi="ar-SA"/>
        </w:rPr>
        <w:t>投标人全称（加盖CA电子签章）：</w:t>
      </w:r>
    </w:p>
    <w:p w14:paraId="1915D224">
      <w:pPr>
        <w:pStyle w:val="21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jc w:val="both"/>
        <w:textAlignment w:val="auto"/>
        <w:rPr>
          <w:rFonts w:hint="eastAsia" w:asciiTheme="minorHAnsi" w:hAnsiTheme="minorHAnsi" w:eastAsiaTheme="minorEastAsia" w:cstheme="minorBidi"/>
          <w:color w:val="auto"/>
          <w:sz w:val="24"/>
          <w:szCs w:val="24"/>
          <w:highlight w:val="none"/>
          <w:lang w:val="en-US" w:eastAsia="zh-CN" w:bidi="ar-SA"/>
        </w:rPr>
      </w:pPr>
      <w:r>
        <w:rPr>
          <w:rFonts w:hint="eastAsia" w:asciiTheme="minorHAnsi" w:hAnsiTheme="minorHAnsi" w:eastAsiaTheme="minorEastAsia" w:cstheme="minorBidi"/>
          <w:color w:val="auto"/>
          <w:sz w:val="24"/>
          <w:szCs w:val="24"/>
          <w:highlight w:val="none"/>
          <w:lang w:val="en-US" w:eastAsia="zh-CN" w:bidi="ar-SA"/>
        </w:rPr>
        <w:t>项目名称：</w:t>
      </w:r>
      <w:r>
        <w:rPr>
          <w:rFonts w:hint="eastAsia" w:cstheme="minorBidi"/>
          <w:color w:val="auto"/>
          <w:sz w:val="24"/>
          <w:szCs w:val="24"/>
          <w:highlight w:val="none"/>
          <w:lang w:val="en-US" w:eastAsia="zh-CN" w:bidi="ar-SA"/>
        </w:rPr>
        <w:t>县城照明设备及楼宇亮化维护服务（二次）</w:t>
      </w:r>
    </w:p>
    <w:p w14:paraId="1CD6AD99">
      <w:pPr>
        <w:pStyle w:val="21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jc w:val="both"/>
        <w:textAlignment w:val="auto"/>
        <w:rPr>
          <w:rFonts w:hint="eastAsia" w:asciiTheme="minorHAnsi" w:hAnsiTheme="minorHAnsi" w:eastAsiaTheme="minorEastAsia" w:cstheme="minorBidi"/>
          <w:color w:val="auto"/>
          <w:sz w:val="24"/>
          <w:szCs w:val="24"/>
          <w:highlight w:val="none"/>
          <w:lang w:val="en-US" w:eastAsia="zh-CN" w:bidi="ar-SA"/>
        </w:rPr>
      </w:pPr>
      <w:r>
        <w:rPr>
          <w:rFonts w:hint="eastAsia" w:asciiTheme="minorHAnsi" w:hAnsiTheme="minorHAnsi" w:eastAsiaTheme="minorEastAsia" w:cstheme="minorBidi"/>
          <w:color w:val="auto"/>
          <w:sz w:val="24"/>
          <w:szCs w:val="24"/>
          <w:highlight w:val="none"/>
          <w:lang w:val="en-US" w:eastAsia="zh-CN" w:bidi="ar-SA"/>
        </w:rPr>
        <w:t>招标编号：</w:t>
      </w:r>
      <w:r>
        <w:rPr>
          <w:rFonts w:hint="eastAsia" w:cstheme="minorBidi"/>
          <w:color w:val="auto"/>
          <w:sz w:val="24"/>
          <w:szCs w:val="24"/>
          <w:highlight w:val="none"/>
          <w:lang w:val="en-US" w:eastAsia="zh-CN" w:bidi="ar-SA"/>
        </w:rPr>
        <w:t>JSZC-320922-JSQG-G2026-0003</w:t>
      </w:r>
    </w:p>
    <w:p w14:paraId="6E591EC1">
      <w:pPr>
        <w:pStyle w:val="21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jc w:val="both"/>
        <w:textAlignment w:val="auto"/>
        <w:rPr>
          <w:rFonts w:hint="eastAsia" w:asciiTheme="minorHAnsi" w:hAnsiTheme="minorHAnsi" w:eastAsiaTheme="minorEastAsia" w:cstheme="minorBidi"/>
          <w:color w:val="auto"/>
          <w:sz w:val="24"/>
          <w:szCs w:val="24"/>
          <w:highlight w:val="none"/>
          <w:lang w:val="en-US" w:eastAsia="zh-CN" w:bidi="ar-SA"/>
        </w:rPr>
      </w:pPr>
      <w:r>
        <w:rPr>
          <w:rFonts w:hint="eastAsia" w:asciiTheme="minorHAnsi" w:hAnsiTheme="minorHAnsi" w:eastAsiaTheme="minorEastAsia" w:cstheme="minorBidi"/>
          <w:color w:val="auto"/>
          <w:sz w:val="24"/>
          <w:szCs w:val="24"/>
          <w:highlight w:val="none"/>
          <w:lang w:val="en-US" w:eastAsia="zh-CN" w:bidi="ar-SA"/>
        </w:rPr>
        <w:t>分包号：1</w:t>
      </w:r>
    </w:p>
    <w:p w14:paraId="71DAE037">
      <w:pPr>
        <w:pStyle w:val="212"/>
        <w:spacing w:beforeAutospacing="0" w:afterAutospacing="0"/>
        <w:jc w:val="both"/>
        <w:rPr>
          <w:color w:val="auto"/>
        </w:rPr>
      </w:pPr>
      <w:r>
        <w:rPr>
          <w:color w:val="auto"/>
        </w:rPr>
        <w:t> </w:t>
      </w:r>
    </w:p>
    <w:tbl>
      <w:tblPr>
        <w:tblStyle w:val="37"/>
        <w:tblW w:w="8440" w:type="dxa"/>
        <w:tblCellSpacing w:w="0" w:type="dxa"/>
        <w:tblInd w:w="118" w:type="dxa"/>
        <w:tblLayout w:type="fixed"/>
        <w:tblCellMar>
          <w:top w:w="0" w:type="dxa"/>
          <w:left w:w="108" w:type="dxa"/>
          <w:bottom w:w="0" w:type="dxa"/>
          <w:right w:w="108" w:type="dxa"/>
        </w:tblCellMar>
      </w:tblPr>
      <w:tblGrid>
        <w:gridCol w:w="8440"/>
      </w:tblGrid>
      <w:tr w14:paraId="6A8EF03C">
        <w:tblPrEx>
          <w:tblCellMar>
            <w:top w:w="0" w:type="dxa"/>
            <w:left w:w="108" w:type="dxa"/>
            <w:bottom w:w="0" w:type="dxa"/>
            <w:right w:w="108" w:type="dxa"/>
          </w:tblCellMar>
        </w:tblPrEx>
        <w:trPr>
          <w:trHeight w:val="913" w:hRule="atLeast"/>
          <w:tblCellSpacing w:w="0" w:type="dxa"/>
        </w:trPr>
        <w:tc>
          <w:tcPr>
            <w:tcW w:w="8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12D45">
            <w:pPr>
              <w:pStyle w:val="34"/>
              <w:spacing w:beforeAutospacing="0" w:afterAutospacing="0"/>
              <w:jc w:val="center"/>
              <w:rPr>
                <w:color w:val="auto"/>
                <w:highlight w:val="none"/>
              </w:rPr>
            </w:pPr>
            <w:r>
              <w:rPr>
                <w:rFonts w:hint="eastAsia" w:ascii="宋体" w:hAnsi="宋体" w:eastAsia="宋体" w:cs="宋体"/>
                <w:color w:val="auto"/>
                <w:highlight w:val="none"/>
              </w:rPr>
              <w:t>投标总报价</w:t>
            </w:r>
          </w:p>
        </w:tc>
      </w:tr>
      <w:tr w14:paraId="63448244">
        <w:tblPrEx>
          <w:tblCellMar>
            <w:top w:w="0" w:type="dxa"/>
            <w:left w:w="108" w:type="dxa"/>
            <w:bottom w:w="0" w:type="dxa"/>
            <w:right w:w="108" w:type="dxa"/>
          </w:tblCellMar>
        </w:tblPrEx>
        <w:trPr>
          <w:trHeight w:val="777" w:hRule="atLeast"/>
          <w:tblCellSpacing w:w="0" w:type="dxa"/>
        </w:trPr>
        <w:tc>
          <w:tcPr>
            <w:tcW w:w="8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83C3C">
            <w:pPr>
              <w:pStyle w:val="34"/>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大写：</w:t>
            </w:r>
          </w:p>
        </w:tc>
      </w:tr>
      <w:tr w14:paraId="32E22075">
        <w:tblPrEx>
          <w:tblCellMar>
            <w:top w:w="0" w:type="dxa"/>
            <w:left w:w="108" w:type="dxa"/>
            <w:bottom w:w="0" w:type="dxa"/>
            <w:right w:w="108" w:type="dxa"/>
          </w:tblCellMar>
        </w:tblPrEx>
        <w:trPr>
          <w:trHeight w:val="789" w:hRule="atLeast"/>
          <w:tblCellSpacing w:w="0" w:type="dxa"/>
        </w:trPr>
        <w:tc>
          <w:tcPr>
            <w:tcW w:w="8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FB0F0">
            <w:pPr>
              <w:pStyle w:val="34"/>
              <w:spacing w:beforeAutospacing="0" w:afterAutospacing="0" w:line="0" w:lineRule="atLeast"/>
              <w:rPr>
                <w:color w:val="auto"/>
                <w:highlight w:val="none"/>
              </w:rPr>
            </w:pPr>
            <w:r>
              <w:rPr>
                <w:rFonts w:hint="eastAsia" w:ascii="宋体" w:hAnsi="宋体" w:eastAsia="宋体" w:cs="宋体"/>
                <w:color w:val="auto"/>
                <w:highlight w:val="none"/>
              </w:rPr>
              <w:t>小写：                        （人民币：元）</w:t>
            </w:r>
          </w:p>
        </w:tc>
      </w:tr>
    </w:tbl>
    <w:p w14:paraId="549196C7">
      <w:pPr>
        <w:pStyle w:val="212"/>
        <w:spacing w:beforeAutospacing="0" w:afterAutospacing="0"/>
        <w:jc w:val="both"/>
        <w:rPr>
          <w:color w:val="auto"/>
        </w:rPr>
      </w:pPr>
    </w:p>
    <w:p w14:paraId="1E87B006">
      <w:pPr>
        <w:pStyle w:val="34"/>
        <w:keepNext w:val="0"/>
        <w:keepLines w:val="0"/>
        <w:widowControl/>
        <w:suppressLineNumbers w:val="0"/>
        <w:jc w:val="center"/>
        <w:rPr>
          <w:rFonts w:hint="eastAsia" w:ascii="宋体" w:hAnsi="宋体" w:eastAsia="宋体" w:cs="宋体"/>
        </w:rPr>
      </w:pPr>
      <w:r>
        <w:rPr>
          <w:rFonts w:hint="eastAsia"/>
          <w:color w:val="auto"/>
        </w:rPr>
        <w:t xml:space="preserve">                                              日期：  </w:t>
      </w:r>
      <w:r>
        <w:rPr>
          <w:rFonts w:hint="eastAsia"/>
          <w:color w:val="auto"/>
          <w:u w:val="single"/>
        </w:rPr>
        <w:t>  </w:t>
      </w:r>
      <w:r>
        <w:rPr>
          <w:rFonts w:hint="eastAsia" w:eastAsia="宋体"/>
          <w:color w:val="auto"/>
          <w:u w:val="single"/>
          <w:lang w:val="en-US" w:eastAsia="zh-CN"/>
        </w:rPr>
        <w:t xml:space="preserve">  </w:t>
      </w:r>
      <w:r>
        <w:rPr>
          <w:rFonts w:hint="eastAsia"/>
          <w:color w:val="auto"/>
          <w:u w:val="single"/>
        </w:rPr>
        <w:t xml:space="preserve">   </w:t>
      </w:r>
      <w:r>
        <w:rPr>
          <w:rFonts w:hint="eastAsia"/>
          <w:color w:val="auto"/>
        </w:rPr>
        <w:t>年</w:t>
      </w:r>
      <w:r>
        <w:rPr>
          <w:rFonts w:hint="eastAsia"/>
          <w:color w:val="auto"/>
          <w:u w:val="single"/>
        </w:rPr>
        <w:t>  </w:t>
      </w:r>
      <w:r>
        <w:rPr>
          <w:rFonts w:hint="eastAsia" w:eastAsia="宋体"/>
          <w:color w:val="auto"/>
          <w:u w:val="single"/>
          <w:lang w:val="en-US" w:eastAsia="zh-CN"/>
        </w:rPr>
        <w:t xml:space="preserve">  </w:t>
      </w:r>
      <w:r>
        <w:rPr>
          <w:rFonts w:hint="eastAsia"/>
          <w:color w:val="auto"/>
          <w:u w:val="single"/>
        </w:rPr>
        <w:t xml:space="preserve"> </w:t>
      </w:r>
      <w:r>
        <w:rPr>
          <w:rFonts w:hint="eastAsia"/>
          <w:color w:val="auto"/>
        </w:rPr>
        <w:t>月</w:t>
      </w:r>
      <w:r>
        <w:rPr>
          <w:rFonts w:hint="eastAsia"/>
          <w:color w:val="auto"/>
          <w:u w:val="single"/>
        </w:rPr>
        <w:t>  </w:t>
      </w:r>
      <w:r>
        <w:rPr>
          <w:rFonts w:hint="eastAsia" w:eastAsia="宋体"/>
          <w:color w:val="auto"/>
          <w:u w:val="single"/>
          <w:lang w:val="en-US" w:eastAsia="zh-CN"/>
        </w:rPr>
        <w:t xml:space="preserve">   </w:t>
      </w:r>
      <w:r>
        <w:rPr>
          <w:rFonts w:hint="eastAsia"/>
          <w:color w:val="auto"/>
          <w:u w:val="single"/>
        </w:rPr>
        <w:t xml:space="preserve"> </w:t>
      </w:r>
      <w:r>
        <w:rPr>
          <w:rFonts w:hint="eastAsia"/>
          <w:color w:val="auto"/>
        </w:rPr>
        <w:t>日</w:t>
      </w:r>
    </w:p>
    <w:p w14:paraId="4989E0AA">
      <w:pPr>
        <w:rPr>
          <w:highlight w:val="none"/>
        </w:rPr>
      </w:pPr>
    </w:p>
    <w:p w14:paraId="412F143D">
      <w:pPr>
        <w:pStyle w:val="44"/>
        <w:rPr>
          <w:highlight w:val="none"/>
        </w:rPr>
      </w:pPr>
    </w:p>
    <w:p w14:paraId="11F7CD5F">
      <w:pPr>
        <w:pStyle w:val="45"/>
      </w:pPr>
    </w:p>
    <w:p w14:paraId="0F2F7AEC">
      <w:pP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br w:type="page" w:clear="all"/>
      </w:r>
    </w:p>
    <w:p w14:paraId="47611CC9">
      <w:pPr>
        <w:widowControl/>
        <w:spacing w:before="50" w:after="50"/>
        <w:jc w:val="center"/>
        <w:rPr>
          <w:rFonts w:hint="eastAsia" w:ascii="宋体" w:hAnsi="宋体" w:eastAsia="宋体" w:cs="宋体"/>
          <w:color w:val="000000"/>
          <w:sz w:val="32"/>
          <w:szCs w:val="32"/>
          <w:highlight w:val="none"/>
        </w:rPr>
        <w:sectPr>
          <w:footerReference r:id="rId9" w:type="default"/>
          <w:pgSz w:w="11906" w:h="16838"/>
          <w:pgMar w:top="1460" w:right="1486" w:bottom="1518" w:left="1800" w:header="851" w:footer="992" w:gutter="0"/>
          <w:pgNumType w:start="31"/>
          <w:cols w:space="425" w:num="1"/>
          <w:docGrid w:linePitch="360" w:charSpace="0"/>
        </w:sectPr>
      </w:pPr>
    </w:p>
    <w:p w14:paraId="3A9A1D36">
      <w:pPr>
        <w:widowControl/>
        <w:spacing w:before="50" w:after="50"/>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lang w:val="en-US" w:eastAsia="zh-CN"/>
        </w:rPr>
        <w:t>十五、</w:t>
      </w:r>
      <w:r>
        <w:rPr>
          <w:rFonts w:hint="eastAsia" w:ascii="宋体" w:hAnsi="宋体" w:eastAsia="宋体" w:cs="宋体"/>
          <w:color w:val="000000"/>
          <w:sz w:val="32"/>
          <w:szCs w:val="32"/>
          <w:highlight w:val="none"/>
        </w:rPr>
        <w:t>项目组成员一览表</w:t>
      </w:r>
    </w:p>
    <w:p w14:paraId="6BFEA449">
      <w:pPr>
        <w:rPr>
          <w:rFonts w:hint="eastAsia" w:ascii="宋体" w:hAnsi="宋体" w:cs="宋体"/>
          <w:color w:val="000000"/>
          <w:sz w:val="24"/>
          <w:szCs w:val="24"/>
        </w:rPr>
      </w:pPr>
    </w:p>
    <w:p w14:paraId="6248F633">
      <w:pPr>
        <w:rPr>
          <w:rFonts w:hint="eastAsia" w:ascii="宋体" w:hAnsi="宋体" w:cs="宋体"/>
          <w:color w:val="000000"/>
          <w:sz w:val="24"/>
          <w:szCs w:val="24"/>
        </w:rPr>
      </w:pPr>
      <w:r>
        <w:rPr>
          <w:rFonts w:hint="eastAsia" w:ascii="宋体" w:hAnsi="宋体" w:cs="宋体"/>
          <w:color w:val="000000"/>
          <w:sz w:val="24"/>
          <w:szCs w:val="24"/>
        </w:rPr>
        <w:t>投标人全称（</w:t>
      </w:r>
      <w:r>
        <w:rPr>
          <w:rFonts w:hint="eastAsia" w:asciiTheme="minorHAnsi" w:hAnsiTheme="minorHAnsi" w:eastAsiaTheme="minorEastAsia" w:cstheme="minorBidi"/>
          <w:color w:val="auto"/>
          <w:sz w:val="24"/>
          <w:szCs w:val="24"/>
          <w:highlight w:val="none"/>
          <w:lang w:val="en-US" w:eastAsia="zh-CN" w:bidi="ar-SA"/>
        </w:rPr>
        <w:t>加盖CA电子签章</w:t>
      </w:r>
      <w:r>
        <w:rPr>
          <w:rFonts w:hint="eastAsia" w:ascii="宋体" w:hAnsi="宋体" w:cs="宋体"/>
          <w:color w:val="000000"/>
          <w:sz w:val="24"/>
          <w:szCs w:val="24"/>
        </w:rPr>
        <w:t xml:space="preserve">）：  </w:t>
      </w:r>
    </w:p>
    <w:p w14:paraId="527E2940">
      <w:pPr>
        <w:rPr>
          <w:rFonts w:ascii="宋体" w:hAnsi="宋体" w:cs="宋体"/>
          <w:color w:val="000000"/>
          <w:sz w:val="24"/>
          <w:szCs w:val="24"/>
        </w:rPr>
      </w:pPr>
      <w:r>
        <w:rPr>
          <w:rFonts w:hint="eastAsia" w:ascii="宋体" w:hAnsi="宋体" w:cs="宋体"/>
          <w:color w:val="000000"/>
          <w:sz w:val="24"/>
          <w:szCs w:val="24"/>
        </w:rPr>
        <w:t xml:space="preserve">     </w:t>
      </w:r>
    </w:p>
    <w:tbl>
      <w:tblPr>
        <w:tblStyle w:val="37"/>
        <w:tblW w:w="91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7"/>
        <w:gridCol w:w="1287"/>
        <w:gridCol w:w="1250"/>
        <w:gridCol w:w="3700"/>
        <w:gridCol w:w="1834"/>
      </w:tblGrid>
      <w:tr w14:paraId="7BC26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1047" w:type="dxa"/>
            <w:noWrap w:val="0"/>
            <w:vAlign w:val="center"/>
          </w:tcPr>
          <w:p w14:paraId="0053283C">
            <w:pPr>
              <w:jc w:val="center"/>
              <w:rPr>
                <w:rFonts w:hint="eastAsia" w:ascii="宋体" w:hAnsi="宋体" w:eastAsia="宋体"/>
                <w:b/>
                <w:bCs/>
                <w:sz w:val="24"/>
                <w:szCs w:val="24"/>
                <w:lang w:val="en-US" w:eastAsia="zh-CN"/>
              </w:rPr>
            </w:pPr>
            <w:r>
              <w:rPr>
                <w:rFonts w:hint="eastAsia" w:ascii="宋体" w:hAnsi="宋体"/>
                <w:b/>
                <w:bCs/>
                <w:sz w:val="24"/>
                <w:szCs w:val="24"/>
                <w:lang w:val="en-US" w:eastAsia="zh-CN"/>
              </w:rPr>
              <w:t>序号</w:t>
            </w:r>
          </w:p>
        </w:tc>
        <w:tc>
          <w:tcPr>
            <w:tcW w:w="1287" w:type="dxa"/>
            <w:noWrap w:val="0"/>
            <w:vAlign w:val="center"/>
          </w:tcPr>
          <w:p w14:paraId="22B1B161">
            <w:pPr>
              <w:jc w:val="center"/>
              <w:rPr>
                <w:rFonts w:hint="default" w:ascii="宋体" w:hAnsi="宋体" w:eastAsia="宋体"/>
                <w:b/>
                <w:bCs/>
                <w:sz w:val="24"/>
                <w:szCs w:val="24"/>
                <w:lang w:val="en-US" w:eastAsia="zh-CN"/>
              </w:rPr>
            </w:pPr>
            <w:r>
              <w:rPr>
                <w:rFonts w:hint="eastAsia" w:ascii="宋体" w:hAnsi="宋体" w:eastAsia="宋体"/>
                <w:b/>
                <w:bCs/>
                <w:sz w:val="24"/>
                <w:szCs w:val="24"/>
                <w:lang w:val="en-US" w:eastAsia="zh-CN"/>
              </w:rPr>
              <w:t>姓名</w:t>
            </w:r>
          </w:p>
        </w:tc>
        <w:tc>
          <w:tcPr>
            <w:tcW w:w="1250" w:type="dxa"/>
            <w:noWrap w:val="0"/>
            <w:vAlign w:val="center"/>
          </w:tcPr>
          <w:p w14:paraId="223197B9">
            <w:pPr>
              <w:jc w:val="center"/>
              <w:rPr>
                <w:rFonts w:hint="default" w:ascii="宋体" w:hAnsi="宋体" w:eastAsia="宋体"/>
                <w:b/>
                <w:bCs/>
                <w:sz w:val="24"/>
                <w:szCs w:val="24"/>
                <w:lang w:val="en-US" w:eastAsia="zh-CN"/>
              </w:rPr>
            </w:pPr>
            <w:r>
              <w:rPr>
                <w:rFonts w:hint="eastAsia" w:ascii="宋体" w:hAnsi="宋体" w:eastAsia="宋体"/>
                <w:b/>
                <w:bCs/>
                <w:sz w:val="24"/>
                <w:szCs w:val="24"/>
                <w:lang w:val="en-US" w:eastAsia="zh-CN"/>
              </w:rPr>
              <w:t>性别</w:t>
            </w:r>
          </w:p>
        </w:tc>
        <w:tc>
          <w:tcPr>
            <w:tcW w:w="3700" w:type="dxa"/>
            <w:noWrap w:val="0"/>
            <w:vAlign w:val="center"/>
          </w:tcPr>
          <w:p w14:paraId="334E3FD0">
            <w:pPr>
              <w:jc w:val="center"/>
              <w:rPr>
                <w:rFonts w:hint="default" w:ascii="宋体" w:hAnsi="宋体" w:eastAsia="宋体"/>
                <w:b/>
                <w:bCs/>
                <w:sz w:val="24"/>
                <w:szCs w:val="24"/>
                <w:lang w:val="en-US" w:eastAsia="zh-CN"/>
              </w:rPr>
            </w:pPr>
            <w:r>
              <w:rPr>
                <w:rFonts w:hint="eastAsia" w:ascii="宋体" w:hAnsi="宋体" w:eastAsia="宋体"/>
                <w:b/>
                <w:bCs/>
                <w:sz w:val="24"/>
                <w:szCs w:val="24"/>
                <w:lang w:val="en-US" w:eastAsia="zh-CN"/>
              </w:rPr>
              <w:t>证书类型</w:t>
            </w:r>
          </w:p>
        </w:tc>
        <w:tc>
          <w:tcPr>
            <w:tcW w:w="1834" w:type="dxa"/>
            <w:noWrap w:val="0"/>
            <w:vAlign w:val="center"/>
          </w:tcPr>
          <w:p w14:paraId="05EE850F">
            <w:pPr>
              <w:pStyle w:val="34"/>
              <w:spacing w:beforeAutospacing="0" w:afterAutospacing="0"/>
              <w:jc w:val="center"/>
              <w:rPr>
                <w:rFonts w:hint="default" w:ascii="宋体" w:hAnsi="宋体" w:eastAsia="宋体"/>
                <w:b/>
                <w:bCs/>
                <w:sz w:val="24"/>
                <w:szCs w:val="24"/>
                <w:lang w:val="en-US" w:eastAsia="zh-CN"/>
              </w:rPr>
            </w:pPr>
            <w:r>
              <w:rPr>
                <w:rFonts w:hint="eastAsia" w:ascii="宋体" w:hAnsi="宋体" w:eastAsia="宋体" w:cstheme="minorBidi"/>
                <w:b/>
                <w:bCs/>
                <w:sz w:val="24"/>
                <w:szCs w:val="24"/>
                <w:lang w:val="en-US" w:eastAsia="zh-CN" w:bidi="ar-SA"/>
              </w:rPr>
              <w:t>证明材料</w:t>
            </w:r>
          </w:p>
        </w:tc>
      </w:tr>
      <w:tr w14:paraId="6ED91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1047" w:type="dxa"/>
            <w:noWrap w:val="0"/>
            <w:vAlign w:val="center"/>
          </w:tcPr>
          <w:p w14:paraId="76923596">
            <w:pPr>
              <w:rPr>
                <w:rFonts w:ascii="宋体" w:hAnsi="宋体"/>
                <w:sz w:val="24"/>
                <w:szCs w:val="24"/>
              </w:rPr>
            </w:pPr>
          </w:p>
        </w:tc>
        <w:tc>
          <w:tcPr>
            <w:tcW w:w="1287" w:type="dxa"/>
            <w:noWrap w:val="0"/>
            <w:vAlign w:val="center"/>
          </w:tcPr>
          <w:p w14:paraId="67576AFF">
            <w:pPr>
              <w:rPr>
                <w:rFonts w:ascii="宋体" w:hAnsi="宋体"/>
                <w:sz w:val="24"/>
                <w:szCs w:val="24"/>
              </w:rPr>
            </w:pPr>
          </w:p>
        </w:tc>
        <w:tc>
          <w:tcPr>
            <w:tcW w:w="1250" w:type="dxa"/>
            <w:noWrap w:val="0"/>
            <w:vAlign w:val="center"/>
          </w:tcPr>
          <w:p w14:paraId="16BEAA18">
            <w:pPr>
              <w:rPr>
                <w:rFonts w:ascii="宋体" w:hAnsi="宋体"/>
                <w:sz w:val="24"/>
                <w:szCs w:val="24"/>
              </w:rPr>
            </w:pPr>
          </w:p>
        </w:tc>
        <w:tc>
          <w:tcPr>
            <w:tcW w:w="3700" w:type="dxa"/>
            <w:noWrap w:val="0"/>
            <w:vAlign w:val="center"/>
          </w:tcPr>
          <w:p w14:paraId="0C35BED6">
            <w:pPr>
              <w:rPr>
                <w:rFonts w:ascii="宋体" w:hAnsi="宋体"/>
                <w:sz w:val="24"/>
                <w:szCs w:val="24"/>
              </w:rPr>
            </w:pPr>
          </w:p>
        </w:tc>
        <w:tc>
          <w:tcPr>
            <w:tcW w:w="1834" w:type="dxa"/>
            <w:noWrap w:val="0"/>
            <w:vAlign w:val="center"/>
          </w:tcPr>
          <w:p w14:paraId="038370B5">
            <w:pPr>
              <w:rPr>
                <w:rFonts w:ascii="宋体" w:hAnsi="宋体"/>
                <w:sz w:val="24"/>
                <w:szCs w:val="24"/>
              </w:rPr>
            </w:pPr>
          </w:p>
        </w:tc>
      </w:tr>
      <w:tr w14:paraId="41994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1047" w:type="dxa"/>
            <w:noWrap w:val="0"/>
            <w:vAlign w:val="center"/>
          </w:tcPr>
          <w:p w14:paraId="6345AD22">
            <w:pPr>
              <w:rPr>
                <w:rFonts w:ascii="宋体" w:hAnsi="宋体"/>
                <w:sz w:val="24"/>
                <w:szCs w:val="24"/>
              </w:rPr>
            </w:pPr>
          </w:p>
        </w:tc>
        <w:tc>
          <w:tcPr>
            <w:tcW w:w="1287" w:type="dxa"/>
            <w:noWrap w:val="0"/>
            <w:vAlign w:val="center"/>
          </w:tcPr>
          <w:p w14:paraId="4BDF40A3">
            <w:pPr>
              <w:rPr>
                <w:rFonts w:ascii="宋体" w:hAnsi="宋体"/>
                <w:sz w:val="24"/>
                <w:szCs w:val="24"/>
              </w:rPr>
            </w:pPr>
          </w:p>
        </w:tc>
        <w:tc>
          <w:tcPr>
            <w:tcW w:w="1250" w:type="dxa"/>
            <w:noWrap w:val="0"/>
            <w:vAlign w:val="center"/>
          </w:tcPr>
          <w:p w14:paraId="2630A51E">
            <w:pPr>
              <w:rPr>
                <w:rFonts w:ascii="宋体" w:hAnsi="宋体"/>
                <w:sz w:val="24"/>
                <w:szCs w:val="24"/>
              </w:rPr>
            </w:pPr>
          </w:p>
        </w:tc>
        <w:tc>
          <w:tcPr>
            <w:tcW w:w="3700" w:type="dxa"/>
            <w:noWrap w:val="0"/>
            <w:vAlign w:val="center"/>
          </w:tcPr>
          <w:p w14:paraId="47B2B8AB">
            <w:pPr>
              <w:rPr>
                <w:rFonts w:ascii="宋体" w:hAnsi="宋体"/>
                <w:sz w:val="24"/>
                <w:szCs w:val="24"/>
              </w:rPr>
            </w:pPr>
          </w:p>
        </w:tc>
        <w:tc>
          <w:tcPr>
            <w:tcW w:w="1834" w:type="dxa"/>
            <w:noWrap w:val="0"/>
            <w:vAlign w:val="center"/>
          </w:tcPr>
          <w:p w14:paraId="768D59C8">
            <w:pPr>
              <w:rPr>
                <w:rFonts w:ascii="宋体" w:hAnsi="宋体"/>
                <w:sz w:val="24"/>
                <w:szCs w:val="24"/>
              </w:rPr>
            </w:pPr>
          </w:p>
        </w:tc>
      </w:tr>
      <w:tr w14:paraId="4FE2B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1047" w:type="dxa"/>
            <w:noWrap w:val="0"/>
            <w:vAlign w:val="center"/>
          </w:tcPr>
          <w:p w14:paraId="7CD7F2D5">
            <w:pPr>
              <w:rPr>
                <w:rFonts w:ascii="宋体" w:hAnsi="宋体"/>
                <w:sz w:val="24"/>
                <w:szCs w:val="24"/>
              </w:rPr>
            </w:pPr>
          </w:p>
        </w:tc>
        <w:tc>
          <w:tcPr>
            <w:tcW w:w="1287" w:type="dxa"/>
            <w:noWrap w:val="0"/>
            <w:vAlign w:val="center"/>
          </w:tcPr>
          <w:p w14:paraId="4FDF19BC">
            <w:pPr>
              <w:rPr>
                <w:rFonts w:ascii="宋体" w:hAnsi="宋体"/>
                <w:sz w:val="24"/>
                <w:szCs w:val="24"/>
              </w:rPr>
            </w:pPr>
          </w:p>
        </w:tc>
        <w:tc>
          <w:tcPr>
            <w:tcW w:w="1250" w:type="dxa"/>
            <w:noWrap w:val="0"/>
            <w:vAlign w:val="center"/>
          </w:tcPr>
          <w:p w14:paraId="64FD5845">
            <w:pPr>
              <w:rPr>
                <w:rFonts w:ascii="宋体" w:hAnsi="宋体"/>
                <w:sz w:val="24"/>
                <w:szCs w:val="24"/>
              </w:rPr>
            </w:pPr>
          </w:p>
        </w:tc>
        <w:tc>
          <w:tcPr>
            <w:tcW w:w="3700" w:type="dxa"/>
            <w:noWrap w:val="0"/>
            <w:vAlign w:val="center"/>
          </w:tcPr>
          <w:p w14:paraId="0089D8F8">
            <w:pPr>
              <w:rPr>
                <w:rFonts w:ascii="宋体" w:hAnsi="宋体"/>
                <w:sz w:val="24"/>
                <w:szCs w:val="24"/>
              </w:rPr>
            </w:pPr>
          </w:p>
        </w:tc>
        <w:tc>
          <w:tcPr>
            <w:tcW w:w="1834" w:type="dxa"/>
            <w:noWrap w:val="0"/>
            <w:vAlign w:val="center"/>
          </w:tcPr>
          <w:p w14:paraId="68F1CF5E">
            <w:pPr>
              <w:rPr>
                <w:rFonts w:ascii="宋体" w:hAnsi="宋体"/>
                <w:sz w:val="24"/>
                <w:szCs w:val="24"/>
              </w:rPr>
            </w:pPr>
          </w:p>
        </w:tc>
      </w:tr>
      <w:tr w14:paraId="6D485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83" w:hRule="atLeast"/>
          <w:jc w:val="center"/>
        </w:trPr>
        <w:tc>
          <w:tcPr>
            <w:tcW w:w="1047" w:type="dxa"/>
            <w:noWrap w:val="0"/>
            <w:vAlign w:val="center"/>
          </w:tcPr>
          <w:p w14:paraId="0D7F4970">
            <w:pPr>
              <w:rPr>
                <w:rFonts w:ascii="宋体" w:hAnsi="宋体"/>
                <w:sz w:val="24"/>
                <w:szCs w:val="24"/>
              </w:rPr>
            </w:pPr>
          </w:p>
        </w:tc>
        <w:tc>
          <w:tcPr>
            <w:tcW w:w="1287" w:type="dxa"/>
            <w:noWrap w:val="0"/>
            <w:vAlign w:val="center"/>
          </w:tcPr>
          <w:p w14:paraId="56533A0A">
            <w:pPr>
              <w:rPr>
                <w:rFonts w:ascii="宋体" w:hAnsi="宋体"/>
                <w:sz w:val="24"/>
                <w:szCs w:val="24"/>
              </w:rPr>
            </w:pPr>
          </w:p>
        </w:tc>
        <w:tc>
          <w:tcPr>
            <w:tcW w:w="1250" w:type="dxa"/>
            <w:noWrap w:val="0"/>
            <w:vAlign w:val="center"/>
          </w:tcPr>
          <w:p w14:paraId="76B3526B">
            <w:pPr>
              <w:rPr>
                <w:rFonts w:ascii="宋体" w:hAnsi="宋体"/>
                <w:sz w:val="24"/>
                <w:szCs w:val="24"/>
              </w:rPr>
            </w:pPr>
          </w:p>
        </w:tc>
        <w:tc>
          <w:tcPr>
            <w:tcW w:w="3700" w:type="dxa"/>
            <w:noWrap w:val="0"/>
            <w:vAlign w:val="center"/>
          </w:tcPr>
          <w:p w14:paraId="16C89E4E">
            <w:pPr>
              <w:rPr>
                <w:rFonts w:ascii="宋体" w:hAnsi="宋体"/>
                <w:sz w:val="24"/>
                <w:szCs w:val="24"/>
              </w:rPr>
            </w:pPr>
          </w:p>
        </w:tc>
        <w:tc>
          <w:tcPr>
            <w:tcW w:w="1834" w:type="dxa"/>
            <w:noWrap w:val="0"/>
            <w:vAlign w:val="center"/>
          </w:tcPr>
          <w:p w14:paraId="242EC9B4">
            <w:pPr>
              <w:rPr>
                <w:rFonts w:ascii="宋体" w:hAnsi="宋体"/>
                <w:sz w:val="24"/>
                <w:szCs w:val="24"/>
              </w:rPr>
            </w:pPr>
          </w:p>
        </w:tc>
      </w:tr>
      <w:tr w14:paraId="103F5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1047" w:type="dxa"/>
            <w:noWrap w:val="0"/>
            <w:vAlign w:val="center"/>
          </w:tcPr>
          <w:p w14:paraId="24DFDF7B">
            <w:pPr>
              <w:rPr>
                <w:rFonts w:ascii="宋体" w:hAnsi="宋体"/>
                <w:sz w:val="24"/>
                <w:szCs w:val="24"/>
              </w:rPr>
            </w:pPr>
          </w:p>
        </w:tc>
        <w:tc>
          <w:tcPr>
            <w:tcW w:w="1287" w:type="dxa"/>
            <w:noWrap w:val="0"/>
            <w:vAlign w:val="center"/>
          </w:tcPr>
          <w:p w14:paraId="65B5A808">
            <w:pPr>
              <w:rPr>
                <w:rFonts w:ascii="宋体" w:hAnsi="宋体"/>
                <w:sz w:val="24"/>
                <w:szCs w:val="24"/>
              </w:rPr>
            </w:pPr>
          </w:p>
        </w:tc>
        <w:tc>
          <w:tcPr>
            <w:tcW w:w="1250" w:type="dxa"/>
            <w:noWrap w:val="0"/>
            <w:vAlign w:val="center"/>
          </w:tcPr>
          <w:p w14:paraId="3F1956D0">
            <w:pPr>
              <w:rPr>
                <w:rFonts w:ascii="宋体" w:hAnsi="宋体"/>
                <w:sz w:val="24"/>
                <w:szCs w:val="24"/>
              </w:rPr>
            </w:pPr>
          </w:p>
        </w:tc>
        <w:tc>
          <w:tcPr>
            <w:tcW w:w="3700" w:type="dxa"/>
            <w:noWrap w:val="0"/>
            <w:vAlign w:val="center"/>
          </w:tcPr>
          <w:p w14:paraId="2DA3A025">
            <w:pPr>
              <w:rPr>
                <w:rFonts w:ascii="宋体" w:hAnsi="宋体"/>
                <w:sz w:val="24"/>
                <w:szCs w:val="24"/>
              </w:rPr>
            </w:pPr>
          </w:p>
        </w:tc>
        <w:tc>
          <w:tcPr>
            <w:tcW w:w="1834" w:type="dxa"/>
            <w:noWrap w:val="0"/>
            <w:vAlign w:val="center"/>
          </w:tcPr>
          <w:p w14:paraId="0A378A67">
            <w:pPr>
              <w:rPr>
                <w:rFonts w:ascii="宋体" w:hAnsi="宋体"/>
                <w:sz w:val="24"/>
                <w:szCs w:val="24"/>
              </w:rPr>
            </w:pPr>
          </w:p>
        </w:tc>
      </w:tr>
      <w:tr w14:paraId="7D462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1047" w:type="dxa"/>
            <w:noWrap w:val="0"/>
            <w:vAlign w:val="center"/>
          </w:tcPr>
          <w:p w14:paraId="0281E2E1">
            <w:pPr>
              <w:rPr>
                <w:rFonts w:ascii="宋体" w:hAnsi="宋体"/>
                <w:sz w:val="24"/>
                <w:szCs w:val="24"/>
              </w:rPr>
            </w:pPr>
          </w:p>
        </w:tc>
        <w:tc>
          <w:tcPr>
            <w:tcW w:w="1287" w:type="dxa"/>
            <w:noWrap w:val="0"/>
            <w:vAlign w:val="center"/>
          </w:tcPr>
          <w:p w14:paraId="6308F7BA">
            <w:pPr>
              <w:rPr>
                <w:rFonts w:ascii="宋体" w:hAnsi="宋体"/>
                <w:sz w:val="24"/>
                <w:szCs w:val="24"/>
              </w:rPr>
            </w:pPr>
          </w:p>
        </w:tc>
        <w:tc>
          <w:tcPr>
            <w:tcW w:w="1250" w:type="dxa"/>
            <w:noWrap w:val="0"/>
            <w:vAlign w:val="center"/>
          </w:tcPr>
          <w:p w14:paraId="6D9BF719">
            <w:pPr>
              <w:rPr>
                <w:rFonts w:ascii="宋体" w:hAnsi="宋体"/>
                <w:sz w:val="24"/>
                <w:szCs w:val="24"/>
              </w:rPr>
            </w:pPr>
          </w:p>
        </w:tc>
        <w:tc>
          <w:tcPr>
            <w:tcW w:w="3700" w:type="dxa"/>
            <w:noWrap w:val="0"/>
            <w:vAlign w:val="center"/>
          </w:tcPr>
          <w:p w14:paraId="3A327115">
            <w:pPr>
              <w:rPr>
                <w:rFonts w:ascii="宋体" w:hAnsi="宋体"/>
                <w:sz w:val="24"/>
                <w:szCs w:val="24"/>
              </w:rPr>
            </w:pPr>
          </w:p>
        </w:tc>
        <w:tc>
          <w:tcPr>
            <w:tcW w:w="1834" w:type="dxa"/>
            <w:noWrap w:val="0"/>
            <w:vAlign w:val="center"/>
          </w:tcPr>
          <w:p w14:paraId="263568BF">
            <w:pPr>
              <w:rPr>
                <w:rFonts w:ascii="宋体" w:hAnsi="宋体"/>
                <w:sz w:val="24"/>
                <w:szCs w:val="24"/>
              </w:rPr>
            </w:pPr>
          </w:p>
        </w:tc>
      </w:tr>
      <w:tr w14:paraId="570AD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1047" w:type="dxa"/>
            <w:noWrap w:val="0"/>
            <w:vAlign w:val="center"/>
          </w:tcPr>
          <w:p w14:paraId="2B66FB77">
            <w:pPr>
              <w:rPr>
                <w:rFonts w:ascii="宋体" w:hAnsi="宋体"/>
                <w:sz w:val="24"/>
                <w:szCs w:val="24"/>
              </w:rPr>
            </w:pPr>
          </w:p>
        </w:tc>
        <w:tc>
          <w:tcPr>
            <w:tcW w:w="1287" w:type="dxa"/>
            <w:noWrap w:val="0"/>
            <w:vAlign w:val="center"/>
          </w:tcPr>
          <w:p w14:paraId="7554A6DA">
            <w:pPr>
              <w:rPr>
                <w:rFonts w:ascii="宋体" w:hAnsi="宋体"/>
                <w:sz w:val="24"/>
                <w:szCs w:val="24"/>
              </w:rPr>
            </w:pPr>
          </w:p>
        </w:tc>
        <w:tc>
          <w:tcPr>
            <w:tcW w:w="1250" w:type="dxa"/>
            <w:noWrap w:val="0"/>
            <w:vAlign w:val="center"/>
          </w:tcPr>
          <w:p w14:paraId="1659F4CB">
            <w:pPr>
              <w:rPr>
                <w:rFonts w:ascii="宋体" w:hAnsi="宋体"/>
                <w:sz w:val="24"/>
                <w:szCs w:val="24"/>
              </w:rPr>
            </w:pPr>
          </w:p>
        </w:tc>
        <w:tc>
          <w:tcPr>
            <w:tcW w:w="3700" w:type="dxa"/>
            <w:noWrap w:val="0"/>
            <w:vAlign w:val="center"/>
          </w:tcPr>
          <w:p w14:paraId="52625A21">
            <w:pPr>
              <w:rPr>
                <w:rFonts w:ascii="宋体" w:hAnsi="宋体"/>
                <w:sz w:val="24"/>
                <w:szCs w:val="24"/>
              </w:rPr>
            </w:pPr>
          </w:p>
        </w:tc>
        <w:tc>
          <w:tcPr>
            <w:tcW w:w="1834" w:type="dxa"/>
            <w:noWrap w:val="0"/>
            <w:vAlign w:val="center"/>
          </w:tcPr>
          <w:p w14:paraId="1681793D">
            <w:pPr>
              <w:rPr>
                <w:rFonts w:ascii="宋体" w:hAnsi="宋体"/>
                <w:sz w:val="24"/>
                <w:szCs w:val="24"/>
              </w:rPr>
            </w:pPr>
          </w:p>
        </w:tc>
      </w:tr>
      <w:tr w14:paraId="4C4A7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0" w:hRule="atLeast"/>
          <w:jc w:val="center"/>
        </w:trPr>
        <w:tc>
          <w:tcPr>
            <w:tcW w:w="1047" w:type="dxa"/>
            <w:noWrap w:val="0"/>
            <w:vAlign w:val="center"/>
          </w:tcPr>
          <w:p w14:paraId="000972D2">
            <w:pPr>
              <w:rPr>
                <w:rFonts w:ascii="宋体" w:hAnsi="宋体"/>
                <w:sz w:val="24"/>
                <w:szCs w:val="24"/>
              </w:rPr>
            </w:pPr>
          </w:p>
        </w:tc>
        <w:tc>
          <w:tcPr>
            <w:tcW w:w="1287" w:type="dxa"/>
            <w:noWrap w:val="0"/>
            <w:vAlign w:val="center"/>
          </w:tcPr>
          <w:p w14:paraId="0E4EBA31">
            <w:pPr>
              <w:rPr>
                <w:rFonts w:ascii="宋体" w:hAnsi="宋体"/>
                <w:sz w:val="24"/>
                <w:szCs w:val="24"/>
              </w:rPr>
            </w:pPr>
          </w:p>
        </w:tc>
        <w:tc>
          <w:tcPr>
            <w:tcW w:w="1250" w:type="dxa"/>
            <w:noWrap w:val="0"/>
            <w:vAlign w:val="center"/>
          </w:tcPr>
          <w:p w14:paraId="6D9646AF">
            <w:pPr>
              <w:rPr>
                <w:rFonts w:ascii="宋体" w:hAnsi="宋体"/>
                <w:sz w:val="24"/>
                <w:szCs w:val="24"/>
              </w:rPr>
            </w:pPr>
          </w:p>
        </w:tc>
        <w:tc>
          <w:tcPr>
            <w:tcW w:w="3700" w:type="dxa"/>
            <w:noWrap w:val="0"/>
            <w:vAlign w:val="center"/>
          </w:tcPr>
          <w:p w14:paraId="41170BE0">
            <w:pPr>
              <w:rPr>
                <w:rFonts w:ascii="宋体" w:hAnsi="宋体"/>
                <w:sz w:val="24"/>
                <w:szCs w:val="24"/>
              </w:rPr>
            </w:pPr>
          </w:p>
        </w:tc>
        <w:tc>
          <w:tcPr>
            <w:tcW w:w="1834" w:type="dxa"/>
            <w:noWrap w:val="0"/>
            <w:vAlign w:val="center"/>
          </w:tcPr>
          <w:p w14:paraId="484CD9AE">
            <w:pPr>
              <w:rPr>
                <w:rFonts w:ascii="宋体" w:hAnsi="宋体"/>
                <w:sz w:val="24"/>
                <w:szCs w:val="24"/>
              </w:rPr>
            </w:pPr>
          </w:p>
        </w:tc>
      </w:tr>
      <w:tr w14:paraId="578CE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1047" w:type="dxa"/>
            <w:noWrap w:val="0"/>
            <w:vAlign w:val="center"/>
          </w:tcPr>
          <w:p w14:paraId="61815049">
            <w:pPr>
              <w:rPr>
                <w:rFonts w:ascii="宋体" w:hAnsi="宋体"/>
                <w:sz w:val="24"/>
                <w:szCs w:val="24"/>
              </w:rPr>
            </w:pPr>
          </w:p>
        </w:tc>
        <w:tc>
          <w:tcPr>
            <w:tcW w:w="1287" w:type="dxa"/>
            <w:noWrap w:val="0"/>
            <w:vAlign w:val="center"/>
          </w:tcPr>
          <w:p w14:paraId="0B3A8D0A">
            <w:pPr>
              <w:rPr>
                <w:rFonts w:ascii="宋体" w:hAnsi="宋体"/>
                <w:sz w:val="24"/>
                <w:szCs w:val="24"/>
              </w:rPr>
            </w:pPr>
          </w:p>
        </w:tc>
        <w:tc>
          <w:tcPr>
            <w:tcW w:w="1250" w:type="dxa"/>
            <w:noWrap w:val="0"/>
            <w:vAlign w:val="center"/>
          </w:tcPr>
          <w:p w14:paraId="12EC372C">
            <w:pPr>
              <w:rPr>
                <w:rFonts w:ascii="宋体" w:hAnsi="宋体"/>
                <w:sz w:val="24"/>
                <w:szCs w:val="24"/>
              </w:rPr>
            </w:pPr>
          </w:p>
        </w:tc>
        <w:tc>
          <w:tcPr>
            <w:tcW w:w="3700" w:type="dxa"/>
            <w:noWrap w:val="0"/>
            <w:vAlign w:val="center"/>
          </w:tcPr>
          <w:p w14:paraId="3A9993E7">
            <w:pPr>
              <w:rPr>
                <w:rFonts w:ascii="宋体" w:hAnsi="宋体"/>
                <w:sz w:val="24"/>
                <w:szCs w:val="24"/>
              </w:rPr>
            </w:pPr>
          </w:p>
        </w:tc>
        <w:tc>
          <w:tcPr>
            <w:tcW w:w="1834" w:type="dxa"/>
            <w:noWrap w:val="0"/>
            <w:vAlign w:val="center"/>
          </w:tcPr>
          <w:p w14:paraId="21CB8B2B">
            <w:pPr>
              <w:rPr>
                <w:rFonts w:ascii="宋体" w:hAnsi="宋体"/>
                <w:sz w:val="24"/>
                <w:szCs w:val="24"/>
              </w:rPr>
            </w:pPr>
          </w:p>
        </w:tc>
      </w:tr>
      <w:tr w14:paraId="18A7E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1047" w:type="dxa"/>
            <w:noWrap w:val="0"/>
            <w:vAlign w:val="center"/>
          </w:tcPr>
          <w:p w14:paraId="03F2F920">
            <w:pPr>
              <w:rPr>
                <w:rFonts w:ascii="宋体" w:hAnsi="宋体"/>
                <w:sz w:val="24"/>
                <w:szCs w:val="24"/>
              </w:rPr>
            </w:pPr>
            <w:r>
              <w:rPr>
                <w:rFonts w:ascii="宋体" w:hAnsi="宋体"/>
                <w:sz w:val="24"/>
                <w:szCs w:val="24"/>
              </w:rPr>
              <w:t>…</w:t>
            </w:r>
          </w:p>
        </w:tc>
        <w:tc>
          <w:tcPr>
            <w:tcW w:w="1287" w:type="dxa"/>
            <w:noWrap w:val="0"/>
            <w:vAlign w:val="center"/>
          </w:tcPr>
          <w:p w14:paraId="622AB391">
            <w:pPr>
              <w:rPr>
                <w:rFonts w:ascii="宋体" w:hAnsi="宋体"/>
                <w:sz w:val="24"/>
                <w:szCs w:val="24"/>
              </w:rPr>
            </w:pPr>
          </w:p>
        </w:tc>
        <w:tc>
          <w:tcPr>
            <w:tcW w:w="1250" w:type="dxa"/>
            <w:noWrap w:val="0"/>
            <w:vAlign w:val="center"/>
          </w:tcPr>
          <w:p w14:paraId="281908B7">
            <w:pPr>
              <w:rPr>
                <w:rFonts w:ascii="宋体" w:hAnsi="宋体"/>
                <w:sz w:val="24"/>
                <w:szCs w:val="24"/>
              </w:rPr>
            </w:pPr>
          </w:p>
        </w:tc>
        <w:tc>
          <w:tcPr>
            <w:tcW w:w="3700" w:type="dxa"/>
            <w:noWrap w:val="0"/>
            <w:vAlign w:val="center"/>
          </w:tcPr>
          <w:p w14:paraId="7B4FB0BB">
            <w:pPr>
              <w:rPr>
                <w:rFonts w:ascii="宋体" w:hAnsi="宋体"/>
                <w:sz w:val="24"/>
                <w:szCs w:val="24"/>
              </w:rPr>
            </w:pPr>
          </w:p>
        </w:tc>
        <w:tc>
          <w:tcPr>
            <w:tcW w:w="1834" w:type="dxa"/>
            <w:noWrap w:val="0"/>
            <w:vAlign w:val="center"/>
          </w:tcPr>
          <w:p w14:paraId="7A158DDF">
            <w:pPr>
              <w:rPr>
                <w:rFonts w:ascii="宋体" w:hAnsi="宋体"/>
                <w:sz w:val="24"/>
                <w:szCs w:val="24"/>
              </w:rPr>
            </w:pPr>
          </w:p>
        </w:tc>
      </w:tr>
    </w:tbl>
    <w:p w14:paraId="35DA93F5">
      <w:pPr>
        <w:rPr>
          <w:rFonts w:hint="eastAsia" w:ascii="宋体" w:hAnsi="宋体" w:eastAsia="宋体"/>
          <w:sz w:val="24"/>
          <w:szCs w:val="24"/>
          <w:lang w:eastAsia="zh-CN"/>
        </w:rPr>
      </w:pPr>
      <w:r>
        <w:rPr>
          <w:rFonts w:hint="eastAsia" w:ascii="宋体" w:hAnsi="宋体"/>
          <w:sz w:val="24"/>
          <w:szCs w:val="24"/>
        </w:rPr>
        <w:t>注:</w:t>
      </w:r>
      <w:r>
        <w:rPr>
          <w:rFonts w:hint="eastAsia" w:ascii="宋体" w:hAnsi="宋体" w:eastAsia="宋体"/>
          <w:sz w:val="24"/>
          <w:szCs w:val="24"/>
          <w:lang w:val="en-US" w:eastAsia="zh-CN"/>
        </w:rPr>
        <w:t xml:space="preserve"> </w:t>
      </w:r>
      <w:r>
        <w:rPr>
          <w:rFonts w:hint="eastAsia" w:ascii="宋体" w:hAnsi="宋体"/>
          <w:sz w:val="24"/>
          <w:szCs w:val="24"/>
        </w:rPr>
        <w:t>1、行数不够,自行添加</w:t>
      </w:r>
      <w:r>
        <w:rPr>
          <w:rFonts w:hint="eastAsia" w:ascii="宋体" w:hAnsi="宋体" w:eastAsia="宋体"/>
          <w:sz w:val="24"/>
          <w:szCs w:val="24"/>
          <w:lang w:eastAsia="zh-CN"/>
        </w:rPr>
        <w:t>（</w:t>
      </w:r>
      <w:r>
        <w:rPr>
          <w:rFonts w:hint="eastAsia" w:ascii="宋体" w:hAnsi="宋体" w:eastAsia="宋体"/>
          <w:sz w:val="24"/>
          <w:szCs w:val="24"/>
          <w:lang w:val="en-US" w:eastAsia="zh-CN"/>
        </w:rPr>
        <w:t>本表可根据投标人实际需要自行编辑</w:t>
      </w:r>
      <w:r>
        <w:rPr>
          <w:rFonts w:hint="eastAsia" w:ascii="宋体" w:hAnsi="宋体" w:eastAsia="宋体"/>
          <w:sz w:val="24"/>
          <w:szCs w:val="24"/>
          <w:lang w:eastAsia="zh-CN"/>
        </w:rPr>
        <w:t>）</w:t>
      </w:r>
    </w:p>
    <w:p w14:paraId="37646D9C">
      <w:pPr>
        <w:ind w:firstLine="480" w:firstLineChars="200"/>
        <w:rPr>
          <w:rFonts w:ascii="宋体" w:hAnsi="宋体"/>
          <w:sz w:val="24"/>
          <w:szCs w:val="24"/>
        </w:rPr>
      </w:pPr>
      <w:r>
        <w:rPr>
          <w:rFonts w:hint="eastAsia" w:ascii="宋体" w:hAnsi="宋体"/>
          <w:sz w:val="24"/>
          <w:szCs w:val="24"/>
        </w:rPr>
        <w:t>2、证明材料附后</w:t>
      </w:r>
    </w:p>
    <w:p w14:paraId="26944927">
      <w:pPr>
        <w:spacing w:before="50" w:after="50"/>
        <w:rPr>
          <w:rFonts w:ascii="宋体" w:hAnsi="宋体"/>
          <w:sz w:val="24"/>
          <w:szCs w:val="24"/>
        </w:rPr>
      </w:pPr>
    </w:p>
    <w:p w14:paraId="4881A1E1">
      <w:pPr>
        <w:spacing w:before="50" w:after="50"/>
        <w:ind w:firstLine="5040"/>
        <w:rPr>
          <w:rFonts w:ascii="宋体" w:hAnsi="宋体" w:cs="宋体"/>
          <w:color w:val="000000"/>
          <w:sz w:val="32"/>
          <w:szCs w:val="32"/>
        </w:rPr>
      </w:pPr>
      <w:r>
        <w:rPr>
          <w:rFonts w:hint="eastAsia" w:ascii="宋体" w:hAnsi="宋体"/>
          <w:sz w:val="24"/>
        </w:rPr>
        <w:t xml:space="preserve">              </w:t>
      </w:r>
    </w:p>
    <w:p w14:paraId="54CD8F69">
      <w:pPr>
        <w:widowControl/>
        <w:spacing w:before="50" w:after="50"/>
        <w:jc w:val="center"/>
        <w:rPr>
          <w:rFonts w:hint="eastAsia" w:ascii="宋体" w:hAnsi="宋体" w:eastAsia="宋体" w:cs="宋体"/>
          <w:color w:val="000000"/>
          <w:sz w:val="32"/>
          <w:szCs w:val="32"/>
          <w:highlight w:val="none"/>
        </w:rPr>
        <w:sectPr>
          <w:footerReference r:id="rId10" w:type="default"/>
          <w:pgSz w:w="11906" w:h="16838"/>
          <w:pgMar w:top="1460" w:right="1486" w:bottom="1518" w:left="1800" w:header="851" w:footer="992" w:gutter="0"/>
          <w:pgNumType w:start="58"/>
          <w:cols w:space="425" w:num="1"/>
          <w:docGrid w:linePitch="360" w:charSpace="0"/>
        </w:sectPr>
      </w:pPr>
    </w:p>
    <w:p w14:paraId="5CDF5200">
      <w:pPr>
        <w:widowControl/>
        <w:spacing w:before="50" w:after="50"/>
        <w:jc w:val="center"/>
        <w:rPr>
          <w:rFonts w:ascii="宋体" w:hAnsi="宋体" w:eastAsia="宋体" w:cs="宋体"/>
          <w:sz w:val="24"/>
          <w:highlight w:val="none"/>
        </w:rPr>
      </w:pPr>
      <w:r>
        <w:rPr>
          <w:rFonts w:hint="eastAsia" w:ascii="宋体" w:hAnsi="宋体" w:eastAsia="宋体" w:cs="宋体"/>
          <w:color w:val="000000"/>
          <w:sz w:val="32"/>
          <w:szCs w:val="32"/>
          <w:highlight w:val="none"/>
        </w:rPr>
        <w:t>十</w:t>
      </w:r>
      <w:r>
        <w:rPr>
          <w:rFonts w:hint="eastAsia" w:ascii="宋体" w:hAnsi="宋体" w:eastAsia="宋体" w:cs="宋体"/>
          <w:color w:val="000000"/>
          <w:sz w:val="32"/>
          <w:szCs w:val="32"/>
          <w:highlight w:val="none"/>
          <w:lang w:val="en-US" w:eastAsia="zh-CN"/>
        </w:rPr>
        <w:t>六</w:t>
      </w:r>
      <w:r>
        <w:rPr>
          <w:rFonts w:hint="eastAsia" w:ascii="宋体" w:hAnsi="宋体" w:eastAsia="宋体" w:cs="宋体"/>
          <w:color w:val="000000"/>
          <w:sz w:val="32"/>
          <w:szCs w:val="32"/>
          <w:highlight w:val="none"/>
        </w:rPr>
        <w:t>、</w:t>
      </w:r>
      <w:r>
        <w:rPr>
          <w:rFonts w:hint="eastAsia" w:ascii="宋体" w:hAnsi="宋体" w:eastAsia="宋体" w:cs="宋体"/>
          <w:color w:val="000000"/>
          <w:sz w:val="32"/>
          <w:szCs w:val="32"/>
          <w:highlight w:val="none"/>
          <w:lang w:val="en-US" w:eastAsia="zh-CN"/>
        </w:rPr>
        <w:t>企业实力、</w:t>
      </w:r>
      <w:r>
        <w:rPr>
          <w:rFonts w:hint="eastAsia" w:ascii="宋体" w:hAnsi="宋体" w:eastAsia="宋体" w:cs="宋体"/>
          <w:color w:val="000000"/>
          <w:sz w:val="32"/>
          <w:szCs w:val="32"/>
          <w:highlight w:val="none"/>
        </w:rPr>
        <w:t>技术方案等</w:t>
      </w:r>
    </w:p>
    <w:p w14:paraId="6530919C">
      <w:pPr>
        <w:pStyle w:val="34"/>
        <w:spacing w:beforeAutospacing="0" w:afterAutospacing="0"/>
        <w:jc w:val="center"/>
        <w:rPr>
          <w:rFonts w:ascii="宋体" w:hAnsi="宋体" w:eastAsia="宋体" w:cs="宋体"/>
          <w:b/>
          <w:color w:val="000000"/>
          <w:sz w:val="32"/>
          <w:szCs w:val="32"/>
          <w:highlight w:val="none"/>
        </w:rPr>
      </w:pPr>
    </w:p>
    <w:p w14:paraId="4913F64F">
      <w:pPr>
        <w:pStyle w:val="34"/>
        <w:spacing w:beforeAutospacing="0" w:afterAutospacing="0"/>
        <w:jc w:val="center"/>
        <w:rPr>
          <w:rFonts w:ascii="宋体" w:hAnsi="宋体" w:eastAsia="宋体" w:cs="宋体"/>
          <w:b/>
          <w:color w:val="000000"/>
          <w:sz w:val="32"/>
          <w:szCs w:val="32"/>
          <w:highlight w:val="none"/>
        </w:rPr>
      </w:pPr>
    </w:p>
    <w:p w14:paraId="1CBD61C3">
      <w:pPr>
        <w:pStyle w:val="34"/>
        <w:spacing w:beforeAutospacing="0" w:afterAutospacing="0"/>
        <w:jc w:val="center"/>
        <w:rPr>
          <w:rFonts w:ascii="宋体" w:hAnsi="宋体" w:eastAsia="宋体" w:cs="宋体"/>
          <w:b/>
          <w:color w:val="000000"/>
          <w:sz w:val="32"/>
          <w:szCs w:val="32"/>
          <w:highlight w:val="none"/>
        </w:rPr>
      </w:pPr>
    </w:p>
    <w:p w14:paraId="2A470A6F">
      <w:pPr>
        <w:pStyle w:val="34"/>
        <w:spacing w:beforeAutospacing="0" w:afterAutospacing="0"/>
        <w:jc w:val="center"/>
        <w:rPr>
          <w:rFonts w:ascii="宋体" w:hAnsi="宋体" w:eastAsia="宋体" w:cs="宋体"/>
          <w:b/>
          <w:color w:val="000000"/>
          <w:sz w:val="32"/>
          <w:szCs w:val="32"/>
          <w:highlight w:val="none"/>
        </w:rPr>
      </w:pPr>
    </w:p>
    <w:p w14:paraId="73A8FC41">
      <w:pPr>
        <w:pStyle w:val="34"/>
        <w:spacing w:beforeAutospacing="0" w:afterAutospacing="0"/>
        <w:jc w:val="center"/>
        <w:rPr>
          <w:rFonts w:ascii="宋体" w:hAnsi="宋体" w:eastAsia="宋体" w:cs="宋体"/>
          <w:b/>
          <w:color w:val="000000"/>
          <w:sz w:val="32"/>
          <w:szCs w:val="32"/>
          <w:highlight w:val="none"/>
        </w:rPr>
      </w:pPr>
    </w:p>
    <w:p w14:paraId="598345CB">
      <w:pPr>
        <w:pStyle w:val="34"/>
        <w:spacing w:beforeAutospacing="0" w:afterAutospacing="0"/>
        <w:jc w:val="center"/>
        <w:rPr>
          <w:rFonts w:ascii="宋体" w:hAnsi="宋体" w:eastAsia="宋体" w:cs="宋体"/>
          <w:b/>
          <w:color w:val="000000"/>
          <w:sz w:val="32"/>
          <w:szCs w:val="32"/>
          <w:highlight w:val="none"/>
        </w:rPr>
      </w:pPr>
    </w:p>
    <w:p w14:paraId="2162238E">
      <w:pPr>
        <w:pStyle w:val="34"/>
        <w:spacing w:beforeAutospacing="0" w:afterAutospacing="0"/>
        <w:jc w:val="center"/>
        <w:rPr>
          <w:rFonts w:ascii="宋体" w:hAnsi="宋体" w:eastAsia="宋体" w:cs="宋体"/>
          <w:b/>
          <w:color w:val="000000"/>
          <w:sz w:val="32"/>
          <w:szCs w:val="32"/>
          <w:highlight w:val="none"/>
        </w:rPr>
      </w:pPr>
    </w:p>
    <w:p w14:paraId="3FF007E3">
      <w:pPr>
        <w:pStyle w:val="34"/>
        <w:spacing w:beforeAutospacing="0" w:afterAutospacing="0"/>
        <w:jc w:val="center"/>
        <w:rPr>
          <w:rFonts w:ascii="宋体" w:hAnsi="宋体" w:eastAsia="宋体" w:cs="宋体"/>
          <w:b/>
          <w:color w:val="000000"/>
          <w:sz w:val="32"/>
          <w:szCs w:val="32"/>
          <w:highlight w:val="none"/>
        </w:rPr>
      </w:pPr>
    </w:p>
    <w:p w14:paraId="5DFD2AFE">
      <w:pPr>
        <w:pStyle w:val="34"/>
        <w:spacing w:beforeAutospacing="0" w:afterAutospacing="0"/>
        <w:jc w:val="center"/>
        <w:rPr>
          <w:rFonts w:ascii="宋体" w:hAnsi="宋体" w:eastAsia="宋体" w:cs="宋体"/>
          <w:b/>
          <w:color w:val="000000"/>
          <w:sz w:val="32"/>
          <w:szCs w:val="32"/>
          <w:highlight w:val="none"/>
        </w:rPr>
      </w:pPr>
    </w:p>
    <w:p w14:paraId="4609FA5C">
      <w:pPr>
        <w:pStyle w:val="34"/>
        <w:spacing w:beforeAutospacing="0" w:afterAutospacing="0"/>
        <w:jc w:val="center"/>
        <w:rPr>
          <w:rFonts w:ascii="宋体" w:hAnsi="宋体" w:eastAsia="宋体" w:cs="宋体"/>
          <w:b/>
          <w:color w:val="000000"/>
          <w:sz w:val="32"/>
          <w:szCs w:val="32"/>
          <w:highlight w:val="none"/>
        </w:rPr>
      </w:pPr>
    </w:p>
    <w:p w14:paraId="38149DC8">
      <w:pPr>
        <w:pStyle w:val="34"/>
        <w:spacing w:beforeAutospacing="0" w:afterAutospacing="0"/>
        <w:jc w:val="center"/>
        <w:rPr>
          <w:rFonts w:ascii="宋体" w:hAnsi="宋体" w:eastAsia="宋体" w:cs="宋体"/>
          <w:b/>
          <w:color w:val="000000"/>
          <w:sz w:val="32"/>
          <w:szCs w:val="32"/>
          <w:highlight w:val="none"/>
        </w:rPr>
      </w:pPr>
    </w:p>
    <w:p w14:paraId="0D1FE0BD">
      <w:pPr>
        <w:pStyle w:val="34"/>
        <w:spacing w:beforeAutospacing="0" w:afterAutospacing="0"/>
        <w:jc w:val="center"/>
        <w:rPr>
          <w:rFonts w:ascii="宋体" w:hAnsi="宋体" w:eastAsia="宋体" w:cs="宋体"/>
          <w:b/>
          <w:color w:val="000000"/>
          <w:sz w:val="32"/>
          <w:szCs w:val="32"/>
          <w:highlight w:val="none"/>
        </w:rPr>
      </w:pPr>
    </w:p>
    <w:p w14:paraId="617EE071">
      <w:pPr>
        <w:pStyle w:val="34"/>
        <w:spacing w:beforeAutospacing="0" w:afterAutospacing="0"/>
        <w:jc w:val="center"/>
        <w:rPr>
          <w:rFonts w:ascii="宋体" w:hAnsi="宋体" w:eastAsia="宋体" w:cs="宋体"/>
          <w:b/>
          <w:color w:val="000000"/>
          <w:sz w:val="32"/>
          <w:szCs w:val="32"/>
          <w:highlight w:val="none"/>
        </w:rPr>
      </w:pPr>
    </w:p>
    <w:p w14:paraId="413BD6BD">
      <w:pPr>
        <w:pStyle w:val="34"/>
        <w:spacing w:beforeAutospacing="0" w:afterAutospacing="0"/>
        <w:jc w:val="center"/>
        <w:rPr>
          <w:rFonts w:ascii="宋体" w:hAnsi="宋体" w:eastAsia="宋体" w:cs="宋体"/>
          <w:b/>
          <w:color w:val="000000"/>
          <w:sz w:val="32"/>
          <w:szCs w:val="32"/>
          <w:highlight w:val="none"/>
        </w:rPr>
      </w:pPr>
    </w:p>
    <w:p w14:paraId="489EF7BC">
      <w:pPr>
        <w:pStyle w:val="34"/>
        <w:spacing w:beforeAutospacing="0" w:afterAutospacing="0"/>
        <w:jc w:val="center"/>
        <w:rPr>
          <w:rFonts w:ascii="宋体" w:hAnsi="宋体" w:eastAsia="宋体" w:cs="宋体"/>
          <w:b/>
          <w:color w:val="000000"/>
          <w:sz w:val="32"/>
          <w:szCs w:val="32"/>
          <w:highlight w:val="none"/>
        </w:rPr>
      </w:pPr>
    </w:p>
    <w:p w14:paraId="59439E44">
      <w:pPr>
        <w:pStyle w:val="34"/>
        <w:spacing w:beforeAutospacing="0" w:afterAutospacing="0"/>
        <w:jc w:val="center"/>
        <w:rPr>
          <w:rFonts w:ascii="宋体" w:hAnsi="宋体" w:eastAsia="宋体" w:cs="宋体"/>
          <w:b/>
          <w:color w:val="000000"/>
          <w:sz w:val="32"/>
          <w:szCs w:val="32"/>
          <w:highlight w:val="none"/>
        </w:rPr>
      </w:pPr>
    </w:p>
    <w:p w14:paraId="1A8D2646">
      <w:pPr>
        <w:pStyle w:val="34"/>
        <w:spacing w:beforeAutospacing="0" w:afterAutospacing="0"/>
        <w:jc w:val="center"/>
        <w:rPr>
          <w:rFonts w:ascii="宋体" w:hAnsi="宋体" w:eastAsia="宋体" w:cs="宋体"/>
          <w:b/>
          <w:color w:val="000000"/>
          <w:sz w:val="32"/>
          <w:szCs w:val="32"/>
          <w:highlight w:val="none"/>
        </w:rPr>
      </w:pPr>
    </w:p>
    <w:p w14:paraId="42929A86">
      <w:pPr>
        <w:pStyle w:val="34"/>
        <w:spacing w:beforeAutospacing="0" w:afterAutospacing="0"/>
        <w:jc w:val="center"/>
        <w:rPr>
          <w:rFonts w:ascii="宋体" w:hAnsi="宋体" w:eastAsia="宋体" w:cs="宋体"/>
          <w:b/>
          <w:color w:val="000000"/>
          <w:sz w:val="32"/>
          <w:szCs w:val="32"/>
          <w:highlight w:val="none"/>
        </w:rPr>
      </w:pPr>
    </w:p>
    <w:p w14:paraId="23851157">
      <w:pPr>
        <w:pStyle w:val="34"/>
        <w:spacing w:beforeAutospacing="0" w:afterAutospacing="0"/>
        <w:jc w:val="center"/>
        <w:rPr>
          <w:rFonts w:ascii="宋体" w:hAnsi="宋体" w:eastAsia="宋体" w:cs="宋体"/>
          <w:b/>
          <w:color w:val="000000"/>
          <w:sz w:val="32"/>
          <w:szCs w:val="32"/>
          <w:highlight w:val="none"/>
        </w:rPr>
      </w:pPr>
    </w:p>
    <w:p w14:paraId="24D3ACE7">
      <w:pPr>
        <w:pStyle w:val="34"/>
        <w:spacing w:beforeAutospacing="0" w:afterAutospacing="0"/>
        <w:jc w:val="center"/>
        <w:rPr>
          <w:rFonts w:ascii="宋体" w:hAnsi="宋体" w:eastAsia="宋体" w:cs="宋体"/>
          <w:b/>
          <w:color w:val="000000"/>
          <w:sz w:val="32"/>
          <w:szCs w:val="32"/>
          <w:highlight w:val="none"/>
        </w:rPr>
      </w:pPr>
    </w:p>
    <w:p w14:paraId="10C65626">
      <w:pP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br w:type="page" w:clear="all"/>
      </w:r>
    </w:p>
    <w:p w14:paraId="2A68C1B8">
      <w:pPr>
        <w:widowControl/>
        <w:spacing w:line="499" w:lineRule="atLeast"/>
        <w:ind w:firstLine="1600"/>
        <w:rPr>
          <w:rFonts w:ascii="宋体" w:hAnsi="宋体" w:eastAsia="宋体" w:cs="宋体"/>
          <w:sz w:val="24"/>
          <w:highlight w:val="none"/>
        </w:rPr>
      </w:pPr>
      <w:r>
        <w:rPr>
          <w:rFonts w:hint="eastAsia" w:ascii="宋体" w:hAnsi="宋体" w:eastAsia="宋体" w:cs="宋体"/>
          <w:color w:val="000000"/>
          <w:sz w:val="32"/>
          <w:szCs w:val="32"/>
          <w:highlight w:val="none"/>
        </w:rPr>
        <w:t>十</w:t>
      </w:r>
      <w:r>
        <w:rPr>
          <w:rFonts w:hint="eastAsia" w:ascii="宋体" w:hAnsi="宋体" w:eastAsia="宋体" w:cs="宋体"/>
          <w:color w:val="000000"/>
          <w:sz w:val="32"/>
          <w:szCs w:val="32"/>
          <w:highlight w:val="none"/>
          <w:lang w:val="en-US" w:eastAsia="zh-CN"/>
        </w:rPr>
        <w:t>七</w:t>
      </w:r>
      <w:r>
        <w:rPr>
          <w:rFonts w:hint="eastAsia" w:ascii="宋体" w:hAnsi="宋体" w:eastAsia="宋体" w:cs="宋体"/>
          <w:color w:val="000000"/>
          <w:sz w:val="32"/>
          <w:szCs w:val="32"/>
          <w:highlight w:val="none"/>
        </w:rPr>
        <w:t>、盐城市政府采购事前信用承诺书</w:t>
      </w:r>
    </w:p>
    <w:p w14:paraId="75217F13">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为营造我市公开、公平、公正、诚实守信的政府采购交易环境，树立诚信守法的投标人形象，本人代表本单位作出以下承诺：</w:t>
      </w:r>
    </w:p>
    <w:p w14:paraId="18DD8FBA">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534412F7">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590A4850">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p>
    <w:p w14:paraId="58E56AF7">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（四）严格遵守即时信息公示规定，及时维护和更新维护和更新盐城市政府采购网中与本单位相关的信息；</w:t>
      </w:r>
    </w:p>
    <w:p w14:paraId="1BF40E83">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5CF516DE">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（六）自觉接受政府、行业组织、社会公众、新闻舆论的监督；</w:t>
      </w:r>
    </w:p>
    <w:p w14:paraId="0F59AEFC">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70A0314B">
      <w:pPr>
        <w:widowControl/>
        <w:spacing w:line="499" w:lineRule="atLeast"/>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（八）本人已认真阅读了上述承诺，并向本单位员工作了宣传教育。</w:t>
      </w:r>
    </w:p>
    <w:p w14:paraId="36DCEF3F">
      <w:pPr>
        <w:widowControl/>
        <w:spacing w:line="499" w:lineRule="atLeast"/>
        <w:jc w:val="left"/>
        <w:rPr>
          <w:rFonts w:hint="eastAsia" w:ascii="宋体" w:hAnsi="宋体" w:eastAsia="宋体" w:cs="宋体"/>
          <w:color w:val="000000"/>
          <w:sz w:val="24"/>
          <w:highlight w:val="none"/>
        </w:rPr>
      </w:pPr>
    </w:p>
    <w:p w14:paraId="75FB451F">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法定代表人签名：</w:t>
      </w:r>
    </w:p>
    <w:p w14:paraId="0AD3473C">
      <w:pPr>
        <w:widowControl/>
        <w:spacing w:line="499" w:lineRule="atLeast"/>
        <w:jc w:val="center"/>
        <w:rPr>
          <w:rFonts w:ascii="宋体" w:hAnsi="宋体" w:eastAsia="宋体" w:cs="宋体"/>
          <w:sz w:val="24"/>
          <w:highlight w:val="none"/>
        </w:rPr>
      </w:pPr>
      <w:r>
        <w:rPr>
          <w:rFonts w:hint="eastAsia" w:ascii="宋体" w:hAnsi="宋体" w:eastAsia="宋体" w:cs="宋体"/>
          <w:color w:val="000000"/>
          <w:sz w:val="24"/>
          <w:highlight w:val="none"/>
        </w:rPr>
        <w:t>                   单位名称（盖章）：</w:t>
      </w:r>
    </w:p>
    <w:p w14:paraId="2748A816">
      <w:pPr>
        <w:widowControl/>
        <w:spacing w:line="499" w:lineRule="atLeast"/>
        <w:jc w:val="center"/>
        <w:rPr>
          <w:rFonts w:ascii="宋体" w:hAnsi="宋体" w:eastAsia="宋体" w:cs="宋体"/>
          <w:sz w:val="24"/>
          <w:highlight w:val="none"/>
        </w:rPr>
      </w:pPr>
      <w:r>
        <w:rPr>
          <w:rFonts w:hint="eastAsia" w:ascii="宋体" w:hAnsi="宋体" w:eastAsia="宋体" w:cs="宋体"/>
          <w:color w:val="000000"/>
          <w:sz w:val="24"/>
          <w:highlight w:val="none"/>
        </w:rPr>
        <w:t>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日</w:t>
      </w:r>
    </w:p>
    <w:bookmarkEnd w:id="6"/>
    <w:bookmarkEnd w:id="48"/>
    <w:bookmarkEnd w:id="95"/>
    <w:bookmarkEnd w:id="96"/>
    <w:bookmarkEnd w:id="97"/>
    <w:bookmarkEnd w:id="98"/>
    <w:bookmarkEnd w:id="99"/>
    <w:bookmarkEnd w:id="100"/>
    <w:bookmarkEnd w:id="101"/>
    <w:bookmarkEnd w:id="102"/>
    <w:bookmarkEnd w:id="111"/>
    <w:bookmarkEnd w:id="112"/>
    <w:bookmarkEnd w:id="119"/>
    <w:bookmarkEnd w:id="166"/>
    <w:bookmarkEnd w:id="172"/>
    <w:bookmarkEnd w:id="175"/>
    <w:bookmarkEnd w:id="176"/>
    <w:bookmarkEnd w:id="177"/>
    <w:bookmarkEnd w:id="178"/>
    <w:bookmarkEnd w:id="179"/>
    <w:bookmarkEnd w:id="180"/>
    <w:bookmarkEnd w:id="181"/>
    <w:bookmarkEnd w:id="182"/>
    <w:bookmarkEnd w:id="191"/>
    <w:bookmarkEnd w:id="192"/>
    <w:bookmarkEnd w:id="193"/>
    <w:bookmarkEnd w:id="194"/>
    <w:bookmarkEnd w:id="195"/>
    <w:p w14:paraId="46741A53">
      <w:pPr>
        <w:pStyle w:val="34"/>
        <w:spacing w:beforeAutospacing="0" w:afterAutospacing="0"/>
        <w:jc w:val="center"/>
        <w:rPr>
          <w:highlight w:val="none"/>
        </w:rPr>
      </w:pPr>
    </w:p>
    <w:p w14:paraId="004B59B4">
      <w:pPr>
        <w:rPr>
          <w:rFonts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br w:type="page" w:clear="all"/>
      </w:r>
    </w:p>
    <w:p w14:paraId="7BE8AE62">
      <w:pPr>
        <w:pStyle w:val="34"/>
        <w:spacing w:beforeAutospacing="0" w:afterAutospacing="0"/>
        <w:jc w:val="center"/>
        <w:rPr>
          <w:rFonts w:hint="eastAsia" w:ascii="宋体" w:hAnsi="宋体" w:eastAsia="宋体" w:cs="宋体"/>
          <w:b/>
          <w:color w:val="000000"/>
          <w:sz w:val="32"/>
          <w:szCs w:val="32"/>
          <w:highlight w:val="none"/>
        </w:rPr>
        <w:sectPr>
          <w:footerReference r:id="rId11" w:type="default"/>
          <w:pgSz w:w="11906" w:h="16838"/>
          <w:pgMar w:top="1460" w:right="1486" w:bottom="1518" w:left="1800" w:header="851" w:footer="992" w:gutter="0"/>
          <w:pgNumType w:start="59"/>
          <w:cols w:space="425" w:num="1"/>
          <w:docGrid w:linePitch="360" w:charSpace="0"/>
        </w:sectPr>
      </w:pPr>
    </w:p>
    <w:p w14:paraId="355610A9">
      <w:pPr>
        <w:pStyle w:val="34"/>
        <w:spacing w:beforeAutospacing="0" w:afterAutospacing="0"/>
        <w:jc w:val="center"/>
        <w:rPr>
          <w:rFonts w:hint="eastAsia" w:ascii="宋体" w:hAnsi="宋体" w:eastAsia="宋体" w:cs="宋体"/>
          <w:color w:val="000000"/>
          <w:sz w:val="32"/>
          <w:szCs w:val="32"/>
          <w:highlight w:val="none"/>
          <w:lang w:val="en-US" w:eastAsia="zh-CN" w:bidi="ar-SA"/>
        </w:rPr>
        <w:sectPr>
          <w:footerReference r:id="rId12" w:type="default"/>
          <w:pgSz w:w="11906" w:h="16838"/>
          <w:pgMar w:top="1440" w:right="1706" w:bottom="1440" w:left="1800" w:header="851" w:footer="992" w:gutter="0"/>
          <w:pgNumType w:start="61"/>
          <w:cols w:space="425" w:num="1"/>
          <w:docGrid w:linePitch="360" w:charSpace="0"/>
        </w:sectPr>
      </w:pPr>
      <w:r>
        <w:rPr>
          <w:rFonts w:hint="eastAsia" w:ascii="宋体" w:hAnsi="宋体" w:eastAsia="宋体" w:cs="宋体"/>
          <w:color w:val="000000"/>
          <w:sz w:val="32"/>
          <w:szCs w:val="32"/>
          <w:highlight w:val="none"/>
          <w:lang w:val="en-US" w:eastAsia="zh-CN" w:bidi="ar-SA"/>
        </w:rPr>
        <w:t>十八、投标人认为需要提供的其他材料（如有）</w:t>
      </w:r>
    </w:p>
    <w:p w14:paraId="229CACDF">
      <w:pPr>
        <w:pStyle w:val="34"/>
        <w:spacing w:beforeAutospacing="0" w:afterAutospacing="0"/>
        <w:jc w:val="center"/>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t>质疑函范本</w:t>
      </w:r>
    </w:p>
    <w:p w14:paraId="61E1C7E6">
      <w:pPr>
        <w:pStyle w:val="34"/>
        <w:spacing w:before="290"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一、质疑供应商基本信息</w:t>
      </w:r>
    </w:p>
    <w:p w14:paraId="5053B3DE">
      <w:pPr>
        <w:pStyle w:val="34"/>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质疑供应商：</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4894ED0D">
      <w:pPr>
        <w:pStyle w:val="34"/>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w:t>
      </w:r>
    </w:p>
    <w:p w14:paraId="68BD15EB">
      <w:pPr>
        <w:pStyle w:val="34"/>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邮编：</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32E32ECF">
      <w:pPr>
        <w:pStyle w:val="34"/>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联系人：</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686994E1">
      <w:pPr>
        <w:pStyle w:val="34"/>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联系电话：</w:t>
      </w:r>
      <w:r>
        <w:rPr>
          <w:rFonts w:hint="eastAsia" w:ascii="宋体" w:hAnsi="宋体" w:eastAsia="宋体" w:cs="宋体"/>
          <w:color w:val="000000"/>
          <w:highlight w:val="none"/>
          <w:u w:val="single"/>
        </w:rPr>
        <w:t xml:space="preserve">                                           </w:t>
      </w:r>
    </w:p>
    <w:p w14:paraId="63B0CE18">
      <w:pPr>
        <w:pStyle w:val="34"/>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授权代表：</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3988BC69">
      <w:pPr>
        <w:pStyle w:val="34"/>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联系电话：</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1117873C">
      <w:pPr>
        <w:pStyle w:val="34"/>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地址： </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206DF23C">
      <w:pPr>
        <w:pStyle w:val="34"/>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邮编：</w:t>
      </w:r>
      <w:r>
        <w:rPr>
          <w:rFonts w:hint="eastAsia" w:ascii="宋体" w:hAnsi="宋体" w:eastAsia="宋体" w:cs="宋体"/>
          <w:color w:val="000000"/>
          <w:highlight w:val="none"/>
          <w:u w:val="single"/>
        </w:rPr>
        <w:t xml:space="preserve">                                </w:t>
      </w:r>
    </w:p>
    <w:p w14:paraId="1A69CFE1">
      <w:pPr>
        <w:pStyle w:val="34"/>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二、质疑项目基本情况</w:t>
      </w:r>
    </w:p>
    <w:p w14:paraId="4E51F126">
      <w:pPr>
        <w:pStyle w:val="34"/>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质疑项目的名称：</w:t>
      </w:r>
      <w:r>
        <w:rPr>
          <w:rFonts w:hint="eastAsia" w:ascii="宋体" w:hAnsi="宋体" w:eastAsia="宋体" w:cs="宋体"/>
          <w:color w:val="000000"/>
          <w:highlight w:val="none"/>
          <w:u w:val="single"/>
        </w:rPr>
        <w:t xml:space="preserve">                            </w:t>
      </w:r>
    </w:p>
    <w:p w14:paraId="70430278">
      <w:pPr>
        <w:pStyle w:val="34"/>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质疑项目的编号：</w:t>
      </w:r>
      <w:r>
        <w:rPr>
          <w:rFonts w:hint="eastAsia" w:ascii="宋体" w:hAnsi="宋体" w:eastAsia="宋体" w:cs="宋体"/>
          <w:color w:val="000000"/>
          <w:highlight w:val="none"/>
          <w:u w:val="single"/>
        </w:rPr>
        <w:t xml:space="preserve">                          </w:t>
      </w:r>
    </w:p>
    <w:p w14:paraId="5BC7D6B6">
      <w:pPr>
        <w:pStyle w:val="34"/>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7EC1A429">
      <w:pPr>
        <w:pStyle w:val="34"/>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采购人名称：</w:t>
      </w:r>
      <w:r>
        <w:rPr>
          <w:rFonts w:hint="eastAsia" w:ascii="宋体" w:hAnsi="宋体" w:eastAsia="宋体" w:cs="宋体"/>
          <w:color w:val="000000"/>
          <w:highlight w:val="none"/>
          <w:u w:val="single"/>
        </w:rPr>
        <w:t xml:space="preserve">                            </w:t>
      </w:r>
    </w:p>
    <w:p w14:paraId="165AF4CE">
      <w:pPr>
        <w:pStyle w:val="34"/>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采购文件获取日期：</w:t>
      </w:r>
      <w:r>
        <w:rPr>
          <w:rFonts w:hint="eastAsia" w:ascii="宋体" w:hAnsi="宋体" w:eastAsia="宋体" w:cs="宋体"/>
          <w:color w:val="000000"/>
          <w:highlight w:val="none"/>
          <w:u w:val="single"/>
        </w:rPr>
        <w:t xml:space="preserve">                             </w:t>
      </w:r>
    </w:p>
    <w:p w14:paraId="448995FF">
      <w:pPr>
        <w:pStyle w:val="34"/>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三、质疑事项具体内容</w:t>
      </w:r>
    </w:p>
    <w:p w14:paraId="118F9B64">
      <w:pPr>
        <w:pStyle w:val="34"/>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质疑事项1：</w:t>
      </w:r>
      <w:r>
        <w:rPr>
          <w:rFonts w:hint="eastAsia" w:ascii="宋体" w:hAnsi="宋体" w:eastAsia="宋体" w:cs="宋体"/>
          <w:color w:val="000000"/>
          <w:highlight w:val="none"/>
          <w:u w:val="single"/>
        </w:rPr>
        <w:t xml:space="preserve">                             </w:t>
      </w:r>
    </w:p>
    <w:p w14:paraId="0F0500A6">
      <w:pPr>
        <w:pStyle w:val="34"/>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事实依据：</w:t>
      </w:r>
      <w:r>
        <w:rPr>
          <w:rFonts w:hint="eastAsia" w:ascii="宋体" w:hAnsi="宋体" w:eastAsia="宋体" w:cs="宋体"/>
          <w:color w:val="000000"/>
          <w:highlight w:val="none"/>
          <w:u w:val="single"/>
        </w:rPr>
        <w:t xml:space="preserve">                                                   </w:t>
      </w:r>
    </w:p>
    <w:p w14:paraId="4E0521EB">
      <w:pPr>
        <w:pStyle w:val="34"/>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法律依据：</w:t>
      </w:r>
      <w:r>
        <w:rPr>
          <w:rFonts w:hint="eastAsia" w:ascii="宋体" w:hAnsi="宋体" w:eastAsia="宋体" w:cs="宋体"/>
          <w:color w:val="000000"/>
          <w:highlight w:val="none"/>
          <w:u w:val="single"/>
        </w:rPr>
        <w:t xml:space="preserve">                                                    </w:t>
      </w:r>
    </w:p>
    <w:p w14:paraId="7C1BA07D">
      <w:pPr>
        <w:pStyle w:val="34"/>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质疑事项2</w:t>
      </w:r>
    </w:p>
    <w:p w14:paraId="327AB839">
      <w:pPr>
        <w:pStyle w:val="34"/>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w:t>
      </w:r>
    </w:p>
    <w:p w14:paraId="3D1FD59F">
      <w:pPr>
        <w:pStyle w:val="34"/>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四、与质疑事项相关的质疑请求</w:t>
      </w:r>
    </w:p>
    <w:p w14:paraId="238266C4">
      <w:pPr>
        <w:pStyle w:val="34"/>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请求：</w:t>
      </w:r>
      <w:r>
        <w:rPr>
          <w:rFonts w:hint="eastAsia" w:ascii="宋体" w:hAnsi="宋体" w:eastAsia="宋体" w:cs="宋体"/>
          <w:color w:val="000000"/>
          <w:highlight w:val="none"/>
          <w:u w:val="single"/>
        </w:rPr>
        <w:t xml:space="preserve">                                                          </w:t>
      </w:r>
    </w:p>
    <w:p w14:paraId="11662BFA">
      <w:pPr>
        <w:pStyle w:val="34"/>
        <w:spacing w:beforeAutospacing="0" w:afterAutospacing="0"/>
        <w:jc w:val="both"/>
        <w:rPr>
          <w:rFonts w:ascii="宋体" w:hAnsi="宋体" w:eastAsia="宋体" w:cs="宋体"/>
          <w:highlight w:val="none"/>
        </w:rPr>
      </w:pPr>
      <w:r>
        <w:rPr>
          <w:rFonts w:hint="eastAsia" w:ascii="宋体" w:hAnsi="宋体" w:eastAsia="宋体" w:cs="宋体"/>
          <w:color w:val="000000"/>
          <w:highlight w:val="none"/>
        </w:rPr>
        <w:t xml:space="preserve">签字(签章)：                 公章：               日期：    </w:t>
      </w:r>
    </w:p>
    <w:p w14:paraId="0DC2665B">
      <w:pPr>
        <w:pStyle w:val="34"/>
        <w:spacing w:beforeAutospacing="0" w:afterAutospacing="0" w:line="0" w:lineRule="atLeast"/>
        <w:jc w:val="both"/>
        <w:rPr>
          <w:rFonts w:ascii="宋体" w:hAnsi="宋体" w:eastAsia="宋体" w:cs="宋体"/>
          <w:highlight w:val="none"/>
        </w:rPr>
      </w:pPr>
      <w:r>
        <w:rPr>
          <w:rFonts w:hint="eastAsia" w:ascii="宋体" w:hAnsi="宋体" w:eastAsia="宋体" w:cs="宋体"/>
          <w:b/>
          <w:color w:val="000000"/>
          <w:highlight w:val="none"/>
        </w:rPr>
        <w:t>质疑函制作说明：</w:t>
      </w:r>
    </w:p>
    <w:p w14:paraId="60FD11A2">
      <w:pPr>
        <w:pStyle w:val="34"/>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1.供应商提出质疑时，应提交质疑函和必要的证明材料。</w:t>
      </w:r>
    </w:p>
    <w:p w14:paraId="032636A3">
      <w:pPr>
        <w:pStyle w:val="34"/>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752D451E">
      <w:pPr>
        <w:pStyle w:val="34"/>
        <w:widowControl/>
        <w:spacing w:beforeAutospacing="0" w:afterAutospacing="0" w:line="0" w:lineRule="atLeast"/>
        <w:ind w:firstLine="480"/>
        <w:rPr>
          <w:rFonts w:hint="eastAsia" w:ascii="宋体" w:hAnsi="宋体" w:eastAsia="宋体" w:cs="宋体"/>
          <w:color w:val="000000"/>
          <w:highlight w:val="none"/>
        </w:rPr>
        <w:sectPr>
          <w:footerReference r:id="rId13" w:type="default"/>
          <w:pgSz w:w="11906" w:h="16838"/>
          <w:pgMar w:top="1440" w:right="1706" w:bottom="1440" w:left="1800" w:header="851" w:footer="992" w:gutter="0"/>
          <w:pgNumType w:fmt="decimal" w:start="1"/>
          <w:cols w:space="425" w:num="1"/>
          <w:docGrid w:linePitch="360" w:charSpace="0"/>
        </w:sectPr>
      </w:pPr>
    </w:p>
    <w:p w14:paraId="14F08858">
      <w:pPr>
        <w:pStyle w:val="34"/>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3.质疑供应商若对项目的某一分包进行质疑，质疑函中应列明具体分包号。</w:t>
      </w:r>
    </w:p>
    <w:p w14:paraId="2478E4F7">
      <w:pPr>
        <w:pStyle w:val="34"/>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4.质疑函的质疑事项应具体、明确，并有必要的事实依据和法律依据。</w:t>
      </w:r>
    </w:p>
    <w:p w14:paraId="14DF87C6">
      <w:pPr>
        <w:pStyle w:val="34"/>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5.质疑函的质疑请求应与质疑事项相关。</w:t>
      </w:r>
    </w:p>
    <w:p w14:paraId="23C2A895">
      <w:pPr>
        <w:pStyle w:val="34"/>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6.质疑供应商为自然人的，质疑函应由本人签字；质疑供应商为法人或者其他组织的，质疑函应由法定代表人、主要负责人，或者其授权代表签字或者盖章，并加盖公章。</w:t>
      </w:r>
    </w:p>
    <w:p w14:paraId="7512426F">
      <w:pPr>
        <w:pStyle w:val="34"/>
        <w:spacing w:beforeAutospacing="0" w:afterAutospacing="0"/>
        <w:rPr>
          <w:highlight w:val="none"/>
        </w:rPr>
      </w:pPr>
    </w:p>
    <w:sectPr>
      <w:footerReference r:id="rId14" w:type="default"/>
      <w:pgSz w:w="11906" w:h="16838"/>
      <w:pgMar w:top="1440" w:right="1706" w:bottom="1440" w:left="1800" w:header="851" w:footer="992" w:gutter="0"/>
      <w:pgNumType w:fmt="decimal" w:start="2"/>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F"/>
    <w:family w:val="auto"/>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Segoe UI Symbol">
    <w:panose1 w:val="020B0502040204020203"/>
    <w:charset w:val="00"/>
    <w:family w:val="swiss"/>
    <w:pitch w:val="default"/>
    <w:sig w:usb0="800001E3" w:usb1="1200FFEF" w:usb2="00040000" w:usb3="04000000" w:csb0="00000001" w:csb1="40000000"/>
  </w:font>
  <w:font w:name="Arial">
    <w:panose1 w:val="020B0604020202020204"/>
    <w:charset w:val="00"/>
    <w:family w:val="auto"/>
    <w:pitch w:val="default"/>
    <w:sig w:usb0="E0002EFF" w:usb1="C000785B" w:usb2="00000009" w:usb3="00000000" w:csb0="400001FF" w:csb1="FFFF0000"/>
  </w:font>
  <w:font w:name="KSOFE44F9426">
    <w:panose1 w:val="02010609060101010101"/>
    <w:charset w:val="86"/>
    <w:family w:val="auto"/>
    <w:pitch w:val="default"/>
    <w:sig w:usb0="00000001" w:usb1="00000000" w:usb2="00000000"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A79078">
    <w:pPr>
      <w:pStyle w:val="2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A52C17">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AA52C17">
                    <w:pPr>
                      <w:pStyle w:val="2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00EB40">
    <w:pPr>
      <w:pStyle w:val="2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B2578B">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7B2578B">
                    <w:pPr>
                      <w:pStyle w:val="2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0C499A">
    <w:pPr>
      <w:pStyle w:val="24"/>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7D4604">
                          <w:pPr>
                            <w:pStyle w:val="24"/>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37D4604">
                    <w:pPr>
                      <w:pStyle w:val="24"/>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1164EC">
    <w:pPr>
      <w:pStyle w:val="24"/>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7B06F8">
                          <w:pPr>
                            <w:pStyle w:val="24"/>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5B7B06F8">
                    <w:pPr>
                      <w:pStyle w:val="24"/>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5C5AEE">
    <w:pPr>
      <w:pStyle w:val="24"/>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EBD6BD">
                          <w:pPr>
                            <w:pStyle w:val="24"/>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5AEBD6BD">
                    <w:pPr>
                      <w:pStyle w:val="24"/>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4F251F">
    <w:pPr>
      <w:pStyle w:val="24"/>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F3D3F5">
                          <w:pPr>
                            <w:pStyle w:val="24"/>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0FF3D3F5">
                    <w:pPr>
                      <w:pStyle w:val="24"/>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7FD25E">
    <w:pPr>
      <w:pStyle w:val="24"/>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189025">
                          <w:pPr>
                            <w:pStyle w:val="24"/>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01189025">
                    <w:pPr>
                      <w:pStyle w:val="24"/>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6D7375">
    <w:pPr>
      <w:pStyle w:val="24"/>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6BC974">
                          <w:pPr>
                            <w:pStyle w:val="24"/>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416BC974">
                    <w:pPr>
                      <w:pStyle w:val="24"/>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341F89">
    <w:pPr>
      <w:pStyle w:val="24"/>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739475">
                          <w:pPr>
                            <w:pStyle w:val="24"/>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62739475">
                    <w:pPr>
                      <w:pStyle w:val="24"/>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EAD78B">
    <w:pPr>
      <w:pStyle w:val="24"/>
      <w:jc w:val="center"/>
      <w:rPr>
        <w:rFonts w:hint="default" w:eastAsia="宋体"/>
        <w:lang w:val="en-US" w:eastAsia="zh-CN"/>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CED452">
                          <w:pPr>
                            <w:pStyle w:val="24"/>
                          </w:pPr>
                          <w:r>
                            <w:fldChar w:fldCharType="begin"/>
                          </w:r>
                          <w:r>
                            <w:instrText xml:space="preserve"> PAGE  \* MERGEFORMAT </w:instrText>
                          </w:r>
                          <w:r>
                            <w:fldChar w:fldCharType="separate"/>
                          </w:r>
                          <w:r>
                            <w:t>96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4CED452">
                    <w:pPr>
                      <w:pStyle w:val="24"/>
                    </w:pPr>
                    <w:r>
                      <w:fldChar w:fldCharType="begin"/>
                    </w:r>
                    <w:r>
                      <w:instrText xml:space="preserve"> PAGE  \* MERGEFORMAT </w:instrText>
                    </w:r>
                    <w:r>
                      <w:fldChar w:fldCharType="separate"/>
                    </w:r>
                    <w:r>
                      <w:t>96</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438113">
    <w:pPr>
      <w:pStyle w:val="24"/>
      <w:jc w:val="both"/>
      <w:rPr>
        <w:rFonts w:hint="default" w:eastAsia="宋体"/>
        <w:lang w:val="en-US" w:eastAsia="zh-CN"/>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6ECFF1">
                          <w:pPr>
                            <w:pStyle w:val="24"/>
                          </w:pPr>
                          <w:r>
                            <w:fldChar w:fldCharType="begin"/>
                          </w:r>
                          <w:r>
                            <w:instrText xml:space="preserve"> PAGE  \* MERGEFORMAT </w:instrText>
                          </w:r>
                          <w:r>
                            <w:fldChar w:fldCharType="separate"/>
                          </w:r>
                          <w:r>
                            <w:t>87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106ECFF1">
                    <w:pPr>
                      <w:pStyle w:val="24"/>
                    </w:pPr>
                    <w:r>
                      <w:fldChar w:fldCharType="begin"/>
                    </w:r>
                    <w:r>
                      <w:instrText xml:space="preserve"> PAGE  \* MERGEFORMAT </w:instrText>
                    </w:r>
                    <w:r>
                      <w:fldChar w:fldCharType="separate"/>
                    </w:r>
                    <w:r>
                      <w:t>87</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D9C1F6">
    <w:pPr>
      <w:pStyle w:val="24"/>
      <w:jc w:val="center"/>
      <w:rPr>
        <w:rFonts w:hint="default" w:eastAsia="宋体"/>
        <w:lang w:val="en-US" w:eastAsia="zh-CN"/>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5A42F7">
                          <w:pPr>
                            <w:pStyle w:val="24"/>
                          </w:pPr>
                          <w:r>
                            <w:fldChar w:fldCharType="begin"/>
                          </w:r>
                          <w:r>
                            <w:instrText xml:space="preserve"> PAGE  \* MERGEFORMAT </w:instrText>
                          </w:r>
                          <w:r>
                            <w:fldChar w:fldCharType="separate"/>
                          </w:r>
                          <w:r>
                            <w:t>88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735A42F7">
                    <w:pPr>
                      <w:pStyle w:val="24"/>
                    </w:pPr>
                    <w:r>
                      <w:fldChar w:fldCharType="begin"/>
                    </w:r>
                    <w:r>
                      <w:instrText xml:space="preserve"> PAGE  \* MERGEFORMAT </w:instrText>
                    </w:r>
                    <w:r>
                      <w:fldChar w:fldCharType="separate"/>
                    </w:r>
                    <w:r>
                      <w:t>88</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962156"/>
    <w:multiLevelType w:val="singleLevel"/>
    <w:tmpl w:val="80962156"/>
    <w:lvl w:ilvl="0" w:tentative="0">
      <w:start w:val="7"/>
      <w:numFmt w:val="chineseCounting"/>
      <w:suff w:val="nothing"/>
      <w:lvlText w:val="%1、"/>
      <w:lvlJc w:val="left"/>
      <w:rPr>
        <w:rFonts w:hint="eastAsia"/>
      </w:rPr>
    </w:lvl>
  </w:abstractNum>
  <w:abstractNum w:abstractNumId="1">
    <w:nsid w:val="C6EBBEA5"/>
    <w:multiLevelType w:val="singleLevel"/>
    <w:tmpl w:val="C6EBBEA5"/>
    <w:lvl w:ilvl="0" w:tentative="0">
      <w:start w:val="1"/>
      <w:numFmt w:val="decimal"/>
      <w:suff w:val="space"/>
      <w:lvlText w:val="%1."/>
      <w:lvlJc w:val="left"/>
    </w:lvl>
  </w:abstractNum>
  <w:abstractNum w:abstractNumId="2">
    <w:nsid w:val="CEC41AF6"/>
    <w:multiLevelType w:val="multilevel"/>
    <w:tmpl w:val="CEC41AF6"/>
    <w:lvl w:ilvl="0" w:tentative="0">
      <w:start w:val="1"/>
      <w:numFmt w:val="decimal"/>
      <w:lvlText w:val="%1."/>
      <w:lvlJc w:val="left"/>
      <w:pPr>
        <w:ind w:left="440" w:hanging="440"/>
      </w:pPr>
      <w:rPr>
        <w:rFonts w:hint="default" w:ascii="Times New Roman" w:hAnsi="Times New Roman" w:eastAsia="微软雅黑"/>
        <w:sz w:val="21"/>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3">
    <w:nsid w:val="E9AC8C93"/>
    <w:multiLevelType w:val="multilevel"/>
    <w:tmpl w:val="E9AC8C93"/>
    <w:lvl w:ilvl="0" w:tentative="0">
      <w:start w:val="1"/>
      <w:numFmt w:val="decimal"/>
      <w:lvlText w:val="%1."/>
      <w:lvlJc w:val="left"/>
      <w:pPr>
        <w:ind w:left="440" w:hanging="440"/>
      </w:pPr>
      <w:rPr>
        <w:rFonts w:hint="eastAsia"/>
        <w:sz w:val="21"/>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4">
    <w:nsid w:val="ED58FFDA"/>
    <w:multiLevelType w:val="multilevel"/>
    <w:tmpl w:val="ED58FFDA"/>
    <w:lvl w:ilvl="0" w:tentative="0">
      <w:start w:val="1"/>
      <w:numFmt w:val="decimal"/>
      <w:lvlText w:val="%1."/>
      <w:lvlJc w:val="left"/>
      <w:pPr>
        <w:ind w:left="440" w:hanging="440"/>
      </w:pPr>
      <w:rPr>
        <w:rFonts w:hint="default" w:ascii="Times New Roman" w:hAnsi="Times New Roman" w:eastAsia="微软雅黑"/>
        <w:sz w:val="21"/>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5">
    <w:nsid w:val="3EC61C63"/>
    <w:multiLevelType w:val="singleLevel"/>
    <w:tmpl w:val="3EC61C63"/>
    <w:lvl w:ilvl="0" w:tentative="0">
      <w:start w:val="1"/>
      <w:numFmt w:val="decimal"/>
      <w:suff w:val="space"/>
      <w:lvlText w:val="%1."/>
      <w:lvlJc w:val="left"/>
    </w:lvl>
  </w:abstractNum>
  <w:abstractNum w:abstractNumId="6">
    <w:nsid w:val="53639C08"/>
    <w:multiLevelType w:val="multilevel"/>
    <w:tmpl w:val="53639C08"/>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7">
    <w:nsid w:val="56AA562E"/>
    <w:multiLevelType w:val="singleLevel"/>
    <w:tmpl w:val="56AA562E"/>
    <w:lvl w:ilvl="0" w:tentative="0">
      <w:start w:val="1"/>
      <w:numFmt w:val="decimal"/>
      <w:suff w:val="space"/>
      <w:lvlText w:val="%1."/>
      <w:lvlJc w:val="left"/>
    </w:lvl>
  </w:abstractNum>
  <w:abstractNum w:abstractNumId="8">
    <w:nsid w:val="5D6C3535"/>
    <w:multiLevelType w:val="multilevel"/>
    <w:tmpl w:val="5D6C3535"/>
    <w:lvl w:ilvl="0" w:tentative="0">
      <w:start w:val="1"/>
      <w:numFmt w:val="decimal"/>
      <w:lvlText w:val="%1."/>
      <w:lvlJc w:val="left"/>
      <w:pPr>
        <w:ind w:left="420" w:hanging="420"/>
      </w:pPr>
      <w:rPr>
        <w:rFonts w:hint="eastAsia"/>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4"/>
  </w:num>
  <w:num w:numId="2">
    <w:abstractNumId w:val="3"/>
  </w:num>
  <w:num w:numId="3">
    <w:abstractNumId w:val="8"/>
  </w:num>
  <w:num w:numId="4">
    <w:abstractNumId w:val="2"/>
  </w:num>
  <w:num w:numId="5">
    <w:abstractNumId w:val="6"/>
  </w:num>
  <w:num w:numId="6">
    <w:abstractNumId w:val="7"/>
  </w:num>
  <w:num w:numId="7">
    <w:abstractNumId w:val="5"/>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A5010"/>
    <w:rsid w:val="0026130D"/>
    <w:rsid w:val="00382DEE"/>
    <w:rsid w:val="006E05BE"/>
    <w:rsid w:val="007A51B4"/>
    <w:rsid w:val="0083050D"/>
    <w:rsid w:val="009049D8"/>
    <w:rsid w:val="013730A5"/>
    <w:rsid w:val="01AA3877"/>
    <w:rsid w:val="029D7F20"/>
    <w:rsid w:val="03C71A9D"/>
    <w:rsid w:val="04220966"/>
    <w:rsid w:val="05263B5D"/>
    <w:rsid w:val="053973EC"/>
    <w:rsid w:val="054A15F9"/>
    <w:rsid w:val="056417BC"/>
    <w:rsid w:val="059473BF"/>
    <w:rsid w:val="05F61781"/>
    <w:rsid w:val="070D0B30"/>
    <w:rsid w:val="07383697"/>
    <w:rsid w:val="077A4FDF"/>
    <w:rsid w:val="08213C43"/>
    <w:rsid w:val="08CE42EF"/>
    <w:rsid w:val="08F2252A"/>
    <w:rsid w:val="095D5673"/>
    <w:rsid w:val="0A961E32"/>
    <w:rsid w:val="0B884C29"/>
    <w:rsid w:val="0C496A85"/>
    <w:rsid w:val="0CA21D1B"/>
    <w:rsid w:val="0F8C2646"/>
    <w:rsid w:val="0FF52AA9"/>
    <w:rsid w:val="101E35C0"/>
    <w:rsid w:val="104F401F"/>
    <w:rsid w:val="10526250"/>
    <w:rsid w:val="11B501C3"/>
    <w:rsid w:val="12681311"/>
    <w:rsid w:val="13852EBD"/>
    <w:rsid w:val="139B74C4"/>
    <w:rsid w:val="13DA0846"/>
    <w:rsid w:val="13F2564A"/>
    <w:rsid w:val="13FD3CDB"/>
    <w:rsid w:val="144361C6"/>
    <w:rsid w:val="145C3F76"/>
    <w:rsid w:val="15B01F70"/>
    <w:rsid w:val="182757CA"/>
    <w:rsid w:val="18793362"/>
    <w:rsid w:val="19190CAD"/>
    <w:rsid w:val="1A7A79AD"/>
    <w:rsid w:val="1B8F6630"/>
    <w:rsid w:val="1C136791"/>
    <w:rsid w:val="1C5841A4"/>
    <w:rsid w:val="1C5C2604"/>
    <w:rsid w:val="1C783649"/>
    <w:rsid w:val="1C931680"/>
    <w:rsid w:val="1CAC58C4"/>
    <w:rsid w:val="1D81772B"/>
    <w:rsid w:val="1F887A0E"/>
    <w:rsid w:val="203734CF"/>
    <w:rsid w:val="206550E2"/>
    <w:rsid w:val="20B34F18"/>
    <w:rsid w:val="20DD2E76"/>
    <w:rsid w:val="218F41BA"/>
    <w:rsid w:val="222A45DB"/>
    <w:rsid w:val="22BF31CF"/>
    <w:rsid w:val="234C2589"/>
    <w:rsid w:val="238E0DF3"/>
    <w:rsid w:val="23922691"/>
    <w:rsid w:val="23E43550"/>
    <w:rsid w:val="24015121"/>
    <w:rsid w:val="24BE5DAB"/>
    <w:rsid w:val="252F3F10"/>
    <w:rsid w:val="25D2119F"/>
    <w:rsid w:val="260234B4"/>
    <w:rsid w:val="261F5D33"/>
    <w:rsid w:val="27627D81"/>
    <w:rsid w:val="27FE6547"/>
    <w:rsid w:val="28433F5A"/>
    <w:rsid w:val="29EE7EF6"/>
    <w:rsid w:val="2A215FFF"/>
    <w:rsid w:val="2A8736F0"/>
    <w:rsid w:val="2AE952F3"/>
    <w:rsid w:val="2BCF6677"/>
    <w:rsid w:val="2BF81500"/>
    <w:rsid w:val="2CF117AF"/>
    <w:rsid w:val="2D355E3C"/>
    <w:rsid w:val="2D7603DD"/>
    <w:rsid w:val="2E031520"/>
    <w:rsid w:val="2ECE6548"/>
    <w:rsid w:val="2F3748AB"/>
    <w:rsid w:val="2F6A6270"/>
    <w:rsid w:val="2F8C5E77"/>
    <w:rsid w:val="31662EB4"/>
    <w:rsid w:val="31D56F67"/>
    <w:rsid w:val="31DF7FEB"/>
    <w:rsid w:val="327A0EC0"/>
    <w:rsid w:val="32972B34"/>
    <w:rsid w:val="330F2009"/>
    <w:rsid w:val="33392BE6"/>
    <w:rsid w:val="33F702EF"/>
    <w:rsid w:val="343D0270"/>
    <w:rsid w:val="34823C46"/>
    <w:rsid w:val="34A75871"/>
    <w:rsid w:val="34B70320"/>
    <w:rsid w:val="34D16D92"/>
    <w:rsid w:val="355754E9"/>
    <w:rsid w:val="35E13004"/>
    <w:rsid w:val="36940077"/>
    <w:rsid w:val="36EA5EE9"/>
    <w:rsid w:val="39162FC5"/>
    <w:rsid w:val="391C7BFB"/>
    <w:rsid w:val="3D9A2B2F"/>
    <w:rsid w:val="3E5A7DF8"/>
    <w:rsid w:val="3ECC225C"/>
    <w:rsid w:val="3EF207DB"/>
    <w:rsid w:val="3F6105E1"/>
    <w:rsid w:val="3F8E7D59"/>
    <w:rsid w:val="3FC90D91"/>
    <w:rsid w:val="4021297B"/>
    <w:rsid w:val="40221C05"/>
    <w:rsid w:val="40572841"/>
    <w:rsid w:val="408970AB"/>
    <w:rsid w:val="40F77B80"/>
    <w:rsid w:val="411E335F"/>
    <w:rsid w:val="41D57EC1"/>
    <w:rsid w:val="4287643B"/>
    <w:rsid w:val="431775D1"/>
    <w:rsid w:val="44B02D1D"/>
    <w:rsid w:val="44EC1B33"/>
    <w:rsid w:val="450E5498"/>
    <w:rsid w:val="453E7AC9"/>
    <w:rsid w:val="45BB318C"/>
    <w:rsid w:val="45C25319"/>
    <w:rsid w:val="45F621B4"/>
    <w:rsid w:val="47126B7C"/>
    <w:rsid w:val="47290367"/>
    <w:rsid w:val="485A0330"/>
    <w:rsid w:val="48817F77"/>
    <w:rsid w:val="49237327"/>
    <w:rsid w:val="4A0D1596"/>
    <w:rsid w:val="4A9329E8"/>
    <w:rsid w:val="4AA1441B"/>
    <w:rsid w:val="4ABA1391"/>
    <w:rsid w:val="4AC72371"/>
    <w:rsid w:val="4ADA6548"/>
    <w:rsid w:val="4BE11211"/>
    <w:rsid w:val="4C4071F4"/>
    <w:rsid w:val="4CDB65A8"/>
    <w:rsid w:val="4D115B26"/>
    <w:rsid w:val="4DDC25D7"/>
    <w:rsid w:val="4E1963C9"/>
    <w:rsid w:val="4E65437B"/>
    <w:rsid w:val="4EDD6607"/>
    <w:rsid w:val="4F622668"/>
    <w:rsid w:val="501E2A33"/>
    <w:rsid w:val="51F93709"/>
    <w:rsid w:val="52C06024"/>
    <w:rsid w:val="53212AEB"/>
    <w:rsid w:val="53871E1A"/>
    <w:rsid w:val="538738D0"/>
    <w:rsid w:val="54292B6D"/>
    <w:rsid w:val="544E765F"/>
    <w:rsid w:val="555335BA"/>
    <w:rsid w:val="55B05380"/>
    <w:rsid w:val="55E70757"/>
    <w:rsid w:val="56002BDB"/>
    <w:rsid w:val="5818420C"/>
    <w:rsid w:val="583A0626"/>
    <w:rsid w:val="59056F40"/>
    <w:rsid w:val="598A2EE8"/>
    <w:rsid w:val="5A4412E8"/>
    <w:rsid w:val="5A736072"/>
    <w:rsid w:val="5AE144AC"/>
    <w:rsid w:val="5C35178B"/>
    <w:rsid w:val="5C6902C9"/>
    <w:rsid w:val="5C8D7923"/>
    <w:rsid w:val="5CB40ABE"/>
    <w:rsid w:val="5D1F603D"/>
    <w:rsid w:val="5DBB3FB7"/>
    <w:rsid w:val="5FAF33D9"/>
    <w:rsid w:val="5FD27396"/>
    <w:rsid w:val="614F1904"/>
    <w:rsid w:val="624125B1"/>
    <w:rsid w:val="64CF20F6"/>
    <w:rsid w:val="65B17A4E"/>
    <w:rsid w:val="665F56FC"/>
    <w:rsid w:val="674635B6"/>
    <w:rsid w:val="683C7AA3"/>
    <w:rsid w:val="688F3BAF"/>
    <w:rsid w:val="68CF35B2"/>
    <w:rsid w:val="69514123"/>
    <w:rsid w:val="6B364C7D"/>
    <w:rsid w:val="6BBD714D"/>
    <w:rsid w:val="6BD9385B"/>
    <w:rsid w:val="6CBA3248"/>
    <w:rsid w:val="6D001FEB"/>
    <w:rsid w:val="6E1964D3"/>
    <w:rsid w:val="6E242666"/>
    <w:rsid w:val="6E453429"/>
    <w:rsid w:val="6ECD71E7"/>
    <w:rsid w:val="6FF375E1"/>
    <w:rsid w:val="70815550"/>
    <w:rsid w:val="70C80CCB"/>
    <w:rsid w:val="71A034EE"/>
    <w:rsid w:val="7212278A"/>
    <w:rsid w:val="734D5E3A"/>
    <w:rsid w:val="737F73DD"/>
    <w:rsid w:val="73A746CE"/>
    <w:rsid w:val="74662C01"/>
    <w:rsid w:val="749B1FF5"/>
    <w:rsid w:val="74DB0643"/>
    <w:rsid w:val="74DD43BC"/>
    <w:rsid w:val="74E45643"/>
    <w:rsid w:val="76546DCA"/>
    <w:rsid w:val="76BB0225"/>
    <w:rsid w:val="76CC46E8"/>
    <w:rsid w:val="77664F0C"/>
    <w:rsid w:val="77A80CB1"/>
    <w:rsid w:val="77A91655"/>
    <w:rsid w:val="77FD47D8"/>
    <w:rsid w:val="78454752"/>
    <w:rsid w:val="78CE2999"/>
    <w:rsid w:val="78DD0E2E"/>
    <w:rsid w:val="790028C1"/>
    <w:rsid w:val="7A006FB8"/>
    <w:rsid w:val="7A4078C7"/>
    <w:rsid w:val="7A952101"/>
    <w:rsid w:val="7B0A1050"/>
    <w:rsid w:val="7B9F061D"/>
    <w:rsid w:val="7BFA49D6"/>
    <w:rsid w:val="7C2C785D"/>
    <w:rsid w:val="7CAB2FF1"/>
    <w:rsid w:val="7D80086E"/>
    <w:rsid w:val="7E4B0FEF"/>
    <w:rsid w:val="7E5C0E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semiHidden="0" w:name="heading 3"/>
    <w:lsdException w:qFormat="1" w:unhideWhenUsed="0" w:uiPriority="0" w:semiHidden="0" w:name="heading 4"/>
    <w:lsdException w:qFormat="1" w:unhideWhenUsed="0" w:uiPriority="0"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2">
    <w:name w:val="heading 1"/>
    <w:basedOn w:val="1"/>
    <w:next w:val="1"/>
    <w:link w:val="46"/>
    <w:qFormat/>
    <w:uiPriority w:val="9"/>
    <w:pPr>
      <w:keepNext/>
      <w:keepLines/>
      <w:spacing w:before="480" w:after="200"/>
      <w:outlineLvl w:val="0"/>
    </w:pPr>
    <w:rPr>
      <w:rFonts w:ascii="Arial" w:hAnsi="Arial" w:eastAsia="Arial" w:cs="Arial"/>
      <w:sz w:val="40"/>
      <w:szCs w:val="40"/>
    </w:rPr>
  </w:style>
  <w:style w:type="paragraph" w:styleId="3">
    <w:name w:val="heading 2"/>
    <w:basedOn w:val="1"/>
    <w:semiHidden/>
    <w:unhideWhenUsed/>
    <w:qFormat/>
    <w:uiPriority w:val="0"/>
    <w:pPr>
      <w:spacing w:before="0" w:beforeAutospacing="1" w:after="0" w:afterAutospacing="1"/>
      <w:jc w:val="left"/>
    </w:pPr>
    <w:rPr>
      <w:rFonts w:hint="eastAsia" w:ascii="宋体" w:hAnsi="宋体" w:eastAsia="宋体" w:cs="宋体"/>
      <w:b/>
      <w:bCs/>
      <w:sz w:val="36"/>
      <w:szCs w:val="36"/>
      <w:lang w:val="en-US" w:eastAsia="zh-CN" w:bidi="ar"/>
    </w:rPr>
  </w:style>
  <w:style w:type="paragraph" w:styleId="4">
    <w:name w:val="heading 3"/>
    <w:basedOn w:val="1"/>
    <w:next w:val="1"/>
    <w:link w:val="48"/>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6"/>
    <w:next w:val="1"/>
    <w:qFormat/>
    <w:uiPriority w:val="0"/>
    <w:pPr>
      <w:keepNext/>
      <w:keepLines/>
      <w:spacing w:before="280" w:after="290" w:line="376" w:lineRule="auto"/>
      <w:outlineLvl w:val="3"/>
    </w:pPr>
    <w:rPr>
      <w:rFonts w:ascii="Arial" w:hAnsi="Arial" w:eastAsia="黑体"/>
      <w:b w:val="0"/>
      <w:bCs w:val="0"/>
      <w:sz w:val="28"/>
      <w:szCs w:val="28"/>
    </w:rPr>
  </w:style>
  <w:style w:type="paragraph" w:styleId="6">
    <w:name w:val="heading 5"/>
    <w:basedOn w:val="1"/>
    <w:next w:val="1"/>
    <w:qFormat/>
    <w:uiPriority w:val="0"/>
    <w:pPr>
      <w:keepNext/>
      <w:outlineLvl w:val="4"/>
    </w:pPr>
    <w:rPr>
      <w:rFonts w:ascii="宋体" w:hAnsi="宋体"/>
      <w:b/>
      <w:bCs/>
    </w:rPr>
  </w:style>
  <w:style w:type="paragraph" w:styleId="7">
    <w:name w:val="heading 6"/>
    <w:basedOn w:val="1"/>
    <w:next w:val="1"/>
    <w:link w:val="5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2"/>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3"/>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4"/>
    <w:unhideWhenUsed/>
    <w:qFormat/>
    <w:uiPriority w:val="9"/>
    <w:pPr>
      <w:keepNext/>
      <w:keepLines/>
      <w:spacing w:before="320" w:after="200"/>
      <w:outlineLvl w:val="8"/>
    </w:pPr>
    <w:rPr>
      <w:rFonts w:ascii="Arial" w:hAnsi="Arial" w:eastAsia="Arial" w:cs="Arial"/>
      <w:i/>
      <w:iCs/>
      <w:sz w:val="21"/>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ind w:firstLine="420"/>
    </w:pPr>
  </w:style>
  <w:style w:type="paragraph" w:styleId="13">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4">
    <w:name w:val="annotation text"/>
    <w:basedOn w:val="1"/>
    <w:qFormat/>
    <w:uiPriority w:val="0"/>
    <w:pPr>
      <w:jc w:val="left"/>
    </w:pPr>
  </w:style>
  <w:style w:type="paragraph" w:styleId="15">
    <w:name w:val="Body Text"/>
    <w:basedOn w:val="1"/>
    <w:unhideWhenUsed/>
    <w:qFormat/>
    <w:uiPriority w:val="0"/>
    <w:pPr>
      <w:spacing w:after="120"/>
    </w:pPr>
    <w:rPr>
      <w:rFonts w:ascii="Calibri" w:hAnsi="Calibri"/>
      <w:szCs w:val="22"/>
    </w:rPr>
  </w:style>
  <w:style w:type="paragraph" w:styleId="16">
    <w:name w:val="Body Text Indent"/>
    <w:basedOn w:val="1"/>
    <w:next w:val="17"/>
    <w:qFormat/>
    <w:uiPriority w:val="99"/>
    <w:pPr>
      <w:ind w:left="-105" w:firstLine="232"/>
    </w:pPr>
    <w:rPr>
      <w:rFonts w:eastAsia="仿宋_GB2312"/>
      <w:sz w:val="32"/>
      <w:szCs w:val="32"/>
    </w:rPr>
  </w:style>
  <w:style w:type="paragraph" w:styleId="17">
    <w:name w:val="envelope return"/>
    <w:basedOn w:val="1"/>
    <w:qFormat/>
    <w:uiPriority w:val="0"/>
    <w:rPr>
      <w:rFonts w:ascii="Arial" w:hAnsi="Arial" w:cs="Arial"/>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Plain Text"/>
    <w:basedOn w:val="1"/>
    <w:unhideWhenUsed/>
    <w:qFormat/>
    <w:uiPriority w:val="0"/>
    <w:rPr>
      <w:rFonts w:ascii="宋体" w:hAnsi="Courier New" w:cs="Courier New"/>
      <w:szCs w:val="21"/>
    </w:rPr>
  </w:style>
  <w:style w:type="paragraph" w:styleId="21">
    <w:name w:val="toc 8"/>
    <w:basedOn w:val="1"/>
    <w:next w:val="1"/>
    <w:unhideWhenUsed/>
    <w:qFormat/>
    <w:uiPriority w:val="39"/>
    <w:pPr>
      <w:spacing w:after="57"/>
      <w:ind w:left="1984" w:right="0" w:firstLine="0"/>
    </w:pPr>
  </w:style>
  <w:style w:type="paragraph" w:styleId="22">
    <w:name w:val="Date"/>
    <w:basedOn w:val="1"/>
    <w:next w:val="1"/>
    <w:qFormat/>
    <w:uiPriority w:val="99"/>
    <w:rPr>
      <w:sz w:val="24"/>
    </w:rPr>
  </w:style>
  <w:style w:type="paragraph" w:styleId="23">
    <w:name w:val="endnote text"/>
    <w:basedOn w:val="1"/>
    <w:link w:val="191"/>
    <w:semiHidden/>
    <w:unhideWhenUsed/>
    <w:qFormat/>
    <w:uiPriority w:val="99"/>
    <w:pPr>
      <w:spacing w:after="0" w:line="240" w:lineRule="auto"/>
    </w:pPr>
    <w:rPr>
      <w:sz w:val="20"/>
    </w:rPr>
  </w:style>
  <w:style w:type="paragraph" w:styleId="24">
    <w:name w:val="footer"/>
    <w:basedOn w:val="1"/>
    <w:link w:val="199"/>
    <w:qFormat/>
    <w:uiPriority w:val="0"/>
    <w:pPr>
      <w:tabs>
        <w:tab w:val="center" w:pos="4153"/>
        <w:tab w:val="right" w:pos="8306"/>
      </w:tabs>
      <w:jc w:val="left"/>
    </w:pPr>
    <w:rPr>
      <w:sz w:val="18"/>
      <w:szCs w:val="18"/>
    </w:rPr>
  </w:style>
  <w:style w:type="paragraph" w:styleId="25">
    <w:name w:val="header"/>
    <w:basedOn w:val="1"/>
    <w:link w:val="198"/>
    <w:qFormat/>
    <w:uiPriority w:val="0"/>
    <w:pPr>
      <w:pBdr>
        <w:bottom w:val="single" w:color="auto" w:sz="6" w:space="1"/>
      </w:pBdr>
      <w:tabs>
        <w:tab w:val="center" w:pos="4153"/>
        <w:tab w:val="right" w:pos="8306"/>
      </w:tabs>
      <w:jc w:val="center"/>
    </w:pPr>
    <w:rPr>
      <w:sz w:val="18"/>
      <w:szCs w:val="18"/>
    </w:rPr>
  </w:style>
  <w:style w:type="paragraph" w:styleId="26">
    <w:name w:val="toc 1"/>
    <w:basedOn w:val="1"/>
    <w:next w:val="1"/>
    <w:unhideWhenUsed/>
    <w:qFormat/>
    <w:uiPriority w:val="39"/>
    <w:pPr>
      <w:spacing w:after="57"/>
      <w:ind w:left="0" w:right="0" w:firstLine="0"/>
    </w:pPr>
  </w:style>
  <w:style w:type="paragraph" w:styleId="27">
    <w:name w:val="toc 4"/>
    <w:basedOn w:val="1"/>
    <w:next w:val="1"/>
    <w:unhideWhenUsed/>
    <w:qFormat/>
    <w:uiPriority w:val="39"/>
    <w:pPr>
      <w:spacing w:after="57"/>
      <w:ind w:left="850" w:right="0" w:firstLine="0"/>
    </w:pPr>
  </w:style>
  <w:style w:type="paragraph" w:styleId="28">
    <w:name w:val="Subtitle"/>
    <w:basedOn w:val="1"/>
    <w:next w:val="1"/>
    <w:link w:val="57"/>
    <w:qFormat/>
    <w:uiPriority w:val="11"/>
    <w:pPr>
      <w:spacing w:before="200" w:after="200"/>
    </w:pPr>
    <w:rPr>
      <w:sz w:val="24"/>
      <w:szCs w:val="24"/>
    </w:rPr>
  </w:style>
  <w:style w:type="paragraph" w:styleId="29">
    <w:name w:val="footnote text"/>
    <w:basedOn w:val="1"/>
    <w:link w:val="190"/>
    <w:semiHidden/>
    <w:unhideWhenUsed/>
    <w:qFormat/>
    <w:uiPriority w:val="99"/>
    <w:pPr>
      <w:spacing w:after="40" w:line="240" w:lineRule="auto"/>
    </w:pPr>
    <w:rPr>
      <w:sz w:val="18"/>
    </w:rPr>
  </w:style>
  <w:style w:type="paragraph" w:styleId="30">
    <w:name w:val="toc 6"/>
    <w:basedOn w:val="1"/>
    <w:next w:val="1"/>
    <w:unhideWhenUsed/>
    <w:qFormat/>
    <w:uiPriority w:val="39"/>
    <w:pPr>
      <w:spacing w:after="57"/>
      <w:ind w:left="1417" w:right="0" w:firstLine="0"/>
    </w:pPr>
  </w:style>
  <w:style w:type="paragraph" w:styleId="31">
    <w:name w:val="table of figures"/>
    <w:basedOn w:val="1"/>
    <w:next w:val="1"/>
    <w:unhideWhenUsed/>
    <w:qFormat/>
    <w:uiPriority w:val="99"/>
    <w:pPr>
      <w:spacing w:after="0" w:afterAutospacing="0"/>
    </w:pPr>
  </w:style>
  <w:style w:type="paragraph" w:styleId="32">
    <w:name w:val="toc 2"/>
    <w:basedOn w:val="1"/>
    <w:next w:val="1"/>
    <w:unhideWhenUsed/>
    <w:qFormat/>
    <w:uiPriority w:val="39"/>
    <w:pPr>
      <w:spacing w:after="57"/>
      <w:ind w:left="283" w:right="0" w:firstLine="0"/>
    </w:pPr>
  </w:style>
  <w:style w:type="paragraph" w:styleId="33">
    <w:name w:val="toc 9"/>
    <w:basedOn w:val="1"/>
    <w:next w:val="1"/>
    <w:unhideWhenUsed/>
    <w:qFormat/>
    <w:uiPriority w:val="39"/>
    <w:pPr>
      <w:spacing w:after="57"/>
      <w:ind w:left="2268" w:right="0" w:firstLine="0"/>
    </w:pPr>
  </w:style>
  <w:style w:type="paragraph" w:styleId="34">
    <w:name w:val="Normal (Web)"/>
    <w:basedOn w:val="1"/>
    <w:qFormat/>
    <w:uiPriority w:val="0"/>
    <w:pPr>
      <w:spacing w:beforeAutospacing="1" w:afterAutospacing="1"/>
      <w:jc w:val="left"/>
    </w:pPr>
    <w:rPr>
      <w:rFonts w:cs="Times New Roman"/>
      <w:sz w:val="24"/>
    </w:rPr>
  </w:style>
  <w:style w:type="paragraph" w:styleId="35">
    <w:name w:val="Title"/>
    <w:basedOn w:val="1"/>
    <w:next w:val="1"/>
    <w:link w:val="56"/>
    <w:qFormat/>
    <w:uiPriority w:val="10"/>
    <w:pPr>
      <w:spacing w:before="300" w:after="200"/>
      <w:contextualSpacing/>
    </w:pPr>
    <w:rPr>
      <w:sz w:val="48"/>
      <w:szCs w:val="48"/>
    </w:rPr>
  </w:style>
  <w:style w:type="paragraph" w:styleId="36">
    <w:name w:val="Body Text First Indent 2"/>
    <w:basedOn w:val="16"/>
    <w:next w:val="22"/>
    <w:qFormat/>
    <w:uiPriority w:val="0"/>
    <w:pPr>
      <w:spacing w:after="120"/>
      <w:ind w:left="420" w:firstLine="420"/>
    </w:pPr>
    <w:rPr>
      <w:sz w:val="21"/>
      <w:szCs w:val="24"/>
    </w:rPr>
  </w:style>
  <w:style w:type="table" w:styleId="38">
    <w:name w:val="Table Grid"/>
    <w:basedOn w:val="37"/>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Strong"/>
    <w:basedOn w:val="39"/>
    <w:qFormat/>
    <w:uiPriority w:val="0"/>
    <w:rPr>
      <w:b/>
    </w:rPr>
  </w:style>
  <w:style w:type="character" w:styleId="41">
    <w:name w:val="endnote reference"/>
    <w:basedOn w:val="39"/>
    <w:semiHidden/>
    <w:unhideWhenUsed/>
    <w:qFormat/>
    <w:uiPriority w:val="99"/>
    <w:rPr>
      <w:vertAlign w:val="superscript"/>
    </w:rPr>
  </w:style>
  <w:style w:type="character" w:styleId="42">
    <w:name w:val="Hyperlink"/>
    <w:unhideWhenUsed/>
    <w:qFormat/>
    <w:uiPriority w:val="99"/>
    <w:rPr>
      <w:color w:val="0563C1" w:themeColor="hyperlink"/>
      <w:u w:val="single"/>
      <w14:textFill>
        <w14:solidFill>
          <w14:schemeClr w14:val="hlink"/>
        </w14:solidFill>
      </w14:textFill>
    </w:rPr>
  </w:style>
  <w:style w:type="character" w:styleId="43">
    <w:name w:val="footnote reference"/>
    <w:basedOn w:val="39"/>
    <w:unhideWhenUsed/>
    <w:qFormat/>
    <w:uiPriority w:val="99"/>
    <w:rPr>
      <w:vertAlign w:val="superscript"/>
    </w:rPr>
  </w:style>
  <w:style w:type="paragraph" w:customStyle="1" w:styleId="44">
    <w:name w:val="Default"/>
    <w:basedOn w:val="1"/>
    <w:next w:val="45"/>
    <w:semiHidden/>
    <w:qFormat/>
    <w:uiPriority w:val="0"/>
    <w:pPr>
      <w:jc w:val="left"/>
    </w:pPr>
    <w:rPr>
      <w:rFonts w:ascii="宋体" w:hAnsi="Calibri" w:cs="宋体"/>
      <w:color w:val="000000"/>
      <w:sz w:val="24"/>
    </w:rPr>
  </w:style>
  <w:style w:type="paragraph" w:customStyle="1" w:styleId="45">
    <w:name w:val="TOC 71"/>
    <w:next w:val="1"/>
    <w:qFormat/>
    <w:uiPriority w:val="0"/>
    <w:pPr>
      <w:ind w:left="2550"/>
      <w:jc w:val="both"/>
    </w:pPr>
    <w:rPr>
      <w:rFonts w:hint="default" w:ascii="Times New Roman" w:hAnsi="Times New Roman" w:eastAsia="宋体" w:cs="Times New Roman"/>
      <w:sz w:val="21"/>
      <w:szCs w:val="22"/>
      <w:lang w:val="en-US" w:eastAsia="zh-CN" w:bidi="ar-SA"/>
    </w:rPr>
  </w:style>
  <w:style w:type="character" w:customStyle="1" w:styleId="46">
    <w:name w:val="Heading 1 Char"/>
    <w:basedOn w:val="39"/>
    <w:link w:val="2"/>
    <w:qFormat/>
    <w:uiPriority w:val="9"/>
    <w:rPr>
      <w:rFonts w:ascii="Arial" w:hAnsi="Arial" w:eastAsia="Arial" w:cs="Arial"/>
      <w:sz w:val="40"/>
      <w:szCs w:val="40"/>
    </w:rPr>
  </w:style>
  <w:style w:type="character" w:customStyle="1" w:styleId="47">
    <w:name w:val="Heading 2 Char"/>
    <w:basedOn w:val="39"/>
    <w:qFormat/>
    <w:uiPriority w:val="9"/>
    <w:rPr>
      <w:rFonts w:ascii="Arial" w:hAnsi="Arial" w:eastAsia="Arial" w:cs="Arial"/>
      <w:sz w:val="34"/>
    </w:rPr>
  </w:style>
  <w:style w:type="character" w:customStyle="1" w:styleId="48">
    <w:name w:val="Heading 3 Char"/>
    <w:basedOn w:val="39"/>
    <w:link w:val="4"/>
    <w:qFormat/>
    <w:uiPriority w:val="9"/>
    <w:rPr>
      <w:rFonts w:ascii="Arial" w:hAnsi="Arial" w:eastAsia="Arial" w:cs="Arial"/>
      <w:sz w:val="30"/>
      <w:szCs w:val="30"/>
    </w:rPr>
  </w:style>
  <w:style w:type="character" w:customStyle="1" w:styleId="49">
    <w:name w:val="Heading 4 Char"/>
    <w:basedOn w:val="39"/>
    <w:qFormat/>
    <w:uiPriority w:val="9"/>
    <w:rPr>
      <w:rFonts w:ascii="Arial" w:hAnsi="Arial" w:eastAsia="Arial" w:cs="Arial"/>
      <w:b/>
      <w:bCs/>
      <w:sz w:val="26"/>
      <w:szCs w:val="26"/>
    </w:rPr>
  </w:style>
  <w:style w:type="character" w:customStyle="1" w:styleId="50">
    <w:name w:val="Heading 5 Char"/>
    <w:basedOn w:val="39"/>
    <w:qFormat/>
    <w:uiPriority w:val="9"/>
    <w:rPr>
      <w:rFonts w:ascii="Arial" w:hAnsi="Arial" w:eastAsia="Arial" w:cs="Arial"/>
      <w:b/>
      <w:bCs/>
      <w:sz w:val="24"/>
      <w:szCs w:val="24"/>
    </w:rPr>
  </w:style>
  <w:style w:type="character" w:customStyle="1" w:styleId="51">
    <w:name w:val="Heading 6 Char"/>
    <w:basedOn w:val="39"/>
    <w:link w:val="7"/>
    <w:qFormat/>
    <w:uiPriority w:val="9"/>
    <w:rPr>
      <w:rFonts w:ascii="Arial" w:hAnsi="Arial" w:eastAsia="Arial" w:cs="Arial"/>
      <w:b/>
      <w:bCs/>
      <w:sz w:val="22"/>
      <w:szCs w:val="22"/>
    </w:rPr>
  </w:style>
  <w:style w:type="character" w:customStyle="1" w:styleId="52">
    <w:name w:val="Heading 7 Char"/>
    <w:basedOn w:val="39"/>
    <w:link w:val="8"/>
    <w:qFormat/>
    <w:uiPriority w:val="9"/>
    <w:rPr>
      <w:rFonts w:ascii="Arial" w:hAnsi="Arial" w:eastAsia="Arial" w:cs="Arial"/>
      <w:b/>
      <w:bCs/>
      <w:i/>
      <w:iCs/>
      <w:sz w:val="22"/>
      <w:szCs w:val="22"/>
    </w:rPr>
  </w:style>
  <w:style w:type="character" w:customStyle="1" w:styleId="53">
    <w:name w:val="Heading 8 Char"/>
    <w:basedOn w:val="39"/>
    <w:link w:val="9"/>
    <w:qFormat/>
    <w:uiPriority w:val="9"/>
    <w:rPr>
      <w:rFonts w:ascii="Arial" w:hAnsi="Arial" w:eastAsia="Arial" w:cs="Arial"/>
      <w:i/>
      <w:iCs/>
      <w:sz w:val="22"/>
      <w:szCs w:val="22"/>
    </w:rPr>
  </w:style>
  <w:style w:type="character" w:customStyle="1" w:styleId="54">
    <w:name w:val="Heading 9 Char"/>
    <w:basedOn w:val="39"/>
    <w:link w:val="10"/>
    <w:qFormat/>
    <w:uiPriority w:val="9"/>
    <w:rPr>
      <w:rFonts w:ascii="Arial" w:hAnsi="Arial" w:eastAsia="Arial" w:cs="Arial"/>
      <w:i/>
      <w:iCs/>
      <w:sz w:val="21"/>
      <w:szCs w:val="21"/>
    </w:rPr>
  </w:style>
  <w:style w:type="paragraph" w:styleId="55">
    <w:name w:val="No Spacing"/>
    <w:qFormat/>
    <w:uiPriority w:val="1"/>
    <w:pPr>
      <w:spacing w:before="0" w:after="0" w:line="240" w:lineRule="auto"/>
    </w:pPr>
    <w:rPr>
      <w:rFonts w:hint="default" w:ascii="Times New Roman" w:hAnsi="Times New Roman" w:eastAsia="宋体" w:cs="Times New Roman"/>
    </w:rPr>
  </w:style>
  <w:style w:type="character" w:customStyle="1" w:styleId="56">
    <w:name w:val="Title Char"/>
    <w:basedOn w:val="39"/>
    <w:link w:val="35"/>
    <w:qFormat/>
    <w:uiPriority w:val="10"/>
    <w:rPr>
      <w:sz w:val="48"/>
      <w:szCs w:val="48"/>
    </w:rPr>
  </w:style>
  <w:style w:type="character" w:customStyle="1" w:styleId="57">
    <w:name w:val="Subtitle Char"/>
    <w:basedOn w:val="39"/>
    <w:link w:val="28"/>
    <w:qFormat/>
    <w:uiPriority w:val="11"/>
    <w:rPr>
      <w:sz w:val="24"/>
      <w:szCs w:val="24"/>
    </w:rPr>
  </w:style>
  <w:style w:type="paragraph" w:styleId="58">
    <w:name w:val="Quote"/>
    <w:basedOn w:val="1"/>
    <w:next w:val="1"/>
    <w:link w:val="59"/>
    <w:qFormat/>
    <w:uiPriority w:val="29"/>
    <w:pPr>
      <w:ind w:left="720" w:right="720"/>
    </w:pPr>
    <w:rPr>
      <w:i/>
    </w:rPr>
  </w:style>
  <w:style w:type="character" w:customStyle="1" w:styleId="59">
    <w:name w:val="Quote Char"/>
    <w:link w:val="58"/>
    <w:qFormat/>
    <w:uiPriority w:val="29"/>
    <w:rPr>
      <w:i/>
    </w:rPr>
  </w:style>
  <w:style w:type="paragraph" w:styleId="60">
    <w:name w:val="Intense Quote"/>
    <w:basedOn w:val="1"/>
    <w:next w:val="1"/>
    <w:link w:val="6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1">
    <w:name w:val="Intense Quote Char"/>
    <w:link w:val="60"/>
    <w:qFormat/>
    <w:uiPriority w:val="30"/>
    <w:rPr>
      <w:i/>
    </w:rPr>
  </w:style>
  <w:style w:type="character" w:customStyle="1" w:styleId="62">
    <w:name w:val="Header Char"/>
    <w:basedOn w:val="39"/>
    <w:qFormat/>
    <w:uiPriority w:val="99"/>
  </w:style>
  <w:style w:type="character" w:customStyle="1" w:styleId="63">
    <w:name w:val="Footer Char"/>
    <w:basedOn w:val="39"/>
    <w:qFormat/>
    <w:uiPriority w:val="99"/>
  </w:style>
  <w:style w:type="character" w:customStyle="1" w:styleId="64">
    <w:name w:val="Caption Char"/>
    <w:qFormat/>
    <w:uiPriority w:val="99"/>
  </w:style>
  <w:style w:type="table" w:customStyle="1" w:styleId="65">
    <w:name w:val="Table Grid Light"/>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6">
    <w:name w:val="Plain Table 1"/>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7">
    <w:name w:val="Plain Table 2"/>
    <w:basedOn w:val="37"/>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8">
    <w:name w:val="Plain Table 3"/>
    <w:basedOn w:val="37"/>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4"/>
    <w:basedOn w:val="37"/>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5"/>
    <w:basedOn w:val="37"/>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Grid Table 1 Light"/>
    <w:basedOn w:val="37"/>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2">
    <w:name w:val="Grid Table 1 Light - Accent 1"/>
    <w:basedOn w:val="37"/>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3">
    <w:name w:val="Grid Table 1 Light - Accent 2"/>
    <w:basedOn w:val="37"/>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4">
    <w:name w:val="Grid Table 1 Light - Accent 3"/>
    <w:basedOn w:val="37"/>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5">
    <w:name w:val="Grid Table 1 Light - Accent 4"/>
    <w:basedOn w:val="37"/>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6">
    <w:name w:val="Grid Table 1 Light - Accent 5"/>
    <w:basedOn w:val="37"/>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77">
    <w:name w:val="Grid Table 1 Light - Accent 6"/>
    <w:basedOn w:val="37"/>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8">
    <w:name w:val="Grid Table 2"/>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2 - Accent 1"/>
    <w:basedOn w:val="37"/>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0">
    <w:name w:val="Grid Table 2 - Accent 2"/>
    <w:basedOn w:val="37"/>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1">
    <w:name w:val="Grid Table 2 - Accent 3"/>
    <w:basedOn w:val="37"/>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2">
    <w:name w:val="Grid Table 2 - Accent 4"/>
    <w:basedOn w:val="37"/>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3">
    <w:name w:val="Grid Table 2 - Accent 5"/>
    <w:basedOn w:val="37"/>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4">
    <w:name w:val="Grid Table 2 - Accent 6"/>
    <w:basedOn w:val="37"/>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5">
    <w:name w:val="Grid Table 3"/>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3 - Accent 1"/>
    <w:basedOn w:val="37"/>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7">
    <w:name w:val="Grid Table 3 - Accent 2"/>
    <w:basedOn w:val="37"/>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8">
    <w:name w:val="Grid Table 3 - Accent 3"/>
    <w:basedOn w:val="37"/>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9">
    <w:name w:val="Grid Table 3 - Accent 4"/>
    <w:basedOn w:val="37"/>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0">
    <w:name w:val="Grid Table 3 - Accent 5"/>
    <w:basedOn w:val="37"/>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1">
    <w:name w:val="Grid Table 3 - Accent 6"/>
    <w:basedOn w:val="37"/>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2">
    <w:name w:val="Grid Table 4"/>
    <w:basedOn w:val="37"/>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4 - Accent 1"/>
    <w:basedOn w:val="37"/>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4">
    <w:name w:val="Grid Table 4 - Accent 2"/>
    <w:basedOn w:val="37"/>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5">
    <w:name w:val="Grid Table 4 - Accent 3"/>
    <w:basedOn w:val="37"/>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6">
    <w:name w:val="Grid Table 4 - Accent 4"/>
    <w:basedOn w:val="37"/>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7">
    <w:name w:val="Grid Table 4 - Accent 5"/>
    <w:basedOn w:val="37"/>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8">
    <w:name w:val="Grid Table 4 - Accent 6"/>
    <w:basedOn w:val="37"/>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9">
    <w:name w:val="Grid Table 5 Dark"/>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0">
    <w:name w:val="Grid Table 5 Dark- Accent 1"/>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1">
    <w:name w:val="Grid Table 5 Dark - Accent 2"/>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2">
    <w:name w:val="Grid Table 5 Dark - Accent 3"/>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3">
    <w:name w:val="Grid Table 5 Dark- Accent 4"/>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4">
    <w:name w:val="Grid Table 5 Dark - Accent 5"/>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5">
    <w:name w:val="Grid Table 5 Dark - Accent 6"/>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6">
    <w:name w:val="Grid Table 6 Colorful"/>
    <w:basedOn w:val="37"/>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6 Colorful - Accent 1"/>
    <w:basedOn w:val="37"/>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8">
    <w:name w:val="Grid Table 6 Colorful - Accent 2"/>
    <w:basedOn w:val="37"/>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9">
    <w:name w:val="Grid Table 6 Colorful - Accent 3"/>
    <w:basedOn w:val="37"/>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0">
    <w:name w:val="Grid Table 6 Colorful - Accent 4"/>
    <w:basedOn w:val="37"/>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1">
    <w:name w:val="Grid Table 6 Colorful - Accent 5"/>
    <w:basedOn w:val="37"/>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2">
    <w:name w:val="Grid Table 6 Colorful - Accent 6"/>
    <w:basedOn w:val="37"/>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3">
    <w:name w:val="Grid Table 7 Colorful"/>
    <w:basedOn w:val="37"/>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4">
    <w:name w:val="Grid Table 7 Colorful - Accent 1"/>
    <w:basedOn w:val="37"/>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5">
    <w:name w:val="Grid Table 7 Colorful - Accent 2"/>
    <w:basedOn w:val="37"/>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6">
    <w:name w:val="Grid Table 7 Colorful - Accent 3"/>
    <w:basedOn w:val="37"/>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7">
    <w:name w:val="Grid Table 7 Colorful - Accent 4"/>
    <w:basedOn w:val="37"/>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8">
    <w:name w:val="Grid Table 7 Colorful - Accent 5"/>
    <w:basedOn w:val="37"/>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9">
    <w:name w:val="Grid Table 7 Colorful - Accent 6"/>
    <w:basedOn w:val="37"/>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0">
    <w:name w:val="List Table 1 Light"/>
    <w:basedOn w:val="37"/>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1">
    <w:name w:val="List Table 1 Light - Accent 1"/>
    <w:basedOn w:val="37"/>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2">
    <w:name w:val="List Table 1 Light - Accent 2"/>
    <w:basedOn w:val="37"/>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3">
    <w:name w:val="List Table 1 Light - Accent 3"/>
    <w:basedOn w:val="37"/>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4">
    <w:name w:val="List Table 1 Light - Accent 4"/>
    <w:basedOn w:val="37"/>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5">
    <w:name w:val="List Table 1 Light - Accent 5"/>
    <w:basedOn w:val="37"/>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26">
    <w:name w:val="List Table 1 Light - Accent 6"/>
    <w:basedOn w:val="37"/>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7">
    <w:name w:val="List Table 2"/>
    <w:basedOn w:val="37"/>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8">
    <w:name w:val="List Table 2 - Accent 1"/>
    <w:basedOn w:val="37"/>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29">
    <w:name w:val="List Table 2 - Accent 2"/>
    <w:basedOn w:val="37"/>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0">
    <w:name w:val="List Table 2 - Accent 3"/>
    <w:basedOn w:val="37"/>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1">
    <w:name w:val="List Table 2 - Accent 4"/>
    <w:basedOn w:val="37"/>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2">
    <w:name w:val="List Table 2 - Accent 5"/>
    <w:basedOn w:val="37"/>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3">
    <w:name w:val="List Table 2 - Accent 6"/>
    <w:basedOn w:val="37"/>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4">
    <w:name w:val="List Table 3"/>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5">
    <w:name w:val="List Table 3 - Accent 1"/>
    <w:basedOn w:val="37"/>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36">
    <w:name w:val="List Table 3 - Accent 2"/>
    <w:basedOn w:val="37"/>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7">
    <w:name w:val="List Table 3 - Accent 3"/>
    <w:basedOn w:val="37"/>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38">
    <w:name w:val="List Table 3 - Accent 4"/>
    <w:basedOn w:val="37"/>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39">
    <w:name w:val="List Table 3 - Accent 5"/>
    <w:basedOn w:val="37"/>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0">
    <w:name w:val="List Table 3 - Accent 6"/>
    <w:basedOn w:val="37"/>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1">
    <w:name w:val="List Table 4"/>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4 - Accent 1"/>
    <w:basedOn w:val="37"/>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3">
    <w:name w:val="List Table 4 - Accent 2"/>
    <w:basedOn w:val="37"/>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4">
    <w:name w:val="List Table 4 - Accent 3"/>
    <w:basedOn w:val="37"/>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5">
    <w:name w:val="List Table 4 - Accent 4"/>
    <w:basedOn w:val="37"/>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6">
    <w:name w:val="List Table 4 - Accent 5"/>
    <w:basedOn w:val="37"/>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7">
    <w:name w:val="List Table 4 - Accent 6"/>
    <w:basedOn w:val="37"/>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8">
    <w:name w:val="List Table 5 Dark"/>
    <w:basedOn w:val="37"/>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9">
    <w:name w:val="List Table 5 Dark - Accent 1"/>
    <w:basedOn w:val="37"/>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0">
    <w:name w:val="List Table 5 Dark - Accent 2"/>
    <w:basedOn w:val="37"/>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1">
    <w:name w:val="List Table 5 Dark - Accent 3"/>
    <w:basedOn w:val="37"/>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2">
    <w:name w:val="List Table 5 Dark - Accent 4"/>
    <w:basedOn w:val="37"/>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3">
    <w:name w:val="List Table 5 Dark - Accent 5"/>
    <w:basedOn w:val="37"/>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4">
    <w:name w:val="List Table 5 Dark - Accent 6"/>
    <w:basedOn w:val="37"/>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5">
    <w:name w:val="List Table 6 Colorful"/>
    <w:basedOn w:val="37"/>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6">
    <w:name w:val="List Table 6 Colorful - Accent 1"/>
    <w:basedOn w:val="37"/>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7">
    <w:name w:val="List Table 6 Colorful - Accent 2"/>
    <w:basedOn w:val="37"/>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8">
    <w:name w:val="List Table 6 Colorful - Accent 3"/>
    <w:basedOn w:val="37"/>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9">
    <w:name w:val="List Table 6 Colorful - Accent 4"/>
    <w:basedOn w:val="37"/>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0">
    <w:name w:val="List Table 6 Colorful - Accent 5"/>
    <w:basedOn w:val="37"/>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1">
    <w:name w:val="List Table 6 Colorful - Accent 6"/>
    <w:basedOn w:val="37"/>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2">
    <w:name w:val="List Table 7 Colorful"/>
    <w:basedOn w:val="37"/>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3">
    <w:name w:val="List Table 7 Colorful - Accent 1"/>
    <w:basedOn w:val="37"/>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4">
    <w:name w:val="List Table 7 Colorful - Accent 2"/>
    <w:basedOn w:val="37"/>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5">
    <w:name w:val="List Table 7 Colorful - Accent 3"/>
    <w:basedOn w:val="37"/>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6">
    <w:name w:val="List Table 7 Colorful - Accent 4"/>
    <w:basedOn w:val="37"/>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7">
    <w:name w:val="List Table 7 Colorful - Accent 5"/>
    <w:basedOn w:val="37"/>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8">
    <w:name w:val="List Table 7 Colorful - Accent 6"/>
    <w:basedOn w:val="37"/>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9">
    <w:name w:val="Lined - Accent"/>
    <w:basedOn w:val="37"/>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Lined - Accent 1"/>
    <w:basedOn w:val="37"/>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1">
    <w:name w:val="Lined - Accent 2"/>
    <w:basedOn w:val="37"/>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2">
    <w:name w:val="Lined - Accent 3"/>
    <w:basedOn w:val="37"/>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3">
    <w:name w:val="Lined - Accent 4"/>
    <w:basedOn w:val="37"/>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4">
    <w:name w:val="Lined - Accent 5"/>
    <w:basedOn w:val="37"/>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5">
    <w:name w:val="Lined - Accent 6"/>
    <w:basedOn w:val="37"/>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6">
    <w:name w:val="Bordered &amp; Lined - Accent"/>
    <w:basedOn w:val="37"/>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7">
    <w:name w:val="Bordered &amp; Lined - Accent 1"/>
    <w:basedOn w:val="37"/>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8">
    <w:name w:val="Bordered &amp; Lined - Accent 2"/>
    <w:basedOn w:val="37"/>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9">
    <w:name w:val="Bordered &amp; Lined - Accent 3"/>
    <w:basedOn w:val="37"/>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0">
    <w:name w:val="Bordered &amp; Lined - Accent 4"/>
    <w:basedOn w:val="37"/>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1">
    <w:name w:val="Bordered &amp; Lined - Accent 5"/>
    <w:basedOn w:val="37"/>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2">
    <w:name w:val="Bordered &amp; Lined - Accent 6"/>
    <w:basedOn w:val="37"/>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3">
    <w:name w:val="Bordered"/>
    <w:basedOn w:val="37"/>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4">
    <w:name w:val="Bordered - Accent 1"/>
    <w:basedOn w:val="37"/>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5">
    <w:name w:val="Bordered - Accent 2"/>
    <w:basedOn w:val="37"/>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6">
    <w:name w:val="Bordered - Accent 3"/>
    <w:basedOn w:val="37"/>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7">
    <w:name w:val="Bordered - Accent 4"/>
    <w:basedOn w:val="37"/>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8">
    <w:name w:val="Bordered - Accent 5"/>
    <w:basedOn w:val="37"/>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89">
    <w:name w:val="Bordered - Accent 6"/>
    <w:basedOn w:val="37"/>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0">
    <w:name w:val="Footnote Text Char"/>
    <w:link w:val="29"/>
    <w:qFormat/>
    <w:uiPriority w:val="99"/>
    <w:rPr>
      <w:sz w:val="18"/>
    </w:rPr>
  </w:style>
  <w:style w:type="character" w:customStyle="1" w:styleId="191">
    <w:name w:val="Endnote Text Char"/>
    <w:link w:val="23"/>
    <w:qFormat/>
    <w:uiPriority w:val="99"/>
    <w:rPr>
      <w:sz w:val="20"/>
    </w:rPr>
  </w:style>
  <w:style w:type="paragraph" w:customStyle="1" w:styleId="192">
    <w:name w:val="TOC Heading"/>
    <w:unhideWhenUsed/>
    <w:qFormat/>
    <w:uiPriority w:val="39"/>
    <w:rPr>
      <w:rFonts w:hint="default" w:ascii="Times New Roman" w:hAnsi="Times New Roman" w:eastAsia="宋体" w:cs="Times New Roman"/>
    </w:rPr>
  </w:style>
  <w:style w:type="paragraph" w:customStyle="1" w:styleId="193">
    <w:name w:val="标题 41"/>
    <w:basedOn w:val="194"/>
    <w:next w:val="1"/>
    <w:qFormat/>
    <w:uiPriority w:val="0"/>
    <w:pPr>
      <w:keepNext/>
      <w:keepLines/>
      <w:spacing w:before="280" w:after="290" w:line="376" w:lineRule="auto"/>
      <w:outlineLvl w:val="3"/>
    </w:pPr>
    <w:rPr>
      <w:rFonts w:ascii="Cambria" w:hAnsi="Cambria"/>
      <w:b/>
      <w:bCs/>
      <w:sz w:val="28"/>
      <w:szCs w:val="28"/>
    </w:rPr>
  </w:style>
  <w:style w:type="paragraph" w:customStyle="1" w:styleId="194">
    <w:name w:val="正文12"/>
    <w:next w:val="195"/>
    <w:qFormat/>
    <w:uiPriority w:val="0"/>
    <w:pPr>
      <w:widowControl w:val="0"/>
      <w:spacing w:line="360" w:lineRule="auto"/>
      <w:ind w:firstLine="723"/>
      <w:jc w:val="both"/>
    </w:pPr>
    <w:rPr>
      <w:rFonts w:hint="default" w:ascii="Times New Roman" w:hAnsi="Times New Roman" w:eastAsia="宋体" w:cs="Times New Roman"/>
      <w:sz w:val="24"/>
      <w:szCs w:val="24"/>
      <w:lang w:val="en-US" w:eastAsia="zh-CN" w:bidi="ar-SA"/>
    </w:rPr>
  </w:style>
  <w:style w:type="paragraph" w:customStyle="1" w:styleId="195">
    <w:name w:val="正文文本111"/>
    <w:basedOn w:val="194"/>
    <w:next w:val="194"/>
    <w:qFormat/>
    <w:uiPriority w:val="0"/>
  </w:style>
  <w:style w:type="paragraph" w:customStyle="1" w:styleId="196">
    <w:name w:val="正文首行缩进11"/>
    <w:basedOn w:val="197"/>
    <w:next w:val="1"/>
    <w:unhideWhenUsed/>
    <w:qFormat/>
    <w:uiPriority w:val="99"/>
    <w:pPr>
      <w:ind w:firstLine="420"/>
    </w:pPr>
    <w:rPr>
      <w:rFonts w:ascii="Times New Roman" w:hAnsi="Times New Roman"/>
    </w:rPr>
  </w:style>
  <w:style w:type="paragraph" w:customStyle="1" w:styleId="197">
    <w:name w:val="正文文本11"/>
    <w:basedOn w:val="1"/>
    <w:next w:val="1"/>
    <w:qFormat/>
    <w:uiPriority w:val="0"/>
    <w:rPr>
      <w:rFonts w:ascii="楷体_GB2312" w:hAnsi="Arial" w:eastAsia="楷体_GB2312"/>
      <w:sz w:val="28"/>
      <w:szCs w:val="28"/>
      <w:lang w:eastAsia="en-US"/>
    </w:rPr>
  </w:style>
  <w:style w:type="character" w:customStyle="1" w:styleId="198">
    <w:name w:val="页眉 Char"/>
    <w:basedOn w:val="39"/>
    <w:link w:val="25"/>
    <w:qFormat/>
    <w:uiPriority w:val="0"/>
    <w:rPr>
      <w:rFonts w:asciiTheme="minorHAnsi" w:hAnsiTheme="minorHAnsi" w:eastAsiaTheme="minorEastAsia" w:cstheme="minorBidi"/>
      <w:sz w:val="18"/>
      <w:szCs w:val="18"/>
    </w:rPr>
  </w:style>
  <w:style w:type="character" w:customStyle="1" w:styleId="199">
    <w:name w:val="页脚 Char"/>
    <w:basedOn w:val="39"/>
    <w:link w:val="24"/>
    <w:qFormat/>
    <w:uiPriority w:val="0"/>
    <w:rPr>
      <w:rFonts w:asciiTheme="minorHAnsi" w:hAnsiTheme="minorHAnsi" w:eastAsiaTheme="minorEastAsia" w:cstheme="minorBidi"/>
      <w:sz w:val="18"/>
      <w:szCs w:val="18"/>
    </w:rPr>
  </w:style>
  <w:style w:type="paragraph" w:customStyle="1" w:styleId="200">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201">
    <w:name w:val="页脚1"/>
    <w:basedOn w:val="1"/>
    <w:unhideWhenUsed/>
    <w:qFormat/>
    <w:uiPriority w:val="99"/>
    <w:pPr>
      <w:tabs>
        <w:tab w:val="center" w:pos="4153"/>
        <w:tab w:val="right" w:pos="8306"/>
      </w:tabs>
      <w:jc w:val="left"/>
    </w:pPr>
    <w:rPr>
      <w:sz w:val="18"/>
      <w:szCs w:val="18"/>
    </w:rPr>
  </w:style>
  <w:style w:type="paragraph" w:customStyle="1" w:styleId="202">
    <w:name w:val="普通正文"/>
    <w:basedOn w:val="1"/>
    <w:qFormat/>
    <w:uiPriority w:val="0"/>
    <w:pPr>
      <w:spacing w:before="120" w:after="120" w:line="360" w:lineRule="auto"/>
      <w:ind w:firstLine="480"/>
      <w:jc w:val="left"/>
    </w:pPr>
    <w:rPr>
      <w:rFonts w:ascii="Arial" w:hAnsi="Arial" w:eastAsia="等线" w:cs="Arial"/>
      <w:sz w:val="24"/>
      <w:szCs w:val="24"/>
    </w:rPr>
  </w:style>
  <w:style w:type="paragraph" w:customStyle="1" w:styleId="203">
    <w:name w:val="正文首行缩进 21"/>
    <w:basedOn w:val="204"/>
    <w:qFormat/>
    <w:uiPriority w:val="0"/>
    <w:pPr>
      <w:ind w:firstLine="420"/>
    </w:pPr>
  </w:style>
  <w:style w:type="paragraph" w:customStyle="1" w:styleId="204">
    <w:name w:val="正文文本缩进1"/>
    <w:basedOn w:val="1"/>
    <w:next w:val="205"/>
    <w:qFormat/>
    <w:uiPriority w:val="0"/>
    <w:pPr>
      <w:spacing w:after="120"/>
      <w:ind w:left="420"/>
    </w:pPr>
  </w:style>
  <w:style w:type="paragraph" w:customStyle="1" w:styleId="205">
    <w:name w:val="寄信人地址1"/>
    <w:basedOn w:val="206"/>
    <w:qFormat/>
    <w:uiPriority w:val="0"/>
    <w:rPr>
      <w:rFonts w:ascii="Arial" w:hAnsi="Arial"/>
    </w:rPr>
  </w:style>
  <w:style w:type="paragraph" w:customStyle="1" w:styleId="206">
    <w:name w:val="正文11"/>
    <w:next w:val="207"/>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07">
    <w:name w:val="文本块1"/>
    <w:basedOn w:val="208"/>
    <w:next w:val="193"/>
    <w:qFormat/>
    <w:uiPriority w:val="0"/>
    <w:pPr>
      <w:ind w:left="420" w:right="33"/>
      <w:jc w:val="left"/>
    </w:pPr>
    <w:rPr>
      <w:sz w:val="24"/>
      <w:szCs w:val="20"/>
    </w:rPr>
  </w:style>
  <w:style w:type="paragraph" w:customStyle="1" w:styleId="208">
    <w:name w:val="正文1"/>
    <w:basedOn w:val="209"/>
    <w:next w:val="21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09">
    <w:name w:val="正文111"/>
    <w:next w:val="204"/>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10">
    <w:name w:val="目录 11"/>
    <w:basedOn w:val="208"/>
    <w:next w:val="194"/>
    <w:qFormat/>
    <w:uiPriority w:val="0"/>
  </w:style>
  <w:style w:type="paragraph" w:customStyle="1" w:styleId="211">
    <w:name w:val="普通(网站)11"/>
    <w:basedOn w:val="1"/>
    <w:qFormat/>
    <w:uiPriority w:val="0"/>
    <w:pPr>
      <w:spacing w:beforeAutospacing="1" w:afterAutospacing="1"/>
      <w:jc w:val="left"/>
    </w:pPr>
    <w:rPr>
      <w:rFonts w:cs="Times New Roman"/>
      <w:sz w:val="24"/>
    </w:rPr>
  </w:style>
  <w:style w:type="paragraph" w:customStyle="1" w:styleId="212">
    <w:name w:val="普通(网站)1"/>
    <w:basedOn w:val="1"/>
    <w:qFormat/>
    <w:uiPriority w:val="0"/>
    <w:pPr>
      <w:spacing w:beforeAutospacing="1" w:afterAutospacing="1"/>
      <w:jc w:val="left"/>
    </w:pPr>
    <w:rPr>
      <w:rFonts w:cs="Times New Roman"/>
      <w:sz w:val="24"/>
    </w:rPr>
  </w:style>
  <w:style w:type="character" w:customStyle="1" w:styleId="213">
    <w:name w:val="font11"/>
    <w:qFormat/>
    <w:uiPriority w:val="0"/>
    <w:rPr>
      <w:rFonts w:hint="eastAsia" w:ascii="仿宋" w:hAnsi="仿宋" w:eastAsia="仿宋" w:cs="仿宋"/>
      <w:color w:val="000000"/>
      <w:sz w:val="20"/>
      <w:szCs w:val="20"/>
      <w:u w:val="none"/>
    </w:rPr>
  </w:style>
  <w:style w:type="paragraph" w:customStyle="1" w:styleId="214">
    <w:name w:val="正文文本1"/>
    <w:basedOn w:val="1"/>
    <w:next w:val="1"/>
    <w:unhideWhenUsed/>
    <w:qFormat/>
    <w:uiPriority w:val="0"/>
    <w:pPr>
      <w:spacing w:after="120"/>
    </w:pPr>
    <w:rPr>
      <w:rFonts w:ascii="Calibri" w:hAnsi="Calibri"/>
      <w:szCs w:val="22"/>
    </w:rPr>
  </w:style>
  <w:style w:type="paragraph" w:styleId="215">
    <w:name w:val="List Paragraph"/>
    <w:basedOn w:val="1"/>
    <w:qFormat/>
    <w:uiPriority w:val="34"/>
    <w:pPr>
      <w:ind w:firstLine="420"/>
    </w:pPr>
  </w:style>
  <w:style w:type="paragraph" w:customStyle="1" w:styleId="216">
    <w:name w:val="段"/>
    <w:next w:val="1"/>
    <w:qFormat/>
    <w:uiPriority w:val="0"/>
    <w:pPr>
      <w:ind w:firstLine="200"/>
      <w:jc w:val="both"/>
    </w:pPr>
    <w:rPr>
      <w:rFonts w:hint="default" w:ascii="宋体" w:hAnsi="Calibri" w:eastAsia="Times New Roman" w:cs="宋体"/>
      <w:sz w:val="21"/>
    </w:rPr>
  </w:style>
  <w:style w:type="table" w:customStyle="1" w:styleId="217">
    <w:name w:val="网格型1"/>
    <w:basedOn w:val="3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218">
    <w:name w:val="font51"/>
    <w:basedOn w:val="39"/>
    <w:qFormat/>
    <w:uiPriority w:val="0"/>
    <w:rPr>
      <w:rFonts w:hint="eastAsia" w:ascii="仿宋" w:hAnsi="仿宋" w:eastAsia="仿宋" w:cs="仿宋"/>
      <w:color w:val="000000"/>
      <w:sz w:val="24"/>
      <w:szCs w:val="24"/>
      <w:u w:val="none"/>
    </w:rPr>
  </w:style>
  <w:style w:type="character" w:customStyle="1" w:styleId="219">
    <w:name w:val="font81"/>
    <w:basedOn w:val="39"/>
    <w:qFormat/>
    <w:uiPriority w:val="0"/>
    <w:rPr>
      <w:rFonts w:ascii="Arial" w:hAnsi="Arial" w:cs="Arial"/>
      <w:color w:val="000000"/>
      <w:sz w:val="22"/>
      <w:szCs w:val="22"/>
      <w:u w:val="none"/>
    </w:rPr>
  </w:style>
  <w:style w:type="character" w:customStyle="1" w:styleId="220">
    <w:name w:val="font01"/>
    <w:basedOn w:val="39"/>
    <w:qFormat/>
    <w:uiPriority w:val="0"/>
    <w:rPr>
      <w:rFonts w:hint="eastAsia" w:ascii="宋体" w:hAnsi="宋体" w:eastAsia="宋体" w:cs="宋体"/>
      <w:color w:val="000000"/>
      <w:sz w:val="22"/>
      <w:szCs w:val="22"/>
      <w:u w:val="none"/>
    </w:rPr>
  </w:style>
  <w:style w:type="paragraph" w:customStyle="1" w:styleId="221">
    <w:name w:val="列出段落1"/>
    <w:basedOn w:val="1"/>
    <w:qFormat/>
    <w:uiPriority w:val="0"/>
    <w:pPr>
      <w:widowControl/>
      <w:ind w:left="720"/>
      <w:contextualSpacing/>
    </w:pPr>
    <w:rPr>
      <w:rFonts w:ascii="Calibri" w:hAnsi="Calibri"/>
      <w:sz w:val="24"/>
      <w:lang w:eastAsia="en-US" w:bidi="en-US"/>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12.xml"/><Relationship Id="rId13" Type="http://schemas.openxmlformats.org/officeDocument/2006/relationships/footer" Target="footer11.xml"/><Relationship Id="rId12" Type="http://schemas.openxmlformats.org/officeDocument/2006/relationships/footer" Target="footer10.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62</Pages>
  <Words>20049</Words>
  <Characters>21573</Characters>
  <TotalTime>16</TotalTime>
  <ScaleCrop>false</ScaleCrop>
  <LinksUpToDate>false</LinksUpToDate>
  <CharactersWithSpaces>21981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李想</cp:lastModifiedBy>
  <dcterms:modified xsi:type="dcterms:W3CDTF">2026-04-10T07:56:58Z</dcterms:modified>
  <cp:revision>121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2A1CD4C41FC448899BBA29BFC229CBA6</vt:lpwstr>
  </property>
  <property fmtid="{D5CDD505-2E9C-101B-9397-08002B2CF9AE}" pid="4" name="KSOTemplateDocerSaveRecord">
    <vt:lpwstr>eyJoZGlkIjoiZjlmZTM0ZGMxZDQ4NTg1YTBhZDhhZGQxYWIwMmZkMGUiLCJ1c2VySWQiOiIxMTc3MDM5MTI1In0=</vt:lpwstr>
  </property>
</Properties>
</file>