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8CAC1">
      <w:pPr>
        <w:rPr>
          <w:rFonts w:eastAsia="Times New Roman"/>
          <w:color w:val="000000" w:themeColor="text1"/>
          <w:sz w:val="20"/>
          <w:szCs w:val="20"/>
          <w:highlight w:val="none"/>
          <w14:textFill>
            <w14:solidFill>
              <w14:schemeClr w14:val="tx1"/>
            </w14:solidFill>
          </w14:textFill>
        </w:rPr>
      </w:pPr>
    </w:p>
    <w:p w14:paraId="47376498">
      <w:pPr>
        <w:rPr>
          <w:rFonts w:eastAsia="Times New Roman"/>
          <w:color w:val="000000" w:themeColor="text1"/>
          <w:sz w:val="20"/>
          <w:szCs w:val="20"/>
          <w:highlight w:val="none"/>
          <w14:textFill>
            <w14:solidFill>
              <w14:schemeClr w14:val="tx1"/>
            </w14:solidFill>
          </w14:textFill>
        </w:rPr>
      </w:pPr>
    </w:p>
    <w:p w14:paraId="411399B4">
      <w:pPr>
        <w:spacing w:before="5"/>
        <w:rPr>
          <w:rFonts w:eastAsia="Times New Roman"/>
          <w:color w:val="000000" w:themeColor="text1"/>
          <w:sz w:val="29"/>
          <w:szCs w:val="29"/>
          <w:highlight w:val="none"/>
          <w14:textFill>
            <w14:solidFill>
              <w14:schemeClr w14:val="tx1"/>
            </w14:solidFill>
          </w14:textFill>
        </w:rPr>
      </w:pPr>
    </w:p>
    <w:p w14:paraId="1FF9D58A">
      <w:pPr>
        <w:spacing w:line="820" w:lineRule="exact"/>
        <w:jc w:val="center"/>
        <w:rPr>
          <w:rFonts w:cs="黑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pacing w:val="5"/>
          <w:sz w:val="72"/>
          <w:szCs w:val="72"/>
          <w:highlight w:val="none"/>
          <w:lang w:eastAsia="zh-CN"/>
          <w14:textFill>
            <w14:solidFill>
              <w14:schemeClr w14:val="tx1"/>
            </w14:solidFill>
          </w14:textFill>
        </w:rPr>
        <w:t>竞争性磋商文件</w:t>
      </w:r>
    </w:p>
    <w:p w14:paraId="6ABEB479">
      <w:pPr>
        <w:spacing w:before="9"/>
        <w:jc w:val="center"/>
        <w:rPr>
          <w:rFonts w:ascii="黑体" w:hAnsi="黑体" w:eastAsia="黑体"/>
          <w:color w:val="000000" w:themeColor="text1"/>
          <w:sz w:val="52"/>
          <w:szCs w:val="52"/>
          <w:highlight w:val="none"/>
          <w:lang w:eastAsia="zh-CN"/>
          <w14:textFill>
            <w14:solidFill>
              <w14:schemeClr w14:val="tx1"/>
            </w14:solidFill>
          </w14:textFill>
        </w:rPr>
      </w:pPr>
    </w:p>
    <w:p w14:paraId="3E6A77E3">
      <w:pPr>
        <w:spacing w:before="9"/>
        <w:jc w:val="center"/>
        <w:rPr>
          <w:rFonts w:ascii="黑体" w:hAnsi="黑体" w:eastAsia="黑体"/>
          <w:color w:val="000000" w:themeColor="text1"/>
          <w:sz w:val="52"/>
          <w:szCs w:val="52"/>
          <w:highlight w:val="none"/>
          <w:lang w:eastAsia="zh-CN"/>
          <w14:textFill>
            <w14:solidFill>
              <w14:schemeClr w14:val="tx1"/>
            </w14:solidFill>
          </w14:textFill>
        </w:rPr>
      </w:pPr>
    </w:p>
    <w:p w14:paraId="5859E065">
      <w:pPr>
        <w:jc w:val="center"/>
        <w:rPr>
          <w:rFonts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（服务类）</w:t>
      </w:r>
    </w:p>
    <w:p w14:paraId="4CB661A0">
      <w:pPr>
        <w:ind w:left="698"/>
        <w:rPr>
          <w:rFonts w:ascii="宋体" w:hAnsi="宋体" w:eastAsia="宋体" w:cs="宋体"/>
          <w:b/>
          <w:bCs/>
          <w:color w:val="000000" w:themeColor="text1"/>
          <w:highlight w:val="none"/>
          <w:lang w:eastAsia="zh-CN"/>
          <w14:textFill>
            <w14:solidFill>
              <w14:schemeClr w14:val="tx1"/>
            </w14:solidFill>
          </w14:textFill>
        </w:rPr>
      </w:pPr>
    </w:p>
    <w:p w14:paraId="539D3606">
      <w:pPr>
        <w:ind w:left="698"/>
        <w:rPr>
          <w:rFonts w:ascii="宋体" w:hAnsi="宋体" w:eastAsia="宋体" w:cs="宋体"/>
          <w:b/>
          <w:bCs/>
          <w:color w:val="000000" w:themeColor="text1"/>
          <w:highlight w:val="none"/>
          <w:lang w:eastAsia="zh-CN"/>
          <w14:textFill>
            <w14:solidFill>
              <w14:schemeClr w14:val="tx1"/>
            </w14:solidFill>
          </w14:textFill>
        </w:rPr>
      </w:pPr>
    </w:p>
    <w:p w14:paraId="5DA986F8">
      <w:pPr>
        <w:ind w:left="698"/>
        <w:rPr>
          <w:rFonts w:ascii="宋体" w:hAnsi="宋体" w:eastAsia="宋体" w:cs="宋体"/>
          <w:b/>
          <w:bCs/>
          <w:color w:val="000000" w:themeColor="text1"/>
          <w:highlight w:val="none"/>
          <w:lang w:eastAsia="zh-CN"/>
          <w14:textFill>
            <w14:solidFill>
              <w14:schemeClr w14:val="tx1"/>
            </w14:solidFill>
          </w14:textFill>
        </w:rPr>
      </w:pPr>
    </w:p>
    <w:p w14:paraId="2C008935">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440C2829">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2B401CEA">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0CBB8482">
      <w:pPr>
        <w:keepNext w:val="0"/>
        <w:keepLines w:val="0"/>
        <w:pageBreakBefore w:val="0"/>
        <w:widowControl w:val="0"/>
        <w:kinsoku/>
        <w:wordWrap/>
        <w:overflowPunct/>
        <w:topLinePunct w:val="0"/>
        <w:autoSpaceDE/>
        <w:autoSpaceDN/>
        <w:bidi w:val="0"/>
        <w:adjustRightInd/>
        <w:snapToGrid/>
        <w:spacing w:line="480" w:lineRule="auto"/>
        <w:ind w:firstLine="1687" w:firstLineChars="6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t>项目编号：</w:t>
      </w:r>
      <w:r>
        <w:rPr>
          <w:rFonts w:hint="eastAsia" w:ascii="宋体" w:hAnsi="宋体" w:eastAsia="宋体" w:cs="宋体"/>
          <w:b/>
          <w:bCs/>
          <w:color w:val="000000" w:themeColor="text1"/>
          <w:sz w:val="28"/>
          <w:szCs w:val="28"/>
          <w:highlight w:val="none"/>
          <w:lang w:eastAsia="zh-CN"/>
          <w14:textFill>
            <w14:solidFill>
              <w14:schemeClr w14:val="tx1"/>
            </w14:solidFill>
          </w14:textFill>
        </w:rPr>
        <w:t>JSZC-320115-NJMT-C2026-0003</w:t>
      </w:r>
    </w:p>
    <w:p w14:paraId="6F82BFF5">
      <w:pPr>
        <w:keepNext w:val="0"/>
        <w:keepLines w:val="0"/>
        <w:pageBreakBefore w:val="0"/>
        <w:widowControl w:val="0"/>
        <w:kinsoku/>
        <w:wordWrap/>
        <w:overflowPunct/>
        <w:topLinePunct w:val="0"/>
        <w:autoSpaceDE/>
        <w:autoSpaceDN/>
        <w:bidi w:val="0"/>
        <w:adjustRightInd/>
        <w:snapToGrid/>
        <w:spacing w:line="480" w:lineRule="auto"/>
        <w:ind w:firstLine="1687" w:firstLineChars="600"/>
        <w:textAlignment w:val="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项目名称：原铜井化工园退役场地风险评估项目</w:t>
      </w:r>
    </w:p>
    <w:p w14:paraId="04383C45">
      <w:pPr>
        <w:keepNext w:val="0"/>
        <w:keepLines w:val="0"/>
        <w:pageBreakBefore w:val="0"/>
        <w:widowControl w:val="0"/>
        <w:kinsoku/>
        <w:wordWrap/>
        <w:overflowPunct/>
        <w:topLinePunct w:val="0"/>
        <w:autoSpaceDE/>
        <w:autoSpaceDN/>
        <w:bidi w:val="0"/>
        <w:adjustRightInd/>
        <w:snapToGrid/>
        <w:spacing w:line="480" w:lineRule="auto"/>
        <w:ind w:firstLine="1687" w:firstLineChars="6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采 购 人：南京江宁滨江经济开发区管理委员会</w:t>
      </w:r>
    </w:p>
    <w:p w14:paraId="0C3C3ABF">
      <w:pPr>
        <w:keepNext w:val="0"/>
        <w:keepLines w:val="0"/>
        <w:pageBreakBefore w:val="0"/>
        <w:widowControl w:val="0"/>
        <w:kinsoku/>
        <w:wordWrap/>
        <w:overflowPunct/>
        <w:topLinePunct w:val="0"/>
        <w:autoSpaceDE/>
        <w:autoSpaceDN/>
        <w:bidi w:val="0"/>
        <w:adjustRightInd/>
        <w:snapToGrid/>
        <w:spacing w:line="480" w:lineRule="auto"/>
        <w:ind w:firstLine="1687" w:firstLineChars="6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采购代理机构：南京麻田工程咨询有限公司</w:t>
      </w:r>
    </w:p>
    <w:p w14:paraId="46A787F1">
      <w:pPr>
        <w:spacing w:line="360" w:lineRule="auto"/>
        <w:rPr>
          <w:rFonts w:ascii="宋体" w:hAnsi="宋体" w:eastAsia="宋体" w:cs="宋体"/>
          <w:color w:val="000000" w:themeColor="text1"/>
          <w:sz w:val="32"/>
          <w:szCs w:val="32"/>
          <w:highlight w:val="none"/>
          <w:lang w:eastAsia="zh-CN"/>
          <w14:textFill>
            <w14:solidFill>
              <w14:schemeClr w14:val="tx1"/>
            </w14:solidFill>
          </w14:textFill>
        </w:rPr>
      </w:pPr>
    </w:p>
    <w:p w14:paraId="25BF3360">
      <w:pPr>
        <w:pStyle w:val="66"/>
        <w:rPr>
          <w:rFonts w:eastAsiaTheme="minorEastAsia"/>
          <w:color w:val="000000" w:themeColor="text1"/>
          <w:highlight w:val="none"/>
          <w:lang w:eastAsia="zh-CN"/>
          <w14:textFill>
            <w14:solidFill>
              <w14:schemeClr w14:val="tx1"/>
            </w14:solidFill>
          </w14:textFill>
        </w:rPr>
      </w:pPr>
    </w:p>
    <w:p w14:paraId="0C08E551">
      <w:pPr>
        <w:pStyle w:val="66"/>
        <w:rPr>
          <w:rFonts w:eastAsiaTheme="minorEastAsia"/>
          <w:color w:val="000000" w:themeColor="text1"/>
          <w:highlight w:val="none"/>
          <w:lang w:eastAsia="zh-CN"/>
          <w14:textFill>
            <w14:solidFill>
              <w14:schemeClr w14:val="tx1"/>
            </w14:solidFill>
          </w14:textFill>
        </w:rPr>
      </w:pPr>
    </w:p>
    <w:p w14:paraId="019A9A3C">
      <w:pPr>
        <w:pStyle w:val="66"/>
        <w:rPr>
          <w:rFonts w:eastAsiaTheme="minorEastAsia"/>
          <w:color w:val="000000" w:themeColor="text1"/>
          <w:highlight w:val="none"/>
          <w:lang w:eastAsia="zh-CN"/>
          <w14:textFill>
            <w14:solidFill>
              <w14:schemeClr w14:val="tx1"/>
            </w14:solidFill>
          </w14:textFill>
        </w:rPr>
      </w:pPr>
    </w:p>
    <w:p w14:paraId="4CCE9BC8">
      <w:pPr>
        <w:pStyle w:val="66"/>
        <w:rPr>
          <w:rFonts w:eastAsiaTheme="minorEastAsia"/>
          <w:color w:val="000000" w:themeColor="text1"/>
          <w:highlight w:val="none"/>
          <w:lang w:eastAsia="zh-CN"/>
          <w14:textFill>
            <w14:solidFill>
              <w14:schemeClr w14:val="tx1"/>
            </w14:solidFill>
          </w14:textFill>
        </w:rPr>
      </w:pPr>
    </w:p>
    <w:p w14:paraId="73B7F386">
      <w:pPr>
        <w:pStyle w:val="66"/>
        <w:rPr>
          <w:rFonts w:eastAsiaTheme="minorEastAsia"/>
          <w:color w:val="000000" w:themeColor="text1"/>
          <w:highlight w:val="none"/>
          <w:lang w:eastAsia="zh-CN"/>
          <w14:textFill>
            <w14:solidFill>
              <w14:schemeClr w14:val="tx1"/>
            </w14:solidFill>
          </w14:textFill>
        </w:rPr>
      </w:pPr>
    </w:p>
    <w:p w14:paraId="74A5E3B3">
      <w:pPr>
        <w:pStyle w:val="66"/>
        <w:rPr>
          <w:rFonts w:eastAsiaTheme="minorEastAsia"/>
          <w:color w:val="000000" w:themeColor="text1"/>
          <w:highlight w:val="none"/>
          <w:lang w:eastAsia="zh-CN"/>
          <w14:textFill>
            <w14:solidFill>
              <w14:schemeClr w14:val="tx1"/>
            </w14:solidFill>
          </w14:textFill>
        </w:rPr>
      </w:pPr>
    </w:p>
    <w:p w14:paraId="38B2E6B7">
      <w:pPr>
        <w:pStyle w:val="66"/>
        <w:rPr>
          <w:rFonts w:eastAsiaTheme="minorEastAsia"/>
          <w:color w:val="000000" w:themeColor="text1"/>
          <w:highlight w:val="none"/>
          <w:lang w:eastAsia="zh-CN"/>
          <w14:textFill>
            <w14:solidFill>
              <w14:schemeClr w14:val="tx1"/>
            </w14:solidFill>
          </w14:textFill>
        </w:rPr>
      </w:pPr>
    </w:p>
    <w:p w14:paraId="67D5C380">
      <w:pPr>
        <w:pStyle w:val="66"/>
        <w:rPr>
          <w:rFonts w:eastAsiaTheme="minorEastAsia"/>
          <w:color w:val="000000" w:themeColor="text1"/>
          <w:highlight w:val="none"/>
          <w:lang w:eastAsia="zh-CN"/>
          <w14:textFill>
            <w14:solidFill>
              <w14:schemeClr w14:val="tx1"/>
            </w14:solidFill>
          </w14:textFill>
        </w:rPr>
      </w:pPr>
    </w:p>
    <w:p w14:paraId="4DA5D847">
      <w:pPr>
        <w:pStyle w:val="66"/>
        <w:rPr>
          <w:rFonts w:eastAsiaTheme="minorEastAsia"/>
          <w:color w:val="000000" w:themeColor="text1"/>
          <w:highlight w:val="none"/>
          <w:lang w:eastAsia="zh-CN"/>
          <w14:textFill>
            <w14:solidFill>
              <w14:schemeClr w14:val="tx1"/>
            </w14:solidFill>
          </w14:textFill>
        </w:rPr>
      </w:pPr>
    </w:p>
    <w:p w14:paraId="0280AF22">
      <w:pPr>
        <w:pStyle w:val="66"/>
        <w:rPr>
          <w:rFonts w:eastAsiaTheme="minorEastAsia"/>
          <w:color w:val="000000" w:themeColor="text1"/>
          <w:highlight w:val="none"/>
          <w:lang w:eastAsia="zh-CN"/>
          <w14:textFill>
            <w14:solidFill>
              <w14:schemeClr w14:val="tx1"/>
            </w14:solidFill>
          </w14:textFill>
        </w:rPr>
      </w:pPr>
    </w:p>
    <w:p w14:paraId="31C1E6A9">
      <w:pPr>
        <w:pStyle w:val="66"/>
        <w:rPr>
          <w:rFonts w:eastAsiaTheme="minorEastAsia"/>
          <w:color w:val="000000" w:themeColor="text1"/>
          <w:highlight w:val="none"/>
          <w:lang w:eastAsia="zh-CN"/>
          <w14:textFill>
            <w14:solidFill>
              <w14:schemeClr w14:val="tx1"/>
            </w14:solidFill>
          </w14:textFill>
        </w:rPr>
      </w:pPr>
    </w:p>
    <w:p w14:paraId="0766BA25">
      <w:pPr>
        <w:spacing w:line="360" w:lineRule="auto"/>
        <w:jc w:val="center"/>
        <w:rPr>
          <w:rFonts w:ascii="黑体" w:hAnsi="黑体" w:eastAsia="黑体" w:cs="黑体"/>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二○二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lang w:eastAsia="zh-CN"/>
          <w14:textFill>
            <w14:solidFill>
              <w14:schemeClr w14:val="tx1"/>
            </w14:solidFill>
          </w14:textFill>
        </w:rPr>
        <w:t>年</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z w:val="28"/>
          <w:szCs w:val="28"/>
          <w:highlight w:val="none"/>
          <w:lang w:eastAsia="zh-CN"/>
          <w14:textFill>
            <w14:solidFill>
              <w14:schemeClr w14:val="tx1"/>
            </w14:solidFill>
          </w14:textFill>
        </w:rPr>
        <w:t>月</w:t>
      </w:r>
    </w:p>
    <w:p w14:paraId="0F0BC11C">
      <w:pPr>
        <w:spacing w:line="357" w:lineRule="auto"/>
        <w:jc w:val="center"/>
        <w:rPr>
          <w:rFonts w:ascii="黑体" w:hAnsi="黑体" w:eastAsia="黑体" w:cs="黑体"/>
          <w:color w:val="000000" w:themeColor="text1"/>
          <w:sz w:val="36"/>
          <w:szCs w:val="36"/>
          <w:highlight w:val="none"/>
          <w:lang w:eastAsia="zh-CN"/>
          <w14:textFill>
            <w14:solidFill>
              <w14:schemeClr w14:val="tx1"/>
            </w14:solidFill>
          </w14:textFill>
        </w:rPr>
      </w:pPr>
      <w:r>
        <w:rPr>
          <w:rFonts w:ascii="黑体" w:hAnsi="黑体" w:eastAsia="黑体" w:cs="黑体"/>
          <w:color w:val="000000" w:themeColor="text1"/>
          <w:sz w:val="36"/>
          <w:szCs w:val="36"/>
          <w:highlight w:val="none"/>
          <w:lang w:eastAsia="zh-CN"/>
          <w14:textFill>
            <w14:solidFill>
              <w14:schemeClr w14:val="tx1"/>
            </w14:solidFill>
          </w14:textFill>
        </w:rPr>
        <w:br w:type="page" w:clear="all"/>
      </w:r>
      <w:bookmarkStart w:id="0" w:name="第一章__竞争性磋商邀请"/>
      <w:bookmarkEnd w:id="0"/>
      <w:bookmarkStart w:id="1" w:name="_bookmark0"/>
      <w:bookmarkEnd w:id="1"/>
      <w:r>
        <w:rPr>
          <w:rFonts w:hint="eastAsia" w:ascii="宋体" w:hAnsi="宋体" w:eastAsia="宋体" w:cs="宋体"/>
          <w:b/>
          <w:bCs/>
          <w:color w:val="000000" w:themeColor="text1"/>
          <w:sz w:val="24"/>
          <w:szCs w:val="24"/>
          <w:highlight w:val="none"/>
          <w:lang w:eastAsia="zh-CN"/>
          <w14:textFill>
            <w14:solidFill>
              <w14:schemeClr w14:val="tx1"/>
            </w14:solidFill>
          </w14:textFill>
        </w:rPr>
        <w:t>目  录</w:t>
      </w:r>
    </w:p>
    <w:p w14:paraId="1CD02642">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rFonts w:hint="eastAsia" w:cs="宋体"/>
          <w:b w:val="0"/>
          <w:bCs w:val="0"/>
          <w:color w:val="000000" w:themeColor="text1"/>
          <w:highlight w:val="none"/>
          <w14:textFill>
            <w14:solidFill>
              <w14:schemeClr w14:val="tx1"/>
            </w14:solidFill>
          </w14:textFill>
        </w:rPr>
        <w:fldChar w:fldCharType="begin"/>
      </w:r>
      <w:r>
        <w:rPr>
          <w:rFonts w:hint="eastAsia" w:cs="宋体"/>
          <w:b w:val="0"/>
          <w:bCs w:val="0"/>
          <w:color w:val="000000" w:themeColor="text1"/>
          <w:highlight w:val="none"/>
          <w14:textFill>
            <w14:solidFill>
              <w14:schemeClr w14:val="tx1"/>
            </w14:solidFill>
          </w14:textFill>
        </w:rPr>
        <w:instrText xml:space="preserve">TOC \o "1-1" \h \u </w:instrText>
      </w:r>
      <w:r>
        <w:rPr>
          <w:rFonts w:hint="eastAsia" w:cs="宋体"/>
          <w:b w:val="0"/>
          <w:bCs w:val="0"/>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"_Toc183610245"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第一章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竞争性磋商公告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22D298C6">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"_Toc183610246"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第二章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048CFFEB">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"_Toc183610247"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第三章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成交标准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0B20B954">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"_Toc183610248"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val="zh-CN" w:eastAsia="zh-CN"/>
          <w14:textFill>
            <w14:solidFill>
              <w14:schemeClr w14:val="tx1"/>
            </w14:solidFill>
          </w14:textFill>
        </w:rPr>
        <w:t>第四章</w:t>
      </w:r>
      <w:r>
        <w:rPr>
          <w:rStyle w:val="60"/>
          <w:rFonts w:cs="宋体"/>
          <w:color w:val="000000" w:themeColor="text1"/>
          <w:highlight w:val="none"/>
          <w:lang w:val="zh-CN" w:eastAsia="zh-CN"/>
          <w14:textFill>
            <w14:solidFill>
              <w14:schemeClr w14:val="tx1"/>
            </w14:solidFill>
          </w14:textFill>
        </w:rPr>
        <w:t xml:space="preserve"> </w:t>
      </w:r>
      <w:r>
        <w:rPr>
          <w:rStyle w:val="60"/>
          <w:rFonts w:hint="eastAsia" w:cs="宋体"/>
          <w:color w:val="000000" w:themeColor="text1"/>
          <w:highlight w:val="none"/>
          <w:lang w:val="zh-CN" w:eastAsia="zh-CN"/>
          <w14:textFill>
            <w14:solidFill>
              <w14:schemeClr w14:val="tx1"/>
            </w14:solidFill>
          </w14:textFill>
        </w:rPr>
        <w:t>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65463D70">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"_Toc183610249"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val="zh-CN" w:eastAsia="zh-CN"/>
          <w14:textFill>
            <w14:solidFill>
              <w14:schemeClr w14:val="tx1"/>
            </w14:solidFill>
          </w14:textFill>
        </w:rPr>
        <w:t>第五章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val="zh-CN" w:eastAsia="zh-CN"/>
          <w14:textFill>
            <w14:solidFill>
              <w14:schemeClr w14:val="tx1"/>
            </w14:solidFill>
          </w14:textFill>
        </w:rPr>
        <w:t>合同草案条款及格式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144A402D">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"_Toc183610250"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第六章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2E3B4403">
      <w:pPr>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p>
    <w:p w14:paraId="527E9591">
      <w:pPr>
        <w:rPr>
          <w:rFonts w:hint="eastAsia" w:ascii="宋体" w:hAnsi="宋体" w:eastAsia="宋体" w:cs="宋体"/>
          <w:b/>
          <w:bCs/>
          <w:color w:val="000000" w:themeColor="text1"/>
          <w:sz w:val="28"/>
          <w:szCs w:val="28"/>
          <w:highlight w:val="none"/>
          <w:lang w:eastAsia="zh-CN"/>
          <w14:textFill>
            <w14:solidFill>
              <w14:schemeClr w14:val="tx1"/>
            </w14:solidFill>
          </w14:textFill>
        </w:rPr>
      </w:pPr>
      <w:bookmarkStart w:id="2" w:name="_Toc183610245"/>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r>
    </w:p>
    <w:p w14:paraId="127B10D3">
      <w:pPr>
        <w:tabs>
          <w:tab w:val="left" w:pos="4171"/>
        </w:tabs>
        <w:spacing w:line="360" w:lineRule="auto"/>
        <w:jc w:val="center"/>
        <w:outlineLvl w:val="0"/>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第一章 竞争性磋商公告</w:t>
      </w:r>
      <w:bookmarkEnd w:id="2"/>
    </w:p>
    <w:p w14:paraId="57443F8B">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bookmarkStart w:id="3" w:name="_Toc28359089"/>
      <w:bookmarkStart w:id="4" w:name="_Toc28359012"/>
      <w:bookmarkStart w:id="5" w:name="_Toc35393629"/>
      <w:bookmarkStart w:id="6" w:name="_Toc35393798"/>
      <w:r>
        <w:rPr>
          <w:rFonts w:hint="eastAsia" w:ascii="宋体" w:hAnsi="宋体" w:eastAsia="宋体" w:cs="宋体"/>
          <w:b/>
          <w:color w:val="000000" w:themeColor="text1"/>
          <w:sz w:val="21"/>
          <w:szCs w:val="21"/>
          <w:highlight w:val="none"/>
          <w:lang w:eastAsia="zh-CN"/>
          <w14:textFill>
            <w14:solidFill>
              <w14:schemeClr w14:val="tx1"/>
            </w14:solidFill>
          </w14:textFill>
        </w:rPr>
        <w:t>项目概况</w:t>
      </w:r>
    </w:p>
    <w:p w14:paraId="37D24E14">
      <w:pPr>
        <w:spacing w:line="360" w:lineRule="auto"/>
        <w:ind w:firstLine="422"/>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u w:val="single"/>
          <w:lang w:eastAsia="zh-CN"/>
          <w14:textFill>
            <w14:solidFill>
              <w14:schemeClr w14:val="tx1"/>
            </w14:solidFill>
          </w14:textFill>
        </w:rPr>
        <w:t>原铜井化工园退役场地风险评估项目  JSZC-320115-NJMT-C2026-0003</w:t>
      </w:r>
      <w:r>
        <w:rPr>
          <w:rFonts w:hint="eastAsia" w:eastAsia="宋体" w:cs="宋体"/>
          <w:color w:val="000000" w:themeColor="text1"/>
          <w:sz w:val="21"/>
          <w:szCs w:val="21"/>
          <w:highlight w:val="none"/>
          <w:lang w:eastAsia="zh-CN"/>
          <w14:textFill>
            <w14:solidFill>
              <w14:schemeClr w14:val="tx1"/>
            </w14:solidFill>
          </w14:textFill>
        </w:rPr>
        <w:t>采购项目的潜在供应商应在</w:t>
      </w:r>
      <w:r>
        <w:rPr>
          <w:rFonts w:hint="eastAsia" w:eastAsia="宋体" w:cs="宋体"/>
          <w:color w:val="000000" w:themeColor="text1"/>
          <w:sz w:val="21"/>
          <w:szCs w:val="21"/>
          <w:highlight w:val="none"/>
          <w:u w:val="single"/>
          <w:lang w:val="en-US" w:eastAsia="zh-CN"/>
          <w14:textFill>
            <w14:solidFill>
              <w14:schemeClr w14:val="tx1"/>
            </w14:solidFill>
          </w14:textFill>
        </w:rPr>
        <w:t>“苏采云”政府采购交易系统</w:t>
      </w:r>
      <w:r>
        <w:rPr>
          <w:rFonts w:hint="eastAsia" w:eastAsia="宋体" w:cs="宋体"/>
          <w:color w:val="000000" w:themeColor="text1"/>
          <w:sz w:val="21"/>
          <w:szCs w:val="21"/>
          <w:highlight w:val="none"/>
          <w:lang w:eastAsia="zh-CN"/>
          <w14:textFill>
            <w14:solidFill>
              <w14:schemeClr w14:val="tx1"/>
            </w14:solidFill>
          </w14:textFill>
        </w:rPr>
        <w:t>获取采购文件，并于</w:t>
      </w:r>
      <w:r>
        <w:rPr>
          <w:rFonts w:hint="eastAsia" w:eastAsia="宋体" w:cs="宋体"/>
          <w:color w:val="FF0000"/>
          <w:sz w:val="21"/>
          <w:szCs w:val="21"/>
          <w:highlight w:val="none"/>
          <w:u w:val="single"/>
          <w:lang w:eastAsia="zh-CN"/>
        </w:rPr>
        <w:t>202</w:t>
      </w:r>
      <w:r>
        <w:rPr>
          <w:rFonts w:hint="eastAsia" w:eastAsia="宋体" w:cs="宋体"/>
          <w:color w:val="FF0000"/>
          <w:sz w:val="21"/>
          <w:szCs w:val="21"/>
          <w:highlight w:val="none"/>
          <w:u w:val="single"/>
          <w:lang w:val="en-US" w:eastAsia="zh-CN"/>
        </w:rPr>
        <w:t>6</w:t>
      </w:r>
      <w:r>
        <w:rPr>
          <w:rFonts w:hint="eastAsia" w:eastAsia="宋体" w:cs="宋体"/>
          <w:color w:val="FF0000"/>
          <w:sz w:val="21"/>
          <w:szCs w:val="21"/>
          <w:highlight w:val="none"/>
          <w:u w:val="single"/>
          <w:lang w:eastAsia="zh-CN"/>
        </w:rPr>
        <w:t>-</w:t>
      </w:r>
      <w:r>
        <w:rPr>
          <w:rFonts w:hint="eastAsia" w:eastAsia="宋体" w:cs="宋体"/>
          <w:color w:val="FF0000"/>
          <w:sz w:val="21"/>
          <w:szCs w:val="21"/>
          <w:highlight w:val="none"/>
          <w:u w:val="single"/>
          <w:lang w:val="en-US" w:eastAsia="zh-CN"/>
        </w:rPr>
        <w:t>6</w:t>
      </w:r>
      <w:r>
        <w:rPr>
          <w:rFonts w:hint="eastAsia" w:eastAsia="宋体" w:cs="宋体"/>
          <w:color w:val="FF0000"/>
          <w:sz w:val="21"/>
          <w:szCs w:val="21"/>
          <w:highlight w:val="none"/>
          <w:u w:val="single"/>
          <w:lang w:eastAsia="zh-CN"/>
        </w:rPr>
        <w:t>-</w:t>
      </w:r>
      <w:r>
        <w:rPr>
          <w:rFonts w:hint="eastAsia" w:eastAsia="宋体" w:cs="宋体"/>
          <w:color w:val="FF0000"/>
          <w:sz w:val="21"/>
          <w:szCs w:val="21"/>
          <w:highlight w:val="none"/>
          <w:u w:val="single"/>
          <w:lang w:val="en-US" w:eastAsia="zh-CN"/>
        </w:rPr>
        <w:t xml:space="preserve">3 </w:t>
      </w:r>
      <w:r>
        <w:rPr>
          <w:rFonts w:hint="eastAsia" w:eastAsia="宋体" w:cs="宋体"/>
          <w:color w:val="FF0000"/>
          <w:sz w:val="21"/>
          <w:szCs w:val="21"/>
          <w:highlight w:val="none"/>
          <w:u w:val="single"/>
          <w:lang w:eastAsia="zh-CN"/>
        </w:rPr>
        <w:t xml:space="preserve"> </w:t>
      </w:r>
      <w:r>
        <w:rPr>
          <w:rFonts w:hint="eastAsia" w:eastAsia="宋体" w:cs="宋体"/>
          <w:color w:val="FF0000"/>
          <w:sz w:val="21"/>
          <w:szCs w:val="21"/>
          <w:highlight w:val="none"/>
          <w:u w:val="single"/>
          <w:lang w:val="en-US" w:eastAsia="zh-CN"/>
        </w:rPr>
        <w:t>9</w:t>
      </w:r>
      <w:r>
        <w:rPr>
          <w:rFonts w:hint="eastAsia" w:eastAsia="宋体" w:cs="宋体"/>
          <w:color w:val="FF0000"/>
          <w:sz w:val="21"/>
          <w:szCs w:val="21"/>
          <w:highlight w:val="none"/>
          <w:u w:val="single"/>
          <w:lang w:eastAsia="zh-CN"/>
        </w:rPr>
        <w:t>：30</w:t>
      </w:r>
      <w:r>
        <w:rPr>
          <w:rFonts w:hint="eastAsia" w:eastAsia="宋体" w:cs="宋体"/>
          <w:color w:val="000000" w:themeColor="text1"/>
          <w:sz w:val="21"/>
          <w:szCs w:val="21"/>
          <w:highlight w:val="none"/>
          <w:lang w:eastAsia="zh-CN"/>
          <w14:textFill>
            <w14:solidFill>
              <w14:schemeClr w14:val="tx1"/>
            </w14:solidFill>
          </w14:textFill>
        </w:rPr>
        <w:t>（北京时间）前提交响应文件。</w:t>
      </w:r>
    </w:p>
    <w:p w14:paraId="054C65B3">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一、项目基本情况</w:t>
      </w:r>
      <w:bookmarkEnd w:id="3"/>
      <w:bookmarkEnd w:id="4"/>
      <w:bookmarkEnd w:id="5"/>
      <w:bookmarkEnd w:id="6"/>
    </w:p>
    <w:p w14:paraId="6A2B618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项目编号：JSZC-320115-NJMT-C2026-0003</w:t>
      </w:r>
    </w:p>
    <w:p w14:paraId="3A1913A1">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项目名称：原铜井化工园退役场地风险评估项目</w:t>
      </w:r>
    </w:p>
    <w:p w14:paraId="78CF5EF2">
      <w:pPr>
        <w:tabs>
          <w:tab w:val="center" w:pos="4865"/>
        </w:tabs>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采购方式：竞争性磋商</w:t>
      </w:r>
    </w:p>
    <w:p w14:paraId="45DC2D0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预算金额：</w:t>
      </w:r>
      <w:r>
        <w:rPr>
          <w:rFonts w:hint="eastAsia" w:ascii="宋体" w:hAnsi="宋体" w:eastAsia="宋体" w:cs="宋体"/>
          <w:szCs w:val="21"/>
          <w:highlight w:val="none"/>
          <w:lang w:val="en-US" w:eastAsia="zh-CN"/>
        </w:rPr>
        <w:t>300</w:t>
      </w:r>
      <w:r>
        <w:rPr>
          <w:rFonts w:hint="eastAsia" w:ascii="宋体" w:hAnsi="宋体" w:eastAsia="宋体" w:cs="宋体"/>
          <w:szCs w:val="21"/>
          <w:highlight w:val="none"/>
          <w:lang w:val="zh-CN"/>
        </w:rPr>
        <w:t>万元</w:t>
      </w:r>
    </w:p>
    <w:p w14:paraId="0629697A">
      <w:pPr>
        <w:spacing w:line="360" w:lineRule="auto"/>
        <w:ind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最高限价（如有）：275.6886万元，报价高于最高限价的响应文件为无效投标文件。</w:t>
      </w:r>
    </w:p>
    <w:p w14:paraId="764AAAD9">
      <w:pPr>
        <w:spacing w:line="360" w:lineRule="auto"/>
        <w:ind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采购需求</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zh-CN" w:eastAsia="zh-CN"/>
          <w14:textFill>
            <w14:solidFill>
              <w14:schemeClr w14:val="tx1"/>
            </w14:solidFill>
          </w14:textFill>
        </w:rPr>
        <w:t>原铜井四家化工厂退役场地被纳入长江1公里化工腾退地块土壤污染防治专项治理项目。现需委托第三方详细评估四家化工厂人体健康风险和污染物迁移扩散入江风险等相关工作。（</w:t>
      </w:r>
      <w:r>
        <w:rPr>
          <w:rFonts w:hint="eastAsia" w:ascii="宋体" w:hAnsi="宋体" w:eastAsia="宋体" w:cs="宋体"/>
          <w:color w:val="000000" w:themeColor="text1"/>
          <w:sz w:val="21"/>
          <w:szCs w:val="21"/>
          <w:highlight w:val="none"/>
          <w:lang w:val="en-US" w:eastAsia="zh-CN"/>
          <w14:textFill>
            <w14:solidFill>
              <w14:schemeClr w14:val="tx1"/>
            </w14:solidFill>
          </w14:textFill>
        </w:rPr>
        <w:t>详见项目需求</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p>
    <w:p w14:paraId="3409EE23">
      <w:pPr>
        <w:spacing w:line="360" w:lineRule="auto"/>
        <w:ind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合同履行期限：</w:t>
      </w:r>
      <w:r>
        <w:rPr>
          <w:rFonts w:hint="eastAsia" w:ascii="宋体" w:hAnsi="宋体" w:eastAsia="宋体" w:cs="宋体"/>
          <w:szCs w:val="21"/>
          <w:highlight w:val="none"/>
          <w:lang w:val="en-US" w:eastAsia="zh-CN"/>
        </w:rPr>
        <w:t>90天</w:t>
      </w:r>
    </w:p>
    <w:p w14:paraId="405DD79A">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本项目（是/否）接受联合体：否。</w:t>
      </w:r>
    </w:p>
    <w:p w14:paraId="48276116">
      <w:pPr>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二、申请人的资格要求：</w:t>
      </w:r>
    </w:p>
    <w:p w14:paraId="2874CF92">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（一）满足《中华人民共和国政府采购法》第二十二条规定：</w:t>
      </w:r>
    </w:p>
    <w:p w14:paraId="1A66E750">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1.具有独立承担民事责任的能力（请提供法人或者其他组织的营业执照等证明文件，自然人的身份证明）。</w:t>
      </w:r>
    </w:p>
    <w:p w14:paraId="72D3A709">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p>
    <w:p w14:paraId="255E9E93">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（二）落实政府采购政策需满足的资格条件：</w:t>
      </w:r>
    </w:p>
    <w:p w14:paraId="773D7683">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b/>
          <w:bCs/>
          <w:color w:val="000000"/>
          <w:sz w:val="24"/>
          <w:szCs w:val="24"/>
          <w:highlight w:val="none"/>
          <w:lang w:val="zh-CN"/>
        </w:rPr>
        <w:t>本项目专门面向中小微企业采购，供应商应为中小微企业或监狱企业或残疾人福利性单位</w:t>
      </w:r>
      <w:r>
        <w:rPr>
          <w:rFonts w:hint="eastAsia" w:ascii="宋体" w:hAnsi="宋体" w:eastAsia="宋体" w:cs="宋体"/>
          <w:b/>
          <w:bCs/>
          <w:szCs w:val="21"/>
          <w:highlight w:val="none"/>
          <w:lang w:eastAsia="zh-CN"/>
        </w:rPr>
        <w:t>。</w:t>
      </w:r>
    </w:p>
    <w:p w14:paraId="5F33FA94">
      <w:pPr>
        <w:spacing w:line="360" w:lineRule="auto"/>
        <w:ind w:firstLine="420"/>
        <w:rPr>
          <w:rFonts w:hint="eastAsia" w:ascii="宋体" w:hAnsi="宋体"/>
          <w:color w:val="auto"/>
          <w:szCs w:val="21"/>
          <w:highlight w:val="none"/>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本项目的特定资格要求：供应商在全国土壤环境信息平台建设用地土壤污染风险管控和修复从业单位和个人执业情况信用记录系统注册登记，系统登记信息状态正常、有效，无行政处罚（提供网站查询截图加盖公章）。</w:t>
      </w:r>
    </w:p>
    <w:p w14:paraId="2B834E5C">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三、获取采购文件</w:t>
      </w:r>
    </w:p>
    <w:p w14:paraId="3C84549F">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时间：自磋商文件公告发布之日起5个工作日；</w:t>
      </w:r>
    </w:p>
    <w:p w14:paraId="35638E7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地点：“苏采云”政府采购交易系统</w:t>
      </w:r>
    </w:p>
    <w:p w14:paraId="481E86D0">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方式：在苏采云电子交易平台首页点击供应商→使用CA锁登录系统(新用户需进行“平台用户注册”)→“项目参与”进行登记，在“可参与项目”中选择“我要参与”，参与成功后到“已参与项目”界面中找到该项目下载电子标书并进行操作。</w:t>
      </w:r>
    </w:p>
    <w:p w14:paraId="566FA58C">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售价：0.00元。</w:t>
      </w:r>
    </w:p>
    <w:p w14:paraId="71BDD2AE">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四、响应文件提交</w:t>
      </w:r>
    </w:p>
    <w:p w14:paraId="4171E75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截止时间：</w:t>
      </w: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3  9</w:t>
      </w:r>
      <w:r>
        <w:rPr>
          <w:rFonts w:hint="eastAsia" w:ascii="宋体" w:hAnsi="宋体" w:eastAsia="宋体" w:cs="宋体"/>
          <w:color w:val="FF0000"/>
          <w:sz w:val="21"/>
          <w:szCs w:val="21"/>
          <w:highlight w:val="none"/>
          <w:lang w:eastAsia="zh-CN"/>
        </w:rPr>
        <w:t>:30（北京时间）</w:t>
      </w:r>
    </w:p>
    <w:p w14:paraId="0D354F4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政府采购交易系统</w:t>
      </w:r>
    </w:p>
    <w:p w14:paraId="2CD9FE63">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五、开启</w:t>
      </w:r>
    </w:p>
    <w:p w14:paraId="5279A3FF">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时间：</w:t>
      </w: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3  9</w:t>
      </w:r>
      <w:r>
        <w:rPr>
          <w:rFonts w:hint="eastAsia" w:ascii="宋体" w:hAnsi="宋体" w:eastAsia="宋体" w:cs="宋体"/>
          <w:color w:val="FF0000"/>
          <w:sz w:val="21"/>
          <w:szCs w:val="21"/>
          <w:highlight w:val="none"/>
          <w:lang w:eastAsia="zh-CN"/>
        </w:rPr>
        <w:t>:30（北京时间）</w:t>
      </w:r>
    </w:p>
    <w:p w14:paraId="4979874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政府采购交易系统</w:t>
      </w:r>
    </w:p>
    <w:p w14:paraId="34EED688">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六、公告期限</w:t>
      </w:r>
    </w:p>
    <w:p w14:paraId="384F7DD1">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自本公告发布之日起</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个工作日。</w:t>
      </w:r>
    </w:p>
    <w:p w14:paraId="4EA0A377">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七、其他补充事宜</w:t>
      </w:r>
    </w:p>
    <w:p w14:paraId="29740989">
      <w:pPr>
        <w:widowControl/>
        <w:spacing w:line="360" w:lineRule="auto"/>
        <w:ind w:firstLine="440"/>
        <w:jc w:val="left"/>
        <w:rPr>
          <w:rFonts w:hint="eastAsia" w:ascii="宋体" w:hAnsi="Times New Roman" w:eastAsia="宋体" w:cs="宋体"/>
          <w:bCs/>
          <w:color w:val="auto"/>
          <w:sz w:val="22"/>
          <w:highlight w:val="none"/>
          <w:lang w:eastAsia="zh-CN"/>
        </w:rPr>
      </w:pPr>
      <w:bookmarkStart w:id="7" w:name="OLE_LINK102"/>
      <w:bookmarkStart w:id="8" w:name="OLE_LINK106"/>
      <w:r>
        <w:rPr>
          <w:rFonts w:hint="eastAsia" w:ascii="宋体" w:hAnsi="Times New Roman" w:eastAsia="宋体" w:cs="宋体"/>
          <w:bCs/>
          <w:color w:val="auto"/>
          <w:sz w:val="22"/>
          <w:highlight w:val="none"/>
          <w:lang w:eastAsia="zh-CN"/>
        </w:rPr>
        <w:t>1</w:t>
      </w:r>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拒绝下述供应商参加本次采购活动：</w:t>
      </w:r>
    </w:p>
    <w:p w14:paraId="794E8CAF">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（1）供应商单位负责人为同一人或者存在直接控股、管理关系的不同供应商，不得参加同一合同项下的采购活动。</w:t>
      </w:r>
    </w:p>
    <w:p w14:paraId="169FE982">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（2）凡为采购项目提供整体设计、规范编制或者项目管理、监理、检测等服务的供应商，不得再参加本项目的采购活动。</w:t>
      </w:r>
    </w:p>
    <w:p w14:paraId="1E409965">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（3）供应商被“信用中国”网站、“中国政府采购网"列入失信被执行人、重大税收违法案件当事人名单、政府采购严重违法失信行为记录名单。</w:t>
      </w:r>
    </w:p>
    <w:p w14:paraId="1F3BDCC7">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2</w:t>
      </w:r>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本项目在“江苏政府采购网</w:t>
      </w:r>
      <w:bookmarkStart w:id="9" w:name="OLE_LINK11"/>
      <w:r>
        <w:rPr>
          <w:rFonts w:hint="eastAsia" w:ascii="宋体" w:hAnsi="Times New Roman" w:eastAsia="宋体" w:cs="宋体"/>
          <w:bCs/>
          <w:color w:val="auto"/>
          <w:sz w:val="22"/>
          <w:highlight w:val="none"/>
          <w:lang w:eastAsia="zh-CN"/>
        </w:rPr>
        <w:t>、南京公共采购信息网</w:t>
      </w:r>
      <w:bookmarkEnd w:id="9"/>
      <w:r>
        <w:rPr>
          <w:rFonts w:hint="eastAsia" w:ascii="宋体" w:hAnsi="Times New Roman" w:eastAsia="宋体" w:cs="宋体"/>
          <w:bCs/>
          <w:color w:val="auto"/>
          <w:sz w:val="22"/>
          <w:highlight w:val="none"/>
          <w:lang w:eastAsia="zh-CN"/>
        </w:rPr>
        <w:t>”网站发布公告。有关本次采购的事项若存在变动或修改，请及时关注“江苏政府采购网、南京公共采购信息网”更正公告。</w:t>
      </w:r>
    </w:p>
    <w:p w14:paraId="777730CD">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3</w:t>
      </w:r>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勘察现场：</w:t>
      </w:r>
      <w:bookmarkStart w:id="10" w:name="OLE_LINK128"/>
      <w:bookmarkStart w:id="11" w:name="OLE_LINK127"/>
      <w:r>
        <w:rPr>
          <w:rFonts w:hint="eastAsia" w:ascii="宋体" w:hAnsi="Times New Roman" w:eastAsia="宋体" w:cs="宋体"/>
          <w:bCs/>
          <w:color w:val="auto"/>
          <w:sz w:val="22"/>
          <w:highlight w:val="none"/>
          <w:lang w:eastAsia="zh-CN"/>
        </w:rPr>
        <w:t>采购人不组织，供应商自行踏勘。</w:t>
      </w:r>
      <w:bookmarkEnd w:id="10"/>
      <w:bookmarkEnd w:id="11"/>
    </w:p>
    <w:p w14:paraId="708AECA5">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4</w:t>
      </w:r>
      <w:bookmarkStart w:id="12" w:name="OLE_LINK35"/>
      <w:bookmarkStart w:id="13" w:name="OLE_LINK36"/>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本次采购采用“政府采购管理交易系统（苏采云）”，招标、投标、评标和</w:t>
      </w:r>
      <w:r>
        <w:rPr>
          <w:rFonts w:hint="eastAsia" w:ascii="宋体" w:cs="宋体"/>
          <w:bCs/>
          <w:color w:val="auto"/>
          <w:sz w:val="22"/>
          <w:highlight w:val="none"/>
          <w:lang w:val="en-US" w:eastAsia="zh-CN"/>
        </w:rPr>
        <w:t>成交</w:t>
      </w:r>
      <w:r>
        <w:rPr>
          <w:rFonts w:hint="eastAsia" w:ascii="宋体" w:hAnsi="Times New Roman" w:eastAsia="宋体" w:cs="宋体"/>
          <w:bCs/>
          <w:color w:val="auto"/>
          <w:sz w:val="22"/>
          <w:highlight w:val="none"/>
          <w:lang w:eastAsia="zh-CN"/>
        </w:rPr>
        <w:t>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2"/>
      <w:bookmarkEnd w:id="13"/>
    </w:p>
    <w:p w14:paraId="40582A50">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5</w:t>
      </w:r>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政府采购信用承诺</w:t>
      </w:r>
    </w:p>
    <w:p w14:paraId="67F0EA7B">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p>
    <w:p w14:paraId="161F988B">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在政府采购资格审查环节，供应商只需提供书面《南京市政府采购供应商信用记录表暨信用承诺书》，即可替代以下证明材料：</w:t>
      </w:r>
    </w:p>
    <w:p w14:paraId="3A46DF69">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（1）符合国家相关规定的财务状况报告；</w:t>
      </w:r>
    </w:p>
    <w:p w14:paraId="69D11BBF">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（2）依法缴纳税收的证明材料；</w:t>
      </w:r>
    </w:p>
    <w:p w14:paraId="11296E7A">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（3）依法缴纳社会保障资金的证明材料；</w:t>
      </w:r>
    </w:p>
    <w:p w14:paraId="13C3B722">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（4）具备履行政府采购合同所必需的设备和专业技术能力的证明材料；</w:t>
      </w:r>
    </w:p>
    <w:p w14:paraId="134989DF">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（5）参加政府采购活动前三年内在经营活动中没有重大违法记录的证明材料；</w:t>
      </w:r>
    </w:p>
    <w:p w14:paraId="066E2D0F">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（6）未被列入失信被执行人、重大税收违法失信主体、政府采购严重违法失信行为记录名单的证明材料。</w:t>
      </w:r>
    </w:p>
    <w:p w14:paraId="3250D484">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供应商成交后，应按采购文件要求，将上述由信用承诺书替代的证明材料提交采购人或采购代理机构核验。经核验无误后，由采购人或采购代理机构发出成交通知书。</w:t>
      </w:r>
    </w:p>
    <w:p w14:paraId="3E1D0D90">
      <w:pPr>
        <w:widowControl/>
        <w:spacing w:line="360" w:lineRule="auto"/>
        <w:ind w:firstLine="440"/>
        <w:jc w:val="left"/>
        <w:rPr>
          <w:rFonts w:hint="eastAsia" w:ascii="宋体" w:hAnsi="Times New Roman" w:eastAsia="宋体" w:cs="宋体"/>
          <w:bCs/>
          <w:color w:val="auto"/>
          <w:sz w:val="22"/>
          <w:highlight w:val="none"/>
          <w:lang w:eastAsia="zh-CN"/>
        </w:rPr>
      </w:pPr>
      <w:bookmarkStart w:id="14" w:name="OLE_LINK15"/>
      <w:bookmarkStart w:id="15" w:name="OLE_LINK12"/>
      <w:r>
        <w:rPr>
          <w:rFonts w:hint="eastAsia" w:ascii="宋体" w:hAnsi="Times New Roman" w:eastAsia="宋体" w:cs="宋体"/>
          <w:bCs/>
          <w:color w:val="auto"/>
          <w:sz w:val="22"/>
          <w:highlight w:val="none"/>
          <w:lang w:eastAsia="zh-CN"/>
        </w:rPr>
        <w:t>供应商涉及以下情形的，不适用信用承诺</w:t>
      </w:r>
      <w:bookmarkEnd w:id="14"/>
      <w:bookmarkEnd w:id="15"/>
      <w:r>
        <w:rPr>
          <w:rFonts w:hint="eastAsia" w:ascii="宋体" w:hAnsi="Times New Roman" w:eastAsia="宋体" w:cs="宋体"/>
          <w:bCs/>
          <w:color w:val="auto"/>
          <w:sz w:val="22"/>
          <w:highlight w:val="none"/>
          <w:lang w:eastAsia="zh-CN"/>
        </w:rPr>
        <w:t>：</w:t>
      </w:r>
    </w:p>
    <w:p w14:paraId="5BA2EDEE">
      <w:pPr>
        <w:widowControl/>
        <w:spacing w:line="360" w:lineRule="auto"/>
        <w:ind w:firstLine="440"/>
        <w:jc w:val="left"/>
        <w:rPr>
          <w:rFonts w:hint="eastAsia" w:ascii="宋体" w:hAnsi="Times New Roman" w:eastAsia="宋体" w:cs="宋体"/>
          <w:bCs/>
          <w:color w:val="auto"/>
          <w:sz w:val="22"/>
          <w:highlight w:val="none"/>
          <w:lang w:eastAsia="zh-CN"/>
        </w:rPr>
      </w:pPr>
      <w:bookmarkStart w:id="16" w:name="OLE_LINK16"/>
      <w:r>
        <w:rPr>
          <w:rFonts w:hint="eastAsia" w:ascii="宋体" w:hAnsi="Times New Roman" w:eastAsia="宋体" w:cs="宋体"/>
          <w:bCs/>
          <w:color w:val="auto"/>
          <w:sz w:val="22"/>
          <w:highlight w:val="none"/>
          <w:lang w:eastAsia="zh-CN"/>
        </w:rPr>
        <w:t>（1）供应商被列入严重失信主体名单；</w:t>
      </w:r>
    </w:p>
    <w:p w14:paraId="57339F36">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（2）被相关监管部门作出行政处罚且尚在处罚有效期内；</w:t>
      </w:r>
    </w:p>
    <w:p w14:paraId="22515F15">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（3）其他法律、行政法规规定的不适用信用承诺的情形。</w:t>
      </w:r>
      <w:bookmarkEnd w:id="16"/>
    </w:p>
    <w:p w14:paraId="6EE974BD">
      <w:pPr>
        <w:widowControl/>
        <w:shd w:val="clear" w:color="auto" w:fill="FFFFFF"/>
        <w:spacing w:line="360" w:lineRule="auto"/>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供应商对信用承诺内容的真实性、合法性、有效性负责。如作出虚假信用承诺，视同为“提供虚假材料谋取中标、成交”的违法行为。</w:t>
      </w:r>
      <w:bookmarkEnd w:id="7"/>
      <w:bookmarkEnd w:id="8"/>
    </w:p>
    <w:p w14:paraId="249292BB">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八、凡对本次采购提出询问，请按以下方式联系</w:t>
      </w:r>
    </w:p>
    <w:p w14:paraId="692E456E">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1.采购人信息</w:t>
      </w:r>
    </w:p>
    <w:p w14:paraId="68F95A9E">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名    称：南京江宁滨江经济开发区管理委员会</w:t>
      </w:r>
    </w:p>
    <w:p w14:paraId="4BBF8A6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    址：南京市江宁区滨江开发区天成路18号</w:t>
      </w:r>
    </w:p>
    <w:p w14:paraId="0CAAB9EC">
      <w:pPr>
        <w:widowControl/>
        <w:spacing w:line="440" w:lineRule="exact"/>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 系 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崔工</w:t>
      </w:r>
    </w:p>
    <w:p w14:paraId="2B2D6B6E">
      <w:pPr>
        <w:widowControl/>
        <w:spacing w:line="440" w:lineRule="exact"/>
        <w:ind w:firstLine="420" w:firstLineChars="20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联系电话：/</w:t>
      </w:r>
    </w:p>
    <w:p w14:paraId="4B705307">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2.采购代理机构信息</w:t>
      </w:r>
    </w:p>
    <w:p w14:paraId="61CE02E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名    称：南京麻田工程咨询有限公司</w:t>
      </w:r>
    </w:p>
    <w:p w14:paraId="479A134C">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　　址：南京市江宁区淳化街道雁冲路68号院内9号楼1楼</w:t>
      </w:r>
    </w:p>
    <w:p w14:paraId="4B3CC74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 系 人：张工</w:t>
      </w:r>
    </w:p>
    <w:p w14:paraId="537C11AB">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联系电话：025-52730710</w:t>
      </w:r>
    </w:p>
    <w:p w14:paraId="16D78BE0">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3.项目联系方式</w:t>
      </w:r>
    </w:p>
    <w:p w14:paraId="25E7D856">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项目联系人：张工</w:t>
      </w:r>
    </w:p>
    <w:p w14:paraId="4C770C1A">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电      话：025-52730710</w:t>
      </w:r>
    </w:p>
    <w:p w14:paraId="31B45A3F">
      <w:pPr>
        <w:widowControl/>
        <w:numPr>
          <w:ilvl w:val="0"/>
          <w:numId w:val="1"/>
        </w:numPr>
        <w:shd w:val="clear" w:color="auto" w:fill="FFFFFF"/>
        <w:spacing w:line="360" w:lineRule="auto"/>
        <w:jc w:val="center"/>
        <w:outlineLvl w:val="0"/>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bookmarkStart w:id="17" w:name="一、总____则"/>
      <w:bookmarkEnd w:id="17"/>
      <w:bookmarkStart w:id="18" w:name="_bookmark2"/>
      <w:bookmarkEnd w:id="18"/>
      <w:bookmarkStart w:id="19" w:name="_Toc183610246"/>
      <w:r>
        <w:rPr>
          <w:rFonts w:hint="eastAsia" w:ascii="宋体" w:hAnsi="宋体" w:eastAsia="宋体" w:cs="宋体"/>
          <w:b/>
          <w:bCs/>
          <w:color w:val="000000" w:themeColor="text1"/>
          <w:sz w:val="28"/>
          <w:szCs w:val="28"/>
          <w:highlight w:val="none"/>
          <w:lang w:eastAsia="zh-CN"/>
          <w14:textFill>
            <w14:solidFill>
              <w14:schemeClr w14:val="tx1"/>
            </w14:solidFill>
          </w14:textFill>
        </w:rPr>
        <w:t>供应商须知</w:t>
      </w:r>
      <w:bookmarkEnd w:id="19"/>
    </w:p>
    <w:p w14:paraId="61CCDCF9">
      <w:pPr>
        <w:keepNext w:val="0"/>
        <w:keepLines w:val="0"/>
        <w:pageBreakBefore w:val="0"/>
        <w:widowControl w:val="0"/>
        <w:kinsoku/>
        <w:wordWrap/>
        <w:overflowPunct/>
        <w:topLinePunct w:val="0"/>
        <w:autoSpaceDE/>
        <w:autoSpaceDN/>
        <w:bidi w:val="0"/>
        <w:adjustRightInd/>
        <w:snapToGrid/>
        <w:spacing w:before="156" w:beforeLines="50" w:after="156" w:afterLines="50" w:line="360" w:lineRule="auto"/>
        <w:ind w:firstLine="422" w:firstLineChars="200"/>
        <w:jc w:val="lef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南京麻田工程咨询有限公司</w:t>
      </w:r>
      <w:r>
        <w:rPr>
          <w:rFonts w:hint="eastAsia" w:ascii="宋体" w:hAnsi="宋体" w:eastAsia="宋体" w:cs="宋体"/>
          <w:sz w:val="21"/>
          <w:szCs w:val="21"/>
          <w:highlight w:val="none"/>
        </w:rPr>
        <w:t>受</w:t>
      </w:r>
      <w:r>
        <w:rPr>
          <w:rFonts w:hint="eastAsia" w:ascii="宋体" w:hAnsi="宋体" w:eastAsia="宋体" w:cs="宋体"/>
          <w:b/>
          <w:bCs/>
          <w:sz w:val="21"/>
          <w:szCs w:val="21"/>
          <w:highlight w:val="none"/>
          <w:lang w:eastAsia="zh-CN"/>
        </w:rPr>
        <w:t>南京江宁滨江经济开发区管理委员会</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t>采购人）委托，对其</w:t>
      </w:r>
      <w:r>
        <w:rPr>
          <w:rFonts w:hint="eastAsia" w:ascii="宋体" w:hAnsi="宋体" w:eastAsia="宋体" w:cs="宋体"/>
          <w:b/>
          <w:bCs/>
          <w:sz w:val="21"/>
          <w:szCs w:val="21"/>
          <w:highlight w:val="none"/>
          <w:lang w:eastAsia="zh-CN"/>
        </w:rPr>
        <w:t>原铜井化工园退役场地风险评估项目</w:t>
      </w:r>
      <w:r>
        <w:rPr>
          <w:rFonts w:hint="eastAsia" w:ascii="宋体" w:hAnsi="宋体" w:eastAsia="宋体" w:cs="宋体"/>
          <w:sz w:val="21"/>
          <w:szCs w:val="21"/>
          <w:highlight w:val="none"/>
        </w:rPr>
        <w:t>（项目名称）进行竞争性磋商采购，兹邀请符合条件的供应商参与投标，相关信息如下：</w:t>
      </w:r>
    </w:p>
    <w:tbl>
      <w:tblPr>
        <w:tblStyle w:val="51"/>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973"/>
        <w:gridCol w:w="850"/>
        <w:gridCol w:w="1323"/>
        <w:gridCol w:w="5537"/>
      </w:tblGrid>
      <w:tr w14:paraId="1EC4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3A7BDC0E">
            <w:pPr>
              <w:spacing w:line="440" w:lineRule="exac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2065BA89">
            <w:pPr>
              <w:spacing w:line="440" w:lineRule="exac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项  目</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4C1C42DE">
            <w:pPr>
              <w:spacing w:line="440" w:lineRule="exac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内         容</w:t>
            </w:r>
          </w:p>
        </w:tc>
      </w:tr>
      <w:tr w14:paraId="7E5BE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7EF0A2AD">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7CCBE57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3A223F3">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JSZC-320115-NJMT-C2026-0003</w:t>
            </w:r>
          </w:p>
        </w:tc>
      </w:tr>
      <w:tr w14:paraId="6B83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675EEB6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3352F7B0">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6847EDA">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原铜井化工园退役场地风险评估项目</w:t>
            </w:r>
          </w:p>
        </w:tc>
      </w:tr>
      <w:tr w14:paraId="28C30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0A510775">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74B6686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代理机构</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34B8F337">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南京麻田工程咨询有限公司</w:t>
            </w:r>
          </w:p>
        </w:tc>
      </w:tr>
      <w:tr w14:paraId="1918A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49E53DFF">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476A6C4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代理机构地址</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0F286CAE">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南京市江宁区淳化街道雁冲路68号院内9号楼1楼</w:t>
            </w:r>
          </w:p>
        </w:tc>
      </w:tr>
      <w:tr w14:paraId="696A3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04279780">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1716F30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最高限价</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0EDD9343">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人民币：￥</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275.6886</w:t>
            </w:r>
            <w:r>
              <w:rPr>
                <w:rFonts w:hint="eastAsia" w:ascii="宋体" w:hAnsi="宋体" w:eastAsia="宋体" w:cs="宋体"/>
                <w:i w:val="0"/>
                <w:iCs w:val="0"/>
                <w:color w:val="000000"/>
                <w:kern w:val="0"/>
                <w:sz w:val="20"/>
                <w:szCs w:val="20"/>
                <w:highlight w:val="none"/>
                <w:u w:val="none"/>
                <w:lang w:val="en-US" w:eastAsia="zh-CN" w:bidi="ar"/>
              </w:rPr>
              <w:t>万</w:t>
            </w:r>
            <w:r>
              <w:rPr>
                <w:rFonts w:hint="eastAsia" w:ascii="宋体" w:hAnsi="宋体" w:eastAsia="宋体" w:cs="宋体"/>
                <w:sz w:val="21"/>
                <w:szCs w:val="21"/>
                <w:highlight w:val="none"/>
                <w:lang w:eastAsia="zh-CN"/>
              </w:rPr>
              <w:t>元，超过最高限价作废标处理。</w:t>
            </w:r>
          </w:p>
        </w:tc>
      </w:tr>
      <w:tr w14:paraId="4AE6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5B0FC632">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56221752">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合同履行期限</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62A0EA5B">
            <w:pP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90天</w:t>
            </w:r>
          </w:p>
        </w:tc>
      </w:tr>
      <w:tr w14:paraId="7172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12808CEE">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7</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4B2D6538">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磋商有效期</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6FD78C77">
            <w:pPr>
              <w:rPr>
                <w:rFonts w:hint="eastAsia" w:ascii="宋体" w:hAnsi="宋体" w:eastAsia="宋体" w:cs="宋体"/>
                <w:sz w:val="21"/>
                <w:szCs w:val="21"/>
                <w:highlight w:val="none"/>
              </w:rPr>
            </w:pPr>
            <w:r>
              <w:rPr>
                <w:rFonts w:hint="eastAsia" w:ascii="宋体" w:hAnsi="宋体" w:eastAsia="宋体" w:cs="宋体"/>
                <w:sz w:val="21"/>
                <w:szCs w:val="21"/>
                <w:highlight w:val="none"/>
              </w:rPr>
              <w:t>磋商之日起90天</w:t>
            </w:r>
          </w:p>
        </w:tc>
      </w:tr>
      <w:tr w14:paraId="3696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47" w:type="dxa"/>
            <w:vMerge w:val="restart"/>
            <w:tcBorders>
              <w:top w:val="single" w:color="auto" w:sz="4" w:space="0"/>
              <w:left w:val="single" w:color="auto" w:sz="4" w:space="0"/>
              <w:right w:val="single" w:color="auto" w:sz="4" w:space="0"/>
            </w:tcBorders>
            <w:noWrap w:val="0"/>
            <w:vAlign w:val="center"/>
          </w:tcPr>
          <w:p w14:paraId="08FD69F0">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8</w:t>
            </w:r>
          </w:p>
        </w:tc>
        <w:tc>
          <w:tcPr>
            <w:tcW w:w="973" w:type="dxa"/>
            <w:vMerge w:val="restart"/>
            <w:tcBorders>
              <w:top w:val="single" w:color="auto" w:sz="4" w:space="0"/>
              <w:left w:val="single" w:color="auto" w:sz="4" w:space="0"/>
              <w:right w:val="single" w:color="auto" w:sz="4" w:space="0"/>
            </w:tcBorders>
            <w:noWrap w:val="0"/>
            <w:vAlign w:val="center"/>
          </w:tcPr>
          <w:p w14:paraId="528038A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响应性文件提交信息</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9C550C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时间</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0B43009">
            <w:pPr>
              <w:rPr>
                <w:rFonts w:hint="eastAsia" w:ascii="宋体" w:hAnsi="宋体" w:eastAsia="宋体" w:cs="宋体"/>
                <w:sz w:val="21"/>
                <w:szCs w:val="21"/>
                <w:highlight w:val="none"/>
              </w:rPr>
            </w:pP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6年6月3日</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lang w:eastAsia="zh-CN"/>
              </w:rPr>
              <w:t>0--</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0</w:t>
            </w:r>
          </w:p>
        </w:tc>
      </w:tr>
      <w:tr w14:paraId="0A93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747" w:type="dxa"/>
            <w:vMerge w:val="continue"/>
            <w:tcBorders>
              <w:left w:val="single" w:color="auto" w:sz="4" w:space="0"/>
              <w:right w:val="single" w:color="auto" w:sz="4" w:space="0"/>
            </w:tcBorders>
            <w:noWrap w:val="0"/>
            <w:vAlign w:val="center"/>
          </w:tcPr>
          <w:p w14:paraId="5D4710E5">
            <w:pPr>
              <w:rPr>
                <w:rFonts w:hint="eastAsia" w:ascii="宋体" w:hAnsi="宋体" w:eastAsia="宋体" w:cs="宋体"/>
                <w:sz w:val="21"/>
                <w:szCs w:val="21"/>
                <w:highlight w:val="none"/>
              </w:rPr>
            </w:pPr>
          </w:p>
        </w:tc>
        <w:tc>
          <w:tcPr>
            <w:tcW w:w="973" w:type="dxa"/>
            <w:vMerge w:val="continue"/>
            <w:tcBorders>
              <w:left w:val="single" w:color="auto" w:sz="4" w:space="0"/>
              <w:right w:val="single" w:color="auto" w:sz="4" w:space="0"/>
            </w:tcBorders>
            <w:noWrap w:val="0"/>
            <w:vAlign w:val="center"/>
          </w:tcPr>
          <w:p w14:paraId="693CEFF0">
            <w:pPr>
              <w:rPr>
                <w:rFonts w:hint="eastAsia" w:ascii="宋体" w:hAnsi="宋体" w:eastAsia="宋体" w:cs="宋体"/>
                <w:sz w:val="21"/>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1ACD6EE">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地点</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2919DBDD">
            <w:pPr>
              <w:rPr>
                <w:rFonts w:hint="eastAsia" w:ascii="宋体" w:hAnsi="宋体" w:eastAsia="宋体" w:cs="宋体"/>
                <w:sz w:val="21"/>
                <w:szCs w:val="21"/>
                <w:highlight w:val="none"/>
                <w:lang w:eastAsia="zh-CN"/>
              </w:rPr>
            </w:pPr>
            <w:r>
              <w:rPr>
                <w:rFonts w:hint="eastAsia"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lang w:val="en-US" w:eastAsia="zh-CN"/>
              </w:rPr>
              <w:t>苏采云</w:t>
            </w:r>
            <w:r>
              <w:rPr>
                <w:rFonts w:hint="eastAsia"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lang w:val="en-US" w:eastAsia="zh-CN"/>
              </w:rPr>
              <w:t>政府采购交易系统</w:t>
            </w:r>
          </w:p>
        </w:tc>
      </w:tr>
      <w:tr w14:paraId="2621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47" w:type="dxa"/>
            <w:vMerge w:val="continue"/>
            <w:tcBorders>
              <w:left w:val="single" w:color="auto" w:sz="4" w:space="0"/>
              <w:bottom w:val="single" w:color="auto" w:sz="4" w:space="0"/>
              <w:right w:val="single" w:color="auto" w:sz="4" w:space="0"/>
            </w:tcBorders>
            <w:noWrap w:val="0"/>
            <w:vAlign w:val="center"/>
          </w:tcPr>
          <w:p w14:paraId="59AD0E64">
            <w:pPr>
              <w:jc w:val="center"/>
              <w:rPr>
                <w:rFonts w:hint="eastAsia" w:ascii="宋体" w:hAnsi="宋体" w:eastAsia="宋体" w:cs="宋体"/>
                <w:sz w:val="21"/>
                <w:szCs w:val="21"/>
                <w:highlight w:val="none"/>
                <w:lang w:eastAsia="zh-CN"/>
              </w:rPr>
            </w:pPr>
          </w:p>
        </w:tc>
        <w:tc>
          <w:tcPr>
            <w:tcW w:w="973" w:type="dxa"/>
            <w:vMerge w:val="continue"/>
            <w:tcBorders>
              <w:left w:val="single" w:color="auto" w:sz="4" w:space="0"/>
              <w:bottom w:val="single" w:color="auto" w:sz="4" w:space="0"/>
              <w:right w:val="single" w:color="auto" w:sz="4" w:space="0"/>
            </w:tcBorders>
            <w:noWrap w:val="0"/>
            <w:vAlign w:val="center"/>
          </w:tcPr>
          <w:p w14:paraId="2374AF01">
            <w:pPr>
              <w:rPr>
                <w:rFonts w:hint="eastAsia" w:ascii="宋体" w:hAnsi="宋体" w:eastAsia="宋体" w:cs="宋体"/>
                <w:sz w:val="21"/>
                <w:szCs w:val="21"/>
                <w:highlight w:val="none"/>
                <w:lang w:eastAsia="zh-C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7AF5FFA">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要求</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436A030D">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无</w:t>
            </w:r>
          </w:p>
        </w:tc>
      </w:tr>
      <w:tr w14:paraId="7DC34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463AC1F6">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0666974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响应性文件份数</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49262702">
            <w:pPr>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kern w:val="0"/>
                <w:position w:val="0"/>
                <w:sz w:val="21"/>
                <w:szCs w:val="21"/>
                <w:highlight w:val="none"/>
                <w:shd w:val="clear" w:color="auto" w:fill="FFFFFF"/>
                <w:lang w:val="en-US" w:eastAsia="zh-CN" w:bidi="ar"/>
              </w:rPr>
              <w:t>成交供应商在领取成交通知书时，无偿递交纸质盖章版响应文件一式叁份（壹份正本、贰份副本）用于归档。提供的响应文件须与苏采云提交的电子响应文件保持一致。</w:t>
            </w:r>
          </w:p>
        </w:tc>
      </w:tr>
      <w:tr w14:paraId="4E1D1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47" w:type="dxa"/>
            <w:vMerge w:val="restart"/>
            <w:tcBorders>
              <w:top w:val="single" w:color="auto" w:sz="4" w:space="0"/>
              <w:left w:val="single" w:color="auto" w:sz="4" w:space="0"/>
              <w:bottom w:val="single" w:color="auto" w:sz="4" w:space="0"/>
              <w:right w:val="single" w:color="auto" w:sz="4" w:space="0"/>
            </w:tcBorders>
            <w:noWrap w:val="0"/>
            <w:vAlign w:val="center"/>
          </w:tcPr>
          <w:p w14:paraId="5F38684A">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973" w:type="dxa"/>
            <w:vMerge w:val="restart"/>
            <w:tcBorders>
              <w:top w:val="single" w:color="auto" w:sz="4" w:space="0"/>
              <w:left w:val="single" w:color="auto" w:sz="4" w:space="0"/>
              <w:bottom w:val="single" w:color="auto" w:sz="4" w:space="0"/>
              <w:right w:val="single" w:color="auto" w:sz="4" w:space="0"/>
            </w:tcBorders>
            <w:noWrap w:val="0"/>
            <w:vAlign w:val="center"/>
          </w:tcPr>
          <w:p w14:paraId="43A63093">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磋商信息</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53CE9E5">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时间</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554F37DD">
            <w:pPr>
              <w:rPr>
                <w:rFonts w:hint="eastAsia" w:ascii="宋体" w:hAnsi="宋体" w:eastAsia="宋体" w:cs="宋体"/>
                <w:sz w:val="21"/>
                <w:szCs w:val="21"/>
                <w:highlight w:val="none"/>
              </w:rPr>
            </w:pP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6年6月3日</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0</w:t>
            </w:r>
          </w:p>
        </w:tc>
      </w:tr>
      <w:tr w14:paraId="2E504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747" w:type="dxa"/>
            <w:vMerge w:val="continue"/>
            <w:tcBorders>
              <w:top w:val="single" w:color="auto" w:sz="4" w:space="0"/>
              <w:left w:val="single" w:color="auto" w:sz="4" w:space="0"/>
              <w:bottom w:val="single" w:color="auto" w:sz="4" w:space="0"/>
              <w:right w:val="single" w:color="auto" w:sz="4" w:space="0"/>
            </w:tcBorders>
            <w:noWrap w:val="0"/>
            <w:vAlign w:val="center"/>
          </w:tcPr>
          <w:p w14:paraId="37E9340B">
            <w:pPr>
              <w:jc w:val="center"/>
              <w:rPr>
                <w:rFonts w:hint="eastAsia" w:ascii="宋体" w:hAnsi="宋体" w:eastAsia="宋体" w:cs="宋体"/>
                <w:sz w:val="21"/>
                <w:szCs w:val="21"/>
                <w:highlight w:val="none"/>
              </w:rPr>
            </w:pPr>
          </w:p>
        </w:tc>
        <w:tc>
          <w:tcPr>
            <w:tcW w:w="973" w:type="dxa"/>
            <w:vMerge w:val="continue"/>
            <w:tcBorders>
              <w:top w:val="single" w:color="auto" w:sz="4" w:space="0"/>
              <w:left w:val="single" w:color="auto" w:sz="4" w:space="0"/>
              <w:bottom w:val="single" w:color="auto" w:sz="4" w:space="0"/>
              <w:right w:val="single" w:color="auto" w:sz="4" w:space="0"/>
            </w:tcBorders>
            <w:noWrap w:val="0"/>
            <w:vAlign w:val="center"/>
          </w:tcPr>
          <w:p w14:paraId="59EA3252">
            <w:pPr>
              <w:jc w:val="center"/>
              <w:rPr>
                <w:rFonts w:hint="eastAsia" w:ascii="宋体" w:hAnsi="宋体" w:eastAsia="宋体" w:cs="宋体"/>
                <w:sz w:val="21"/>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4FAD049">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地点</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26F0514">
            <w:pPr>
              <w:rPr>
                <w:rFonts w:hint="eastAsia" w:ascii="宋体" w:hAnsi="宋体" w:eastAsia="宋体" w:cs="宋体"/>
                <w:sz w:val="21"/>
                <w:szCs w:val="21"/>
                <w:highlight w:val="none"/>
                <w:lang w:eastAsia="zh-CN"/>
              </w:rPr>
            </w:pPr>
            <w:r>
              <w:rPr>
                <w:rFonts w:hint="eastAsia"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lang w:val="en-US" w:eastAsia="zh-CN"/>
              </w:rPr>
              <w:t>苏采云</w:t>
            </w:r>
            <w:r>
              <w:rPr>
                <w:rFonts w:hint="eastAsia"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lang w:val="en-US" w:eastAsia="zh-CN"/>
              </w:rPr>
              <w:t>政府采购交易系统</w:t>
            </w:r>
          </w:p>
        </w:tc>
      </w:tr>
      <w:tr w14:paraId="6C540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47" w:type="dxa"/>
            <w:vMerge w:val="restart"/>
            <w:tcBorders>
              <w:top w:val="single" w:color="auto" w:sz="4" w:space="0"/>
              <w:left w:val="single" w:color="auto" w:sz="4" w:space="0"/>
              <w:right w:val="single" w:color="auto" w:sz="4" w:space="0"/>
            </w:tcBorders>
            <w:noWrap w:val="0"/>
            <w:vAlign w:val="center"/>
          </w:tcPr>
          <w:p w14:paraId="4C903621">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1</w:t>
            </w:r>
          </w:p>
        </w:tc>
        <w:tc>
          <w:tcPr>
            <w:tcW w:w="973" w:type="dxa"/>
            <w:vMerge w:val="restart"/>
            <w:tcBorders>
              <w:top w:val="single" w:color="auto" w:sz="4" w:space="0"/>
              <w:left w:val="single" w:color="auto" w:sz="4" w:space="0"/>
              <w:right w:val="single" w:color="auto" w:sz="4" w:space="0"/>
            </w:tcBorders>
            <w:noWrap w:val="0"/>
            <w:vAlign w:val="center"/>
          </w:tcPr>
          <w:p w14:paraId="609AB2F6">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联系事项</w:t>
            </w:r>
          </w:p>
        </w:tc>
        <w:tc>
          <w:tcPr>
            <w:tcW w:w="850" w:type="dxa"/>
            <w:vMerge w:val="restart"/>
            <w:tcBorders>
              <w:top w:val="single" w:color="auto" w:sz="4" w:space="0"/>
              <w:left w:val="single" w:color="auto" w:sz="4" w:space="0"/>
              <w:right w:val="single" w:color="auto" w:sz="4" w:space="0"/>
            </w:tcBorders>
            <w:noWrap w:val="0"/>
            <w:vAlign w:val="center"/>
          </w:tcPr>
          <w:p w14:paraId="515D53E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采购单位</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50A5315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1EBD3CF5">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崔工</w:t>
            </w:r>
          </w:p>
        </w:tc>
      </w:tr>
      <w:tr w14:paraId="5B18F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47" w:type="dxa"/>
            <w:vMerge w:val="continue"/>
            <w:tcBorders>
              <w:left w:val="single" w:color="auto" w:sz="4" w:space="0"/>
              <w:right w:val="single" w:color="auto" w:sz="4" w:space="0"/>
            </w:tcBorders>
            <w:noWrap w:val="0"/>
            <w:vAlign w:val="center"/>
          </w:tcPr>
          <w:p w14:paraId="687F6B3B">
            <w:pPr>
              <w:jc w:val="center"/>
              <w:rPr>
                <w:rFonts w:hint="eastAsia" w:ascii="宋体" w:hAnsi="宋体" w:eastAsia="宋体" w:cs="宋体"/>
                <w:sz w:val="21"/>
                <w:szCs w:val="21"/>
                <w:highlight w:val="none"/>
              </w:rPr>
            </w:pPr>
          </w:p>
        </w:tc>
        <w:tc>
          <w:tcPr>
            <w:tcW w:w="973" w:type="dxa"/>
            <w:vMerge w:val="continue"/>
            <w:tcBorders>
              <w:left w:val="single" w:color="auto" w:sz="4" w:space="0"/>
              <w:right w:val="single" w:color="auto" w:sz="4" w:space="0"/>
            </w:tcBorders>
            <w:noWrap w:val="0"/>
            <w:vAlign w:val="center"/>
          </w:tcPr>
          <w:p w14:paraId="0023CE7A">
            <w:pPr>
              <w:rPr>
                <w:rFonts w:hint="eastAsia" w:ascii="宋体" w:hAnsi="宋体" w:eastAsia="宋体" w:cs="宋体"/>
                <w:sz w:val="21"/>
                <w:szCs w:val="21"/>
                <w:highlight w:val="none"/>
              </w:rPr>
            </w:pPr>
          </w:p>
        </w:tc>
        <w:tc>
          <w:tcPr>
            <w:tcW w:w="850" w:type="dxa"/>
            <w:vMerge w:val="continue"/>
            <w:tcBorders>
              <w:left w:val="single" w:color="auto" w:sz="4" w:space="0"/>
              <w:bottom w:val="single" w:color="auto" w:sz="4" w:space="0"/>
              <w:right w:val="single" w:color="auto" w:sz="4" w:space="0"/>
            </w:tcBorders>
            <w:noWrap w:val="0"/>
            <w:vAlign w:val="center"/>
          </w:tcPr>
          <w:p w14:paraId="2B8A40DB">
            <w:pPr>
              <w:rPr>
                <w:rFonts w:hint="eastAsia" w:ascii="宋体" w:hAnsi="宋体" w:eastAsia="宋体" w:cs="宋体"/>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noWrap w:val="0"/>
            <w:vAlign w:val="center"/>
          </w:tcPr>
          <w:p w14:paraId="27E3613F">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09B4D370">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w:t>
            </w:r>
          </w:p>
        </w:tc>
      </w:tr>
      <w:tr w14:paraId="116D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47" w:type="dxa"/>
            <w:vMerge w:val="continue"/>
            <w:tcBorders>
              <w:left w:val="single" w:color="auto" w:sz="4" w:space="0"/>
              <w:right w:val="single" w:color="auto" w:sz="4" w:space="0"/>
            </w:tcBorders>
            <w:noWrap w:val="0"/>
            <w:vAlign w:val="center"/>
          </w:tcPr>
          <w:p w14:paraId="56266F20">
            <w:pPr>
              <w:jc w:val="center"/>
              <w:rPr>
                <w:rFonts w:hint="eastAsia" w:ascii="宋体" w:hAnsi="宋体" w:eastAsia="宋体" w:cs="宋体"/>
                <w:sz w:val="21"/>
                <w:szCs w:val="21"/>
                <w:highlight w:val="none"/>
              </w:rPr>
            </w:pPr>
          </w:p>
        </w:tc>
        <w:tc>
          <w:tcPr>
            <w:tcW w:w="973" w:type="dxa"/>
            <w:vMerge w:val="continue"/>
            <w:tcBorders>
              <w:left w:val="single" w:color="auto" w:sz="4" w:space="0"/>
              <w:right w:val="single" w:color="auto" w:sz="4" w:space="0"/>
            </w:tcBorders>
            <w:noWrap w:val="0"/>
            <w:vAlign w:val="center"/>
          </w:tcPr>
          <w:p w14:paraId="7ED42FD1">
            <w:pPr>
              <w:rPr>
                <w:rFonts w:hint="eastAsia" w:ascii="宋体" w:hAnsi="宋体" w:eastAsia="宋体" w:cs="宋体"/>
                <w:sz w:val="21"/>
                <w:szCs w:val="21"/>
                <w:highlight w:val="none"/>
              </w:rPr>
            </w:pPr>
          </w:p>
        </w:tc>
        <w:tc>
          <w:tcPr>
            <w:tcW w:w="850" w:type="dxa"/>
            <w:vMerge w:val="restart"/>
            <w:tcBorders>
              <w:top w:val="single" w:color="auto" w:sz="4" w:space="0"/>
              <w:left w:val="single" w:color="auto" w:sz="4" w:space="0"/>
              <w:right w:val="single" w:color="auto" w:sz="4" w:space="0"/>
            </w:tcBorders>
            <w:noWrap w:val="0"/>
            <w:vAlign w:val="center"/>
          </w:tcPr>
          <w:p w14:paraId="0069437A">
            <w:pPr>
              <w:pStyle w:val="3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采购代理机构</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06C9D6D0">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0ED8E799">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张工</w:t>
            </w:r>
          </w:p>
        </w:tc>
      </w:tr>
      <w:tr w14:paraId="350D7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47" w:type="dxa"/>
            <w:vMerge w:val="continue"/>
            <w:tcBorders>
              <w:left w:val="single" w:color="auto" w:sz="4" w:space="0"/>
              <w:right w:val="single" w:color="auto" w:sz="4" w:space="0"/>
            </w:tcBorders>
            <w:noWrap w:val="0"/>
            <w:vAlign w:val="center"/>
          </w:tcPr>
          <w:p w14:paraId="699170CA">
            <w:pPr>
              <w:jc w:val="center"/>
              <w:rPr>
                <w:rFonts w:hint="eastAsia" w:ascii="宋体" w:hAnsi="宋体" w:eastAsia="宋体" w:cs="宋体"/>
                <w:sz w:val="21"/>
                <w:szCs w:val="21"/>
                <w:highlight w:val="none"/>
              </w:rPr>
            </w:pPr>
          </w:p>
        </w:tc>
        <w:tc>
          <w:tcPr>
            <w:tcW w:w="973" w:type="dxa"/>
            <w:vMerge w:val="continue"/>
            <w:tcBorders>
              <w:left w:val="single" w:color="auto" w:sz="4" w:space="0"/>
              <w:right w:val="single" w:color="auto" w:sz="4" w:space="0"/>
            </w:tcBorders>
            <w:noWrap w:val="0"/>
            <w:vAlign w:val="center"/>
          </w:tcPr>
          <w:p w14:paraId="263756A7">
            <w:pPr>
              <w:rPr>
                <w:rFonts w:hint="eastAsia" w:ascii="宋体" w:hAnsi="宋体" w:eastAsia="宋体" w:cs="宋体"/>
                <w:sz w:val="21"/>
                <w:szCs w:val="21"/>
                <w:highlight w:val="none"/>
              </w:rPr>
            </w:pPr>
          </w:p>
        </w:tc>
        <w:tc>
          <w:tcPr>
            <w:tcW w:w="850" w:type="dxa"/>
            <w:vMerge w:val="continue"/>
            <w:tcBorders>
              <w:left w:val="single" w:color="auto" w:sz="4" w:space="0"/>
              <w:right w:val="single" w:color="auto" w:sz="4" w:space="0"/>
            </w:tcBorders>
            <w:noWrap w:val="0"/>
            <w:vAlign w:val="center"/>
          </w:tcPr>
          <w:p w14:paraId="39E13551">
            <w:pPr>
              <w:rPr>
                <w:rFonts w:hint="eastAsia" w:ascii="宋体" w:hAnsi="宋体" w:eastAsia="宋体" w:cs="宋体"/>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noWrap w:val="0"/>
            <w:vAlign w:val="center"/>
          </w:tcPr>
          <w:p w14:paraId="2570C492">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7BC3BEE6">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025-52730710</w:t>
            </w:r>
          </w:p>
        </w:tc>
      </w:tr>
      <w:tr w14:paraId="180D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7" w:type="dxa"/>
            <w:tcBorders>
              <w:left w:val="single" w:color="auto" w:sz="4" w:space="0"/>
              <w:right w:val="single" w:color="auto" w:sz="4" w:space="0"/>
            </w:tcBorders>
            <w:noWrap w:val="0"/>
            <w:vAlign w:val="center"/>
          </w:tcPr>
          <w:p w14:paraId="1642B919">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823" w:type="dxa"/>
            <w:gridSpan w:val="2"/>
            <w:tcBorders>
              <w:left w:val="single" w:color="auto" w:sz="4" w:space="0"/>
              <w:right w:val="single" w:color="auto" w:sz="4" w:space="0"/>
            </w:tcBorders>
            <w:noWrap w:val="0"/>
            <w:vAlign w:val="center"/>
          </w:tcPr>
          <w:p w14:paraId="1AE96F49">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磋商保证金</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2EA26A2">
            <w:pPr>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本项目不收取</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zh-CN" w:eastAsia="zh-CN"/>
              </w:rPr>
              <w:t>保证金。</w:t>
            </w:r>
          </w:p>
        </w:tc>
      </w:tr>
    </w:tbl>
    <w:p w14:paraId="1AD6194B">
      <w:pPr>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r>
    </w:p>
    <w:p w14:paraId="6450C26F">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20" w:name="_Toc20823275"/>
      <w:bookmarkStart w:id="21" w:name="_Toc120614214"/>
      <w:bookmarkStart w:id="22" w:name="_Toc16938519"/>
      <w:bookmarkStart w:id="23" w:name="_Toc513029203"/>
      <w:r>
        <w:rPr>
          <w:rFonts w:hint="eastAsia"/>
          <w:b/>
          <w:bCs/>
          <w:color w:val="000000" w:themeColor="text1"/>
          <w:sz w:val="21"/>
          <w:szCs w:val="21"/>
          <w:highlight w:val="none"/>
          <w14:textFill>
            <w14:solidFill>
              <w14:schemeClr w14:val="tx1"/>
            </w14:solidFill>
          </w14:textFill>
        </w:rPr>
        <w:t>一、总则</w:t>
      </w:r>
      <w:bookmarkEnd w:id="20"/>
      <w:bookmarkEnd w:id="21"/>
      <w:bookmarkEnd w:id="22"/>
      <w:bookmarkEnd w:id="23"/>
    </w:p>
    <w:p w14:paraId="354CC439">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bookmarkStart w:id="24" w:name="_Toc462564067"/>
      <w:bookmarkStart w:id="25" w:name="_Toc513029207"/>
      <w:bookmarkStart w:id="26" w:name="_Toc20823279"/>
      <w:bookmarkStart w:id="27" w:name="_Toc16938523"/>
      <w:bookmarkStart w:id="28"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1、适用法律</w:t>
      </w:r>
    </w:p>
    <w:p w14:paraId="5468399B">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等</w:t>
      </w:r>
      <w:r>
        <w:rPr>
          <w:rFonts w:hint="eastAsia" w:ascii="宋体" w:hAnsi="宋体" w:eastAsia="宋体" w:cs="宋体"/>
          <w:color w:val="000000" w:themeColor="text1"/>
          <w:sz w:val="21"/>
          <w:szCs w:val="21"/>
          <w:highlight w:val="none"/>
          <w:lang w:val="zh-CN" w:eastAsia="zh-CN"/>
          <w14:textFill>
            <w14:solidFill>
              <w14:schemeClr w14:val="tx1"/>
            </w14:solidFill>
          </w14:textFill>
        </w:rPr>
        <w:t>有关法律、规章和规定等。</w:t>
      </w:r>
    </w:p>
    <w:p w14:paraId="5DCB522A">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2、定义</w:t>
      </w:r>
    </w:p>
    <w:p w14:paraId="38D8ABC3">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2.1 “采购人”是指依法进行政府采购的国家机关、事业单位、团体组织。</w:t>
      </w:r>
    </w:p>
    <w:p w14:paraId="1970A16D">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2.2 “供应商”是指参加竞争性磋商，并符合采购文件规定资格条件的法人、其他组织或者自然人。</w:t>
      </w:r>
    </w:p>
    <w:p w14:paraId="45C50563">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2.3 “货物、服务和工程”指本采购文件中所述产品、相关服务以及工程。</w:t>
      </w:r>
    </w:p>
    <w:p w14:paraId="5A8C8C8A">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2.4 “用户或使用单位”是指使用服务的单位。</w:t>
      </w:r>
    </w:p>
    <w:p w14:paraId="19E3D919">
      <w:pPr>
        <w:spacing w:line="360" w:lineRule="auto"/>
        <w:ind w:firstLine="422"/>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3、政策功能</w:t>
      </w:r>
    </w:p>
    <w:p w14:paraId="4CF36F1D">
      <w:pPr>
        <w:spacing w:line="360" w:lineRule="auto"/>
        <w:ind w:firstLine="422"/>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b/>
          <w:bCs/>
          <w:color w:val="000000"/>
          <w:sz w:val="24"/>
          <w:szCs w:val="24"/>
          <w:highlight w:val="none"/>
          <w:lang w:val="zh-CN"/>
        </w:rPr>
        <w:t>本项目专门面向中小微企业采购，供应商应为中小微企业或监狱企业或残疾人福利性单位。</w:t>
      </w:r>
    </w:p>
    <w:p w14:paraId="5EE2995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3.1中小企业政策</w:t>
      </w:r>
    </w:p>
    <w:p w14:paraId="31B0E6C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52D41C1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对于专门面向中小企业或小型、微型企业的项目，只面向中小企业或小型、微型企业采购。对于非专门面向中小企业的项目，对符合规定的小微企业报价给予10%（工程为5%）的扣除，用扣除后的价格参加评审。</w:t>
      </w:r>
    </w:p>
    <w:p w14:paraId="6900871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对于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本项目专门面向中小企业采购，评审时，采购人对小微企业的报价不给予价格扣除；</w:t>
      </w:r>
    </w:p>
    <w:p w14:paraId="14E95B0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7BA41A6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p>
    <w:p w14:paraId="403C911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（6）参加政府采购活动的中小企业应当按“关于印发《关于进一步加大政府采购支持中小企业力度的通知》（财库〔2022〕19号）” 规定提供《中小企业声明函》，未提供上述资料的报价，其价格不予扣除。</w:t>
      </w:r>
    </w:p>
    <w:p w14:paraId="7670CE4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（7）中小企业依据《政府采购促进中小企业发展管理办法》的通知[财库〔2020〕46号]规定的政策获取政府采购合同后，小微企业不得将合同分包给大中型企业，中型企业不得将合同分包给大型企业。</w:t>
      </w:r>
    </w:p>
    <w:p w14:paraId="7EA72D38">
      <w:pPr>
        <w:pStyle w:val="46"/>
        <w:widowControl w:val="0"/>
        <w:spacing w:before="0" w:beforeAutospacing="0" w:after="0" w:afterAutospacing="0" w:line="360" w:lineRule="auto"/>
        <w:ind w:firstLine="420"/>
        <w:jc w:val="both"/>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3.2节能产品、环境标志产品政策</w:t>
      </w:r>
    </w:p>
    <w:p w14:paraId="7374154A">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（1）政府采购节能产品、环境标志产品实施品目清单管理。</w:t>
      </w:r>
    </w:p>
    <w:p w14:paraId="382509CA">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（2）拟采购产品属于节能产品、环境标志产品品目清单规定必须强制采购的，实行强制采购。</w:t>
      </w:r>
    </w:p>
    <w:p w14:paraId="4F5D89DD">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（3）拟采购产品属于节能产品、环境标志产品品目清单规定优先采购的，在性能、技术、服务等指标同等条件下，实行优先采购，优先采购的评审标准详见本招标文件第三章。</w:t>
      </w:r>
    </w:p>
    <w:p w14:paraId="41EEB2A7">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（4）参加政府采购活动的节能产品、环境标志产品供应商应当提供国家确定的认证机构出具的、处于有效期之内的节能产品、环境标志产品认证证书。</w:t>
      </w:r>
    </w:p>
    <w:p w14:paraId="3EF89EBE">
      <w:pPr>
        <w:pStyle w:val="46"/>
        <w:widowControl w:val="0"/>
        <w:spacing w:before="0" w:beforeAutospacing="0" w:after="0" w:afterAutospacing="0" w:line="360" w:lineRule="auto"/>
        <w:ind w:firstLine="420"/>
        <w:jc w:val="both"/>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3.3进口产品政策</w:t>
      </w:r>
    </w:p>
    <w:p w14:paraId="081A00E6">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（1）除在磋商文件另有规定外，不允许进口产品参加。进口产品认定依照《财政部关于政府采购进口产品管理有关问题的通知》（财办库〔2008〕248号）的规定。</w:t>
      </w:r>
    </w:p>
    <w:p w14:paraId="28EF33AB">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（2）允许进口产品参加的，满足需求的国内产品可以参加。</w:t>
      </w:r>
    </w:p>
    <w:p w14:paraId="27C441F4">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（3）允许进口产品参加的，优先采购向我国企业转让技术、与我国企业签订消化吸收再创新方案的供应商的进口产品。</w:t>
      </w:r>
    </w:p>
    <w:p w14:paraId="3731E13A">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4、磋商费用</w:t>
      </w:r>
      <w:bookmarkEnd w:id="24"/>
      <w:bookmarkEnd w:id="25"/>
      <w:bookmarkEnd w:id="26"/>
      <w:bookmarkEnd w:id="27"/>
    </w:p>
    <w:p w14:paraId="176D47A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4.1 供应商应自行承担所有与参加本次磋商有关的费用，无论磋商过程中的做法和结果如何，采购人和采购代理机构在任何情况下均无义务和责任承担这些费用。</w:t>
      </w:r>
    </w:p>
    <w:p w14:paraId="5224BF1D">
      <w:pPr>
        <w:widowControl/>
        <w:shd w:val="clear" w:color="auto" w:fill="FFFFFF"/>
        <w:spacing w:line="360" w:lineRule="auto"/>
        <w:ind w:firstLine="420"/>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4.2</w:t>
      </w:r>
      <w:r>
        <w:rPr>
          <w:rFonts w:hint="eastAsia" w:ascii="宋体" w:hAnsi="宋体" w:eastAsia="宋体" w:cs="宋体"/>
          <w:b/>
          <w:bCs/>
          <w:sz w:val="21"/>
          <w:szCs w:val="21"/>
          <w:highlight w:val="none"/>
          <w:lang w:val="zh-CN" w:eastAsia="zh-CN"/>
        </w:rPr>
        <w:t>本项目招标代理费招标代理费以中标金额为基数服务费用按招标代理服务收费管理办法计价格[2002]1980号收费标准的80%</w:t>
      </w:r>
      <w:r>
        <w:rPr>
          <w:rFonts w:hint="eastAsia" w:ascii="宋体" w:hAnsi="宋体" w:eastAsia="宋体" w:cs="宋体"/>
          <w:b/>
          <w:bCs/>
          <w:sz w:val="21"/>
          <w:szCs w:val="21"/>
          <w:highlight w:val="none"/>
          <w:lang w:val="en-US" w:eastAsia="zh-CN"/>
        </w:rPr>
        <w:t>计取，代理服务费不足3000元的以3000元计</w:t>
      </w:r>
      <w:r>
        <w:rPr>
          <w:rFonts w:hint="eastAsia" w:ascii="宋体" w:hAnsi="宋体" w:eastAsia="宋体" w:cs="宋体"/>
          <w:b/>
          <w:bCs/>
          <w:sz w:val="21"/>
          <w:szCs w:val="21"/>
          <w:highlight w:val="none"/>
          <w:lang w:val="zh-CN" w:eastAsia="zh-CN"/>
        </w:rPr>
        <w:t>，由</w:t>
      </w:r>
      <w:r>
        <w:rPr>
          <w:rFonts w:hint="eastAsia" w:ascii="宋体" w:hAnsi="宋体" w:eastAsia="宋体" w:cs="宋体"/>
          <w:b/>
          <w:bCs/>
          <w:sz w:val="21"/>
          <w:szCs w:val="21"/>
          <w:highlight w:val="none"/>
          <w:lang w:val="en-US" w:eastAsia="zh-CN"/>
        </w:rPr>
        <w:t>招</w:t>
      </w:r>
      <w:r>
        <w:rPr>
          <w:rFonts w:hint="eastAsia" w:ascii="宋体" w:hAnsi="宋体" w:eastAsia="宋体" w:cs="宋体"/>
          <w:b/>
          <w:bCs/>
          <w:sz w:val="21"/>
          <w:szCs w:val="21"/>
          <w:highlight w:val="none"/>
          <w:lang w:val="zh-CN" w:eastAsia="zh-CN"/>
        </w:rPr>
        <w:t>标人承担。</w:t>
      </w:r>
    </w:p>
    <w:p w14:paraId="61B93EAC">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4.3 相关费用</w:t>
      </w:r>
      <w:r>
        <w:rPr>
          <w:rFonts w:hint="eastAsia"/>
          <w:bCs/>
          <w:color w:val="000000" w:themeColor="text1"/>
          <w:sz w:val="21"/>
          <w:szCs w:val="21"/>
          <w:highlight w:val="none"/>
          <w14:textFill>
            <w14:solidFill>
              <w14:schemeClr w14:val="tx1"/>
            </w14:solidFill>
          </w14:textFill>
        </w:rPr>
        <w:t>由投标单位自行考虑，后期不纳入与采购人结算中。</w:t>
      </w:r>
    </w:p>
    <w:p w14:paraId="74651FC5">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5、磋商文件的约束力</w:t>
      </w:r>
    </w:p>
    <w:p w14:paraId="601270E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5.1 供应商一旦参加本项目采购活动，即被认为接受了本磋商文件的规定和约束。</w:t>
      </w:r>
    </w:p>
    <w:p w14:paraId="165B471E">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29" w:name="_Toc20823281"/>
      <w:bookmarkStart w:id="30" w:name="_Toc513029209"/>
      <w:bookmarkStart w:id="31" w:name="_Toc16938525"/>
      <w:bookmarkStart w:id="32" w:name="_Toc120614215"/>
      <w:r>
        <w:rPr>
          <w:rFonts w:hint="eastAsia"/>
          <w:b/>
          <w:bCs/>
          <w:color w:val="000000" w:themeColor="text1"/>
          <w:sz w:val="21"/>
          <w:szCs w:val="21"/>
          <w:highlight w:val="none"/>
          <w14:textFill>
            <w14:solidFill>
              <w14:schemeClr w14:val="tx1"/>
            </w14:solidFill>
          </w14:textFill>
        </w:rPr>
        <w:t>二、</w:t>
      </w:r>
      <w:bookmarkEnd w:id="29"/>
      <w:bookmarkEnd w:id="30"/>
      <w:bookmarkEnd w:id="31"/>
      <w:bookmarkEnd w:id="32"/>
      <w:r>
        <w:rPr>
          <w:rFonts w:hint="eastAsia"/>
          <w:b/>
          <w:bCs/>
          <w:color w:val="000000" w:themeColor="text1"/>
          <w:sz w:val="21"/>
          <w:szCs w:val="21"/>
          <w:highlight w:val="none"/>
          <w14:textFill>
            <w14:solidFill>
              <w14:schemeClr w14:val="tx1"/>
            </w14:solidFill>
          </w14:textFill>
        </w:rPr>
        <w:t>磋商文件</w:t>
      </w:r>
    </w:p>
    <w:p w14:paraId="564CE45D">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33" w:name="_Toc20823282"/>
      <w:bookmarkStart w:id="34" w:name="_Toc513029210"/>
      <w:bookmarkStart w:id="35" w:name="_Toc16938526"/>
      <w:r>
        <w:rPr>
          <w:rFonts w:hint="eastAsia"/>
          <w:b/>
          <w:bCs/>
          <w:color w:val="000000" w:themeColor="text1"/>
          <w:sz w:val="21"/>
          <w:szCs w:val="21"/>
          <w:highlight w:val="none"/>
          <w14:textFill>
            <w14:solidFill>
              <w14:schemeClr w14:val="tx1"/>
            </w14:solidFill>
          </w14:textFill>
        </w:rPr>
        <w:t>6、磋商文件构成</w:t>
      </w:r>
      <w:bookmarkEnd w:id="33"/>
      <w:bookmarkEnd w:id="34"/>
      <w:bookmarkEnd w:id="35"/>
    </w:p>
    <w:p w14:paraId="56B340D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6.1 磋商文件由以下部分组成：</w:t>
      </w:r>
    </w:p>
    <w:p w14:paraId="503850A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（1）竞争性磋商公告</w:t>
      </w:r>
    </w:p>
    <w:p w14:paraId="27B0AD5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（2）供应商须知</w:t>
      </w:r>
    </w:p>
    <w:p w14:paraId="471FD25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（3）成交标准</w:t>
      </w:r>
    </w:p>
    <w:p w14:paraId="1A4C7CA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（4）采购需求</w:t>
      </w:r>
    </w:p>
    <w:p w14:paraId="606308A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（5）合同草案条款及格式</w:t>
      </w:r>
    </w:p>
    <w:p w14:paraId="77B3885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（6）响应文件格式</w:t>
      </w:r>
    </w:p>
    <w:p w14:paraId="0BB5A4E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（7）附件</w:t>
      </w:r>
    </w:p>
    <w:p w14:paraId="65A0C79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请仔细检查磋商文件是否齐全，如有缺漏请立即与采购代理机构联系解决。</w:t>
      </w:r>
    </w:p>
    <w:p w14:paraId="27B6672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4062A68">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36" w:name="_Toc462564070"/>
      <w:bookmarkStart w:id="37" w:name="_Toc20823283"/>
      <w:bookmarkStart w:id="38" w:name="_Toc16938527"/>
      <w:bookmarkStart w:id="39" w:name="_Toc513029211"/>
      <w:r>
        <w:rPr>
          <w:rFonts w:hint="eastAsia"/>
          <w:b/>
          <w:bCs/>
          <w:color w:val="000000" w:themeColor="text1"/>
          <w:sz w:val="21"/>
          <w:szCs w:val="21"/>
          <w:highlight w:val="none"/>
          <w14:textFill>
            <w14:solidFill>
              <w14:schemeClr w14:val="tx1"/>
            </w14:solidFill>
          </w14:textFill>
        </w:rPr>
        <w:t>7、磋商文件的澄清</w:t>
      </w:r>
      <w:bookmarkEnd w:id="36"/>
      <w:bookmarkEnd w:id="37"/>
      <w:bookmarkEnd w:id="38"/>
      <w:bookmarkEnd w:id="39"/>
    </w:p>
    <w:p w14:paraId="65D03D3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7.1 任何要求对磋商文件进行澄清的供应商，应在磋商截止期5日前按磋商公告中的通讯地址，以书面形式通知采购代理机构。</w:t>
      </w:r>
    </w:p>
    <w:p w14:paraId="6C3DFAC1">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40" w:name="_Toc462564071"/>
      <w:bookmarkStart w:id="41" w:name="_Toc513029212"/>
      <w:bookmarkStart w:id="42" w:name="_Toc20823284"/>
      <w:bookmarkStart w:id="43" w:name="_Toc16938528"/>
      <w:r>
        <w:rPr>
          <w:rFonts w:hint="eastAsia"/>
          <w:b/>
          <w:bCs/>
          <w:color w:val="000000" w:themeColor="text1"/>
          <w:sz w:val="21"/>
          <w:szCs w:val="21"/>
          <w:highlight w:val="none"/>
          <w14:textFill>
            <w14:solidFill>
              <w14:schemeClr w14:val="tx1"/>
            </w14:solidFill>
          </w14:textFill>
        </w:rPr>
        <w:t>8、磋商文件的澄清和修改</w:t>
      </w:r>
      <w:bookmarkEnd w:id="40"/>
      <w:bookmarkEnd w:id="41"/>
      <w:bookmarkEnd w:id="42"/>
      <w:bookmarkEnd w:id="43"/>
    </w:p>
    <w:p w14:paraId="360C8EB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14:textFill>
            <w14:solidFill>
              <w14:schemeClr w14:val="tx1"/>
            </w14:solidFill>
          </w14:textFill>
        </w:rPr>
        <w:t>满足相关文件规定</w:t>
      </w:r>
      <w:r>
        <w:rPr>
          <w:rFonts w:hint="eastAsia"/>
          <w:color w:val="000000" w:themeColor="text1"/>
          <w:sz w:val="21"/>
          <w:szCs w:val="21"/>
          <w:highlight w:val="none"/>
          <w14:textFill>
            <w14:solidFill>
              <w14:schemeClr w14:val="tx1"/>
            </w14:solidFill>
          </w14:textFill>
        </w:rPr>
        <w:t>，在“江苏政府采购网、南京公共采购信息网”上发布书面更正公告形式通知所有获取磋商文件的供应商，更正公告内容将作为磋商文件的组成部分，并对供应商具有约束力。</w:t>
      </w:r>
    </w:p>
    <w:p w14:paraId="495B3F9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8.2 采购代理机构可以视采购项目的具体情况，组织供应商进行现场考察或召开磋商前答疑会，但不单独或分别组织只有一个供应商参加的现场考察和答疑会。</w:t>
      </w:r>
    </w:p>
    <w:p w14:paraId="4FA16594">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44" w:name="_Toc513029213"/>
      <w:bookmarkStart w:id="45" w:name="_Toc462564072"/>
      <w:bookmarkStart w:id="46" w:name="_Toc16938529"/>
      <w:bookmarkStart w:id="47" w:name="_Toc120614216"/>
      <w:bookmarkStart w:id="48" w:name="_Toc20823285"/>
      <w:r>
        <w:rPr>
          <w:rFonts w:hint="eastAsia"/>
          <w:b/>
          <w:bCs/>
          <w:color w:val="000000" w:themeColor="text1"/>
          <w:sz w:val="21"/>
          <w:szCs w:val="21"/>
          <w:highlight w:val="none"/>
          <w14:textFill>
            <w14:solidFill>
              <w14:schemeClr w14:val="tx1"/>
            </w14:solidFill>
          </w14:textFill>
        </w:rPr>
        <w:t>三、响应文件的编制</w:t>
      </w:r>
      <w:bookmarkEnd w:id="44"/>
      <w:bookmarkEnd w:id="45"/>
      <w:bookmarkEnd w:id="46"/>
      <w:bookmarkEnd w:id="47"/>
      <w:bookmarkEnd w:id="48"/>
    </w:p>
    <w:p w14:paraId="006B94E6">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49" w:name="_Toc20823286"/>
      <w:bookmarkStart w:id="50" w:name="_Toc462564073"/>
      <w:bookmarkStart w:id="51" w:name="_Toc16938530"/>
      <w:bookmarkStart w:id="52" w:name="_Toc513029214"/>
      <w:r>
        <w:rPr>
          <w:rFonts w:hint="eastAsia"/>
          <w:b/>
          <w:bCs/>
          <w:color w:val="000000" w:themeColor="text1"/>
          <w:sz w:val="21"/>
          <w:szCs w:val="21"/>
          <w:highlight w:val="none"/>
          <w14:textFill>
            <w14:solidFill>
              <w14:schemeClr w14:val="tx1"/>
            </w14:solidFill>
          </w14:textFill>
        </w:rPr>
        <w:t>9、</w:t>
      </w:r>
      <w:bookmarkEnd w:id="49"/>
      <w:bookmarkEnd w:id="50"/>
      <w:bookmarkEnd w:id="51"/>
      <w:bookmarkEnd w:id="52"/>
      <w:r>
        <w:rPr>
          <w:rFonts w:hint="eastAsia"/>
          <w:b/>
          <w:bCs/>
          <w:color w:val="000000" w:themeColor="text1"/>
          <w:sz w:val="21"/>
          <w:szCs w:val="21"/>
          <w:highlight w:val="none"/>
          <w14:textFill>
            <w14:solidFill>
              <w14:schemeClr w14:val="tx1"/>
            </w14:solidFill>
          </w14:textFill>
        </w:rPr>
        <w:t>响应文件的语言、计量单位、货币和编制</w:t>
      </w:r>
    </w:p>
    <w:p w14:paraId="746B981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28B1B17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9.2 供应商所使用的计量单位应为国家法定计量单位。</w:t>
      </w:r>
    </w:p>
    <w:p w14:paraId="7079609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9.3 供应商应用人民币报价。报价产品如果是进口产品的，应提供人民币与外币之间的汇率；报价单位为“元”。</w:t>
      </w:r>
    </w:p>
    <w:p w14:paraId="5FEED3E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9.4 磋商响应文件应字迹清楚、内容齐全、不得涂改。如有修改，修改处须有供应商公章或投标专用章和法定代表人或其授权磋商代表签字。</w:t>
      </w:r>
    </w:p>
    <w:p w14:paraId="2DF84BB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9.5 供应商应在磋商响应文件中写清相应的项目编号、项目名称、供应商全称、地址、电话、传真等。</w:t>
      </w:r>
    </w:p>
    <w:p w14:paraId="7119DE9E">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53" w:name="_Toc462564074"/>
      <w:bookmarkStart w:id="54" w:name="_Toc20823287"/>
      <w:bookmarkStart w:id="55" w:name="_Toc16938531"/>
      <w:bookmarkStart w:id="56" w:name="_Toc513029215"/>
      <w:r>
        <w:rPr>
          <w:rFonts w:hint="eastAsia"/>
          <w:b/>
          <w:bCs/>
          <w:color w:val="000000" w:themeColor="text1"/>
          <w:sz w:val="21"/>
          <w:szCs w:val="21"/>
          <w:highlight w:val="none"/>
          <w14:textFill>
            <w14:solidFill>
              <w14:schemeClr w14:val="tx1"/>
            </w14:solidFill>
          </w14:textFill>
        </w:rPr>
        <w:t>10、响应文件构成</w:t>
      </w:r>
      <w:bookmarkEnd w:id="53"/>
      <w:bookmarkEnd w:id="54"/>
      <w:bookmarkEnd w:id="55"/>
      <w:bookmarkEnd w:id="56"/>
    </w:p>
    <w:p w14:paraId="08A369CE">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响应文件，并根据自己的商务能力、技术水平对竞争性磋商文件提出的要求和条件逐条标明是否响应。</w:t>
      </w:r>
    </w:p>
    <w:p w14:paraId="4AE140AE">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.2 磋商响应文件由商务部分、技术部分、价格部分，以及其他部分组成。</w:t>
      </w:r>
    </w:p>
    <w:p w14:paraId="21D8010D">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10.3 本次采购的最小单位是包。采购项目的技术要求中未分包的，供应商对要求提供的服务不得部分投标；采购项目的技术要求中已经分包的，可以以包为单位投标。</w:t>
      </w:r>
    </w:p>
    <w:p w14:paraId="7880CD7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10.4 如标书制作工具中格式和内容与“江苏政府采购网、南京公共采购信息网”发布的磋商文件不一致，请以“江苏政府采购网、南京公共采购信息网”发布的磋商文件为准。</w:t>
      </w:r>
    </w:p>
    <w:p w14:paraId="33CB23C6">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p>
    <w:p w14:paraId="52F21F62">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（1）★磋商申请及声明；</w:t>
      </w:r>
    </w:p>
    <w:p w14:paraId="0889312D">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（2）★法定代表人授权委托书；</w:t>
      </w:r>
    </w:p>
    <w:p w14:paraId="27285484">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（3）★磋商报价表；</w:t>
      </w:r>
    </w:p>
    <w:p w14:paraId="6128F604">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lang w:val="zh-CN" w:eastAsia="zh-CN"/>
          <w14:textFill>
            <w14:solidFill>
              <w14:schemeClr w14:val="tx1"/>
            </w14:solidFill>
          </w14:textFill>
        </w:rPr>
        <w:t>）★《南京市政府采购供应商信用记录表暨信用承诺书》注：本表打印时间必须在采购文件发布之日起至提交响应文件截止日前。</w:t>
      </w:r>
    </w:p>
    <w:p w14:paraId="039069F3">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lang w:val="zh-CN" w:eastAsia="zh-CN"/>
          <w14:textFill>
            <w14:solidFill>
              <w14:schemeClr w14:val="tx1"/>
            </w14:solidFill>
          </w14:textFill>
        </w:rPr>
        <w:t>）第一章磋商邀请中采购人根据采购项目的特殊要求规定的特定条件证明文件</w:t>
      </w:r>
    </w:p>
    <w:p w14:paraId="2CCF272A">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（6）★《商务条款偏离表》；</w:t>
      </w:r>
    </w:p>
    <w:p w14:paraId="6DBE38B4">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lang w:val="zh-CN" w:eastAsia="zh-CN"/>
          <w14:textFill>
            <w14:solidFill>
              <w14:schemeClr w14:val="tx1"/>
            </w14:solidFill>
          </w14:textFill>
        </w:rPr>
        <w:t>★《技术条款偏离表》；</w:t>
      </w:r>
    </w:p>
    <w:p w14:paraId="784CBB39">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（8）★中小企业声明函；</w:t>
      </w:r>
    </w:p>
    <w:p w14:paraId="137B143C">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（9）★无重大违法记录声明；</w:t>
      </w:r>
    </w:p>
    <w:p w14:paraId="18506525">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（10）★残疾人福利性单位声明函</w:t>
      </w:r>
    </w:p>
    <w:p w14:paraId="5E4D0025">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lang w:val="zh-CN" w:eastAsia="zh-CN"/>
          <w14:textFill>
            <w14:solidFill>
              <w14:schemeClr w14:val="tx1"/>
            </w14:solidFill>
          </w14:textFill>
        </w:rPr>
        <w:t>）属于监狱企业的证明文件（如有）</w:t>
      </w:r>
    </w:p>
    <w:p w14:paraId="5EE498A8">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lang w:val="zh-CN" w:eastAsia="zh-CN"/>
          <w14:textFill>
            <w14:solidFill>
              <w14:schemeClr w14:val="tx1"/>
            </w14:solidFill>
          </w14:textFill>
        </w:rPr>
        <w:t>）节能产品认证文件（如有）</w:t>
      </w:r>
    </w:p>
    <w:p w14:paraId="2EA204A5">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（13）环境标志产品认证文件（如有）</w:t>
      </w:r>
    </w:p>
    <w:p w14:paraId="37FACB87">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（14）进口产品转让技术、消化吸收再创新方案（如有）</w:t>
      </w:r>
    </w:p>
    <w:p w14:paraId="7A161E97">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（15）磋商供应商认为需提供的其他资料。</w:t>
      </w:r>
    </w:p>
    <w:p w14:paraId="75AE556E">
      <w:pPr>
        <w:spacing w:line="360" w:lineRule="auto"/>
        <w:ind w:firstLine="420"/>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磋商响应文件的价格部分</w:t>
      </w:r>
    </w:p>
    <w:p w14:paraId="49A5E366">
      <w:pPr>
        <w:numPr>
          <w:ilvl w:val="0"/>
          <w:numId w:val="2"/>
        </w:num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价格部分是对</w:t>
      </w:r>
      <w:r>
        <w:rPr>
          <w:rFonts w:hint="eastAsia" w:ascii="宋体" w:hAnsi="宋体" w:eastAsia="宋体" w:cs="宋体"/>
          <w:color w:val="000000" w:themeColor="text1"/>
          <w:sz w:val="21"/>
          <w:szCs w:val="21"/>
          <w:highlight w:val="none"/>
          <w:lang w:eastAsia="zh-CN"/>
          <w14:textFill>
            <w14:solidFill>
              <w14:schemeClr w14:val="tx1"/>
            </w14:solidFill>
          </w14:textFill>
        </w:rPr>
        <w:t>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价格构成的说明，竞争性磋商文件如没有特别说明的话，对每一项</w:t>
      </w:r>
      <w:r>
        <w:rPr>
          <w:rFonts w:hint="eastAsia" w:ascii="宋体" w:hAnsi="宋体" w:eastAsia="宋体" w:cs="宋体"/>
          <w:color w:val="000000" w:themeColor="text1"/>
          <w:sz w:val="21"/>
          <w:szCs w:val="21"/>
          <w:highlight w:val="none"/>
          <w:lang w:eastAsia="zh-CN"/>
          <w14:textFill>
            <w14:solidFill>
              <w14:schemeClr w14:val="tx1"/>
            </w14:solidFill>
          </w14:textFill>
        </w:rPr>
        <w:t>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仅接受一个价格。</w:t>
      </w:r>
    </w:p>
    <w:p w14:paraId="544D7CF3">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有</w:t>
      </w:r>
      <w:r>
        <w:rPr>
          <w:rFonts w:hint="eastAsia" w:ascii="宋体" w:hAnsi="宋体" w:eastAsia="宋体" w:cs="宋体"/>
          <w:color w:val="000000" w:themeColor="text1"/>
          <w:sz w:val="21"/>
          <w:szCs w:val="21"/>
          <w:highlight w:val="none"/>
          <w:lang w:val="zh-CN" w:eastAsia="zh-CN"/>
          <w14:textFill>
            <w14:solidFill>
              <w14:schemeClr w14:val="tx1"/>
            </w14:solidFill>
          </w14:textFill>
        </w:rPr>
        <w:t>费用，以及技术资料、支付给员工的工资和国家强制缴纳的各种社会保障资金，以及供应商认为需要的其他费用等。</w:t>
      </w:r>
    </w:p>
    <w:p w14:paraId="1FF9F4F5">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（3）供应商应以表格形式详细说明</w:t>
      </w:r>
      <w:r>
        <w:rPr>
          <w:rFonts w:hint="eastAsia" w:ascii="宋体" w:hAnsi="宋体" w:eastAsia="宋体" w:cs="宋体"/>
          <w:color w:val="000000" w:themeColor="text1"/>
          <w:sz w:val="21"/>
          <w:szCs w:val="21"/>
          <w:highlight w:val="none"/>
          <w:lang w:eastAsia="zh-CN"/>
          <w14:textFill>
            <w14:solidFill>
              <w14:schemeClr w14:val="tx1"/>
            </w14:solidFill>
          </w14:textFill>
        </w:rPr>
        <w:t>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的价格构成，以及价格构成各项因素的单价和总价。</w:t>
      </w:r>
    </w:p>
    <w:p w14:paraId="74B9976A">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（4）供应商应充分考虑到市场价格变动，以及项目实施过程中的不可预见因素，一旦成交，总价格不变。如果有漏项，视同让利。</w:t>
      </w:r>
    </w:p>
    <w:p w14:paraId="30DC2125">
      <w:pPr>
        <w:widowControl/>
        <w:shd w:val="clear" w:color="auto" w:fill="FFFFFF"/>
        <w:spacing w:line="360" w:lineRule="auto"/>
        <w:ind w:firstLine="422"/>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（5）响应文件所报的投标价格不得超过磋商文件规定的最高限价，超过磋商文件规定的最高限价的响应文件，按无效投标处理。</w:t>
      </w:r>
    </w:p>
    <w:p w14:paraId="69EF9CAB">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lang w:val="zh-CN" w:eastAsia="zh-CN"/>
          <w14:textFill>
            <w14:solidFill>
              <w14:schemeClr w14:val="tx1"/>
            </w14:solidFill>
          </w14:textFill>
        </w:rPr>
        <w:t>）经磋商后，如果成交价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低于供应商在磋商响应文件报价的话，除特别注明外，分项报价同比例调整。</w:t>
      </w:r>
    </w:p>
    <w:p w14:paraId="2223D0BA">
      <w:pPr>
        <w:shd w:val="clear" w:color="auto" w:fill="FFFFFF"/>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b/>
          <w:bCs/>
          <w:szCs w:val="21"/>
          <w:highlight w:val="none"/>
          <w:lang w:val="zh-CN" w:eastAsia="zh-CN"/>
        </w:rPr>
        <w:t>根据</w:t>
      </w:r>
      <w:r>
        <w:rPr>
          <w:rFonts w:hint="default" w:ascii="宋体" w:hAnsi="宋体" w:eastAsia="宋体" w:cs="宋体"/>
          <w:b/>
          <w:bCs/>
          <w:szCs w:val="21"/>
          <w:highlight w:val="none"/>
          <w:lang w:val="en-US" w:eastAsia="zh-CN"/>
        </w:rPr>
        <w:t>关于推动解决政府采购异常低价问题的通知财库〔2026〕2号</w:t>
      </w:r>
      <w:r>
        <w:rPr>
          <w:rFonts w:hint="eastAsia" w:ascii="宋体" w:hAnsi="宋体" w:eastAsia="宋体" w:cs="宋体"/>
          <w:b/>
          <w:bCs/>
          <w:szCs w:val="21"/>
          <w:highlight w:val="none"/>
          <w:lang w:val="zh-CN" w:eastAsia="zh-CN"/>
        </w:rPr>
        <w:t>文件的要求，采购人应在采购文件中明确评审委员会启动异常低价投标（响应）审查的情形和具体要求，包括：</w:t>
      </w:r>
    </w:p>
    <w:p w14:paraId="62B1E008">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（一）评标过程中出现下列情形之一的，评委会应当启动异常低价投标审查程序：</w:t>
      </w:r>
    </w:p>
    <w:p w14:paraId="234B6690">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（1）投标报价低于全部通过符合性审查供应商投标报价平均值65%的，即投标报价&lt;全部通过符合性审查供应商投标报价平均值×65%；</w:t>
      </w:r>
    </w:p>
    <w:p w14:paraId="68BCB4FA">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（2）投标报价低于通过符合性审查的次低报价供应商投标报价65%的，即投标报价&lt;通过符合性审查的次低报价供应商投标报价×65%；</w:t>
      </w:r>
    </w:p>
    <w:p w14:paraId="30F9D25E">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（3）投标报价低于采购项目最高限价65%的，即投标报价&lt;采购项目最高限价×65%；</w:t>
      </w:r>
    </w:p>
    <w:p w14:paraId="22D52BA1">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（4）评委会基于专业判断，认为供应商报价过低，有可能影响产品质量或者不能诚信履约的其他情形。</w:t>
      </w:r>
    </w:p>
    <w:p w14:paraId="031C7AD7">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25.6.2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A655328">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szCs w:val="21"/>
          <w:highlight w:val="none"/>
          <w:lang w:val="zh-CN" w:eastAsia="zh-CN"/>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503B0256">
      <w:pPr>
        <w:spacing w:line="360" w:lineRule="auto"/>
        <w:ind w:firstLine="420"/>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商根据编制磋商响应文件需要提供的其他相关文件组成。</w:t>
      </w:r>
    </w:p>
    <w:p w14:paraId="22889D9C">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57" w:name="_Toc513029219"/>
      <w:bookmarkStart w:id="58" w:name="_Toc49090508"/>
      <w:bookmarkStart w:id="59" w:name="_Toc14577357"/>
      <w:bookmarkStart w:id="60" w:name="_Toc49090509"/>
      <w:bookmarkStart w:id="61" w:name="_Toc513029216"/>
      <w:bookmarkStart w:id="62" w:name="_Toc49090507"/>
      <w:bookmarkStart w:id="63" w:name="_Toc14577355"/>
      <w:bookmarkStart w:id="64" w:name="_Toc14577354"/>
      <w:bookmarkStart w:id="65" w:name="_Hlt26668975"/>
      <w:bookmarkStart w:id="66" w:name="_Hlt26954838"/>
      <w:bookmarkStart w:id="67" w:name="_Hlt26670360"/>
      <w:r>
        <w:rPr>
          <w:rFonts w:hint="eastAsia"/>
          <w:b/>
          <w:bCs/>
          <w:color w:val="000000" w:themeColor="text1"/>
          <w:sz w:val="21"/>
          <w:szCs w:val="21"/>
          <w:highlight w:val="none"/>
          <w14:textFill>
            <w14:solidFill>
              <w14:schemeClr w14:val="tx1"/>
            </w14:solidFill>
          </w14:textFill>
        </w:rPr>
        <w:t>11、证明磋商响应标的符合磋商文件规定的文件</w:t>
      </w:r>
      <w:bookmarkEnd w:id="57"/>
      <w:bookmarkEnd w:id="58"/>
      <w:bookmarkEnd w:id="59"/>
      <w:bookmarkEnd w:id="60"/>
      <w:bookmarkEnd w:id="61"/>
      <w:bookmarkEnd w:id="62"/>
      <w:bookmarkEnd w:id="63"/>
      <w:bookmarkEnd w:id="64"/>
    </w:p>
    <w:p w14:paraId="619ED37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11.1 供应商应按照磋商文件要求提交证明文件，证明其及磋商响应标的符合磋商文件规定。</w:t>
      </w:r>
    </w:p>
    <w:p w14:paraId="3BF43BF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11.2 磋商文件对证明文件无明确形式要求的，证明文件可以以文字资料、图纸和数据等形式提交。</w:t>
      </w:r>
    </w:p>
    <w:p w14:paraId="45FE0975">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12、分项报价表</w:t>
      </w:r>
    </w:p>
    <w:p w14:paraId="535D43A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12.1 供应商应填报分项报价表。</w:t>
      </w:r>
    </w:p>
    <w:p w14:paraId="34FD5C0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12.2 磋商货币。响应文件中的单价和总价无特殊规定的采用人民币报价，以元为单位标注。磋商文件中另有规定的按规定执行。</w:t>
      </w:r>
    </w:p>
    <w:p w14:paraId="61B5F215">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68" w:name="_Hlt26954848"/>
      <w:bookmarkStart w:id="69" w:name="_Hlt26954846"/>
      <w:bookmarkStart w:id="70" w:name="_Hlt26954731"/>
      <w:bookmarkStart w:id="71" w:name="_Hlt26670482"/>
      <w:bookmarkStart w:id="72" w:name="_Hlt26670486"/>
      <w:r>
        <w:rPr>
          <w:rFonts w:hint="eastAsia"/>
          <w:b/>
          <w:bCs/>
          <w:color w:val="000000" w:themeColor="text1"/>
          <w:sz w:val="21"/>
          <w:szCs w:val="21"/>
          <w:highlight w:val="none"/>
          <w14:textFill>
            <w14:solidFill>
              <w14:schemeClr w14:val="tx1"/>
            </w14:solidFill>
          </w14:textFill>
        </w:rPr>
        <w:t>13、技术要求响应及偏离表、商务要求响应及偏离表</w:t>
      </w:r>
    </w:p>
    <w:p w14:paraId="5D17434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13.1 供应商需对磋商文件中的技术要求与商务要求逐项作出响应或偏离。</w:t>
      </w:r>
    </w:p>
    <w:p w14:paraId="1DA74B1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13.2 供应商可在响应文件中提供认为需要的其他技术文件或说明。</w:t>
      </w:r>
    </w:p>
    <w:p w14:paraId="7A515505">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73" w:name="_Toc14577359"/>
      <w:bookmarkStart w:id="74" w:name="_Toc49090510"/>
      <w:r>
        <w:rPr>
          <w:rFonts w:hint="eastAsia"/>
          <w:b/>
          <w:bCs/>
          <w:color w:val="000000" w:themeColor="text1"/>
          <w:sz w:val="21"/>
          <w:szCs w:val="21"/>
          <w:highlight w:val="none"/>
          <w14:textFill>
            <w14:solidFill>
              <w14:schemeClr w14:val="tx1"/>
            </w14:solidFill>
          </w14:textFill>
        </w:rPr>
        <w:t>14、</w:t>
      </w:r>
      <w:bookmarkEnd w:id="73"/>
      <w:bookmarkEnd w:id="74"/>
      <w:r>
        <w:rPr>
          <w:rFonts w:hint="eastAsia"/>
          <w:b/>
          <w:bCs/>
          <w:color w:val="000000" w:themeColor="text1"/>
          <w:sz w:val="21"/>
          <w:szCs w:val="21"/>
          <w:highlight w:val="none"/>
          <w14:textFill>
            <w14:solidFill>
              <w14:schemeClr w14:val="tx1"/>
            </w14:solidFill>
          </w14:textFill>
        </w:rPr>
        <w:t>竞争性磋商申请及声明</w:t>
      </w:r>
    </w:p>
    <w:p w14:paraId="316F5C6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14.1 供应商应按照磋商文件中提供的格式完整、正确填写竞争性磋商申请及声明。</w:t>
      </w:r>
    </w:p>
    <w:p w14:paraId="45E50160">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75" w:name="_Toc14577360"/>
      <w:bookmarkStart w:id="76" w:name="_Toc49090511"/>
      <w:r>
        <w:rPr>
          <w:rFonts w:hint="eastAsia"/>
          <w:b/>
          <w:bCs/>
          <w:color w:val="000000" w:themeColor="text1"/>
          <w:sz w:val="21"/>
          <w:szCs w:val="21"/>
          <w:highlight w:val="none"/>
          <w14:textFill>
            <w14:solidFill>
              <w14:schemeClr w14:val="tx1"/>
            </w14:solidFill>
          </w14:textFill>
        </w:rPr>
        <w:t>15、磋商有效期</w:t>
      </w:r>
      <w:bookmarkEnd w:id="75"/>
      <w:bookmarkEnd w:id="76"/>
    </w:p>
    <w:p w14:paraId="6AD4DD6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15.1 磋商有效期为采购代理机构规定的提交响应文件截止之日后</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九</w:t>
      </w:r>
      <w:r>
        <w:rPr>
          <w:rFonts w:hint="eastAsia"/>
          <w:b/>
          <w:bCs/>
          <w:color w:val="000000" w:themeColor="text1"/>
          <w:sz w:val="21"/>
          <w:szCs w:val="21"/>
          <w:highlight w:val="none"/>
          <w:u w:val="single"/>
          <w14:textFill>
            <w14:solidFill>
              <w14:schemeClr w14:val="tx1"/>
            </w14:solidFill>
          </w14:textFill>
        </w:rPr>
        <w:t>十（</w:t>
      </w:r>
      <w:r>
        <w:rPr>
          <w:rFonts w:hint="eastAsia"/>
          <w:b/>
          <w:bCs/>
          <w:color w:val="000000" w:themeColor="text1"/>
          <w:sz w:val="21"/>
          <w:szCs w:val="21"/>
          <w:highlight w:val="none"/>
          <w:u w:val="single"/>
          <w:lang w:val="en-US" w:eastAsia="zh-CN"/>
          <w14:textFill>
            <w14:solidFill>
              <w14:schemeClr w14:val="tx1"/>
            </w14:solidFill>
          </w14:textFill>
        </w:rPr>
        <w:t>9</w:t>
      </w:r>
      <w:r>
        <w:rPr>
          <w:rFonts w:hint="eastAsia"/>
          <w:b/>
          <w:bCs/>
          <w:color w:val="000000" w:themeColor="text1"/>
          <w:sz w:val="21"/>
          <w:szCs w:val="21"/>
          <w:highlight w:val="none"/>
          <w:u w:val="single"/>
          <w14:textFill>
            <w14:solidFill>
              <w14:schemeClr w14:val="tx1"/>
            </w14:solidFill>
          </w14:textFill>
        </w:rPr>
        <w:t>0）天</w:t>
      </w:r>
      <w:r>
        <w:rPr>
          <w:rFonts w:hint="eastAsia"/>
          <w:color w:val="000000" w:themeColor="text1"/>
          <w:sz w:val="21"/>
          <w:szCs w:val="21"/>
          <w:highlight w:val="none"/>
          <w14:textFill>
            <w14:solidFill>
              <w14:schemeClr w14:val="tx1"/>
            </w14:solidFill>
          </w14:textFill>
        </w:rPr>
        <w:t>。磋商有效期比规定短的将被视为非实质性响应磋商文件而予以拒绝。</w:t>
      </w:r>
    </w:p>
    <w:p w14:paraId="35C02D0F">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16、磋商有效期的延长</w:t>
      </w:r>
    </w:p>
    <w:p w14:paraId="6C99A23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78E46EE6">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77" w:name="_Toc120614217"/>
      <w:bookmarkStart w:id="78" w:name="_Toc16938540"/>
      <w:bookmarkStart w:id="79" w:name="_Toc20823296"/>
      <w:bookmarkStart w:id="80" w:name="_Toc513029224"/>
      <w:bookmarkStart w:id="81" w:name="_Hlt26954852"/>
      <w:bookmarkStart w:id="82" w:name="_Hlt26954739"/>
      <w:r>
        <w:rPr>
          <w:rFonts w:hint="eastAsia"/>
          <w:b/>
          <w:bCs/>
          <w:color w:val="000000" w:themeColor="text1"/>
          <w:sz w:val="21"/>
          <w:szCs w:val="21"/>
          <w:highlight w:val="none"/>
          <w14:textFill>
            <w14:solidFill>
              <w14:schemeClr w14:val="tx1"/>
            </w14:solidFill>
          </w14:textFill>
        </w:rPr>
        <w:t>四、响应文件的递交</w:t>
      </w:r>
      <w:bookmarkEnd w:id="77"/>
      <w:bookmarkEnd w:id="78"/>
      <w:bookmarkEnd w:id="79"/>
      <w:bookmarkEnd w:id="80"/>
    </w:p>
    <w:p w14:paraId="12E89AB7">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83" w:name="_Toc20823297"/>
      <w:bookmarkStart w:id="84" w:name="_Toc513029225"/>
      <w:bookmarkStart w:id="85" w:name="_Toc16938541"/>
      <w:bookmarkStart w:id="86" w:name="_Toc462564084"/>
      <w:r>
        <w:rPr>
          <w:rFonts w:hint="eastAsia"/>
          <w:b/>
          <w:bCs/>
          <w:color w:val="000000" w:themeColor="text1"/>
          <w:sz w:val="21"/>
          <w:szCs w:val="21"/>
          <w:highlight w:val="none"/>
          <w14:textFill>
            <w14:solidFill>
              <w14:schemeClr w14:val="tx1"/>
            </w14:solidFill>
          </w14:textFill>
        </w:rPr>
        <w:t>17、电子磋商</w:t>
      </w:r>
      <w:bookmarkEnd w:id="83"/>
      <w:bookmarkEnd w:id="84"/>
      <w:bookmarkEnd w:id="85"/>
      <w:bookmarkEnd w:id="86"/>
      <w:r>
        <w:rPr>
          <w:rFonts w:hint="eastAsia"/>
          <w:b/>
          <w:bCs/>
          <w:color w:val="000000" w:themeColor="text1"/>
          <w:sz w:val="21"/>
          <w:szCs w:val="21"/>
          <w:highlight w:val="none"/>
          <w14:textFill>
            <w14:solidFill>
              <w14:schemeClr w14:val="tx1"/>
            </w14:solidFill>
          </w14:textFill>
        </w:rPr>
        <w:t>响应文件的递交</w:t>
      </w:r>
    </w:p>
    <w:p w14:paraId="46C8549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响应文件应加盖</w:t>
      </w:r>
      <w:r>
        <w:rPr>
          <w:rFonts w:hint="eastAsia"/>
          <w:color w:val="000000" w:themeColor="text1"/>
          <w:sz w:val="21"/>
          <w:szCs w:val="21"/>
          <w:highlight w:val="none"/>
          <w14:textFill>
            <w14:solidFill>
              <w14:schemeClr w14:val="tx1"/>
            </w14:solidFill>
          </w14:textFill>
        </w:rPr>
        <w:t>投标供应商</w:t>
      </w:r>
      <w:r>
        <w:rPr>
          <w:rFonts w:hint="eastAsia"/>
          <w:color w:val="000000" w:themeColor="text1"/>
          <w:sz w:val="21"/>
          <w:szCs w:val="21"/>
          <w:highlight w:val="none"/>
          <w:lang w:val="zh-CN"/>
          <w14:textFill>
            <w14:solidFill>
              <w14:schemeClr w14:val="tx1"/>
            </w14:solidFill>
          </w14:textFill>
        </w:rPr>
        <w:t>公章。</w:t>
      </w:r>
      <w:r>
        <w:rPr>
          <w:rFonts w:hint="eastAsia"/>
          <w:color w:val="000000" w:themeColor="text1"/>
          <w:sz w:val="21"/>
          <w:szCs w:val="21"/>
          <w:highlight w:val="none"/>
          <w14:textFill>
            <w14:solidFill>
              <w14:schemeClr w14:val="tx1"/>
            </w14:solidFill>
          </w14:textFill>
        </w:rPr>
        <w:t>磋商文件中注明须签字的地方应由供应商的法定代表人或委托代理人签字，如为委托代理人签字的应附“法定代表人授权委托书”。</w:t>
      </w:r>
    </w:p>
    <w:p w14:paraId="7B61A92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17.2 供应商应当按照《操作手册》规定，在提交响应文件截止时间前制作并上传电子响应文件。</w:t>
      </w:r>
      <w:bookmarkStart w:id="87" w:name="_Toc16938542"/>
      <w:bookmarkEnd w:id="87"/>
      <w:bookmarkStart w:id="88" w:name="_Toc20823298"/>
      <w:bookmarkEnd w:id="88"/>
      <w:bookmarkStart w:id="89" w:name="_Toc513029226"/>
    </w:p>
    <w:p w14:paraId="1DA112AB">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18、提交响应文件截止时间</w:t>
      </w:r>
    </w:p>
    <w:p w14:paraId="302C8CDC">
      <w:pPr>
        <w:pStyle w:val="46"/>
        <w:widowControl w:val="0"/>
        <w:spacing w:before="0" w:beforeAutospacing="0" w:after="0" w:afterAutospacing="0" w:line="360" w:lineRule="auto"/>
        <w:ind w:firstLine="420"/>
        <w:jc w:val="both"/>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18.1 供应商上传电子响应文件的时间不得迟于磋商公告中规定的提交响应文件截止时间。</w:t>
      </w:r>
    </w:p>
    <w:p w14:paraId="106CA66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25.3.2</w:t>
      </w:r>
      <w:r>
        <w:rPr>
          <w:rFonts w:hint="eastAsia"/>
          <w:color w:val="000000" w:themeColor="text1"/>
          <w:sz w:val="21"/>
          <w:szCs w:val="21"/>
          <w:highlight w:val="none"/>
          <w14:textFill>
            <w14:solidFill>
              <w14:schemeClr w14:val="tx1"/>
            </w14:solidFill>
          </w14:textFill>
        </w:rPr>
        <w:t>条规定做无效响应处理。</w:t>
      </w:r>
    </w:p>
    <w:p w14:paraId="517F24D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18.3 采购代理机构可以按照规定，通过修改磋商文件酌情延长提交响应文件截止日期，在此情况下，供应商的所有权利和义务以及供应商受制的截止日期均应以延长后新的截止日期为准。</w:t>
      </w:r>
    </w:p>
    <w:p w14:paraId="43FCF429">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90" w:name="_Toc513029227"/>
      <w:bookmarkStart w:id="91" w:name="_Toc20823299"/>
      <w:bookmarkStart w:id="92" w:name="_Toc16938543"/>
      <w:r>
        <w:rPr>
          <w:rFonts w:hint="eastAsia"/>
          <w:b/>
          <w:bCs/>
          <w:color w:val="000000" w:themeColor="text1"/>
          <w:sz w:val="21"/>
          <w:szCs w:val="21"/>
          <w:highlight w:val="none"/>
          <w14:textFill>
            <w14:solidFill>
              <w14:schemeClr w14:val="tx1"/>
            </w14:solidFill>
          </w14:textFill>
        </w:rPr>
        <w:t>19、响应文件</w:t>
      </w:r>
      <w:bookmarkEnd w:id="90"/>
      <w:bookmarkEnd w:id="91"/>
      <w:bookmarkEnd w:id="92"/>
      <w:r>
        <w:rPr>
          <w:rFonts w:hint="eastAsia"/>
          <w:b/>
          <w:bCs/>
          <w:color w:val="000000" w:themeColor="text1"/>
          <w:sz w:val="21"/>
          <w:szCs w:val="21"/>
          <w:highlight w:val="none"/>
          <w14:textFill>
            <w14:solidFill>
              <w14:schemeClr w14:val="tx1"/>
            </w14:solidFill>
          </w14:textFill>
        </w:rPr>
        <w:t>的拒收</w:t>
      </w:r>
    </w:p>
    <w:p w14:paraId="5CD52F6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19.1 采购代理机构拒绝接收在其规定的提交响应文件截止时间后上传的任何电子响应文件。</w:t>
      </w:r>
    </w:p>
    <w:p w14:paraId="6AB8829A">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93" w:name="_Toc513029228"/>
      <w:bookmarkStart w:id="94" w:name="_Toc20823300"/>
      <w:bookmarkStart w:id="95" w:name="_Toc16938544"/>
      <w:r>
        <w:rPr>
          <w:rFonts w:hint="eastAsia"/>
          <w:b/>
          <w:bCs/>
          <w:color w:val="000000" w:themeColor="text1"/>
          <w:sz w:val="21"/>
          <w:szCs w:val="21"/>
          <w:highlight w:val="none"/>
          <w14:textFill>
            <w14:solidFill>
              <w14:schemeClr w14:val="tx1"/>
            </w14:solidFill>
          </w14:textFill>
        </w:rPr>
        <w:t>20、响应文件的撤回和修改</w:t>
      </w:r>
      <w:bookmarkEnd w:id="93"/>
      <w:bookmarkEnd w:id="94"/>
      <w:bookmarkEnd w:id="95"/>
    </w:p>
    <w:p w14:paraId="799EA9D2">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20.1响应文件的撤回</w:t>
      </w:r>
    </w:p>
    <w:p w14:paraId="4B5CB57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20.1.1 电子响应文件的撤回</w:t>
      </w:r>
    </w:p>
    <w:p w14:paraId="6BB9355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供应商可在提交响应文件截止时间前，撤回其电子响应文件，具体操作方法见《操作手册》。</w:t>
      </w:r>
    </w:p>
    <w:p w14:paraId="5CF9672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20.1.2 供应商撤回电子响应文件，则认为其不再参与本项目磋商活动。</w:t>
      </w:r>
    </w:p>
    <w:p w14:paraId="6A3BBE71">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20.2响应文件的修改</w:t>
      </w:r>
    </w:p>
    <w:p w14:paraId="70198B7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20.2.1 供应商可在提交响应文件截止时间前，对其电子响应文件进行修改，具体操作方法见《操作手册》。</w:t>
      </w:r>
    </w:p>
    <w:p w14:paraId="13C16E1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20.2.2 在提交响应文件截止时间之后，供应商不得对其电子响应文件作任何修改。</w:t>
      </w:r>
    </w:p>
    <w:p w14:paraId="2344053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20.2.3 在提交响应文件截止时间至磋商文件中规定的磋商有效期满之间的这段时间内，供应商不得撤回其响应文件。</w:t>
      </w:r>
    </w:p>
    <w:p w14:paraId="10B09CAF">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96" w:name="_Toc16938545"/>
      <w:bookmarkStart w:id="97" w:name="_Toc20823301"/>
      <w:bookmarkStart w:id="98" w:name="_Toc120614218"/>
      <w:bookmarkStart w:id="99" w:name="_Toc513029229"/>
      <w:r>
        <w:rPr>
          <w:rFonts w:hint="eastAsia"/>
          <w:b/>
          <w:bCs/>
          <w:color w:val="000000" w:themeColor="text1"/>
          <w:sz w:val="21"/>
          <w:szCs w:val="21"/>
          <w:highlight w:val="none"/>
          <w14:textFill>
            <w14:solidFill>
              <w14:schemeClr w14:val="tx1"/>
            </w14:solidFill>
          </w14:textFill>
        </w:rPr>
        <w:t>五、响应文件的解密与评审</w:t>
      </w:r>
      <w:bookmarkEnd w:id="96"/>
      <w:bookmarkEnd w:id="97"/>
      <w:bookmarkEnd w:id="98"/>
      <w:bookmarkEnd w:id="99"/>
    </w:p>
    <w:p w14:paraId="15AE11E9">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00" w:name="_Toc20823302"/>
      <w:bookmarkStart w:id="101" w:name="_Toc16938546"/>
      <w:bookmarkStart w:id="102" w:name="_Toc513029230"/>
      <w:r>
        <w:rPr>
          <w:rFonts w:hint="eastAsia"/>
          <w:b/>
          <w:bCs/>
          <w:color w:val="000000" w:themeColor="text1"/>
          <w:sz w:val="21"/>
          <w:szCs w:val="21"/>
          <w:highlight w:val="none"/>
          <w14:textFill>
            <w14:solidFill>
              <w14:schemeClr w14:val="tx1"/>
            </w14:solidFill>
          </w14:textFill>
        </w:rPr>
        <w:t>21、</w:t>
      </w:r>
      <w:bookmarkEnd w:id="100"/>
      <w:bookmarkEnd w:id="101"/>
      <w:bookmarkEnd w:id="102"/>
      <w:r>
        <w:rPr>
          <w:rFonts w:hint="eastAsia"/>
          <w:b/>
          <w:bCs/>
          <w:color w:val="000000" w:themeColor="text1"/>
          <w:sz w:val="21"/>
          <w:szCs w:val="21"/>
          <w:highlight w:val="none"/>
          <w14:textFill>
            <w14:solidFill>
              <w14:schemeClr w14:val="tx1"/>
            </w14:solidFill>
          </w14:textFill>
        </w:rPr>
        <w:t>响应文件解密</w:t>
      </w:r>
    </w:p>
    <w:p w14:paraId="57A1CD2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21.1 供应商应当按照《操作手册》规定，在苏采云系统规定的时间内对磋商响应文件进行解密。</w:t>
      </w:r>
    </w:p>
    <w:p w14:paraId="4DFEEC17">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03" w:name="_Toc20823303"/>
      <w:bookmarkStart w:id="104" w:name="_Toc16938547"/>
      <w:bookmarkStart w:id="105" w:name="_Toc513029231"/>
      <w:r>
        <w:rPr>
          <w:rFonts w:hint="eastAsia"/>
          <w:b/>
          <w:bCs/>
          <w:color w:val="000000" w:themeColor="text1"/>
          <w:sz w:val="21"/>
          <w:szCs w:val="21"/>
          <w:highlight w:val="none"/>
          <w14:textFill>
            <w14:solidFill>
              <w14:schemeClr w14:val="tx1"/>
            </w14:solidFill>
          </w14:textFill>
        </w:rPr>
        <w:t>22、磋商小组</w:t>
      </w:r>
      <w:bookmarkEnd w:id="103"/>
      <w:bookmarkEnd w:id="104"/>
      <w:bookmarkEnd w:id="105"/>
    </w:p>
    <w:p w14:paraId="602EAC7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22.1 采购代理机构将组织磋商小组对响应文件进行评审。磋商小组由采购人代表和有关技术、经济等方面的专家组成，且人员构成符合政府采购有关规定。</w:t>
      </w:r>
    </w:p>
    <w:p w14:paraId="31CAD73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22.2 磋商小组独立工作，负责评审所有响应文件并确定成交侯选人。</w:t>
      </w:r>
    </w:p>
    <w:p w14:paraId="34351980">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23、评审过程的保密与公正</w:t>
      </w:r>
    </w:p>
    <w:p w14:paraId="298B6CB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23.1 磋商小组、采购人和采购代理机构工作人员、相关监督人员等与评审工作有关的人员，对评审情况以及在评审过程中获悉的国家秘密、商业秘密负有保密责任。</w:t>
      </w:r>
    </w:p>
    <w:p w14:paraId="7418394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23.2 在评审过程中，供应商不得以任何行为影响磋商评审过程，否则其响应文件将被作为无效响应文件。</w:t>
      </w:r>
    </w:p>
    <w:p w14:paraId="154EF9E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23.3 在项目评审期间，采购代理机构将设专门人员与供应商联系。</w:t>
      </w:r>
    </w:p>
    <w:p w14:paraId="11FE05F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23.4 采购代理机构和磋商小组不向未成交的供应商解释未成交原因，也不公布评审过程中的相关细节。</w:t>
      </w:r>
    </w:p>
    <w:p w14:paraId="227C60D3">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06" w:name="_Toc20823304"/>
      <w:bookmarkStart w:id="107" w:name="_Toc16938548"/>
      <w:bookmarkStart w:id="108" w:name="_Toc513029232"/>
      <w:r>
        <w:rPr>
          <w:rFonts w:hint="eastAsia"/>
          <w:b/>
          <w:bCs/>
          <w:color w:val="000000" w:themeColor="text1"/>
          <w:sz w:val="21"/>
          <w:szCs w:val="21"/>
          <w:highlight w:val="none"/>
          <w14:textFill>
            <w14:solidFill>
              <w14:schemeClr w14:val="tx1"/>
            </w14:solidFill>
          </w14:textFill>
        </w:rPr>
        <w:t>24、评审过程中的的澄清</w:t>
      </w:r>
      <w:bookmarkEnd w:id="106"/>
      <w:bookmarkEnd w:id="107"/>
      <w:bookmarkEnd w:id="108"/>
    </w:p>
    <w:p w14:paraId="02603E1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B1A0EC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磋商小组并非对每个供应商都作澄清要求。</w:t>
      </w:r>
    </w:p>
    <w:p w14:paraId="4E79957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0788CD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24.3 接到磋商小组澄清、说明和更正要求的供应商如未按规定做出澄清、说明和更正，其风险由供应商自行承担。</w:t>
      </w:r>
    </w:p>
    <w:p w14:paraId="63314D72">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09" w:name="_Toc20823305"/>
      <w:bookmarkStart w:id="110" w:name="_Toc16938549"/>
      <w:bookmarkStart w:id="111" w:name="_Toc513029233"/>
      <w:r>
        <w:rPr>
          <w:rFonts w:hint="eastAsia"/>
          <w:b/>
          <w:bCs/>
          <w:color w:val="000000" w:themeColor="text1"/>
          <w:sz w:val="21"/>
          <w:szCs w:val="21"/>
          <w:highlight w:val="none"/>
          <w14:textFill>
            <w14:solidFill>
              <w14:schemeClr w14:val="tx1"/>
            </w14:solidFill>
          </w14:textFill>
        </w:rPr>
        <w:t>25、对响应文件的审</w:t>
      </w:r>
      <w:bookmarkEnd w:id="109"/>
      <w:bookmarkEnd w:id="110"/>
      <w:bookmarkEnd w:id="111"/>
      <w:r>
        <w:rPr>
          <w:rFonts w:hint="eastAsia"/>
          <w:b/>
          <w:bCs/>
          <w:color w:val="000000" w:themeColor="text1"/>
          <w:sz w:val="21"/>
          <w:szCs w:val="21"/>
          <w:highlight w:val="none"/>
          <w14:textFill>
            <w14:solidFill>
              <w14:schemeClr w14:val="tx1"/>
            </w14:solidFill>
          </w14:textFill>
        </w:rPr>
        <w:t>查</w:t>
      </w:r>
    </w:p>
    <w:p w14:paraId="6F1293CB">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25.1 响应文件审查分为资格审查和符合性审查。</w:t>
      </w:r>
    </w:p>
    <w:p w14:paraId="22DAECA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25.1.1 资格审查：由磋商小组依据法律法规和磋商文件的规定，对响应文件中的资格证明文件进行审查，以确定供应商是否具备参加磋商的资格。</w:t>
      </w:r>
    </w:p>
    <w:p w14:paraId="2A64F19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磋商小组在进行资格审查的同时，将在“信用中国”网站（www.creditchina.gov.cn）、“中国政府采购网"(www.ccgp.gov.cn)查询供应商的信用记录，以确定供应商是否具备磋商资格，查询结果留存并归档。</w:t>
      </w:r>
    </w:p>
    <w:p w14:paraId="61E413B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136E66B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25.1.2 符合性审查：依据磋商文件的规定，由磋商小组从响应文件的有效性、完整性和对磋商文件的响应程度进行审查，以确定是否对磋商文件的实质性要求作出响应。</w:t>
      </w:r>
    </w:p>
    <w:p w14:paraId="4DA0156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25.1.3 未通过资格审查或符合性审查的供应商，磋商小组将在苏采云系统中告知未通过资格审查或符合性审查的原因，评审结束后，磋商小组将不再告知未通过资格审查或符合性审查的原因。</w:t>
      </w:r>
    </w:p>
    <w:p w14:paraId="03D8487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25.2 在详细评审之前，磋商小组将首先审查每份响应文件是否实质性响应了磋商文件的要求。实质性响应的响应文件应该是与磋商文件要求的条款、条件和规格相符，没有重大偏离或保留。</w:t>
      </w:r>
    </w:p>
    <w:p w14:paraId="1F415DA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33B33A">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25.3 未实质性响应磋商文件的情形</w:t>
      </w:r>
    </w:p>
    <w:p w14:paraId="77652D1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25.3.1 供应商在苏采云系统规定的时间内未成功解密电子响应文件的。</w:t>
      </w:r>
    </w:p>
    <w:p w14:paraId="307D7C2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25.3.2 供应商未按照磋商文件要求上传电子响应文件的。</w:t>
      </w:r>
    </w:p>
    <w:p w14:paraId="134EB3A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25.3.3 同一供应商提交两个（含两个）以上不同的响应文件或者最后报价的。</w:t>
      </w:r>
    </w:p>
    <w:p w14:paraId="597A4D1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25.3.4 供应商不具备磋商文件中规定资格要求的。</w:t>
      </w:r>
    </w:p>
    <w:p w14:paraId="5FDB997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25.3.5 供应商的投标报价超过了最高投标限价。</w:t>
      </w:r>
    </w:p>
    <w:p w14:paraId="33FF690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（本竞争性磋商文件中带星号“★”等内容为实质性要求和条件）。</w:t>
      </w:r>
    </w:p>
    <w:p w14:paraId="42AF776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p>
    <w:p w14:paraId="03DC048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25.3.8 响应文件含有采购人不能接受的附加条件的。</w:t>
      </w:r>
    </w:p>
    <w:p w14:paraId="4BCAB0C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25.3.9 响应文件未按照磋商文件要求加盖CA电子公章或签字的。</w:t>
      </w:r>
    </w:p>
    <w:p w14:paraId="2172BA9D">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  无效响应的情形</w:t>
      </w:r>
    </w:p>
    <w:p w14:paraId="5974B68E">
      <w:pPr>
        <w:pStyle w:val="46"/>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p>
    <w:p w14:paraId="118E27BC">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25.4.2 未实质性响应磋商文件的响应文件按无效响应处理。</w:t>
      </w:r>
    </w:p>
    <w:p w14:paraId="2D7BACA3">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w:t>
      </w:r>
    </w:p>
    <w:p w14:paraId="4F9B041E">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（1）不同供应商的响应文件由同一单位或者个人编制；</w:t>
      </w:r>
    </w:p>
    <w:p w14:paraId="43349B35">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（2）不同供应商委托同一单位或者个人办理投标事宜；</w:t>
      </w:r>
    </w:p>
    <w:p w14:paraId="57EFFF71">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（3）不同供应商的响应文件载明的项目管理成员或者联系人员为同一人；</w:t>
      </w:r>
    </w:p>
    <w:p w14:paraId="11FDC773">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（4）不同供应商的响应文件异常一致或者投标报价呈规律性差异；</w:t>
      </w:r>
    </w:p>
    <w:p w14:paraId="7C2D044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（5）不同供应商的MAC地址一致的。</w:t>
      </w:r>
    </w:p>
    <w:p w14:paraId="699EBFFE">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25.5 如果响应文件实质上没有响应磋商文件的要求，磋商小组将予以拒绝，供应商不得通过修改或撤销不合要求的偏离或保留而使其成为实质性响应的文件。</w:t>
      </w:r>
    </w:p>
    <w:p w14:paraId="01DC5B7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bookmarkStart w:id="112" w:name="_Toc20823306"/>
      <w:bookmarkStart w:id="113" w:name="_Toc513029234"/>
      <w:bookmarkStart w:id="114" w:name="_Toc16938550"/>
      <w:r>
        <w:rPr>
          <w:rFonts w:hint="eastAsia"/>
          <w:color w:val="000000" w:themeColor="text1"/>
          <w:sz w:val="21"/>
          <w:szCs w:val="21"/>
          <w:highlight w:val="none"/>
          <w14:textFill>
            <w14:solidFill>
              <w14:schemeClr w14:val="tx1"/>
            </w14:solidFill>
          </w14:textFill>
        </w:rPr>
        <w:t>25.6 供应商在项目评审全过程中应保持通讯畅通，并安排专人与采购代理机构及磋商小组联系。</w:t>
      </w:r>
      <w:bookmarkEnd w:id="112"/>
      <w:bookmarkEnd w:id="113"/>
      <w:bookmarkEnd w:id="114"/>
    </w:p>
    <w:p w14:paraId="22BDD7A0">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26、磋商程序及评审方法和评审标准</w:t>
      </w:r>
    </w:p>
    <w:p w14:paraId="29FF7C97">
      <w:pPr>
        <w:pStyle w:val="46"/>
        <w:widowControl w:val="0"/>
        <w:tabs>
          <w:tab w:val="left" w:pos="901"/>
        </w:tabs>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26.1 磋商程序</w:t>
      </w:r>
    </w:p>
    <w:p w14:paraId="18B45218">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BF75AE4">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D90A656">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00F8350">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709741F">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最后报价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p>
    <w:p w14:paraId="58BC3FD9">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5D12B1C">
      <w:pPr>
        <w:pStyle w:val="46"/>
        <w:widowControl w:val="0"/>
        <w:tabs>
          <w:tab w:val="left" w:pos="901"/>
        </w:tabs>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26.2  评审方法和评审标准</w:t>
      </w:r>
    </w:p>
    <w:p w14:paraId="4F217821">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26.2.1评审方法。经磋商确定最终采购需求和提交最后报价的供应商后，由磋商小组采用综合评分法对提交最后报价的供应商的响应文件和最后报价进行综合评分。</w:t>
      </w:r>
    </w:p>
    <w:p w14:paraId="4A0C67CF">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8BBF88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26.2.2 评审标准</w:t>
      </w:r>
    </w:p>
    <w:p w14:paraId="54B3807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见本磋商文件第三章规定。</w:t>
      </w:r>
    </w:p>
    <w:p w14:paraId="6691392D">
      <w:pPr>
        <w:pStyle w:val="46"/>
        <w:widowControl w:val="0"/>
        <w:tabs>
          <w:tab w:val="left" w:pos="901"/>
        </w:tabs>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26.3 采购活动终止的情况</w:t>
      </w:r>
    </w:p>
    <w:p w14:paraId="3991879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出现下列情形之一的，本次竞争性磋商采购活动将被终止：</w:t>
      </w:r>
    </w:p>
    <w:p w14:paraId="527AE68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26.3.1 因情况变化，不再符合规定的竞争性磋商采购方式适用情形的。</w:t>
      </w:r>
    </w:p>
    <w:p w14:paraId="22E0288A">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26.3.2 出现影响采购公正的违法、违规行为的。</w:t>
      </w:r>
    </w:p>
    <w:p w14:paraId="589FE7BB">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26.3.3 除本磋商文件第二章第26.1.2条第三款规定的情形外，在采购过程中符合要求的供应商或者最后报价未超过采购预算的供应商不足3家的。</w:t>
      </w:r>
    </w:p>
    <w:p w14:paraId="6FAEE1D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26.3.4 在苏采云系统规定时间内成功解密电子响应文件的供应商不足3家的。</w:t>
      </w:r>
    </w:p>
    <w:p w14:paraId="03D42281">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5" w:name="_Toc120614219"/>
      <w:bookmarkStart w:id="116" w:name="_Toc20823307"/>
      <w:bookmarkStart w:id="117" w:name="_Toc513029235"/>
      <w:bookmarkStart w:id="118" w:name="_Toc16938551"/>
      <w:r>
        <w:rPr>
          <w:rFonts w:hint="eastAsia"/>
          <w:b/>
          <w:bCs/>
          <w:color w:val="000000" w:themeColor="text1"/>
          <w:sz w:val="21"/>
          <w:szCs w:val="21"/>
          <w:highlight w:val="none"/>
          <w14:textFill>
            <w14:solidFill>
              <w14:schemeClr w14:val="tx1"/>
            </w14:solidFill>
          </w14:textFill>
        </w:rPr>
        <w:t>六、</w:t>
      </w:r>
      <w:bookmarkEnd w:id="115"/>
      <w:bookmarkEnd w:id="116"/>
      <w:bookmarkEnd w:id="117"/>
      <w:bookmarkEnd w:id="118"/>
      <w:r>
        <w:rPr>
          <w:rFonts w:hint="eastAsia"/>
          <w:b/>
          <w:bCs/>
          <w:color w:val="000000" w:themeColor="text1"/>
          <w:sz w:val="21"/>
          <w:szCs w:val="21"/>
          <w:highlight w:val="none"/>
          <w14:textFill>
            <w14:solidFill>
              <w14:schemeClr w14:val="tx1"/>
            </w14:solidFill>
          </w14:textFill>
        </w:rPr>
        <w:t>成交</w:t>
      </w:r>
    </w:p>
    <w:p w14:paraId="6B82DF3C">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9" w:name="_Toc20823310"/>
      <w:bookmarkStart w:id="120" w:name="_Toc16938554"/>
      <w:bookmarkStart w:id="121" w:name="_Toc513029238"/>
      <w:r>
        <w:rPr>
          <w:rFonts w:hint="eastAsia"/>
          <w:b/>
          <w:bCs/>
          <w:color w:val="000000" w:themeColor="text1"/>
          <w:sz w:val="21"/>
          <w:szCs w:val="21"/>
          <w:highlight w:val="none"/>
          <w14:textFill>
            <w14:solidFill>
              <w14:schemeClr w14:val="tx1"/>
            </w14:solidFill>
          </w14:textFill>
        </w:rPr>
        <w:t>27、</w:t>
      </w:r>
      <w:bookmarkEnd w:id="119"/>
      <w:r>
        <w:rPr>
          <w:rFonts w:hint="eastAsia"/>
          <w:b/>
          <w:bCs/>
          <w:color w:val="000000" w:themeColor="text1"/>
          <w:sz w:val="21"/>
          <w:szCs w:val="21"/>
          <w:highlight w:val="none"/>
          <w14:textFill>
            <w14:solidFill>
              <w14:schemeClr w14:val="tx1"/>
            </w14:solidFill>
          </w14:textFill>
        </w:rPr>
        <w:t>确定</w:t>
      </w:r>
      <w:bookmarkEnd w:id="120"/>
      <w:bookmarkEnd w:id="121"/>
      <w:r>
        <w:rPr>
          <w:rFonts w:hint="eastAsia"/>
          <w:b/>
          <w:bCs/>
          <w:color w:val="000000" w:themeColor="text1"/>
          <w:sz w:val="21"/>
          <w:szCs w:val="21"/>
          <w:highlight w:val="none"/>
          <w14:textFill>
            <w14:solidFill>
              <w14:schemeClr w14:val="tx1"/>
            </w14:solidFill>
          </w14:textFill>
        </w:rPr>
        <w:t>成交单位</w:t>
      </w:r>
    </w:p>
    <w:p w14:paraId="003FFE3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p>
    <w:p w14:paraId="530E921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CE9883B">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27.2 按以下第（2）种方式确定成交供应商；</w:t>
      </w:r>
    </w:p>
    <w:p w14:paraId="0C8411EA">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（1）磋商小组直接确定排名第一的成交候选人为成交供应商；</w:t>
      </w:r>
    </w:p>
    <w:p w14:paraId="03DC13E7">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（2）采购人在磋商小组推荐的3名成交候选人中按顺序确定成交供应商。</w:t>
      </w:r>
    </w:p>
    <w:p w14:paraId="3EEBC104">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02F95A8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27.3 确定成交供应商后，采购代理机构将在“江苏政府采购网、南京公共采购信息网”发布成交结果公告，公告期限为1个工作日。</w:t>
      </w:r>
    </w:p>
    <w:p w14:paraId="6AC6E0D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 若有充分证据证明，成交供应商出现下列情况之一的，一经查实，将被取消成交资格：</w:t>
      </w:r>
    </w:p>
    <w:p w14:paraId="6A80F78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27.4.1 提供虚假材料谋取成交的。</w:t>
      </w:r>
    </w:p>
    <w:p w14:paraId="759A048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27.4.2 与评审专家、采购人、其他供应商或者采购代理机构工作人员恶意串通的。</w:t>
      </w:r>
    </w:p>
    <w:p w14:paraId="3B1E0AA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27.4.3 向评审专家、采购人或采购代理机构工作人员行贿或者提供其他不正当利益的。</w:t>
      </w:r>
    </w:p>
    <w:p w14:paraId="7994E81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27.4.4 恶意竞争，最后报价明显低于其自身合理成本且又无法提供证明的。</w:t>
      </w:r>
    </w:p>
    <w:p w14:paraId="21F3BE5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27.4.5 不满足本磋商文件规定的实质性要求，但在评审过程中又未被磋商小组发现的。</w:t>
      </w:r>
    </w:p>
    <w:p w14:paraId="6BF1B59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27.4.6 成交后无正当理由拒不与采购人签订政府采购合同或者未按照磋商文件确定的事项签订政府采购合同的。</w:t>
      </w:r>
    </w:p>
    <w:p w14:paraId="2E12738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27.4.7 将政府采购合同转包的。</w:t>
      </w:r>
      <w:bookmarkStart w:id="122" w:name="_Toc200451960"/>
    </w:p>
    <w:p w14:paraId="23EF12D9">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w:t>
      </w:r>
      <w:bookmarkEnd w:id="122"/>
      <w:r>
        <w:rPr>
          <w:b/>
          <w:bCs/>
          <w:color w:val="000000" w:themeColor="text1"/>
          <w:sz w:val="21"/>
          <w:szCs w:val="21"/>
          <w:highlight w:val="none"/>
          <w14:textFill>
            <w14:solidFill>
              <w14:schemeClr w14:val="tx1"/>
            </w14:solidFill>
          </w14:textFill>
        </w:rPr>
        <w:t>询问、质疑、投诉和诚实信用</w:t>
      </w:r>
    </w:p>
    <w:p w14:paraId="679D63E5">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28.1 询问</w:t>
      </w:r>
    </w:p>
    <w:p w14:paraId="7E67695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供应商对采购活动事项有疑问的，可以依法向采购代理机构或采购人提出询问，采购人或者采购代理机构在三个工作日内对供应商依法提出的询问作出答复，但答复的内容不涉及商业秘密。</w:t>
      </w:r>
    </w:p>
    <w:p w14:paraId="67AAACDD">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28.2 质疑</w:t>
      </w:r>
    </w:p>
    <w:p w14:paraId="6A5321B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28.2.1 提出质疑的供应商应当是参与所质疑项目采购活动的供应商。潜在供应商依法获取其可质疑的采购文件的，可以对采购文件提出质疑。</w:t>
      </w:r>
    </w:p>
    <w:p w14:paraId="23B0F9C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p>
    <w:p w14:paraId="304B0DA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（1）对可以质疑的采购文件提出质疑的，为收到采购文件之日或者采购文件公告期限届满之日。</w:t>
      </w:r>
    </w:p>
    <w:p w14:paraId="4099B0B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（2）对采购过程提出质疑的，为各采购程序环节结束之日。</w:t>
      </w:r>
    </w:p>
    <w:p w14:paraId="15F8A0A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（3）对成交结果提出质疑的，为成交结果公告期限届满之日。</w:t>
      </w:r>
    </w:p>
    <w:p w14:paraId="50B82B3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28.2.3 供应商应当在法定质疑期内一次性提出针对同一采购程序环节的质疑。供应商如在法定期限内对同一采购程序环节提出多次质疑的，采购代理机构、采购人将只对供应商第一次质疑作出答复。</w:t>
      </w:r>
    </w:p>
    <w:p w14:paraId="1EEB1181">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2039B21">
      <w:pPr>
        <w:spacing w:line="360" w:lineRule="auto"/>
        <w:ind w:firstLine="480"/>
        <w:jc w:val="both"/>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质疑文件应包括以下主要内容：</w:t>
      </w:r>
    </w:p>
    <w:p w14:paraId="0B58A162">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（1）质疑供应商的姓名或者名称、地址、邮编、联系人及联系电话；</w:t>
      </w:r>
    </w:p>
    <w:p w14:paraId="25CD5A2F">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（2）质疑项目的名称、编号、公告发布时间、磋商时间；</w:t>
      </w:r>
    </w:p>
    <w:p w14:paraId="7485669D">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（3）具体、明确的质疑事项和与质疑事项相关的请求；</w:t>
      </w:r>
    </w:p>
    <w:p w14:paraId="11EB5210">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（4）事实依据；</w:t>
      </w:r>
    </w:p>
    <w:p w14:paraId="4998B202">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（5）必要的法律依据；</w:t>
      </w:r>
    </w:p>
    <w:p w14:paraId="745F83D6">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（6）提出质疑的日期；</w:t>
      </w:r>
    </w:p>
    <w:p w14:paraId="6C07AB8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28.2.5 供应商（含潜在供应商）对与本项目有关的所有询问、质疑均请向采购代理机构提出，由采购代理机构负责答复。</w:t>
      </w:r>
    </w:p>
    <w:p w14:paraId="18CA2C6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28.2.6 采购代理机构只接收以纸质原件形式送达的质疑。</w:t>
      </w:r>
    </w:p>
    <w:p w14:paraId="7C8F5F3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采购代理机构质疑接收部门为</w:t>
      </w:r>
      <w:r>
        <w:rPr>
          <w:rFonts w:hint="eastAsia"/>
          <w:color w:val="000000" w:themeColor="text1"/>
          <w:sz w:val="21"/>
          <w:szCs w:val="21"/>
          <w:highlight w:val="none"/>
          <w:lang w:eastAsia="zh-CN"/>
          <w14:textFill>
            <w14:solidFill>
              <w14:schemeClr w14:val="tx1"/>
            </w14:solidFill>
          </w14:textFill>
        </w:rPr>
        <w:t>南京麻田工程咨询有限公司</w:t>
      </w:r>
      <w:r>
        <w:rPr>
          <w:rFonts w:hint="eastAsia"/>
          <w:color w:val="000000" w:themeColor="text1"/>
          <w:sz w:val="21"/>
          <w:szCs w:val="21"/>
          <w:highlight w:val="none"/>
          <w14:textFill>
            <w14:solidFill>
              <w14:schemeClr w14:val="tx1"/>
            </w14:solidFill>
          </w14:textFill>
        </w:rPr>
        <w:t>，联系地址：</w:t>
      </w:r>
      <w:r>
        <w:rPr>
          <w:rFonts w:hint="eastAsia"/>
          <w:color w:val="000000" w:themeColor="text1"/>
          <w:sz w:val="21"/>
          <w:szCs w:val="21"/>
          <w:highlight w:val="none"/>
          <w:lang w:eastAsia="zh-CN"/>
          <w14:textFill>
            <w14:solidFill>
              <w14:schemeClr w14:val="tx1"/>
            </w14:solidFill>
          </w14:textFill>
        </w:rPr>
        <w:t>南京市江宁区淳化街道雁冲路68号院内9号楼1楼</w:t>
      </w:r>
      <w:r>
        <w:rPr>
          <w:rFonts w:hint="eastAsia"/>
          <w:color w:val="000000" w:themeColor="text1"/>
          <w:sz w:val="21"/>
          <w:szCs w:val="21"/>
          <w:highlight w:val="none"/>
          <w14:textFill>
            <w14:solidFill>
              <w14:schemeClr w14:val="tx1"/>
            </w14:solidFill>
          </w14:textFill>
        </w:rPr>
        <w:t>，联系电话：</w:t>
      </w:r>
      <w:r>
        <w:rPr>
          <w:rFonts w:hint="eastAsia"/>
          <w:color w:val="000000" w:themeColor="text1"/>
          <w:sz w:val="21"/>
          <w:szCs w:val="21"/>
          <w:highlight w:val="none"/>
          <w:lang w:eastAsia="zh-CN"/>
          <w14:textFill>
            <w14:solidFill>
              <w14:schemeClr w14:val="tx1"/>
            </w14:solidFill>
          </w14:textFill>
        </w:rPr>
        <w:t>025-52730710</w:t>
      </w:r>
      <w:r>
        <w:rPr>
          <w:rFonts w:hint="eastAsia"/>
          <w:color w:val="000000" w:themeColor="text1"/>
          <w:sz w:val="21"/>
          <w:szCs w:val="21"/>
          <w:highlight w:val="none"/>
          <w14:textFill>
            <w14:solidFill>
              <w14:schemeClr w14:val="tx1"/>
            </w14:solidFill>
          </w14:textFill>
        </w:rPr>
        <w:t>。</w:t>
      </w:r>
    </w:p>
    <w:p w14:paraId="78C121F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28.2.7 以下情形的质疑不予受理：</w:t>
      </w:r>
    </w:p>
    <w:p w14:paraId="5817AFC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（1）内容不符合《政府采购质疑和投诉办法》第十二条规定的质疑。</w:t>
      </w:r>
    </w:p>
    <w:p w14:paraId="61F94E3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（2）超出政府采购法定期限的质疑。</w:t>
      </w:r>
    </w:p>
    <w:p w14:paraId="62B63AB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（3）以传真、电子邮件等方式递交的非原件形式的质疑。</w:t>
      </w:r>
    </w:p>
    <w:p w14:paraId="608C442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（4）未参加磋商活动的供应商或在磋商活动中自身权益未受到损害的供应商所提出的质疑。</w:t>
      </w:r>
    </w:p>
    <w:p w14:paraId="28AB489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（5）供应商组成联合体参加磋商，联合体中任何一方或多方未按要求签字、盖章、加盖公章的质疑。</w:t>
      </w:r>
    </w:p>
    <w:p w14:paraId="619DA915">
      <w:pPr>
        <w:spacing w:line="360" w:lineRule="auto"/>
        <w:ind w:firstLine="422"/>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28.3、投诉</w:t>
      </w:r>
    </w:p>
    <w:p w14:paraId="3C20656C">
      <w:pPr>
        <w:pStyle w:val="18"/>
        <w:spacing w:before="0" w:line="360" w:lineRule="auto"/>
        <w:ind w:left="0" w:firstLine="412"/>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28.3.1 质疑供应商对采购人采购代理机构的答复不满意或者采购人、采购代理机构未在规定的时间内作出答复的，可以在答复期满后十五个工作日内向同级政府采购监督管理部门投诉。</w:t>
      </w:r>
    </w:p>
    <w:p w14:paraId="68BE0E43">
      <w:pPr>
        <w:spacing w:line="360" w:lineRule="auto"/>
        <w:ind w:firstLine="422"/>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28.4、诚实信用</w:t>
      </w:r>
    </w:p>
    <w:p w14:paraId="1BB86B32">
      <w:pPr>
        <w:pStyle w:val="18"/>
        <w:spacing w:before="0" w:line="360" w:lineRule="auto"/>
        <w:ind w:left="0" w:firstLine="412"/>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人和其他供应商的合法权益。</w:t>
      </w:r>
    </w:p>
    <w:p w14:paraId="3D4C006E">
      <w:pPr>
        <w:pStyle w:val="18"/>
        <w:spacing w:before="0" w:line="360" w:lineRule="auto"/>
        <w:ind w:left="0" w:firstLine="412"/>
        <w:jc w:val="both"/>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录名单，按照政府采购法有关规定处理。</w:t>
      </w:r>
    </w:p>
    <w:p w14:paraId="13C38AEC">
      <w:pPr>
        <w:pStyle w:val="18"/>
        <w:spacing w:before="0" w:line="360" w:lineRule="auto"/>
        <w:ind w:left="0" w:firstLine="420"/>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供应商不得虚假承诺，否则，按照提供虚假材料谋取成交处理。</w:t>
      </w:r>
    </w:p>
    <w:p w14:paraId="7DDD7852">
      <w:pPr>
        <w:pStyle w:val="18"/>
        <w:spacing w:before="0" w:line="360" w:lineRule="auto"/>
        <w:ind w:left="0" w:firstLine="420"/>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w:t>
      </w:r>
    </w:p>
    <w:p w14:paraId="6763D5A7">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29、成交通知书</w:t>
      </w:r>
    </w:p>
    <w:p w14:paraId="1650306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E44128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29.2 成交通知书将是合同的一个组成部分。对采购人和成交供应商均具有法律效力。成交通知书发出后，采购人改变成交结果的，或者成交供应商放弃成交项目的，应当依法承担法律责任。</w:t>
      </w:r>
    </w:p>
    <w:p w14:paraId="005450E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29</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成交通知书发出后，采购人或成交供应商拒绝签订合同的，拒绝签订合同的一方应至少向另一方支付与磋商保证金相等的补偿金，以及为磋商所发生的有关费用和双方商定的其他补偿，并承担相应的法律责任。</w:t>
      </w:r>
    </w:p>
    <w:p w14:paraId="626CE161">
      <w:pPr>
        <w:spacing w:line="360" w:lineRule="auto"/>
        <w:ind w:firstLine="420"/>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0437F40E">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23" w:name="_Toc513029236"/>
      <w:bookmarkStart w:id="124" w:name="_Toc20823308"/>
      <w:bookmarkStart w:id="125" w:name="_Toc120614220"/>
      <w:bookmarkStart w:id="126" w:name="_Toc16938552"/>
      <w:r>
        <w:rPr>
          <w:rFonts w:hint="eastAsia"/>
          <w:b/>
          <w:bCs/>
          <w:color w:val="000000" w:themeColor="text1"/>
          <w:sz w:val="21"/>
          <w:szCs w:val="21"/>
          <w:highlight w:val="none"/>
          <w14:textFill>
            <w14:solidFill>
              <w14:schemeClr w14:val="tx1"/>
            </w14:solidFill>
          </w14:textFill>
        </w:rPr>
        <w:t>七、授予合同</w:t>
      </w:r>
      <w:bookmarkEnd w:id="123"/>
      <w:bookmarkEnd w:id="124"/>
      <w:bookmarkEnd w:id="125"/>
      <w:bookmarkEnd w:id="126"/>
    </w:p>
    <w:p w14:paraId="61FE8ACB">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27" w:name="_Toc513029237"/>
      <w:bookmarkStart w:id="128" w:name="_Toc20823309"/>
      <w:bookmarkStart w:id="129" w:name="_Toc16938553"/>
      <w:r>
        <w:rPr>
          <w:rFonts w:hint="eastAsia"/>
          <w:b/>
          <w:bCs/>
          <w:color w:val="000000" w:themeColor="text1"/>
          <w:sz w:val="21"/>
          <w:szCs w:val="21"/>
          <w:highlight w:val="none"/>
          <w14:textFill>
            <w14:solidFill>
              <w14:schemeClr w14:val="tx1"/>
            </w14:solidFill>
          </w14:textFill>
        </w:rPr>
        <w:t>30. 签订合同</w:t>
      </w:r>
      <w:bookmarkEnd w:id="127"/>
      <w:bookmarkEnd w:id="128"/>
      <w:bookmarkEnd w:id="129"/>
    </w:p>
    <w:p w14:paraId="011E5B8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30.l成交供应商应当在成交通知书发出之日起三十日内，按照磋商文件确定的事项与采购人签订政府采购合同。</w:t>
      </w:r>
    </w:p>
    <w:p w14:paraId="574BB5C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30.2 磋商文件、成交供应商的响应文件及磋商过程中有关澄清、承诺文件均应作为合同附件。</w:t>
      </w:r>
    </w:p>
    <w:p w14:paraId="50D47CB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30.3 签订合同后，</w:t>
      </w:r>
      <w:r>
        <w:rPr>
          <w:rFonts w:hint="eastAsia"/>
          <w:i/>
          <w:iCs/>
          <w:color w:val="000000" w:themeColor="text1"/>
          <w:sz w:val="21"/>
          <w:szCs w:val="21"/>
          <w:highlight w:val="none"/>
          <w:u w:val="single"/>
          <w14:textFill>
            <w14:solidFill>
              <w14:schemeClr w14:val="tx1"/>
            </w14:solidFill>
          </w14:textFill>
        </w:rPr>
        <w:t>成交供应商不得将合同标的进行转包</w:t>
      </w:r>
      <w:r>
        <w:rPr>
          <w:rFonts w:hint="eastAsia"/>
          <w:color w:val="000000" w:themeColor="text1"/>
          <w:sz w:val="21"/>
          <w:szCs w:val="21"/>
          <w:highlight w:val="none"/>
          <w14:textFill>
            <w14:solidFill>
              <w14:schemeClr w14:val="tx1"/>
            </w14:solidFill>
          </w14:textFill>
        </w:rPr>
        <w:t>。未经采购人同意，成交供应商也不得采用分包形式履行合同,否则采购人有权终止合同。转包或分包造成采购人损失的，成交供应商应承担相应赔偿责任。</w:t>
      </w:r>
    </w:p>
    <w:p w14:paraId="1CE235E8">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31、标的物的追加</w:t>
      </w:r>
    </w:p>
    <w:p w14:paraId="1195EEC4">
      <w:pPr>
        <w:pStyle w:val="46"/>
        <w:widowControl w:val="0"/>
        <w:spacing w:before="0" w:beforeAutospacing="0" w:after="0" w:afterAutospacing="0" w:line="360" w:lineRule="auto"/>
        <w:ind w:firstLine="420"/>
        <w:jc w:val="both"/>
        <w:rPr>
          <w:rFonts w:cs="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31.1 政府采购合同履行中，采购人需追加与合同标的相同的货物、服务、工程的，在不改变合同其他条款的前提下，可以与成交供应商协商签订补充合同，但所有补充合同的采购金额不超过原合同金额10%。</w:t>
      </w:r>
      <w:bookmarkEnd w:id="28"/>
      <w:bookmarkEnd w:id="65"/>
      <w:bookmarkEnd w:id="66"/>
      <w:bookmarkEnd w:id="67"/>
      <w:bookmarkEnd w:id="68"/>
      <w:bookmarkEnd w:id="69"/>
      <w:bookmarkEnd w:id="70"/>
      <w:bookmarkEnd w:id="71"/>
      <w:bookmarkEnd w:id="72"/>
      <w:bookmarkEnd w:id="81"/>
      <w:bookmarkEnd w:id="82"/>
      <w:bookmarkEnd w:id="89"/>
    </w:p>
    <w:p w14:paraId="4C2156F6">
      <w:pPr>
        <w:pStyle w:val="18"/>
        <w:spacing w:before="154" w:line="355" w:lineRule="auto"/>
        <w:ind w:left="0" w:right="117"/>
        <w:jc w:val="center"/>
        <w:outlineLvl w:val="0"/>
        <w:rPr>
          <w:color w:val="000000" w:themeColor="text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br w:type="page" w:clear="all"/>
      </w:r>
      <w:bookmarkStart w:id="130" w:name="_bookmark7"/>
      <w:bookmarkEnd w:id="130"/>
      <w:bookmarkStart w:id="131" w:name="_Toc183610247"/>
      <w:r>
        <w:rPr>
          <w:rFonts w:hint="eastAsia" w:cs="宋体"/>
          <w:b/>
          <w:bCs/>
          <w:color w:val="000000" w:themeColor="text1"/>
          <w:sz w:val="28"/>
          <w:szCs w:val="28"/>
          <w:highlight w:val="none"/>
          <w:lang w:eastAsia="zh-CN"/>
          <w14:textFill>
            <w14:solidFill>
              <w14:schemeClr w14:val="tx1"/>
            </w14:solidFill>
          </w14:textFill>
        </w:rPr>
        <w:t>第三章 成交标准</w:t>
      </w:r>
      <w:bookmarkEnd w:id="131"/>
    </w:p>
    <w:p w14:paraId="1A925946">
      <w:pPr>
        <w:tabs>
          <w:tab w:val="left" w:pos="2160"/>
        </w:tabs>
        <w:spacing w:line="360" w:lineRule="auto"/>
        <w:ind w:firstLine="422" w:firstLineChars="200"/>
        <w:rPr>
          <w:rFonts w:hint="eastAsia" w:ascii="宋体" w:hAnsi="宋体" w:eastAsia="宋体" w:cs="宋体"/>
          <w:sz w:val="21"/>
          <w:szCs w:val="21"/>
          <w:highlight w:val="none"/>
        </w:rPr>
      </w:pPr>
      <w:bookmarkStart w:id="132" w:name="第四章__采购项目需求"/>
      <w:bookmarkEnd w:id="132"/>
      <w:bookmarkStart w:id="133" w:name="_bookmark8"/>
      <w:bookmarkEnd w:id="133"/>
      <w:bookmarkStart w:id="134" w:name="_Toc183610248"/>
      <w:r>
        <w:rPr>
          <w:rFonts w:hint="eastAsia" w:ascii="宋体" w:hAnsi="宋体" w:eastAsia="宋体" w:cs="宋体"/>
          <w:b/>
          <w:bCs/>
          <w:sz w:val="21"/>
          <w:szCs w:val="21"/>
          <w:highlight w:val="none"/>
        </w:rPr>
        <w:t>本标段采用综合评分法。综合评分法是指在满足磋商文件实质性要求前提下，按照磋商文件中规定的各项因素进行综合评审后，以评标总得分最高的投标人作为中标供应商的评标方法。本次采购得分最高者为中标供应商，第二名为备选供应商，当中标供应商不能履行其义务时，由备选供应商顶替，成为新的中标供应商，也可重新组织采购。具体的评分细则见下表</w:t>
      </w:r>
      <w:r>
        <w:rPr>
          <w:rFonts w:hint="eastAsia" w:ascii="宋体" w:hAnsi="宋体" w:eastAsia="宋体" w:cs="宋体"/>
          <w:sz w:val="21"/>
          <w:szCs w:val="21"/>
          <w:highlight w:val="none"/>
        </w:rPr>
        <w:t>。</w:t>
      </w:r>
    </w:p>
    <w:tbl>
      <w:tblPr>
        <w:tblStyle w:val="51"/>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7"/>
        <w:gridCol w:w="1701"/>
        <w:gridCol w:w="6659"/>
      </w:tblGrid>
      <w:tr w14:paraId="586F4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blHeader/>
          <w:jc w:val="center"/>
        </w:trPr>
        <w:tc>
          <w:tcPr>
            <w:tcW w:w="1217" w:type="dxa"/>
            <w:tcBorders>
              <w:top w:val="single" w:color="000000" w:sz="4" w:space="0"/>
              <w:left w:val="single" w:color="000000" w:sz="4" w:space="0"/>
              <w:bottom w:val="single" w:color="000000" w:sz="4" w:space="0"/>
              <w:right w:val="single" w:color="000000" w:sz="4" w:space="0"/>
            </w:tcBorders>
            <w:noWrap w:val="0"/>
            <w:vAlign w:val="center"/>
          </w:tcPr>
          <w:p w14:paraId="2AD626B4">
            <w:pPr>
              <w:spacing w:line="276" w:lineRule="auto"/>
              <w:jc w:val="center"/>
              <w:rPr>
                <w:rFonts w:ascii="宋体" w:hAnsi="宋体" w:cs="宋体"/>
                <w:b/>
                <w:color w:val="000000"/>
                <w:highlight w:val="none"/>
              </w:rPr>
            </w:pPr>
            <w:r>
              <w:rPr>
                <w:rFonts w:hint="eastAsia" w:ascii="宋体" w:hAnsi="宋体" w:cs="宋体"/>
                <w:b/>
                <w:color w:val="000000"/>
                <w:highlight w:val="none"/>
              </w:rPr>
              <w:t>评分项目</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538EABDC">
            <w:pPr>
              <w:spacing w:line="276" w:lineRule="auto"/>
              <w:ind w:firstLine="440" w:firstLineChars="200"/>
              <w:jc w:val="left"/>
              <w:rPr>
                <w:rFonts w:ascii="宋体" w:hAnsi="宋体" w:cs="宋体"/>
                <w:b/>
                <w:color w:val="000000"/>
                <w:highlight w:val="none"/>
              </w:rPr>
            </w:pPr>
            <w:r>
              <w:rPr>
                <w:rFonts w:hint="eastAsia" w:ascii="宋体" w:hAnsi="宋体" w:cs="宋体"/>
                <w:b/>
                <w:color w:val="000000"/>
                <w:highlight w:val="none"/>
              </w:rPr>
              <w:t>分项</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75FA879B">
            <w:pPr>
              <w:spacing w:line="276" w:lineRule="auto"/>
              <w:ind w:firstLine="440" w:firstLineChars="200"/>
              <w:jc w:val="center"/>
              <w:rPr>
                <w:rFonts w:ascii="宋体" w:hAnsi="宋体" w:cs="宋体"/>
                <w:b/>
                <w:color w:val="000000"/>
                <w:highlight w:val="none"/>
              </w:rPr>
            </w:pPr>
            <w:r>
              <w:rPr>
                <w:rFonts w:hint="eastAsia" w:ascii="宋体" w:hAnsi="宋体" w:cs="宋体"/>
                <w:b/>
                <w:color w:val="000000"/>
                <w:highlight w:val="none"/>
              </w:rPr>
              <w:t>评标要点及说明</w:t>
            </w:r>
          </w:p>
        </w:tc>
      </w:tr>
      <w:tr w14:paraId="6AEDB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1217" w:type="dxa"/>
            <w:tcBorders>
              <w:top w:val="single" w:color="000000" w:sz="4" w:space="0"/>
              <w:left w:val="single" w:color="000000" w:sz="4" w:space="0"/>
              <w:bottom w:val="single" w:color="000000" w:sz="4" w:space="0"/>
              <w:right w:val="single" w:color="000000" w:sz="4" w:space="0"/>
            </w:tcBorders>
            <w:noWrap w:val="0"/>
            <w:vAlign w:val="center"/>
          </w:tcPr>
          <w:p w14:paraId="438FE8BB">
            <w:pPr>
              <w:spacing w:line="276" w:lineRule="auto"/>
              <w:jc w:val="center"/>
              <w:rPr>
                <w:rFonts w:ascii="宋体" w:hAnsi="宋体" w:cs="宋体"/>
                <w:color w:val="000000"/>
                <w:highlight w:val="none"/>
              </w:rPr>
            </w:pPr>
            <w:r>
              <w:rPr>
                <w:rFonts w:hint="eastAsia" w:ascii="宋体" w:hAnsi="宋体" w:cs="宋体"/>
                <w:color w:val="000000"/>
                <w:highlight w:val="none"/>
              </w:rPr>
              <w:t>响应报价</w:t>
            </w:r>
          </w:p>
          <w:p w14:paraId="26B97D8E">
            <w:pPr>
              <w:spacing w:line="276" w:lineRule="auto"/>
              <w:jc w:val="center"/>
              <w:rPr>
                <w:rFonts w:ascii="宋体" w:hAnsi="宋体" w:cs="宋体"/>
                <w:color w:val="000000"/>
                <w:highlight w:val="none"/>
              </w:rPr>
            </w:pPr>
            <w:r>
              <w:rPr>
                <w:rFonts w:hint="eastAsia" w:ascii="宋体" w:hAnsi="宋体" w:cs="宋体"/>
                <w:color w:val="000000"/>
                <w:highlight w:val="none"/>
              </w:rPr>
              <w:t>（10分）</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476F423">
            <w:pPr>
              <w:spacing w:line="276" w:lineRule="auto"/>
              <w:ind w:firstLine="440" w:firstLineChars="200"/>
              <w:jc w:val="left"/>
              <w:rPr>
                <w:rFonts w:ascii="宋体" w:hAnsi="宋体" w:cs="宋体"/>
                <w:color w:val="000000"/>
                <w:highlight w:val="none"/>
              </w:rPr>
            </w:pPr>
            <w:r>
              <w:rPr>
                <w:rFonts w:hint="eastAsia" w:ascii="宋体" w:hAnsi="宋体" w:cs="宋体"/>
                <w:color w:val="000000"/>
                <w:highlight w:val="none"/>
              </w:rPr>
              <w:t>报价</w:t>
            </w:r>
          </w:p>
          <w:p w14:paraId="0A7B78AB">
            <w:pPr>
              <w:spacing w:line="276" w:lineRule="auto"/>
              <w:jc w:val="center"/>
              <w:rPr>
                <w:rFonts w:ascii="宋体" w:hAnsi="宋体" w:cs="宋体"/>
                <w:color w:val="000000"/>
                <w:highlight w:val="none"/>
              </w:rPr>
            </w:pPr>
            <w:r>
              <w:rPr>
                <w:rFonts w:hint="eastAsia" w:ascii="宋体" w:hAnsi="宋体" w:cs="宋体"/>
                <w:color w:val="000000"/>
                <w:highlight w:val="none"/>
              </w:rPr>
              <w:t>（10分）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6358C347">
            <w:pPr>
              <w:spacing w:line="276" w:lineRule="auto"/>
              <w:rPr>
                <w:rFonts w:ascii="宋体" w:hAnsi="宋体" w:cs="宋体"/>
                <w:color w:val="000000"/>
                <w:highlight w:val="none"/>
              </w:rPr>
            </w:pPr>
            <w:r>
              <w:rPr>
                <w:rFonts w:hint="eastAsia" w:ascii="宋体" w:hAnsi="宋体" w:cs="宋体"/>
                <w:color w:val="000000"/>
                <w:highlight w:val="none"/>
              </w:rPr>
              <w:t>采用低价优先法计算，即满足磋商文件要求且最后响应价格最低的磋商报价为评标基准价，其价格分为满分。其他供应商的价格分统一按照下列公式计算：</w:t>
            </w:r>
          </w:p>
          <w:p w14:paraId="75907217">
            <w:pPr>
              <w:spacing w:line="276" w:lineRule="auto"/>
              <w:rPr>
                <w:rFonts w:ascii="宋体" w:hAnsi="宋体" w:cs="宋体"/>
                <w:color w:val="000000"/>
                <w:highlight w:val="none"/>
              </w:rPr>
            </w:pPr>
            <w:r>
              <w:rPr>
                <w:rFonts w:hint="eastAsia" w:ascii="宋体" w:hAnsi="宋体" w:cs="宋体"/>
                <w:color w:val="000000"/>
                <w:highlight w:val="none"/>
              </w:rPr>
              <w:t>响应报价得分= (评标基准价/最终磋商报价)×10。</w:t>
            </w:r>
          </w:p>
        </w:tc>
      </w:tr>
      <w:tr w14:paraId="644D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5" w:hRule="atLeast"/>
          <w:tblHeader/>
          <w:jc w:val="center"/>
        </w:trPr>
        <w:tc>
          <w:tcPr>
            <w:tcW w:w="1217" w:type="dxa"/>
            <w:vMerge w:val="restart"/>
            <w:tcBorders>
              <w:top w:val="single" w:color="000000" w:sz="4" w:space="0"/>
              <w:left w:val="single" w:color="000000" w:sz="4" w:space="0"/>
              <w:right w:val="single" w:color="000000" w:sz="4" w:space="0"/>
            </w:tcBorders>
            <w:noWrap w:val="0"/>
            <w:vAlign w:val="center"/>
          </w:tcPr>
          <w:p w14:paraId="346AD5AB">
            <w:pPr>
              <w:spacing w:line="276" w:lineRule="auto"/>
              <w:jc w:val="center"/>
              <w:rPr>
                <w:rFonts w:ascii="宋体" w:hAnsi="宋体" w:cs="宋体"/>
                <w:color w:val="000000"/>
                <w:highlight w:val="none"/>
              </w:rPr>
            </w:pPr>
            <w:r>
              <w:rPr>
                <w:rFonts w:hint="eastAsia" w:ascii="宋体" w:hAnsi="宋体" w:cs="宋体"/>
                <w:color w:val="000000"/>
                <w:highlight w:val="none"/>
              </w:rPr>
              <w:t>技术部分</w:t>
            </w:r>
          </w:p>
          <w:p w14:paraId="5FFEDA55">
            <w:pPr>
              <w:spacing w:line="276" w:lineRule="auto"/>
              <w:rPr>
                <w:rFonts w:ascii="宋体" w:hAnsi="宋体" w:cs="宋体"/>
                <w:color w:val="000000"/>
                <w:highlight w:val="none"/>
              </w:rPr>
            </w:pPr>
            <w:r>
              <w:rPr>
                <w:rFonts w:hint="eastAsia" w:ascii="宋体" w:hAnsi="宋体" w:cs="宋体"/>
                <w:color w:val="000000"/>
                <w:highlight w:val="none"/>
              </w:rPr>
              <w:t>（</w:t>
            </w:r>
            <w:r>
              <w:rPr>
                <w:rFonts w:hint="eastAsia" w:ascii="宋体" w:hAnsi="宋体" w:cs="宋体"/>
                <w:color w:val="000000"/>
                <w:highlight w:val="none"/>
                <w:lang w:val="en-US" w:eastAsia="zh-CN"/>
              </w:rPr>
              <w:t>55</w:t>
            </w:r>
            <w:r>
              <w:rPr>
                <w:rFonts w:hint="eastAsia" w:ascii="宋体" w:hAnsi="宋体" w:cs="宋体"/>
                <w:color w:val="000000"/>
                <w:highlight w:val="none"/>
              </w:rPr>
              <w:t>分）</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0170EE3F">
            <w:pPr>
              <w:spacing w:line="276" w:lineRule="auto"/>
              <w:jc w:val="center"/>
              <w:rPr>
                <w:rFonts w:hint="eastAsia" w:ascii="宋体" w:hAnsi="宋体"/>
                <w:highlight w:val="none"/>
              </w:rPr>
            </w:pPr>
            <w:r>
              <w:rPr>
                <w:rFonts w:hint="eastAsia" w:ascii="宋体" w:hAnsi="宋体"/>
                <w:highlight w:val="none"/>
              </w:rPr>
              <w:t>项目实施方案合理性及规范性</w:t>
            </w:r>
          </w:p>
          <w:p w14:paraId="39854BF6">
            <w:pPr>
              <w:spacing w:line="276" w:lineRule="auto"/>
              <w:jc w:val="center"/>
              <w:rPr>
                <w:rFonts w:ascii="宋体" w:hAnsi="宋体"/>
                <w:highlight w:val="none"/>
              </w:rPr>
            </w:pPr>
            <w:r>
              <w:rPr>
                <w:rFonts w:hint="eastAsia" w:ascii="宋体" w:hAnsi="宋体"/>
                <w:highlight w:val="none"/>
              </w:rPr>
              <w:t>（1</w:t>
            </w:r>
            <w:r>
              <w:rPr>
                <w:rFonts w:hint="eastAsia" w:ascii="宋体" w:hAnsi="宋体"/>
                <w:highlight w:val="none"/>
                <w:lang w:val="en-US" w:eastAsia="zh-CN"/>
              </w:rPr>
              <w:t>0</w:t>
            </w:r>
            <w:r>
              <w:rPr>
                <w:rFonts w:hint="eastAsia" w:ascii="宋体" w:hAnsi="宋体"/>
                <w:highlight w:val="none"/>
              </w:rPr>
              <w:t>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07A1159B">
            <w:pPr>
              <w:spacing w:line="276" w:lineRule="auto"/>
              <w:rPr>
                <w:highlight w:val="none"/>
              </w:rPr>
            </w:pPr>
            <w:r>
              <w:rPr>
                <w:rFonts w:hint="eastAsia" w:ascii="宋体" w:hAnsi="宋体" w:eastAsia="宋体" w:cs="宋体"/>
                <w:highlight w:val="none"/>
              </w:rPr>
              <w:t>①</w:t>
            </w:r>
            <w:r>
              <w:rPr>
                <w:rFonts w:hint="eastAsia" w:ascii="宋体" w:hAnsi="宋体"/>
                <w:highlight w:val="none"/>
              </w:rPr>
              <w:t>对项目的背景、地块情况、水文地质情况、污染情况等了解掌握并分析；</w:t>
            </w:r>
            <w:r>
              <w:rPr>
                <w:rFonts w:hint="eastAsia" w:ascii="宋体" w:hAnsi="宋体" w:eastAsia="宋体" w:cs="宋体"/>
                <w:highlight w:val="none"/>
              </w:rPr>
              <w:t>②</w:t>
            </w:r>
            <w:r>
              <w:rPr>
                <w:rFonts w:hint="eastAsia" w:ascii="宋体" w:hAnsi="宋体"/>
                <w:highlight w:val="none"/>
              </w:rPr>
              <w:t>对地块污染物分布进行刻画，针对超标点位制定健康风险评估方案，明确环境风险，明确污染来源；</w:t>
            </w:r>
            <w:r>
              <w:rPr>
                <w:rFonts w:hint="eastAsia" w:ascii="宋体" w:hAnsi="宋体" w:eastAsia="宋体" w:cs="宋体"/>
                <w:highlight w:val="none"/>
              </w:rPr>
              <w:t>③</w:t>
            </w:r>
            <w:r>
              <w:rPr>
                <w:rFonts w:hint="eastAsia" w:ascii="宋体" w:hAnsi="宋体"/>
                <w:highlight w:val="none"/>
              </w:rPr>
              <w:t>构建三维水文地质与地下水模型，预测地下水污染物运移趋势，制定污染物入江风险评估方案；</w:t>
            </w:r>
            <w:r>
              <w:rPr>
                <w:rFonts w:hint="eastAsia" w:ascii="宋体" w:hAnsi="宋体" w:eastAsia="宋体" w:cs="宋体"/>
                <w:highlight w:val="none"/>
              </w:rPr>
              <w:t>④</w:t>
            </w:r>
            <w:r>
              <w:rPr>
                <w:rFonts w:hint="eastAsia" w:ascii="宋体" w:hAnsi="宋体"/>
                <w:highlight w:val="none"/>
              </w:rPr>
              <w:t>科学合理制定修复目标值，给出科学合理制定修复或管控建议；</w:t>
            </w:r>
          </w:p>
          <w:p w14:paraId="0F9CFEB6">
            <w:pPr>
              <w:spacing w:line="276" w:lineRule="auto"/>
              <w:ind w:firstLine="440" w:firstLineChars="200"/>
              <w:rPr>
                <w:rFonts w:hint="eastAsia" w:ascii="宋体" w:hAnsi="宋体"/>
                <w:highlight w:val="none"/>
              </w:rPr>
            </w:pPr>
            <w:r>
              <w:rPr>
                <w:rFonts w:hint="eastAsia" w:ascii="宋体" w:hAnsi="宋体"/>
                <w:highlight w:val="none"/>
              </w:rPr>
              <w:t>针对以上每点，内容包含的要点齐全无缺漏项、内容与要点相符、内容完善且能够适用于本项目得1</w:t>
            </w:r>
            <w:r>
              <w:rPr>
                <w:rFonts w:hint="eastAsia" w:ascii="宋体" w:hAnsi="宋体"/>
                <w:highlight w:val="none"/>
                <w:lang w:val="en-US" w:eastAsia="zh-CN"/>
              </w:rPr>
              <w:t>0</w:t>
            </w:r>
            <w:r>
              <w:rPr>
                <w:rFonts w:hint="eastAsia" w:ascii="宋体" w:hAnsi="宋体"/>
                <w:highlight w:val="none"/>
              </w:rPr>
              <w:t>分；</w:t>
            </w:r>
          </w:p>
          <w:p w14:paraId="5DA67826">
            <w:pPr>
              <w:spacing w:line="276" w:lineRule="auto"/>
              <w:ind w:firstLine="440" w:firstLineChars="200"/>
              <w:rPr>
                <w:rFonts w:hint="eastAsia" w:ascii="宋体" w:hAnsi="宋体"/>
                <w:highlight w:val="none"/>
              </w:rPr>
            </w:pPr>
            <w:r>
              <w:rPr>
                <w:rFonts w:hint="eastAsia" w:ascii="宋体" w:hAnsi="宋体"/>
                <w:highlight w:val="none"/>
              </w:rPr>
              <w:t>内容包含的要点齐全、内容与要点相符，但仅有纲要内容简略，未展开阐述得</w:t>
            </w:r>
            <w:r>
              <w:rPr>
                <w:rFonts w:hint="eastAsia" w:ascii="宋体" w:hAnsi="宋体"/>
                <w:highlight w:val="none"/>
                <w:lang w:val="en-US" w:eastAsia="zh-CN"/>
              </w:rPr>
              <w:t>7</w:t>
            </w:r>
            <w:r>
              <w:rPr>
                <w:rFonts w:hint="eastAsia" w:ascii="宋体" w:hAnsi="宋体"/>
                <w:highlight w:val="none"/>
              </w:rPr>
              <w:t>分；</w:t>
            </w:r>
          </w:p>
          <w:p w14:paraId="5B0DCE34">
            <w:pPr>
              <w:spacing w:line="276" w:lineRule="auto"/>
              <w:ind w:firstLine="440" w:firstLineChars="200"/>
              <w:rPr>
                <w:rFonts w:hint="eastAsia" w:ascii="宋体" w:hAnsi="宋体"/>
                <w:highlight w:val="none"/>
              </w:rPr>
            </w:pPr>
            <w:r>
              <w:rPr>
                <w:rFonts w:hint="eastAsia" w:ascii="宋体" w:hAnsi="宋体"/>
                <w:highlight w:val="none"/>
              </w:rPr>
              <w:t>内容包含的要点有缺漏或内容存在错误的得4分；</w:t>
            </w:r>
          </w:p>
          <w:p w14:paraId="30E62641">
            <w:pPr>
              <w:spacing w:line="276" w:lineRule="auto"/>
              <w:ind w:firstLine="440" w:firstLineChars="200"/>
              <w:rPr>
                <w:rFonts w:ascii="宋体" w:hAnsi="宋体"/>
                <w:highlight w:val="none"/>
              </w:rPr>
            </w:pPr>
            <w:r>
              <w:rPr>
                <w:rFonts w:hint="eastAsia" w:ascii="宋体" w:hAnsi="宋体"/>
                <w:highlight w:val="none"/>
              </w:rPr>
              <w:t>不提供不得分。</w:t>
            </w:r>
          </w:p>
        </w:tc>
      </w:tr>
      <w:tr w14:paraId="708A0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5" w:hRule="atLeast"/>
          <w:tblHeader/>
          <w:jc w:val="center"/>
        </w:trPr>
        <w:tc>
          <w:tcPr>
            <w:tcW w:w="1217" w:type="dxa"/>
            <w:vMerge w:val="continue"/>
            <w:tcBorders>
              <w:left w:val="single" w:color="000000" w:sz="4" w:space="0"/>
              <w:right w:val="single" w:color="000000" w:sz="4" w:space="0"/>
            </w:tcBorders>
            <w:noWrap w:val="0"/>
            <w:vAlign w:val="center"/>
          </w:tcPr>
          <w:p w14:paraId="21947A91">
            <w:pPr>
              <w:spacing w:line="276" w:lineRule="auto"/>
              <w:rPr>
                <w:rFonts w:hint="eastAsia"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61BB6EB8">
            <w:pPr>
              <w:spacing w:line="276" w:lineRule="auto"/>
              <w:jc w:val="center"/>
              <w:rPr>
                <w:rFonts w:hint="eastAsia" w:ascii="宋体" w:hAnsi="宋体"/>
                <w:highlight w:val="none"/>
              </w:rPr>
            </w:pPr>
            <w:r>
              <w:rPr>
                <w:rFonts w:hint="eastAsia" w:ascii="宋体" w:hAnsi="宋体"/>
                <w:highlight w:val="none"/>
              </w:rPr>
              <w:t>污染识别方案</w:t>
            </w:r>
          </w:p>
          <w:p w14:paraId="44939F63">
            <w:pPr>
              <w:spacing w:line="276" w:lineRule="auto"/>
              <w:jc w:val="center"/>
              <w:rPr>
                <w:rFonts w:ascii="宋体" w:hAnsi="宋体"/>
                <w:highlight w:val="none"/>
              </w:rPr>
            </w:pPr>
            <w:r>
              <w:rPr>
                <w:rFonts w:hint="eastAsia" w:ascii="宋体" w:hAnsi="宋体"/>
                <w:highlight w:val="none"/>
              </w:rPr>
              <w:t>（</w:t>
            </w:r>
            <w:r>
              <w:rPr>
                <w:rFonts w:hint="eastAsia" w:ascii="宋体" w:hAnsi="宋体"/>
                <w:highlight w:val="none"/>
                <w:lang w:val="en-US" w:eastAsia="zh-CN"/>
              </w:rPr>
              <w:t>10</w:t>
            </w:r>
            <w:r>
              <w:rPr>
                <w:rFonts w:hint="eastAsia" w:ascii="宋体" w:hAnsi="宋体"/>
                <w:highlight w:val="none"/>
              </w:rPr>
              <w:t>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6311FA62">
            <w:pPr>
              <w:spacing w:line="276" w:lineRule="auto"/>
              <w:rPr>
                <w:highlight w:val="none"/>
              </w:rPr>
            </w:pPr>
            <w:r>
              <w:rPr>
                <w:rFonts w:hint="eastAsia" w:ascii="宋体" w:hAnsi="宋体" w:eastAsia="宋体" w:cs="宋体"/>
                <w:highlight w:val="none"/>
              </w:rPr>
              <w:t>①</w:t>
            </w:r>
            <w:r>
              <w:rPr>
                <w:rFonts w:hint="eastAsia" w:ascii="宋体" w:hAnsi="宋体"/>
                <w:highlight w:val="none"/>
              </w:rPr>
              <w:t>现场踏勘方案；</w:t>
            </w:r>
            <w:r>
              <w:rPr>
                <w:rFonts w:hint="eastAsia" w:ascii="宋体" w:hAnsi="宋体" w:eastAsia="宋体" w:cs="宋体"/>
                <w:highlight w:val="none"/>
              </w:rPr>
              <w:t>②</w:t>
            </w:r>
            <w:r>
              <w:rPr>
                <w:rFonts w:hint="eastAsia" w:ascii="宋体" w:hAnsi="宋体"/>
                <w:highlight w:val="none"/>
              </w:rPr>
              <w:t>资料收集与分析方案。</w:t>
            </w:r>
          </w:p>
          <w:p w14:paraId="40B3C291">
            <w:pPr>
              <w:spacing w:line="276" w:lineRule="auto"/>
              <w:ind w:firstLine="440" w:firstLineChars="200"/>
              <w:rPr>
                <w:rFonts w:hint="eastAsia" w:ascii="宋体" w:hAnsi="宋体"/>
                <w:highlight w:val="none"/>
              </w:rPr>
            </w:pPr>
            <w:r>
              <w:rPr>
                <w:rFonts w:hint="eastAsia" w:ascii="宋体" w:hAnsi="宋体"/>
                <w:highlight w:val="none"/>
              </w:rPr>
              <w:t>针对以上每点，内容包含的要点齐全无缺漏项、内容与要点相符、内容完善且能够适用于本项目得</w:t>
            </w:r>
            <w:r>
              <w:rPr>
                <w:rFonts w:hint="eastAsia" w:ascii="宋体" w:hAnsi="宋体"/>
                <w:highlight w:val="none"/>
                <w:lang w:val="en-US" w:eastAsia="zh-CN"/>
              </w:rPr>
              <w:t>10</w:t>
            </w:r>
            <w:r>
              <w:rPr>
                <w:rFonts w:hint="eastAsia" w:ascii="宋体" w:hAnsi="宋体"/>
                <w:highlight w:val="none"/>
              </w:rPr>
              <w:t>分；</w:t>
            </w:r>
          </w:p>
          <w:p w14:paraId="6C9C0414">
            <w:pPr>
              <w:spacing w:line="276" w:lineRule="auto"/>
              <w:ind w:firstLine="440" w:firstLineChars="200"/>
              <w:rPr>
                <w:rFonts w:hint="eastAsia" w:ascii="宋体" w:hAnsi="宋体"/>
                <w:highlight w:val="none"/>
              </w:rPr>
            </w:pPr>
            <w:r>
              <w:rPr>
                <w:rFonts w:hint="eastAsia" w:ascii="宋体" w:hAnsi="宋体"/>
                <w:highlight w:val="none"/>
              </w:rPr>
              <w:t>内容包含的要点齐全、内容与要点相符，但仅有纲要内容简略，未展开阐述得</w:t>
            </w:r>
            <w:r>
              <w:rPr>
                <w:rFonts w:hint="eastAsia" w:ascii="宋体" w:hAnsi="宋体"/>
                <w:highlight w:val="none"/>
                <w:lang w:val="en-US" w:eastAsia="zh-CN"/>
              </w:rPr>
              <w:t>7</w:t>
            </w:r>
            <w:r>
              <w:rPr>
                <w:rFonts w:hint="eastAsia" w:ascii="宋体" w:hAnsi="宋体"/>
                <w:highlight w:val="none"/>
              </w:rPr>
              <w:t>分；</w:t>
            </w:r>
          </w:p>
          <w:p w14:paraId="0194B6FB">
            <w:pPr>
              <w:spacing w:line="276" w:lineRule="auto"/>
              <w:ind w:firstLine="440" w:firstLineChars="200"/>
              <w:rPr>
                <w:rFonts w:hint="eastAsia" w:ascii="宋体" w:hAnsi="宋体"/>
                <w:highlight w:val="none"/>
              </w:rPr>
            </w:pPr>
            <w:r>
              <w:rPr>
                <w:rFonts w:hint="eastAsia" w:ascii="宋体" w:hAnsi="宋体"/>
                <w:highlight w:val="none"/>
              </w:rPr>
              <w:t>内容包含的要点有缺漏或内容存在错误得</w:t>
            </w:r>
            <w:r>
              <w:rPr>
                <w:rFonts w:hint="eastAsia" w:ascii="宋体" w:hAnsi="宋体"/>
                <w:highlight w:val="none"/>
                <w:lang w:val="en-US" w:eastAsia="zh-CN"/>
              </w:rPr>
              <w:t>4</w:t>
            </w:r>
            <w:r>
              <w:rPr>
                <w:rFonts w:hint="eastAsia" w:ascii="宋体" w:hAnsi="宋体"/>
                <w:highlight w:val="none"/>
              </w:rPr>
              <w:t>分；</w:t>
            </w:r>
          </w:p>
          <w:p w14:paraId="082B4B39">
            <w:pPr>
              <w:spacing w:line="276" w:lineRule="auto"/>
              <w:ind w:firstLine="440" w:firstLineChars="200"/>
              <w:rPr>
                <w:rFonts w:ascii="宋体" w:hAnsi="宋体"/>
                <w:highlight w:val="none"/>
              </w:rPr>
            </w:pPr>
            <w:r>
              <w:rPr>
                <w:rFonts w:hint="eastAsia" w:ascii="宋体" w:hAnsi="宋体"/>
                <w:highlight w:val="none"/>
              </w:rPr>
              <w:t>不提供不得分。</w:t>
            </w:r>
          </w:p>
        </w:tc>
      </w:tr>
      <w:tr w14:paraId="53D4A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5" w:hRule="atLeast"/>
          <w:tblHeader/>
          <w:jc w:val="center"/>
        </w:trPr>
        <w:tc>
          <w:tcPr>
            <w:tcW w:w="1217" w:type="dxa"/>
            <w:vMerge w:val="continue"/>
            <w:tcBorders>
              <w:left w:val="single" w:color="000000" w:sz="4" w:space="0"/>
              <w:right w:val="single" w:color="000000" w:sz="4" w:space="0"/>
            </w:tcBorders>
            <w:noWrap w:val="0"/>
            <w:vAlign w:val="center"/>
          </w:tcPr>
          <w:p w14:paraId="6568A5D5">
            <w:pPr>
              <w:spacing w:line="276" w:lineRule="auto"/>
              <w:jc w:val="center"/>
              <w:rPr>
                <w:rFonts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04FFCC2">
            <w:pPr>
              <w:spacing w:line="276" w:lineRule="auto"/>
              <w:jc w:val="center"/>
              <w:rPr>
                <w:rFonts w:hint="eastAsia" w:ascii="宋体" w:hAnsi="宋体"/>
                <w:highlight w:val="none"/>
              </w:rPr>
            </w:pPr>
            <w:r>
              <w:rPr>
                <w:rFonts w:hint="eastAsia" w:ascii="宋体" w:hAnsi="宋体"/>
                <w:highlight w:val="none"/>
              </w:rPr>
              <w:t>补充调查采样和监测方案</w:t>
            </w:r>
          </w:p>
          <w:p w14:paraId="5B3AEB1B">
            <w:pPr>
              <w:spacing w:line="276" w:lineRule="auto"/>
              <w:jc w:val="center"/>
              <w:rPr>
                <w:rFonts w:ascii="宋体" w:hAnsi="宋体"/>
                <w:highlight w:val="none"/>
              </w:rPr>
            </w:pPr>
            <w:r>
              <w:rPr>
                <w:rFonts w:hint="eastAsia" w:ascii="宋体" w:hAnsi="宋体"/>
                <w:highlight w:val="none"/>
              </w:rPr>
              <w:t>（</w:t>
            </w:r>
            <w:r>
              <w:rPr>
                <w:rFonts w:hint="eastAsia" w:ascii="宋体" w:hAnsi="宋体"/>
                <w:highlight w:val="none"/>
                <w:lang w:val="en-US" w:eastAsia="zh-CN"/>
              </w:rPr>
              <w:t>10</w:t>
            </w:r>
            <w:r>
              <w:rPr>
                <w:rFonts w:hint="eastAsia" w:ascii="宋体" w:hAnsi="宋体"/>
                <w:highlight w:val="none"/>
              </w:rPr>
              <w:t>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263497F1">
            <w:pPr>
              <w:spacing w:line="276" w:lineRule="auto"/>
              <w:rPr>
                <w:highlight w:val="none"/>
              </w:rPr>
            </w:pPr>
            <w:r>
              <w:rPr>
                <w:rFonts w:hint="eastAsia" w:ascii="宋体" w:hAnsi="宋体" w:eastAsia="宋体" w:cs="宋体"/>
                <w:highlight w:val="none"/>
              </w:rPr>
              <w:t>①</w:t>
            </w:r>
            <w:r>
              <w:rPr>
                <w:rFonts w:hint="eastAsia" w:ascii="宋体" w:hAnsi="宋体"/>
                <w:highlight w:val="none"/>
              </w:rPr>
              <w:t>调查范围、布点数量与位置；</w:t>
            </w:r>
            <w:r>
              <w:rPr>
                <w:rFonts w:hint="eastAsia" w:ascii="宋体" w:hAnsi="宋体" w:eastAsia="宋体" w:cs="宋体"/>
                <w:highlight w:val="none"/>
              </w:rPr>
              <w:t>②</w:t>
            </w:r>
            <w:r>
              <w:rPr>
                <w:rFonts w:hint="eastAsia" w:ascii="宋体" w:hAnsi="宋体"/>
                <w:highlight w:val="none"/>
              </w:rPr>
              <w:t>检测指标、评价标准与评价方法。</w:t>
            </w:r>
          </w:p>
          <w:p w14:paraId="4EDE948D">
            <w:pPr>
              <w:spacing w:line="276" w:lineRule="auto"/>
              <w:ind w:firstLine="440" w:firstLineChars="200"/>
              <w:rPr>
                <w:rFonts w:hint="eastAsia" w:ascii="宋体" w:hAnsi="宋体"/>
                <w:highlight w:val="none"/>
              </w:rPr>
            </w:pPr>
            <w:r>
              <w:rPr>
                <w:rFonts w:hint="eastAsia" w:ascii="宋体" w:hAnsi="宋体"/>
                <w:highlight w:val="none"/>
              </w:rPr>
              <w:t>针对以上每点，内容包含的要点齐全无缺漏项、内容与要点相符、内容完善且能够适用于本项目得</w:t>
            </w:r>
            <w:r>
              <w:rPr>
                <w:rFonts w:hint="eastAsia" w:ascii="宋体" w:hAnsi="宋体"/>
                <w:highlight w:val="none"/>
                <w:lang w:val="en-US" w:eastAsia="zh-CN"/>
              </w:rPr>
              <w:t>10</w:t>
            </w:r>
            <w:r>
              <w:rPr>
                <w:rFonts w:hint="eastAsia" w:ascii="宋体" w:hAnsi="宋体"/>
                <w:highlight w:val="none"/>
              </w:rPr>
              <w:t>分；</w:t>
            </w:r>
          </w:p>
          <w:p w14:paraId="0E81B567">
            <w:pPr>
              <w:spacing w:line="276" w:lineRule="auto"/>
              <w:ind w:firstLine="440" w:firstLineChars="200"/>
              <w:rPr>
                <w:rFonts w:hint="eastAsia" w:ascii="宋体" w:hAnsi="宋体"/>
                <w:highlight w:val="none"/>
              </w:rPr>
            </w:pPr>
            <w:r>
              <w:rPr>
                <w:rFonts w:hint="eastAsia" w:ascii="宋体" w:hAnsi="宋体"/>
                <w:highlight w:val="none"/>
              </w:rPr>
              <w:t>内容包含的要点齐全、内容与要点相符，但仅有纲要内容简略，未展开阐述得</w:t>
            </w:r>
            <w:r>
              <w:rPr>
                <w:rFonts w:hint="eastAsia" w:ascii="宋体" w:hAnsi="宋体"/>
                <w:highlight w:val="none"/>
                <w:lang w:val="en-US" w:eastAsia="zh-CN"/>
              </w:rPr>
              <w:t>7</w:t>
            </w:r>
            <w:r>
              <w:rPr>
                <w:rFonts w:hint="eastAsia" w:ascii="宋体" w:hAnsi="宋体"/>
                <w:highlight w:val="none"/>
              </w:rPr>
              <w:t>分；</w:t>
            </w:r>
          </w:p>
          <w:p w14:paraId="118AF9A2">
            <w:pPr>
              <w:spacing w:line="276" w:lineRule="auto"/>
              <w:ind w:firstLine="440" w:firstLineChars="200"/>
              <w:rPr>
                <w:rFonts w:hint="eastAsia" w:ascii="宋体" w:hAnsi="宋体"/>
                <w:highlight w:val="none"/>
              </w:rPr>
            </w:pPr>
            <w:r>
              <w:rPr>
                <w:rFonts w:hint="eastAsia" w:ascii="宋体" w:hAnsi="宋体"/>
                <w:highlight w:val="none"/>
              </w:rPr>
              <w:t>内容包含的要点有缺漏或内容存在错误得</w:t>
            </w:r>
            <w:r>
              <w:rPr>
                <w:rFonts w:hint="eastAsia" w:ascii="宋体" w:hAnsi="宋体"/>
                <w:highlight w:val="none"/>
                <w:lang w:val="en-US" w:eastAsia="zh-CN"/>
              </w:rPr>
              <w:t>4</w:t>
            </w:r>
            <w:r>
              <w:rPr>
                <w:rFonts w:hint="eastAsia" w:ascii="宋体" w:hAnsi="宋体"/>
                <w:highlight w:val="none"/>
              </w:rPr>
              <w:t>分；</w:t>
            </w:r>
          </w:p>
          <w:p w14:paraId="0E9DAA4D">
            <w:pPr>
              <w:spacing w:line="276" w:lineRule="auto"/>
              <w:ind w:firstLine="440" w:firstLineChars="200"/>
              <w:rPr>
                <w:rFonts w:ascii="宋体" w:hAnsi="宋体"/>
                <w:highlight w:val="none"/>
              </w:rPr>
            </w:pPr>
            <w:r>
              <w:rPr>
                <w:rFonts w:hint="eastAsia" w:ascii="宋体" w:hAnsi="宋体"/>
                <w:highlight w:val="none"/>
              </w:rPr>
              <w:t>不提供不得分。</w:t>
            </w:r>
          </w:p>
        </w:tc>
      </w:tr>
      <w:tr w14:paraId="23775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5" w:hRule="atLeast"/>
          <w:tblHeader/>
          <w:jc w:val="center"/>
        </w:trPr>
        <w:tc>
          <w:tcPr>
            <w:tcW w:w="1217" w:type="dxa"/>
            <w:vMerge w:val="continue"/>
            <w:tcBorders>
              <w:left w:val="single" w:color="000000" w:sz="4" w:space="0"/>
              <w:right w:val="single" w:color="000000" w:sz="4" w:space="0"/>
            </w:tcBorders>
            <w:noWrap w:val="0"/>
            <w:vAlign w:val="center"/>
          </w:tcPr>
          <w:p w14:paraId="1997973B">
            <w:pPr>
              <w:spacing w:line="276" w:lineRule="auto"/>
              <w:jc w:val="center"/>
              <w:rPr>
                <w:rFonts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6EAD2BFC">
            <w:pPr>
              <w:spacing w:line="276" w:lineRule="auto"/>
              <w:jc w:val="center"/>
              <w:rPr>
                <w:rFonts w:hint="eastAsia" w:ascii="宋体" w:hAnsi="宋体"/>
                <w:highlight w:val="none"/>
              </w:rPr>
            </w:pPr>
            <w:r>
              <w:rPr>
                <w:rFonts w:hint="eastAsia" w:ascii="宋体" w:hAnsi="宋体"/>
                <w:highlight w:val="none"/>
              </w:rPr>
              <w:t>项目实施方案进度安排及质量控制</w:t>
            </w:r>
          </w:p>
          <w:p w14:paraId="163DD501">
            <w:pPr>
              <w:spacing w:line="276" w:lineRule="auto"/>
              <w:jc w:val="center"/>
              <w:rPr>
                <w:rFonts w:ascii="宋体" w:hAnsi="宋体"/>
                <w:highlight w:val="none"/>
              </w:rPr>
            </w:pPr>
            <w:r>
              <w:rPr>
                <w:rFonts w:hint="eastAsia" w:ascii="宋体" w:hAnsi="宋体"/>
                <w:highlight w:val="none"/>
              </w:rPr>
              <w:t>（</w:t>
            </w:r>
            <w:r>
              <w:rPr>
                <w:rFonts w:hint="eastAsia" w:ascii="宋体" w:hAnsi="宋体"/>
                <w:highlight w:val="none"/>
                <w:lang w:val="en-US" w:eastAsia="zh-CN"/>
              </w:rPr>
              <w:t>8</w:t>
            </w:r>
            <w:r>
              <w:rPr>
                <w:rFonts w:hint="eastAsia" w:ascii="宋体" w:hAnsi="宋体"/>
                <w:highlight w:val="none"/>
              </w:rPr>
              <w:t>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7FA11950">
            <w:pPr>
              <w:spacing w:line="276" w:lineRule="auto"/>
              <w:rPr>
                <w:rFonts w:hint="eastAsia" w:ascii="宋体" w:hAnsi="宋体" w:eastAsia="宋体" w:cs="Times New Roman"/>
                <w:highlight w:val="none"/>
              </w:rPr>
            </w:pPr>
            <w:r>
              <w:rPr>
                <w:rFonts w:hint="eastAsia" w:ascii="宋体" w:hAnsi="宋体" w:eastAsia="宋体" w:cs="Times New Roman"/>
                <w:highlight w:val="none"/>
              </w:rPr>
              <w:t>①进度保证措施；②质量保证措施与二次污染与突发应急措施处理预案。</w:t>
            </w:r>
          </w:p>
          <w:p w14:paraId="4056E5FA">
            <w:pPr>
              <w:spacing w:line="276" w:lineRule="auto"/>
              <w:ind w:firstLine="440" w:firstLineChars="200"/>
              <w:rPr>
                <w:rFonts w:hint="eastAsia" w:ascii="宋体" w:hAnsi="宋体" w:eastAsia="宋体" w:cs="Times New Roman"/>
                <w:highlight w:val="none"/>
              </w:rPr>
            </w:pPr>
            <w:r>
              <w:rPr>
                <w:rFonts w:hint="eastAsia" w:ascii="宋体" w:hAnsi="宋体" w:eastAsia="宋体" w:cs="Times New Roman"/>
                <w:highlight w:val="none"/>
              </w:rPr>
              <w:t>针对以上每点，内容包含的要点齐全无缺漏项、内容与要点相符、内容完善且能够适用于本项目得</w:t>
            </w:r>
            <w:r>
              <w:rPr>
                <w:rFonts w:hint="eastAsia" w:ascii="宋体" w:hAnsi="宋体" w:eastAsia="宋体" w:cs="Times New Roman"/>
                <w:highlight w:val="none"/>
                <w:lang w:val="en-US" w:eastAsia="zh-CN"/>
              </w:rPr>
              <w:t>8</w:t>
            </w:r>
            <w:r>
              <w:rPr>
                <w:rFonts w:hint="eastAsia" w:ascii="宋体" w:hAnsi="宋体" w:eastAsia="宋体" w:cs="Times New Roman"/>
                <w:highlight w:val="none"/>
              </w:rPr>
              <w:t>分；</w:t>
            </w:r>
          </w:p>
          <w:p w14:paraId="3CBFDFD5">
            <w:pPr>
              <w:spacing w:line="276" w:lineRule="auto"/>
              <w:ind w:firstLine="440" w:firstLineChars="200"/>
              <w:rPr>
                <w:rFonts w:hint="eastAsia" w:ascii="宋体" w:hAnsi="宋体" w:eastAsia="宋体" w:cs="Times New Roman"/>
                <w:highlight w:val="none"/>
              </w:rPr>
            </w:pPr>
            <w:r>
              <w:rPr>
                <w:rFonts w:hint="eastAsia" w:ascii="宋体" w:hAnsi="宋体" w:eastAsia="宋体" w:cs="Times New Roman"/>
                <w:highlight w:val="none"/>
              </w:rPr>
              <w:t>内容包含的要点齐全、内容与要点相符，但仅有纲要内容简略，未展开阐述得</w:t>
            </w:r>
            <w:r>
              <w:rPr>
                <w:rFonts w:hint="eastAsia" w:ascii="宋体" w:hAnsi="宋体" w:eastAsia="宋体" w:cs="Times New Roman"/>
                <w:highlight w:val="none"/>
                <w:lang w:val="en-US" w:eastAsia="zh-CN"/>
              </w:rPr>
              <w:t>5</w:t>
            </w:r>
            <w:r>
              <w:rPr>
                <w:rFonts w:hint="eastAsia" w:ascii="宋体" w:hAnsi="宋体" w:eastAsia="宋体" w:cs="Times New Roman"/>
                <w:highlight w:val="none"/>
              </w:rPr>
              <w:t>分；</w:t>
            </w:r>
          </w:p>
          <w:p w14:paraId="5444228F">
            <w:pPr>
              <w:spacing w:line="276" w:lineRule="auto"/>
              <w:ind w:firstLine="440" w:firstLineChars="200"/>
              <w:rPr>
                <w:rFonts w:hint="eastAsia" w:ascii="宋体" w:hAnsi="宋体" w:eastAsia="宋体" w:cs="Times New Roman"/>
                <w:highlight w:val="none"/>
              </w:rPr>
            </w:pPr>
            <w:r>
              <w:rPr>
                <w:rFonts w:hint="eastAsia" w:ascii="宋体" w:hAnsi="宋体" w:eastAsia="宋体" w:cs="Times New Roman"/>
                <w:highlight w:val="none"/>
              </w:rPr>
              <w:t>内容包含的要点有缺漏或内容存在错误得2分；</w:t>
            </w:r>
          </w:p>
          <w:p w14:paraId="4C97EA45">
            <w:pPr>
              <w:spacing w:line="276" w:lineRule="auto"/>
              <w:ind w:firstLine="440" w:firstLineChars="200"/>
              <w:rPr>
                <w:rFonts w:hint="eastAsia" w:ascii="宋体" w:hAnsi="宋体" w:eastAsia="宋体" w:cs="Times New Roman"/>
                <w:highlight w:val="none"/>
              </w:rPr>
            </w:pPr>
            <w:r>
              <w:rPr>
                <w:rFonts w:hint="eastAsia" w:ascii="宋体" w:hAnsi="宋体" w:eastAsia="宋体" w:cs="Times New Roman"/>
                <w:highlight w:val="none"/>
              </w:rPr>
              <w:t>不提供不得分。</w:t>
            </w:r>
          </w:p>
        </w:tc>
      </w:tr>
      <w:tr w14:paraId="08782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5" w:hRule="atLeast"/>
          <w:tblHeader/>
          <w:jc w:val="center"/>
        </w:trPr>
        <w:tc>
          <w:tcPr>
            <w:tcW w:w="1217" w:type="dxa"/>
            <w:vMerge w:val="continue"/>
            <w:tcBorders>
              <w:left w:val="single" w:color="000000" w:sz="4" w:space="0"/>
              <w:right w:val="single" w:color="000000" w:sz="4" w:space="0"/>
            </w:tcBorders>
            <w:noWrap w:val="0"/>
            <w:vAlign w:val="center"/>
          </w:tcPr>
          <w:p w14:paraId="76A3A68F">
            <w:pPr>
              <w:spacing w:line="276" w:lineRule="auto"/>
              <w:jc w:val="center"/>
              <w:rPr>
                <w:rFonts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11CBD500">
            <w:pPr>
              <w:spacing w:line="276" w:lineRule="auto"/>
              <w:jc w:val="center"/>
              <w:rPr>
                <w:rFonts w:hint="eastAsia" w:ascii="宋体" w:hAnsi="宋体"/>
                <w:highlight w:val="none"/>
              </w:rPr>
            </w:pPr>
            <w:r>
              <w:rPr>
                <w:rFonts w:hint="eastAsia" w:ascii="宋体" w:hAnsi="宋体"/>
                <w:highlight w:val="none"/>
              </w:rPr>
              <w:t>项目重点难点分析</w:t>
            </w:r>
          </w:p>
          <w:p w14:paraId="20B05F0C">
            <w:pPr>
              <w:spacing w:line="276" w:lineRule="auto"/>
              <w:jc w:val="center"/>
              <w:rPr>
                <w:rFonts w:hint="eastAsia" w:ascii="宋体" w:hAnsi="宋体" w:eastAsia="宋体" w:cs="Times New Roman"/>
                <w:kern w:val="2"/>
                <w:sz w:val="24"/>
                <w:szCs w:val="24"/>
                <w:highlight w:val="none"/>
                <w:lang w:val="zh-CN" w:eastAsia="zh-CN" w:bidi="ar-SA"/>
              </w:rPr>
            </w:pPr>
            <w:r>
              <w:rPr>
                <w:rFonts w:hint="eastAsia" w:ascii="宋体" w:hAnsi="宋体"/>
                <w:highlight w:val="none"/>
              </w:rPr>
              <w:t>（</w:t>
            </w:r>
            <w:r>
              <w:rPr>
                <w:rFonts w:hint="eastAsia" w:ascii="宋体" w:hAnsi="宋体"/>
                <w:highlight w:val="none"/>
                <w:lang w:val="en-US" w:eastAsia="zh-CN"/>
              </w:rPr>
              <w:t>9</w:t>
            </w:r>
            <w:r>
              <w:rPr>
                <w:rFonts w:hint="eastAsia" w:ascii="宋体" w:hAnsi="宋体"/>
                <w:highlight w:val="none"/>
              </w:rPr>
              <w:t>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15BAF9C2">
            <w:pPr>
              <w:spacing w:line="276" w:lineRule="auto"/>
              <w:rPr>
                <w:highlight w:val="none"/>
              </w:rPr>
            </w:pPr>
            <w:r>
              <w:rPr>
                <w:rFonts w:hint="eastAsia" w:ascii="宋体" w:hAnsi="宋体" w:eastAsia="宋体" w:cs="宋体"/>
                <w:highlight w:val="none"/>
              </w:rPr>
              <w:t>①</w:t>
            </w:r>
            <w:r>
              <w:rPr>
                <w:rFonts w:hint="eastAsia" w:ascii="宋体" w:hAnsi="宋体"/>
                <w:highlight w:val="none"/>
              </w:rPr>
              <w:t>项目重点、难点分析；</w:t>
            </w:r>
            <w:r>
              <w:rPr>
                <w:rFonts w:hint="eastAsia" w:ascii="宋体" w:hAnsi="宋体" w:eastAsia="宋体" w:cs="宋体"/>
                <w:highlight w:val="none"/>
              </w:rPr>
              <w:t>②</w:t>
            </w:r>
            <w:r>
              <w:rPr>
                <w:rFonts w:hint="eastAsia" w:ascii="宋体" w:hAnsi="宋体"/>
                <w:highlight w:val="none"/>
              </w:rPr>
              <w:t>重点、难点问题专门解决方案。</w:t>
            </w:r>
          </w:p>
          <w:p w14:paraId="61975951">
            <w:pPr>
              <w:spacing w:line="276" w:lineRule="auto"/>
              <w:ind w:firstLine="440" w:firstLineChars="200"/>
              <w:rPr>
                <w:rFonts w:hint="eastAsia" w:ascii="宋体" w:hAnsi="宋体"/>
                <w:highlight w:val="none"/>
              </w:rPr>
            </w:pPr>
            <w:r>
              <w:rPr>
                <w:rFonts w:hint="eastAsia" w:ascii="宋体" w:hAnsi="宋体"/>
                <w:highlight w:val="none"/>
              </w:rPr>
              <w:t>针对以上每点，内容包含的要点齐全无缺漏项、内容与要点相符、内容完善且能够适用于本项目得</w:t>
            </w:r>
            <w:r>
              <w:rPr>
                <w:rFonts w:hint="eastAsia" w:ascii="宋体" w:hAnsi="宋体"/>
                <w:highlight w:val="none"/>
                <w:lang w:val="en-US" w:eastAsia="zh-CN"/>
              </w:rPr>
              <w:t>9</w:t>
            </w:r>
            <w:r>
              <w:rPr>
                <w:rFonts w:hint="eastAsia" w:ascii="宋体" w:hAnsi="宋体"/>
                <w:highlight w:val="none"/>
              </w:rPr>
              <w:t>分；</w:t>
            </w:r>
          </w:p>
          <w:p w14:paraId="73145E3E">
            <w:pPr>
              <w:spacing w:line="276" w:lineRule="auto"/>
              <w:ind w:firstLine="440" w:firstLineChars="200"/>
              <w:rPr>
                <w:rFonts w:hint="eastAsia" w:ascii="宋体" w:hAnsi="宋体"/>
                <w:highlight w:val="none"/>
              </w:rPr>
            </w:pPr>
            <w:r>
              <w:rPr>
                <w:rFonts w:hint="eastAsia" w:ascii="宋体" w:hAnsi="宋体"/>
                <w:highlight w:val="none"/>
              </w:rPr>
              <w:t>内容包含的要点齐全、内容与要点相符，但仅有纲要内容简略，未展开阐述得</w:t>
            </w:r>
            <w:r>
              <w:rPr>
                <w:rFonts w:hint="eastAsia" w:ascii="宋体" w:hAnsi="宋体"/>
                <w:highlight w:val="none"/>
                <w:lang w:val="en-US" w:eastAsia="zh-CN"/>
              </w:rPr>
              <w:t>6</w:t>
            </w:r>
            <w:r>
              <w:rPr>
                <w:rFonts w:hint="eastAsia" w:ascii="宋体" w:hAnsi="宋体"/>
                <w:highlight w:val="none"/>
              </w:rPr>
              <w:t>分；</w:t>
            </w:r>
          </w:p>
          <w:p w14:paraId="7B705362">
            <w:pPr>
              <w:spacing w:line="276" w:lineRule="auto"/>
              <w:ind w:firstLine="440" w:firstLineChars="200"/>
              <w:rPr>
                <w:rFonts w:hint="eastAsia" w:ascii="宋体" w:hAnsi="宋体"/>
                <w:highlight w:val="none"/>
              </w:rPr>
            </w:pPr>
            <w:r>
              <w:rPr>
                <w:rFonts w:hint="eastAsia" w:ascii="宋体" w:hAnsi="宋体"/>
                <w:highlight w:val="none"/>
              </w:rPr>
              <w:t>内容包含的要点有缺漏或内容存在错误得</w:t>
            </w:r>
            <w:r>
              <w:rPr>
                <w:rFonts w:hint="eastAsia" w:ascii="宋体" w:hAnsi="宋体"/>
                <w:highlight w:val="none"/>
                <w:lang w:val="en-US" w:eastAsia="zh-CN"/>
              </w:rPr>
              <w:t>3</w:t>
            </w:r>
            <w:r>
              <w:rPr>
                <w:rFonts w:hint="eastAsia" w:ascii="宋体" w:hAnsi="宋体"/>
                <w:highlight w:val="none"/>
              </w:rPr>
              <w:t>分；</w:t>
            </w:r>
          </w:p>
          <w:p w14:paraId="1264E8E4">
            <w:pPr>
              <w:spacing w:line="276" w:lineRule="auto"/>
              <w:ind w:firstLine="440" w:firstLineChars="200"/>
              <w:rPr>
                <w:rFonts w:hint="eastAsia" w:ascii="宋体" w:hAnsi="宋体" w:eastAsia="宋体" w:cs="Times New Roman"/>
                <w:kern w:val="2"/>
                <w:sz w:val="24"/>
                <w:szCs w:val="24"/>
                <w:highlight w:val="none"/>
                <w:lang w:val="en-US" w:eastAsia="zh-CN" w:bidi="ar-SA"/>
              </w:rPr>
            </w:pPr>
            <w:r>
              <w:rPr>
                <w:rFonts w:hint="eastAsia" w:ascii="宋体" w:hAnsi="宋体"/>
                <w:highlight w:val="none"/>
              </w:rPr>
              <w:t>不提供不得分。</w:t>
            </w:r>
          </w:p>
        </w:tc>
      </w:tr>
      <w:tr w14:paraId="39D6E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9" w:hRule="atLeast"/>
          <w:tblHeader/>
          <w:jc w:val="center"/>
        </w:trPr>
        <w:tc>
          <w:tcPr>
            <w:tcW w:w="1217" w:type="dxa"/>
            <w:vMerge w:val="continue"/>
            <w:tcBorders>
              <w:left w:val="single" w:color="000000" w:sz="4" w:space="0"/>
              <w:right w:val="single" w:color="000000" w:sz="4" w:space="0"/>
            </w:tcBorders>
            <w:noWrap w:val="0"/>
            <w:vAlign w:val="center"/>
          </w:tcPr>
          <w:p w14:paraId="747B42A3">
            <w:pPr>
              <w:spacing w:line="276" w:lineRule="auto"/>
              <w:jc w:val="center"/>
              <w:rPr>
                <w:rFonts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53B64CD9">
            <w:pPr>
              <w:spacing w:line="276" w:lineRule="auto"/>
              <w:jc w:val="center"/>
              <w:rPr>
                <w:rFonts w:hint="eastAsia" w:ascii="宋体" w:hAnsi="宋体" w:eastAsia="宋体" w:cs="宋体"/>
                <w:highlight w:val="none"/>
                <w:lang w:val="zh-CN"/>
              </w:rPr>
            </w:pPr>
            <w:r>
              <w:rPr>
                <w:rFonts w:hint="eastAsia" w:ascii="宋体" w:hAnsi="宋体" w:eastAsia="宋体" w:cs="宋体"/>
                <w:highlight w:val="none"/>
                <w:lang w:val="zh-CN"/>
              </w:rPr>
              <w:t>项目档案资料管理</w:t>
            </w:r>
          </w:p>
          <w:p w14:paraId="3C5D5C12">
            <w:pPr>
              <w:spacing w:line="276" w:lineRule="auto"/>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cs="宋体"/>
                <w:highlight w:val="none"/>
                <w:lang w:val="zh-CN"/>
              </w:rPr>
              <w:t>（</w:t>
            </w:r>
            <w:r>
              <w:rPr>
                <w:rFonts w:hint="eastAsia" w:ascii="宋体" w:hAnsi="宋体" w:eastAsia="宋体" w:cs="宋体"/>
                <w:highlight w:val="none"/>
                <w:lang w:val="en-US" w:eastAsia="zh-CN"/>
              </w:rPr>
              <w:t>8</w:t>
            </w:r>
            <w:r>
              <w:rPr>
                <w:rFonts w:hint="eastAsia" w:ascii="宋体" w:hAnsi="宋体" w:eastAsia="宋体" w:cs="宋体"/>
                <w:highlight w:val="none"/>
                <w:lang w:val="zh-CN"/>
              </w:rPr>
              <w:t>）</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2C183A4B">
            <w:pPr>
              <w:spacing w:line="276" w:lineRule="auto"/>
              <w:ind w:firstLine="440" w:firstLineChars="200"/>
              <w:rPr>
                <w:rFonts w:hint="eastAsia" w:ascii="宋体" w:hAnsi="宋体" w:eastAsia="宋体" w:cs="Times New Roman"/>
                <w:highlight w:val="none"/>
              </w:rPr>
            </w:pPr>
            <w:r>
              <w:rPr>
                <w:rFonts w:hint="eastAsia" w:ascii="宋体" w:hAnsi="宋体" w:cs="Times New Roman"/>
                <w:highlight w:val="none"/>
                <w:lang w:val="en-US" w:eastAsia="zh-CN"/>
              </w:rPr>
              <w:t>评估</w:t>
            </w:r>
            <w:r>
              <w:rPr>
                <w:rFonts w:hint="eastAsia" w:ascii="宋体" w:hAnsi="宋体" w:eastAsia="宋体" w:cs="Times New Roman"/>
                <w:highlight w:val="none"/>
              </w:rPr>
              <w:t>工作成果文件的建立、收集、保存等。</w:t>
            </w:r>
          </w:p>
          <w:p w14:paraId="066CC629">
            <w:pPr>
              <w:spacing w:line="276" w:lineRule="auto"/>
              <w:ind w:firstLine="440" w:firstLineChars="200"/>
              <w:rPr>
                <w:rFonts w:hint="eastAsia" w:ascii="宋体" w:hAnsi="宋体" w:eastAsia="宋体" w:cs="Times New Roman"/>
                <w:highlight w:val="none"/>
              </w:rPr>
            </w:pPr>
            <w:r>
              <w:rPr>
                <w:rFonts w:hint="eastAsia" w:ascii="宋体" w:hAnsi="宋体" w:eastAsia="宋体" w:cs="Times New Roman"/>
                <w:highlight w:val="none"/>
              </w:rPr>
              <w:t>内容包含的要点齐全无缺漏项、内容与要点相符、内容完善且能够适用于本项目得</w:t>
            </w:r>
            <w:r>
              <w:rPr>
                <w:rFonts w:hint="eastAsia" w:ascii="宋体" w:hAnsi="宋体" w:eastAsia="宋体" w:cs="Times New Roman"/>
                <w:highlight w:val="none"/>
                <w:lang w:val="en-US" w:eastAsia="zh-CN"/>
              </w:rPr>
              <w:t>8</w:t>
            </w:r>
            <w:r>
              <w:rPr>
                <w:rFonts w:hint="eastAsia" w:ascii="宋体" w:hAnsi="宋体" w:eastAsia="宋体" w:cs="Times New Roman"/>
                <w:highlight w:val="none"/>
              </w:rPr>
              <w:t>分；</w:t>
            </w:r>
          </w:p>
          <w:p w14:paraId="58933EA8">
            <w:pPr>
              <w:spacing w:line="276" w:lineRule="auto"/>
              <w:ind w:firstLine="440" w:firstLineChars="200"/>
              <w:rPr>
                <w:rFonts w:hint="eastAsia" w:ascii="宋体" w:hAnsi="宋体" w:eastAsia="宋体" w:cs="Times New Roman"/>
                <w:highlight w:val="none"/>
              </w:rPr>
            </w:pPr>
            <w:r>
              <w:rPr>
                <w:rFonts w:hint="eastAsia" w:ascii="宋体" w:hAnsi="宋体" w:eastAsia="宋体" w:cs="Times New Roman"/>
                <w:highlight w:val="none"/>
              </w:rPr>
              <w:t>内容包含的要点齐全、内容与要点相符，但仅有纲要内容简略，未展开阐述得</w:t>
            </w:r>
            <w:r>
              <w:rPr>
                <w:rFonts w:hint="eastAsia" w:ascii="宋体" w:hAnsi="宋体" w:eastAsia="宋体" w:cs="Times New Roman"/>
                <w:highlight w:val="none"/>
                <w:lang w:val="en-US" w:eastAsia="zh-CN"/>
              </w:rPr>
              <w:t>5</w:t>
            </w:r>
            <w:r>
              <w:rPr>
                <w:rFonts w:hint="eastAsia" w:ascii="宋体" w:hAnsi="宋体" w:eastAsia="宋体" w:cs="Times New Roman"/>
                <w:highlight w:val="none"/>
              </w:rPr>
              <w:t>分；</w:t>
            </w:r>
          </w:p>
          <w:p w14:paraId="38EC4FE9">
            <w:pPr>
              <w:spacing w:line="276" w:lineRule="auto"/>
              <w:ind w:firstLine="440" w:firstLineChars="200"/>
              <w:rPr>
                <w:rFonts w:hint="eastAsia" w:ascii="宋体" w:hAnsi="宋体" w:eastAsia="宋体" w:cs="Times New Roman"/>
                <w:highlight w:val="none"/>
              </w:rPr>
            </w:pPr>
            <w:r>
              <w:rPr>
                <w:rFonts w:hint="eastAsia" w:ascii="宋体" w:hAnsi="宋体" w:eastAsia="宋体" w:cs="Times New Roman"/>
                <w:highlight w:val="none"/>
              </w:rPr>
              <w:t>内容包含的要点有缺漏或内容存在错误得2分；</w:t>
            </w:r>
          </w:p>
          <w:p w14:paraId="69674C9F">
            <w:pPr>
              <w:spacing w:line="276" w:lineRule="auto"/>
              <w:ind w:firstLine="440" w:firstLineChars="200"/>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highlight w:val="none"/>
              </w:rPr>
              <w:t>不提供不得分。</w:t>
            </w:r>
          </w:p>
        </w:tc>
      </w:tr>
      <w:tr w14:paraId="45E2D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1217" w:type="dxa"/>
            <w:vMerge w:val="restart"/>
            <w:tcBorders>
              <w:top w:val="single" w:color="000000" w:sz="4" w:space="0"/>
              <w:left w:val="single" w:color="000000" w:sz="4" w:space="0"/>
              <w:right w:val="single" w:color="000000" w:sz="4" w:space="0"/>
            </w:tcBorders>
            <w:noWrap w:val="0"/>
            <w:vAlign w:val="center"/>
          </w:tcPr>
          <w:p w14:paraId="1EC51F2B">
            <w:pPr>
              <w:spacing w:line="276" w:lineRule="auto"/>
              <w:jc w:val="center"/>
              <w:rPr>
                <w:rFonts w:ascii="宋体" w:hAnsi="宋体" w:cs="宋体"/>
                <w:highlight w:val="none"/>
              </w:rPr>
            </w:pPr>
            <w:r>
              <w:rPr>
                <w:rFonts w:hint="eastAsia" w:ascii="宋体" w:hAnsi="宋体" w:cs="宋体"/>
                <w:highlight w:val="none"/>
              </w:rPr>
              <w:t>商务部分</w:t>
            </w:r>
          </w:p>
          <w:p w14:paraId="6ACC0149">
            <w:pPr>
              <w:spacing w:line="276" w:lineRule="auto"/>
              <w:jc w:val="center"/>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35</w:t>
            </w:r>
            <w:r>
              <w:rPr>
                <w:rFonts w:hint="eastAsia" w:ascii="宋体" w:hAnsi="宋体" w:cs="宋体"/>
                <w:highlight w:val="none"/>
              </w:rPr>
              <w:t>分）</w:t>
            </w:r>
          </w:p>
        </w:tc>
        <w:tc>
          <w:tcPr>
            <w:tcW w:w="1701" w:type="dxa"/>
            <w:tcBorders>
              <w:top w:val="single" w:color="000000" w:sz="4" w:space="0"/>
              <w:left w:val="single" w:color="000000" w:sz="4" w:space="0"/>
              <w:right w:val="single" w:color="000000" w:sz="4" w:space="0"/>
            </w:tcBorders>
            <w:noWrap w:val="0"/>
            <w:vAlign w:val="center"/>
          </w:tcPr>
          <w:p w14:paraId="6AE27758">
            <w:pPr>
              <w:spacing w:line="276" w:lineRule="auto"/>
              <w:jc w:val="center"/>
              <w:rPr>
                <w:rFonts w:hint="eastAsia" w:ascii="宋体" w:hAnsi="宋体" w:cs="宋体"/>
                <w:highlight w:val="none"/>
                <w:lang w:bidi="ar"/>
              </w:rPr>
            </w:pPr>
            <w:r>
              <w:rPr>
                <w:rFonts w:hint="eastAsia" w:ascii="宋体" w:hAnsi="宋体" w:cs="宋体"/>
                <w:highlight w:val="none"/>
                <w:lang w:bidi="ar"/>
              </w:rPr>
              <w:t>业绩</w:t>
            </w:r>
          </w:p>
          <w:p w14:paraId="0A423FF6">
            <w:pPr>
              <w:spacing w:line="276" w:lineRule="auto"/>
              <w:jc w:val="center"/>
              <w:rPr>
                <w:rFonts w:hint="eastAsia" w:ascii="宋体" w:hAnsi="宋体" w:cs="仿宋"/>
                <w:highlight w:val="none"/>
              </w:rPr>
            </w:pPr>
            <w:r>
              <w:rPr>
                <w:rFonts w:hint="eastAsia" w:ascii="宋体" w:hAnsi="宋体" w:cs="宋体"/>
                <w:highlight w:val="none"/>
                <w:lang w:bidi="ar"/>
              </w:rPr>
              <w:t>（1</w:t>
            </w:r>
            <w:r>
              <w:rPr>
                <w:rFonts w:hint="eastAsia" w:ascii="宋体" w:hAnsi="宋体" w:cs="宋体"/>
                <w:highlight w:val="none"/>
                <w:lang w:val="en-US" w:eastAsia="zh-CN" w:bidi="ar"/>
              </w:rPr>
              <w:t>2</w:t>
            </w:r>
            <w:r>
              <w:rPr>
                <w:rFonts w:hint="eastAsia" w:ascii="宋体" w:hAnsi="宋体" w:cs="宋体"/>
                <w:highlight w:val="none"/>
                <w:lang w:bidi="ar"/>
              </w:rPr>
              <w:t>分）</w:t>
            </w:r>
          </w:p>
        </w:tc>
        <w:tc>
          <w:tcPr>
            <w:tcW w:w="6659" w:type="dxa"/>
            <w:tcBorders>
              <w:top w:val="single" w:color="000000" w:sz="4" w:space="0"/>
              <w:left w:val="single" w:color="000000" w:sz="4" w:space="0"/>
              <w:right w:val="single" w:color="000000" w:sz="4" w:space="0"/>
            </w:tcBorders>
            <w:noWrap w:val="0"/>
            <w:vAlign w:val="center"/>
          </w:tcPr>
          <w:p w14:paraId="11A8B30C">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440" w:firstLineChars="200"/>
              <w:jc w:val="left"/>
              <w:rPr>
                <w:rFonts w:ascii="宋体" w:hAnsi="宋体" w:cs="仿宋"/>
                <w:highlight w:val="none"/>
              </w:rPr>
            </w:pPr>
            <w:r>
              <w:rPr>
                <w:rFonts w:hint="eastAsia"/>
                <w:highlight w:val="none"/>
                <w:lang w:val="en-US" w:eastAsia="zh-CN"/>
              </w:rPr>
              <w:t>自2021年5月1日以来</w:t>
            </w:r>
            <w:r>
              <w:rPr>
                <w:rFonts w:hint="eastAsia"/>
                <w:highlight w:val="none"/>
              </w:rPr>
              <w:t>承担过类似</w:t>
            </w:r>
            <w:r>
              <w:rPr>
                <w:rFonts w:hint="eastAsia" w:ascii="宋体" w:hAnsi="宋体"/>
                <w:highlight w:val="none"/>
              </w:rPr>
              <w:t>土壤污染风险评估</w:t>
            </w:r>
            <w:r>
              <w:rPr>
                <w:rFonts w:hint="eastAsia"/>
                <w:highlight w:val="none"/>
              </w:rPr>
              <w:t>项目</w:t>
            </w:r>
            <w:r>
              <w:rPr>
                <w:rFonts w:hint="eastAsia"/>
                <w:highlight w:val="none"/>
                <w:lang w:val="en-US" w:eastAsia="zh-CN"/>
              </w:rPr>
              <w:t>或者土壤污染状况调查项目</w:t>
            </w:r>
            <w:r>
              <w:rPr>
                <w:rFonts w:hint="eastAsia"/>
                <w:highlight w:val="none"/>
              </w:rPr>
              <w:t>的，每提供一份合同得</w:t>
            </w:r>
            <w:r>
              <w:rPr>
                <w:rFonts w:hint="eastAsia"/>
                <w:highlight w:val="none"/>
                <w:lang w:val="en-US" w:eastAsia="zh-CN"/>
              </w:rPr>
              <w:t>3</w:t>
            </w:r>
            <w:r>
              <w:rPr>
                <w:rFonts w:hint="eastAsia"/>
                <w:highlight w:val="none"/>
              </w:rPr>
              <w:t>分，本项最</w:t>
            </w:r>
            <w:r>
              <w:rPr>
                <w:rFonts w:hint="eastAsia" w:ascii="宋体" w:hAnsi="宋体" w:cs="仿宋"/>
                <w:highlight w:val="none"/>
              </w:rPr>
              <w:t>高得1</w:t>
            </w:r>
            <w:r>
              <w:rPr>
                <w:rFonts w:hint="eastAsia" w:ascii="宋体" w:hAnsi="宋体" w:cs="仿宋"/>
                <w:highlight w:val="none"/>
                <w:lang w:val="en-US" w:eastAsia="zh-CN"/>
              </w:rPr>
              <w:t>2</w:t>
            </w:r>
            <w:r>
              <w:rPr>
                <w:rFonts w:hint="eastAsia" w:ascii="宋体" w:hAnsi="宋体" w:cs="仿宋"/>
                <w:highlight w:val="none"/>
              </w:rPr>
              <w:t>分</w:t>
            </w:r>
            <w:r>
              <w:rPr>
                <w:rFonts w:hint="eastAsia" w:ascii="宋体" w:hAnsi="宋体" w:cs="仿宋"/>
                <w:highlight w:val="none"/>
                <w:lang w:eastAsia="zh-CN"/>
              </w:rPr>
              <w:t>，</w:t>
            </w:r>
            <w:r>
              <w:rPr>
                <w:rFonts w:hint="eastAsia" w:ascii="宋体" w:hAnsi="宋体" w:cs="仿宋"/>
                <w:highlight w:val="none"/>
                <w:lang w:val="en-US" w:eastAsia="zh-CN"/>
              </w:rPr>
              <w:t>时间以合同签订时间为准</w:t>
            </w:r>
            <w:r>
              <w:rPr>
                <w:rFonts w:hint="eastAsia" w:ascii="宋体" w:hAnsi="宋体" w:cs="仿宋"/>
                <w:highlight w:val="none"/>
              </w:rPr>
              <w:t>。</w:t>
            </w:r>
          </w:p>
        </w:tc>
      </w:tr>
      <w:tr w14:paraId="675A3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7" w:hRule="atLeast"/>
          <w:tblHeader/>
          <w:jc w:val="center"/>
        </w:trPr>
        <w:tc>
          <w:tcPr>
            <w:tcW w:w="1217" w:type="dxa"/>
            <w:vMerge w:val="continue"/>
            <w:tcBorders>
              <w:top w:val="single" w:color="000000" w:sz="4" w:space="0"/>
              <w:left w:val="single" w:color="000000" w:sz="4" w:space="0"/>
              <w:right w:val="single" w:color="000000" w:sz="4" w:space="0"/>
            </w:tcBorders>
            <w:noWrap w:val="0"/>
            <w:vAlign w:val="center"/>
          </w:tcPr>
          <w:p w14:paraId="2ED7FF4F">
            <w:pPr>
              <w:spacing w:line="276" w:lineRule="auto"/>
              <w:jc w:val="center"/>
              <w:rPr>
                <w:rFonts w:hint="eastAsia" w:ascii="宋体" w:hAnsi="宋体" w:cs="宋体"/>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45420A62">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330" w:firstLineChars="150"/>
              <w:jc w:val="left"/>
              <w:rPr>
                <w:rFonts w:hint="eastAsia" w:ascii="宋体" w:hAnsi="宋体" w:cs="仿宋"/>
                <w:highlight w:val="none"/>
              </w:rPr>
            </w:pPr>
            <w:r>
              <w:rPr>
                <w:rFonts w:hint="eastAsia" w:ascii="宋体" w:hAnsi="宋体" w:cs="仿宋"/>
                <w:highlight w:val="none"/>
              </w:rPr>
              <w:t>企业资信</w:t>
            </w:r>
          </w:p>
          <w:p w14:paraId="07B9AAAA">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330" w:firstLineChars="150"/>
              <w:jc w:val="left"/>
              <w:rPr>
                <w:rFonts w:ascii="宋体" w:hAnsi="宋体" w:cs="仿宋"/>
                <w:highlight w:val="none"/>
              </w:rPr>
            </w:pPr>
            <w:r>
              <w:rPr>
                <w:rFonts w:hint="eastAsia" w:ascii="宋体" w:hAnsi="宋体" w:cs="仿宋"/>
                <w:highlight w:val="none"/>
              </w:rPr>
              <w:t>（</w:t>
            </w:r>
            <w:r>
              <w:rPr>
                <w:rFonts w:hint="eastAsia" w:ascii="宋体" w:hAnsi="宋体" w:cs="仿宋"/>
                <w:highlight w:val="none"/>
                <w:lang w:val="en-US" w:eastAsia="zh-CN"/>
              </w:rPr>
              <w:t>3</w:t>
            </w:r>
            <w:r>
              <w:rPr>
                <w:rFonts w:hint="eastAsia" w:ascii="宋体" w:hAnsi="宋体" w:cs="仿宋"/>
                <w:highlight w:val="none"/>
              </w:rPr>
              <w:t>分）</w:t>
            </w:r>
          </w:p>
        </w:tc>
        <w:tc>
          <w:tcPr>
            <w:tcW w:w="6659" w:type="dxa"/>
            <w:tcBorders>
              <w:top w:val="single" w:color="000000" w:sz="4" w:space="0"/>
              <w:left w:val="single" w:color="000000" w:sz="4" w:space="0"/>
              <w:right w:val="single" w:color="000000" w:sz="4" w:space="0"/>
            </w:tcBorders>
            <w:noWrap w:val="0"/>
            <w:vAlign w:val="center"/>
          </w:tcPr>
          <w:p w14:paraId="54CB6E57">
            <w:pPr>
              <w:spacing w:line="276" w:lineRule="auto"/>
              <w:ind w:firstLine="440" w:firstLineChars="200"/>
              <w:rPr>
                <w:rFonts w:hint="eastAsia" w:ascii="宋体" w:hAnsi="宋体"/>
                <w:highlight w:val="none"/>
              </w:rPr>
            </w:pPr>
            <w:r>
              <w:rPr>
                <w:rFonts w:hint="eastAsia" w:ascii="宋体" w:hAnsi="宋体"/>
                <w:highlight w:val="none"/>
              </w:rPr>
              <w:t>供应商具有中国环境服务认证证书（服务项目包括环境咨询）的得</w:t>
            </w:r>
            <w:r>
              <w:rPr>
                <w:rFonts w:hint="eastAsia" w:ascii="宋体" w:hAnsi="宋体"/>
                <w:highlight w:val="none"/>
                <w:lang w:val="en-US" w:eastAsia="zh-CN"/>
              </w:rPr>
              <w:t>3</w:t>
            </w:r>
            <w:r>
              <w:rPr>
                <w:rFonts w:hint="eastAsia" w:ascii="宋体" w:hAnsi="宋体"/>
                <w:highlight w:val="none"/>
              </w:rPr>
              <w:t>分；</w:t>
            </w:r>
          </w:p>
          <w:p w14:paraId="3B5B0053">
            <w:pPr>
              <w:spacing w:line="276" w:lineRule="auto"/>
              <w:ind w:firstLine="440" w:firstLineChars="200"/>
              <w:rPr>
                <w:rFonts w:ascii="宋体" w:hAnsi="宋体"/>
                <w:highlight w:val="none"/>
              </w:rPr>
            </w:pPr>
            <w:r>
              <w:rPr>
                <w:rFonts w:hint="eastAsia" w:ascii="宋体" w:hAnsi="宋体"/>
                <w:highlight w:val="none"/>
              </w:rPr>
              <w:t>注：提供相关证书或证明等复印件并加盖公章，否则不得分。</w:t>
            </w:r>
          </w:p>
        </w:tc>
      </w:tr>
      <w:tr w14:paraId="068D9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7" w:hRule="atLeast"/>
          <w:tblHeader/>
          <w:jc w:val="center"/>
        </w:trPr>
        <w:tc>
          <w:tcPr>
            <w:tcW w:w="1217" w:type="dxa"/>
            <w:vMerge w:val="continue"/>
            <w:tcBorders>
              <w:top w:val="single" w:color="000000" w:sz="4" w:space="0"/>
              <w:left w:val="single" w:color="000000" w:sz="4" w:space="0"/>
              <w:right w:val="single" w:color="000000" w:sz="4" w:space="0"/>
            </w:tcBorders>
            <w:noWrap w:val="0"/>
            <w:vAlign w:val="center"/>
          </w:tcPr>
          <w:p w14:paraId="10DF9E08">
            <w:pPr>
              <w:spacing w:line="276" w:lineRule="auto"/>
              <w:jc w:val="center"/>
              <w:rPr>
                <w:rFonts w:hint="eastAsia" w:ascii="宋体" w:hAnsi="宋体" w:cs="宋体"/>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4642666B">
            <w:pPr>
              <w:spacing w:line="276" w:lineRule="auto"/>
              <w:jc w:val="center"/>
              <w:rPr>
                <w:rFonts w:hint="eastAsia" w:ascii="宋体" w:hAnsi="宋体" w:cs="宋体"/>
                <w:highlight w:val="none"/>
                <w:lang w:bidi="ar"/>
              </w:rPr>
            </w:pPr>
            <w:r>
              <w:rPr>
                <w:rFonts w:hint="eastAsia" w:ascii="宋体" w:hAnsi="宋体" w:cs="宋体"/>
                <w:highlight w:val="none"/>
                <w:lang w:bidi="ar"/>
              </w:rPr>
              <w:t>仪器设备</w:t>
            </w:r>
          </w:p>
          <w:p w14:paraId="4573585E">
            <w:pPr>
              <w:spacing w:line="276" w:lineRule="auto"/>
              <w:jc w:val="center"/>
              <w:rPr>
                <w:rFonts w:hint="eastAsia" w:ascii="宋体" w:hAnsi="宋体" w:cs="宋体"/>
                <w:highlight w:val="none"/>
                <w:lang w:bidi="ar"/>
              </w:rPr>
            </w:pPr>
            <w:r>
              <w:rPr>
                <w:rFonts w:hint="eastAsia" w:ascii="宋体" w:hAnsi="宋体" w:cs="宋体"/>
                <w:highlight w:val="none"/>
                <w:lang w:bidi="ar"/>
              </w:rPr>
              <w:t>（</w:t>
            </w:r>
            <w:r>
              <w:rPr>
                <w:rFonts w:hint="eastAsia" w:ascii="宋体" w:hAnsi="宋体" w:cs="宋体"/>
                <w:highlight w:val="none"/>
                <w:lang w:val="en-US" w:eastAsia="zh-CN" w:bidi="ar"/>
              </w:rPr>
              <w:t>9</w:t>
            </w:r>
            <w:r>
              <w:rPr>
                <w:rFonts w:hint="eastAsia" w:ascii="宋体" w:hAnsi="宋体" w:cs="宋体"/>
                <w:highlight w:val="none"/>
                <w:lang w:bidi="ar"/>
              </w:rPr>
              <w:t>分）</w:t>
            </w:r>
          </w:p>
        </w:tc>
        <w:tc>
          <w:tcPr>
            <w:tcW w:w="6659" w:type="dxa"/>
            <w:tcBorders>
              <w:top w:val="single" w:color="000000" w:sz="4" w:space="0"/>
              <w:left w:val="single" w:color="000000" w:sz="4" w:space="0"/>
              <w:right w:val="single" w:color="000000" w:sz="4" w:space="0"/>
            </w:tcBorders>
            <w:noWrap w:val="0"/>
            <w:vAlign w:val="center"/>
          </w:tcPr>
          <w:p w14:paraId="399B4960">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440" w:firstLineChars="200"/>
              <w:jc w:val="left"/>
              <w:rPr>
                <w:rFonts w:hint="eastAsia"/>
                <w:highlight w:val="none"/>
              </w:rPr>
            </w:pPr>
            <w:r>
              <w:rPr>
                <w:rFonts w:hint="eastAsia" w:ascii="宋体" w:hAnsi="宋体"/>
                <w:highlight w:val="none"/>
              </w:rPr>
              <w:t>供应商</w:t>
            </w:r>
            <w:r>
              <w:rPr>
                <w:rFonts w:hint="eastAsia"/>
                <w:highlight w:val="none"/>
                <w:lang w:val="en-US" w:eastAsia="zh-CN"/>
              </w:rPr>
              <w:t>具有</w:t>
            </w:r>
            <w:r>
              <w:rPr>
                <w:rFonts w:hint="eastAsia"/>
                <w:highlight w:val="none"/>
              </w:rPr>
              <w:t>手持式X荧光光谱仪(XRF)的得</w:t>
            </w:r>
            <w:r>
              <w:rPr>
                <w:rFonts w:hint="eastAsia"/>
                <w:highlight w:val="none"/>
                <w:lang w:val="en-US" w:eastAsia="zh-CN"/>
              </w:rPr>
              <w:t>3</w:t>
            </w:r>
            <w:r>
              <w:rPr>
                <w:rFonts w:hint="eastAsia"/>
                <w:highlight w:val="none"/>
              </w:rPr>
              <w:t>分；</w:t>
            </w:r>
          </w:p>
          <w:p w14:paraId="21CA0E54">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440" w:firstLineChars="200"/>
              <w:jc w:val="left"/>
              <w:rPr>
                <w:rFonts w:hint="eastAsia"/>
                <w:highlight w:val="none"/>
              </w:rPr>
            </w:pPr>
            <w:r>
              <w:rPr>
                <w:rFonts w:hint="eastAsia"/>
                <w:highlight w:val="none"/>
                <w:lang w:val="en-US" w:eastAsia="zh-CN"/>
              </w:rPr>
              <w:t>具有</w:t>
            </w:r>
            <w:r>
              <w:rPr>
                <w:rFonts w:hint="eastAsia"/>
                <w:highlight w:val="none"/>
              </w:rPr>
              <w:t>VOC检测仪（PID）的得</w:t>
            </w:r>
            <w:r>
              <w:rPr>
                <w:rFonts w:hint="eastAsia"/>
                <w:highlight w:val="none"/>
                <w:lang w:val="en-US" w:eastAsia="zh-CN"/>
              </w:rPr>
              <w:t>3</w:t>
            </w:r>
            <w:r>
              <w:rPr>
                <w:rFonts w:hint="eastAsia"/>
                <w:highlight w:val="none"/>
              </w:rPr>
              <w:t>分；</w:t>
            </w:r>
          </w:p>
          <w:p w14:paraId="3ED20FCE">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440" w:firstLineChars="200"/>
              <w:jc w:val="left"/>
              <w:rPr>
                <w:rFonts w:hint="eastAsia"/>
                <w:highlight w:val="none"/>
              </w:rPr>
            </w:pPr>
            <w:r>
              <w:rPr>
                <w:rFonts w:hint="eastAsia"/>
                <w:highlight w:val="none"/>
                <w:lang w:val="en-US" w:eastAsia="zh-CN"/>
              </w:rPr>
              <w:t>具有</w:t>
            </w:r>
            <w:r>
              <w:rPr>
                <w:rFonts w:hint="eastAsia"/>
                <w:highlight w:val="none"/>
              </w:rPr>
              <w:t>无人机设备的得</w:t>
            </w:r>
            <w:r>
              <w:rPr>
                <w:rFonts w:hint="eastAsia"/>
                <w:highlight w:val="none"/>
                <w:lang w:val="en-US" w:eastAsia="zh-CN"/>
              </w:rPr>
              <w:t>3</w:t>
            </w:r>
            <w:r>
              <w:rPr>
                <w:rFonts w:hint="eastAsia"/>
                <w:highlight w:val="none"/>
              </w:rPr>
              <w:t>分；</w:t>
            </w:r>
          </w:p>
          <w:p w14:paraId="5EA7E96C">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440" w:firstLineChars="200"/>
              <w:jc w:val="left"/>
              <w:rPr>
                <w:rFonts w:hint="eastAsia"/>
                <w:highlight w:val="none"/>
              </w:rPr>
            </w:pPr>
            <w:r>
              <w:rPr>
                <w:rFonts w:hint="eastAsia"/>
                <w:highlight w:val="none"/>
              </w:rPr>
              <w:t>本项最高得</w:t>
            </w:r>
            <w:r>
              <w:rPr>
                <w:rFonts w:hint="eastAsia"/>
                <w:highlight w:val="none"/>
                <w:lang w:val="en-US" w:eastAsia="zh-CN"/>
              </w:rPr>
              <w:t>9</w:t>
            </w:r>
            <w:r>
              <w:rPr>
                <w:rFonts w:hint="eastAsia"/>
                <w:highlight w:val="none"/>
              </w:rPr>
              <w:t>分。</w:t>
            </w:r>
          </w:p>
          <w:p w14:paraId="4D237DDC">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440" w:firstLineChars="200"/>
              <w:jc w:val="left"/>
              <w:rPr>
                <w:rFonts w:hint="eastAsia"/>
                <w:highlight w:val="none"/>
              </w:rPr>
            </w:pPr>
            <w:r>
              <w:rPr>
                <w:rFonts w:hint="eastAsia"/>
                <w:highlight w:val="none"/>
              </w:rPr>
              <w:t>注：设备为</w:t>
            </w:r>
            <w:r>
              <w:rPr>
                <w:rFonts w:hint="eastAsia" w:ascii="宋体" w:hAnsi="宋体"/>
                <w:highlight w:val="none"/>
              </w:rPr>
              <w:t>供应商</w:t>
            </w:r>
            <w:r>
              <w:rPr>
                <w:rFonts w:hint="eastAsia"/>
                <w:highlight w:val="none"/>
              </w:rPr>
              <w:t>自有</w:t>
            </w:r>
            <w:r>
              <w:rPr>
                <w:rFonts w:hint="eastAsia"/>
                <w:highlight w:val="none"/>
                <w:lang w:val="en-US" w:eastAsia="zh-CN"/>
              </w:rPr>
              <w:t>或者租赁</w:t>
            </w:r>
            <w:r>
              <w:rPr>
                <w:rFonts w:hint="eastAsia"/>
                <w:highlight w:val="none"/>
              </w:rPr>
              <w:t>，</w:t>
            </w:r>
            <w:r>
              <w:rPr>
                <w:rFonts w:hint="eastAsia"/>
                <w:highlight w:val="none"/>
                <w:lang w:val="en-US" w:eastAsia="zh-CN"/>
              </w:rPr>
              <w:t>自有</w:t>
            </w:r>
            <w:r>
              <w:rPr>
                <w:rFonts w:hint="eastAsia"/>
                <w:highlight w:val="none"/>
              </w:rPr>
              <w:t>需提供设备购买发票扫描件加盖公章，</w:t>
            </w:r>
            <w:r>
              <w:rPr>
                <w:rFonts w:hint="eastAsia"/>
                <w:highlight w:val="none"/>
                <w:lang w:val="en-US" w:eastAsia="zh-CN"/>
              </w:rPr>
              <w:t>租赁需要提供租赁合同</w:t>
            </w:r>
            <w:r>
              <w:rPr>
                <w:rFonts w:hint="eastAsia"/>
                <w:highlight w:val="none"/>
                <w:lang w:eastAsia="zh-CN"/>
              </w:rPr>
              <w:t>，</w:t>
            </w:r>
            <w:r>
              <w:rPr>
                <w:rFonts w:hint="eastAsia"/>
                <w:highlight w:val="none"/>
              </w:rPr>
              <w:t>否则不得分。</w:t>
            </w:r>
          </w:p>
        </w:tc>
      </w:tr>
      <w:tr w14:paraId="28FB1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9" w:hRule="atLeast"/>
          <w:tblHeader/>
          <w:jc w:val="center"/>
        </w:trPr>
        <w:tc>
          <w:tcPr>
            <w:tcW w:w="1217" w:type="dxa"/>
            <w:vMerge w:val="continue"/>
            <w:tcBorders>
              <w:left w:val="single" w:color="000000" w:sz="4" w:space="0"/>
              <w:right w:val="single" w:color="000000" w:sz="4" w:space="0"/>
            </w:tcBorders>
            <w:noWrap w:val="0"/>
            <w:vAlign w:val="center"/>
          </w:tcPr>
          <w:p w14:paraId="6662C313">
            <w:pPr>
              <w:spacing w:line="276" w:lineRule="auto"/>
              <w:jc w:val="center"/>
              <w:rPr>
                <w:rFonts w:hint="eastAsia" w:ascii="宋体" w:hAnsi="宋体" w:cs="宋体"/>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96D53A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hint="eastAsia" w:ascii="宋体" w:hAnsi="宋体"/>
                <w:highlight w:val="none"/>
              </w:rPr>
            </w:pPr>
            <w:r>
              <w:rPr>
                <w:rFonts w:hint="eastAsia" w:ascii="宋体" w:hAnsi="宋体"/>
                <w:highlight w:val="none"/>
              </w:rPr>
              <w:t>项目负责人</w:t>
            </w:r>
          </w:p>
          <w:p w14:paraId="53F146A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宋体" w:hAnsi="宋体"/>
                <w:highlight w:val="none"/>
              </w:rPr>
            </w:pPr>
            <w:r>
              <w:rPr>
                <w:rFonts w:hint="eastAsia" w:ascii="宋体" w:hAnsi="宋体"/>
                <w:highlight w:val="none"/>
              </w:rPr>
              <w:t>（</w:t>
            </w:r>
            <w:r>
              <w:rPr>
                <w:rFonts w:hint="eastAsia" w:ascii="宋体" w:hAnsi="宋体" w:eastAsia="宋体"/>
                <w:highlight w:val="none"/>
                <w:lang w:val="en-US" w:eastAsia="zh-CN"/>
              </w:rPr>
              <w:t>3</w:t>
            </w:r>
            <w:r>
              <w:rPr>
                <w:rFonts w:hint="eastAsia" w:ascii="宋体" w:hAnsi="宋体"/>
                <w:highlight w:val="none"/>
              </w:rPr>
              <w:t>分）</w:t>
            </w:r>
          </w:p>
        </w:tc>
        <w:tc>
          <w:tcPr>
            <w:tcW w:w="6659" w:type="dxa"/>
            <w:tcBorders>
              <w:top w:val="single" w:color="000000" w:sz="4" w:space="0"/>
              <w:left w:val="single" w:color="000000" w:sz="4" w:space="0"/>
              <w:right w:val="single" w:color="000000" w:sz="4" w:space="0"/>
            </w:tcBorders>
            <w:noWrap w:val="0"/>
            <w:vAlign w:val="center"/>
          </w:tcPr>
          <w:p w14:paraId="74D47E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left"/>
              <w:rPr>
                <w:rFonts w:hint="eastAsia" w:ascii="宋体" w:hAnsi="宋体"/>
                <w:highlight w:val="none"/>
                <w:lang w:val="zh-CN"/>
              </w:rPr>
            </w:pPr>
            <w:r>
              <w:rPr>
                <w:rFonts w:hint="eastAsia" w:ascii="宋体" w:hAnsi="宋体"/>
                <w:highlight w:val="none"/>
                <w:lang w:val="zh-CN"/>
              </w:rPr>
              <w:t>项目负责人具有</w:t>
            </w:r>
            <w:r>
              <w:rPr>
                <w:rFonts w:hint="eastAsia" w:ascii="宋体" w:hAnsi="宋体" w:eastAsia="宋体"/>
                <w:highlight w:val="none"/>
                <w:lang w:val="en-US" w:eastAsia="zh-CN"/>
              </w:rPr>
              <w:t>注册</w:t>
            </w:r>
            <w:r>
              <w:rPr>
                <w:rFonts w:hint="eastAsia" w:ascii="宋体" w:hAnsi="宋体"/>
                <w:highlight w:val="none"/>
                <w:lang w:val="zh-CN"/>
              </w:rPr>
              <w:t>环</w:t>
            </w:r>
            <w:r>
              <w:rPr>
                <w:rFonts w:hint="eastAsia" w:ascii="宋体" w:hAnsi="宋体"/>
                <w:highlight w:val="none"/>
                <w:lang w:val="en-US" w:eastAsia="zh-CN"/>
              </w:rPr>
              <w:t>评</w:t>
            </w:r>
            <w:r>
              <w:rPr>
                <w:rFonts w:hint="eastAsia" w:ascii="宋体" w:hAnsi="宋体"/>
                <w:highlight w:val="none"/>
                <w:lang w:val="zh-CN"/>
              </w:rPr>
              <w:t>工程师证书的得</w:t>
            </w:r>
            <w:r>
              <w:rPr>
                <w:rFonts w:hint="eastAsia" w:ascii="宋体" w:hAnsi="宋体"/>
                <w:highlight w:val="none"/>
                <w:lang w:val="en-US" w:eastAsia="zh-CN"/>
              </w:rPr>
              <w:t>3</w:t>
            </w:r>
            <w:r>
              <w:rPr>
                <w:rFonts w:hint="eastAsia" w:ascii="宋体" w:hAnsi="宋体"/>
                <w:highlight w:val="none"/>
                <w:lang w:val="zh-CN"/>
              </w:rPr>
              <w:t>分。</w:t>
            </w:r>
          </w:p>
          <w:p w14:paraId="625D9BC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left"/>
              <w:rPr>
                <w:rFonts w:hint="default" w:ascii="宋体" w:hAnsi="宋体" w:eastAsia="宋体"/>
                <w:highlight w:val="none"/>
                <w:lang w:val="en-US" w:eastAsia="zh-CN"/>
              </w:rPr>
            </w:pPr>
            <w:r>
              <w:rPr>
                <w:rFonts w:hint="eastAsia" w:ascii="宋体" w:hAnsi="宋体"/>
                <w:highlight w:val="none"/>
              </w:rPr>
              <w:t>注：</w:t>
            </w:r>
            <w:r>
              <w:rPr>
                <w:rFonts w:hint="eastAsia" w:ascii="宋体" w:hAnsi="宋体"/>
                <w:highlight w:val="none"/>
                <w:lang w:val="en-US" w:eastAsia="zh-CN"/>
              </w:rPr>
              <w:t>须提供人员有效身份证正反面加盖公章，本单位注册证书加盖公章，</w:t>
            </w:r>
            <w:r>
              <w:rPr>
                <w:rFonts w:hint="eastAsia" w:ascii="宋体" w:hAnsi="宋体"/>
                <w:highlight w:val="none"/>
              </w:rPr>
              <w:t>由法定的社保收缴部门出具的近三个月（2026年</w:t>
            </w:r>
            <w:r>
              <w:rPr>
                <w:rFonts w:hint="eastAsia" w:ascii="宋体" w:hAnsi="宋体"/>
                <w:highlight w:val="none"/>
                <w:lang w:val="en-US" w:eastAsia="zh-CN"/>
              </w:rPr>
              <w:t>2</w:t>
            </w:r>
            <w:r>
              <w:rPr>
                <w:rFonts w:hint="eastAsia" w:ascii="宋体" w:hAnsi="宋体"/>
                <w:highlight w:val="none"/>
              </w:rPr>
              <w:t>月-2026年4月）的投标人为其依法缴纳社保证明</w:t>
            </w:r>
            <w:r>
              <w:rPr>
                <w:rFonts w:hint="eastAsia" w:ascii="宋体" w:hAnsi="宋体"/>
                <w:highlight w:val="none"/>
                <w:lang w:val="en-US" w:eastAsia="zh-CN"/>
              </w:rPr>
              <w:t>加盖公章</w:t>
            </w:r>
            <w:r>
              <w:rPr>
                <w:rFonts w:hint="eastAsia" w:ascii="宋体" w:hAnsi="宋体"/>
                <w:highlight w:val="none"/>
                <w:lang w:eastAsia="zh-CN"/>
              </w:rPr>
              <w:t>。</w:t>
            </w:r>
          </w:p>
        </w:tc>
      </w:tr>
      <w:tr w14:paraId="50F21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6" w:hRule="atLeast"/>
          <w:tblHeader/>
          <w:jc w:val="center"/>
        </w:trPr>
        <w:tc>
          <w:tcPr>
            <w:tcW w:w="1217" w:type="dxa"/>
            <w:vMerge w:val="continue"/>
            <w:tcBorders>
              <w:left w:val="single" w:color="000000" w:sz="4" w:space="0"/>
              <w:right w:val="single" w:color="000000" w:sz="4" w:space="0"/>
            </w:tcBorders>
            <w:noWrap w:val="0"/>
            <w:vAlign w:val="center"/>
          </w:tcPr>
          <w:p w14:paraId="565633DA">
            <w:pPr>
              <w:spacing w:line="276" w:lineRule="auto"/>
              <w:jc w:val="center"/>
              <w:rPr>
                <w:rFonts w:hint="eastAsia"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105B95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hint="eastAsia" w:ascii="宋体" w:hAnsi="宋体"/>
                <w:highlight w:val="none"/>
              </w:rPr>
            </w:pPr>
            <w:bookmarkStart w:id="135" w:name="OLE_LINK1"/>
            <w:r>
              <w:rPr>
                <w:rFonts w:hint="eastAsia" w:ascii="宋体" w:hAnsi="宋体"/>
                <w:highlight w:val="none"/>
              </w:rPr>
              <w:t>项目组成员</w:t>
            </w:r>
          </w:p>
          <w:p w14:paraId="11366B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8</w:t>
            </w:r>
            <w:r>
              <w:rPr>
                <w:rFonts w:hint="eastAsia" w:ascii="宋体" w:hAnsi="宋体"/>
                <w:highlight w:val="none"/>
              </w:rPr>
              <w:t>分）</w:t>
            </w:r>
            <w:bookmarkEnd w:id="135"/>
          </w:p>
        </w:tc>
        <w:tc>
          <w:tcPr>
            <w:tcW w:w="6659" w:type="dxa"/>
            <w:tcBorders>
              <w:top w:val="single" w:color="000000" w:sz="4" w:space="0"/>
              <w:left w:val="single" w:color="000000" w:sz="4" w:space="0"/>
              <w:right w:val="single" w:color="000000" w:sz="4" w:space="0"/>
            </w:tcBorders>
            <w:noWrap w:val="0"/>
            <w:vAlign w:val="center"/>
          </w:tcPr>
          <w:p w14:paraId="5398FF9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left"/>
              <w:rPr>
                <w:rFonts w:hint="default" w:ascii="宋体" w:hAnsi="宋体"/>
                <w:highlight w:val="none"/>
                <w:lang w:val="en-US" w:eastAsia="zh-CN"/>
              </w:rPr>
            </w:pPr>
            <w:bookmarkStart w:id="136" w:name="OLE_LINK2"/>
            <w:r>
              <w:rPr>
                <w:rFonts w:hint="eastAsia" w:ascii="宋体" w:hAnsi="宋体"/>
                <w:highlight w:val="none"/>
              </w:rPr>
              <w:t>1</w:t>
            </w:r>
            <w:r>
              <w:rPr>
                <w:rFonts w:hint="eastAsia" w:ascii="宋体" w:hAnsi="宋体"/>
                <w:highlight w:val="none"/>
                <w:lang w:val="en-US" w:eastAsia="zh-CN"/>
              </w:rPr>
              <w:t>、在满足</w:t>
            </w:r>
            <w:r>
              <w:rPr>
                <w:rFonts w:hint="eastAsia" w:ascii="宋体" w:hAnsi="宋体"/>
                <w:highlight w:val="none"/>
                <w:lang w:val="zh-CN" w:eastAsia="zh-CN"/>
              </w:rPr>
              <w:t>第四章 采购</w:t>
            </w:r>
            <w:r>
              <w:rPr>
                <w:rFonts w:hint="eastAsia" w:ascii="宋体" w:hAnsi="宋体"/>
                <w:highlight w:val="none"/>
                <w:lang w:val="en-US" w:eastAsia="zh-CN"/>
              </w:rPr>
              <w:t>项目</w:t>
            </w:r>
            <w:r>
              <w:rPr>
                <w:rFonts w:hint="eastAsia" w:ascii="宋体" w:hAnsi="宋体"/>
                <w:highlight w:val="none"/>
                <w:lang w:val="zh-CN" w:eastAsia="zh-CN"/>
              </w:rPr>
              <w:t>需求</w:t>
            </w:r>
            <w:r>
              <w:rPr>
                <w:rFonts w:hint="eastAsia" w:ascii="宋体" w:hAnsi="宋体"/>
                <w:highlight w:val="none"/>
                <w:lang w:val="en-US" w:eastAsia="zh-CN"/>
              </w:rPr>
              <w:t>5、项目组人员要求的基础上，每增加一名</w:t>
            </w:r>
            <w:r>
              <w:rPr>
                <w:rFonts w:hint="eastAsia" w:ascii="宋体" w:hAnsi="宋体"/>
                <w:highlight w:val="none"/>
                <w:lang w:val="zh-CN" w:eastAsia="zh-CN"/>
              </w:rPr>
              <w:t>环境保护类</w:t>
            </w:r>
            <w:r>
              <w:rPr>
                <w:rFonts w:hint="eastAsia" w:ascii="宋体" w:hAnsi="宋体"/>
                <w:highlight w:val="none"/>
                <w:lang w:val="en-US" w:eastAsia="zh-CN"/>
              </w:rPr>
              <w:t>工程师及以上人员得2分/人，满分8分。</w:t>
            </w:r>
          </w:p>
          <w:p w14:paraId="71DDC37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left"/>
              <w:rPr>
                <w:rFonts w:hint="eastAsia" w:ascii="宋体" w:hAnsi="宋体" w:eastAsia="宋体"/>
                <w:highlight w:val="none"/>
                <w:lang w:eastAsia="zh-CN"/>
              </w:rPr>
            </w:pPr>
            <w:r>
              <w:rPr>
                <w:rFonts w:hint="eastAsia" w:ascii="宋体" w:hAnsi="宋体"/>
                <w:highlight w:val="none"/>
              </w:rPr>
              <w:t>注：</w:t>
            </w:r>
            <w:bookmarkEnd w:id="136"/>
            <w:r>
              <w:rPr>
                <w:rFonts w:hint="eastAsia" w:ascii="宋体" w:hAnsi="宋体"/>
                <w:highlight w:val="none"/>
                <w:lang w:val="en-US" w:eastAsia="zh-CN"/>
              </w:rPr>
              <w:t>须提供人员有效身份证正反面加盖公章，职称证书加盖公章，由法定的社保收缴部门出具的近三个月（2026年2月-2026年4月）的投标人为其依法缴纳社保证明加盖公章。</w:t>
            </w:r>
          </w:p>
        </w:tc>
      </w:tr>
      <w:tr w14:paraId="479EC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blHeader/>
          <w:jc w:val="center"/>
        </w:trPr>
        <w:tc>
          <w:tcPr>
            <w:tcW w:w="2918" w:type="dxa"/>
            <w:gridSpan w:val="2"/>
            <w:noWrap w:val="0"/>
            <w:vAlign w:val="center"/>
          </w:tcPr>
          <w:p w14:paraId="7E477DF8">
            <w:pPr>
              <w:spacing w:line="276" w:lineRule="auto"/>
              <w:ind w:firstLine="440" w:firstLineChars="200"/>
              <w:jc w:val="center"/>
              <w:rPr>
                <w:rFonts w:ascii="宋体" w:hAnsi="宋体" w:cs="宋体"/>
                <w:color w:val="000000"/>
                <w:highlight w:val="none"/>
              </w:rPr>
            </w:pPr>
            <w:r>
              <w:rPr>
                <w:rFonts w:hint="eastAsia" w:ascii="宋体" w:hAnsi="宋体" w:cs="宋体"/>
                <w:color w:val="000000"/>
                <w:highlight w:val="none"/>
              </w:rPr>
              <w:t>总分</w:t>
            </w:r>
          </w:p>
        </w:tc>
        <w:tc>
          <w:tcPr>
            <w:tcW w:w="6659" w:type="dxa"/>
            <w:noWrap w:val="0"/>
            <w:vAlign w:val="center"/>
          </w:tcPr>
          <w:p w14:paraId="60FCD479">
            <w:pPr>
              <w:spacing w:line="276" w:lineRule="auto"/>
              <w:ind w:firstLine="440" w:firstLineChars="200"/>
              <w:jc w:val="center"/>
              <w:rPr>
                <w:rFonts w:ascii="宋体" w:hAnsi="宋体" w:cs="宋体"/>
                <w:color w:val="000000"/>
                <w:highlight w:val="none"/>
              </w:rPr>
            </w:pPr>
            <w:r>
              <w:rPr>
                <w:rFonts w:hint="eastAsia" w:ascii="宋体" w:hAnsi="宋体" w:cs="宋体"/>
                <w:color w:val="000000"/>
                <w:highlight w:val="none"/>
              </w:rPr>
              <w:t>100</w:t>
            </w:r>
          </w:p>
        </w:tc>
      </w:tr>
    </w:tbl>
    <w:p w14:paraId="66E87CF1">
      <w:pPr>
        <w:rPr>
          <w:rFonts w:hint="eastAsia" w:ascii="宋体" w:hAnsi="宋体" w:eastAsia="宋体" w:cs="宋体"/>
          <w:b/>
          <w:color w:val="000000" w:themeColor="text1"/>
          <w:sz w:val="28"/>
          <w:szCs w:val="28"/>
          <w:highlight w:val="none"/>
          <w:lang w:val="zh-CN"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page"/>
      </w:r>
    </w:p>
    <w:p w14:paraId="54111891">
      <w:pPr>
        <w:spacing w:line="360" w:lineRule="auto"/>
        <w:jc w:val="center"/>
        <w:outlineLvl w:val="0"/>
        <w:rPr>
          <w:rFonts w:ascii="黑体" w:hAnsi="黑体" w:eastAsia="黑体" w:cs="黑体"/>
          <w:b/>
          <w:color w:val="000000" w:themeColor="text1"/>
          <w:sz w:val="32"/>
          <w:szCs w:val="32"/>
          <w:highlight w:val="none"/>
          <w:lang w:val="zh-CN"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t>第四章 采购</w:t>
      </w:r>
      <w:r>
        <w:rPr>
          <w:rFonts w:hint="eastAsia" w:ascii="宋体" w:hAnsi="宋体" w:eastAsia="宋体" w:cs="宋体"/>
          <w:b/>
          <w:color w:val="000000" w:themeColor="text1"/>
          <w:sz w:val="28"/>
          <w:szCs w:val="28"/>
          <w:highlight w:val="none"/>
          <w:lang w:val="en-US" w:eastAsia="zh-CN"/>
          <w14:textFill>
            <w14:solidFill>
              <w14:schemeClr w14:val="tx1"/>
            </w14:solidFill>
          </w14:textFill>
        </w:rPr>
        <w:t>项目</w:t>
      </w:r>
      <w:r>
        <w:rPr>
          <w:rFonts w:hint="eastAsia" w:ascii="宋体" w:hAnsi="宋体" w:eastAsia="宋体" w:cs="宋体"/>
          <w:b/>
          <w:color w:val="000000" w:themeColor="text1"/>
          <w:sz w:val="28"/>
          <w:szCs w:val="28"/>
          <w:highlight w:val="none"/>
          <w:lang w:val="zh-CN" w:eastAsia="zh-CN"/>
          <w14:textFill>
            <w14:solidFill>
              <w14:schemeClr w14:val="tx1"/>
            </w14:solidFill>
          </w14:textFill>
        </w:rPr>
        <w:t>需求</w:t>
      </w:r>
      <w:bookmarkEnd w:id="134"/>
    </w:p>
    <w:p w14:paraId="35E3030C">
      <w:pPr>
        <w:spacing w:line="360" w:lineRule="auto"/>
        <w:ind w:firstLine="480" w:firstLineChars="200"/>
        <w:outlineLvl w:val="0"/>
        <w:rPr>
          <w:rFonts w:hint="eastAsia" w:ascii="宋体" w:hAnsi="宋体" w:eastAsia="宋体" w:cs="宋体"/>
          <w:sz w:val="24"/>
          <w:szCs w:val="24"/>
          <w:highlight w:val="none"/>
          <w:lang w:eastAsia="zh-CN"/>
        </w:rPr>
      </w:pPr>
      <w:bookmarkStart w:id="137" w:name="第五章__合同草案条款及格式"/>
      <w:bookmarkEnd w:id="137"/>
      <w:bookmarkStart w:id="138" w:name="_Toc183610249"/>
      <w:r>
        <w:rPr>
          <w:rFonts w:hint="eastAsia" w:ascii="宋体" w:hAnsi="宋体" w:eastAsia="宋体" w:cs="宋体"/>
          <w:sz w:val="24"/>
          <w:szCs w:val="24"/>
          <w:highlight w:val="none"/>
        </w:rPr>
        <w:t>1、项目名称：</w:t>
      </w:r>
      <w:r>
        <w:rPr>
          <w:rFonts w:hint="eastAsia" w:ascii="宋体" w:hAnsi="宋体" w:eastAsia="宋体" w:cs="宋体"/>
          <w:sz w:val="24"/>
          <w:szCs w:val="24"/>
          <w:highlight w:val="none"/>
          <w:lang w:eastAsia="zh-CN"/>
        </w:rPr>
        <w:t>原铜井化工园退役场地风险评估项目</w:t>
      </w:r>
    </w:p>
    <w:p w14:paraId="6793E69F">
      <w:pPr>
        <w:spacing w:line="360" w:lineRule="auto"/>
        <w:ind w:firstLine="480" w:firstLineChars="200"/>
        <w:outlineLvl w:val="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2、项目地点：</w:t>
      </w:r>
      <w:r>
        <w:rPr>
          <w:rFonts w:hint="eastAsia" w:ascii="宋体" w:hAnsi="宋体" w:eastAsia="宋体" w:cs="宋体"/>
          <w:sz w:val="24"/>
          <w:szCs w:val="24"/>
          <w:highlight w:val="none"/>
          <w:lang w:eastAsia="zh-CN"/>
        </w:rPr>
        <w:t>南京市江宁区滨江开发区</w:t>
      </w:r>
    </w:p>
    <w:p w14:paraId="590D7BB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工作背景</w:t>
      </w:r>
    </w:p>
    <w:p w14:paraId="0F78D9B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color w:val="000000" w:themeColor="text1"/>
          <w:sz w:val="24"/>
          <w:szCs w:val="24"/>
          <w:highlight w:val="none"/>
          <w14:textFill>
            <w14:solidFill>
              <w14:schemeClr w14:val="tx1"/>
            </w14:solidFill>
          </w14:textFill>
        </w:rPr>
        <w:t>根据关于印发《长江沿线1公里化工腾退地块土壤污染防治专项治理行动方案》（环办土壤函〔2025〕96号）的通知，2027年底前，完成长江沿线1公里化工腾退地块土壤污染状况调查，分类实施风险管控或修复，分批推进化工腾退地块污染防治相关工作，基本管控地块土壤污染和污染物迁移入江风险。</w:t>
      </w:r>
    </w:p>
    <w:p w14:paraId="20CB5A0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原南京申宁化工有限责任公司地块、原南京祥宇农药有限公司地块、原南京科思化学有限公司地块、原南京宝恒化工有限公司地块等4个地块，属于沿江1公里化工腾退地块，相关土壤污染状况调查报告、风险评估报告已在2024年4月通过南京市生态环境局组织的专家评审。</w:t>
      </w:r>
    </w:p>
    <w:p w14:paraId="69D967E8">
      <w:pPr>
        <w:spacing w:line="360" w:lineRule="auto"/>
        <w:ind w:firstLine="480" w:firstLineChars="200"/>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由于沿江1公里化工腾退地块土壤污染防治工作已纳入省厅的考核要求，这4个污染地块的风险评估报告需通过省厅组织的专家评审。近年来，省厅对土壤污染风险评估的技术要求、管理规范和评审标准不断提高，原有的风险评估报告无法满足当前最新管理规定与技术审查要求，因此需要开展相应的补充调查工作，完善风险评估报告工作内容，确保顺利通过省厅组织的专家评审。</w:t>
      </w:r>
    </w:p>
    <w:p w14:paraId="629C8F85">
      <w:pPr>
        <w:numPr>
          <w:ilvl w:val="0"/>
          <w:numId w:val="3"/>
        </w:numPr>
        <w:spacing w:line="360" w:lineRule="auto"/>
        <w:ind w:firstLine="480" w:firstLineChars="200"/>
        <w:outlineLvl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工作方案</w:t>
      </w:r>
    </w:p>
    <w:p w14:paraId="2F0206E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重新开展水文地质勘察，明确地层结构、地下水特征、地下水与长江水力联系、区域地下水补给、径流、排泄规律，以及对应长江河段的水质现状，水文特征等，为污染物入江风险评估提供水文地质参数依据。</w:t>
      </w:r>
    </w:p>
    <w:p w14:paraId="1BD85CD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针对前期调查地下水超标区域，在周边补充土壤和地下水监测点位，明确近2年污染是否存在扩散至长江区域的情况，为污染物的入江风险评估提供数据支撑。根据省生态环境厅要求，增加污染物入江风险的专章。</w:t>
      </w:r>
    </w:p>
    <w:p w14:paraId="6853E1C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结合前期调查数据和水文地质调查结果，补充建设地下水监测井（建设不同深度的组合监测井，分层采集地下水样品），摸清近2年污染下渗与扩散情况，确定土壤和地下水的污染范围、污染深度、污染兜底情况。</w:t>
      </w:r>
    </w:p>
    <w:p w14:paraId="3A1A433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原南京宝恒化工有限公司地块调查范围与现在省厅最新要求有出入，且原调查红线靠江一侧存在超标情况，通过咨询省厅土壤处，需对宝恒化工地块未开展调查区域需补充调查，完善调查和风险评估报告。</w:t>
      </w:r>
    </w:p>
    <w:p w14:paraId="0C1B3F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根据省厅最新要求</w:t>
      </w:r>
      <w:r>
        <w:rPr>
          <w:rFonts w:hint="eastAsia" w:ascii="宋体" w:hAnsi="宋体" w:eastAsia="宋体" w:cs="宋体"/>
          <w:color w:val="000000" w:themeColor="text1"/>
          <w:sz w:val="24"/>
          <w:szCs w:val="24"/>
          <w:highlight w:val="none"/>
          <w14:textFill>
            <w14:solidFill>
              <w14:schemeClr w14:val="tx1"/>
            </w14:solidFill>
          </w14:textFill>
        </w:rPr>
        <w:t>重新梳理调查工作内容，结合补充调查的成果，完善风险评估报告，并报送市生态环境局初审后，报省厅评审。</w:t>
      </w:r>
    </w:p>
    <w:p w14:paraId="2FE343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5、项目组（含项目负责人，项目负责人必须由具有</w:t>
      </w:r>
      <w:r>
        <w:rPr>
          <w:rFonts w:hint="eastAsia" w:ascii="宋体" w:hAnsi="宋体" w:eastAsia="宋体" w:cs="宋体"/>
          <w:color w:val="000000" w:themeColor="text1"/>
          <w:sz w:val="24"/>
          <w:szCs w:val="24"/>
          <w:highlight w:val="none"/>
          <w:lang w:val="zh-CN" w:eastAsia="zh-CN"/>
          <w14:textFill>
            <w14:solidFill>
              <w14:schemeClr w14:val="tx1"/>
            </w14:solidFill>
          </w14:textFill>
        </w:rPr>
        <w:t>环境保护类</w:t>
      </w:r>
      <w:r>
        <w:rPr>
          <w:rFonts w:hint="eastAsia" w:ascii="宋体" w:hAnsi="宋体" w:eastAsia="宋体" w:cs="宋体"/>
          <w:color w:val="000000" w:themeColor="text1"/>
          <w:sz w:val="24"/>
          <w:szCs w:val="24"/>
          <w:highlight w:val="none"/>
          <w:lang w:val="en-US" w:eastAsia="zh-CN"/>
          <w14:textFill>
            <w14:solidFill>
              <w14:schemeClr w14:val="tx1"/>
            </w14:solidFill>
          </w14:textFill>
        </w:rPr>
        <w:t>高级及以上工程师人员承担且具备3年及以上从业经验）至少具有2名</w:t>
      </w:r>
      <w:r>
        <w:rPr>
          <w:rFonts w:hint="eastAsia" w:ascii="宋体" w:hAnsi="宋体" w:eastAsia="宋体" w:cs="宋体"/>
          <w:color w:val="000000" w:themeColor="text1"/>
          <w:sz w:val="24"/>
          <w:szCs w:val="24"/>
          <w:highlight w:val="none"/>
          <w:lang w:val="zh-CN" w:eastAsia="zh-CN"/>
          <w14:textFill>
            <w14:solidFill>
              <w14:schemeClr w14:val="tx1"/>
            </w14:solidFill>
          </w14:textFill>
        </w:rPr>
        <w:t>环境保护类</w:t>
      </w:r>
      <w:r>
        <w:rPr>
          <w:rFonts w:hint="eastAsia" w:ascii="宋体" w:hAnsi="宋体" w:eastAsia="宋体" w:cs="宋体"/>
          <w:color w:val="000000" w:themeColor="text1"/>
          <w:sz w:val="24"/>
          <w:szCs w:val="24"/>
          <w:highlight w:val="none"/>
          <w:lang w:val="en-US" w:eastAsia="zh-CN"/>
          <w14:textFill>
            <w14:solidFill>
              <w14:schemeClr w14:val="tx1"/>
            </w14:solidFill>
          </w14:textFill>
        </w:rPr>
        <w:t>高级及以上工程师和3名</w:t>
      </w:r>
      <w:r>
        <w:rPr>
          <w:rFonts w:hint="eastAsia" w:ascii="宋体" w:hAnsi="宋体" w:eastAsia="宋体" w:cs="宋体"/>
          <w:color w:val="000000" w:themeColor="text1"/>
          <w:sz w:val="24"/>
          <w:szCs w:val="24"/>
          <w:highlight w:val="none"/>
          <w:lang w:val="zh-CN" w:eastAsia="zh-CN"/>
          <w14:textFill>
            <w14:solidFill>
              <w14:schemeClr w14:val="tx1"/>
            </w14:solidFill>
          </w14:textFill>
        </w:rPr>
        <w:t>环境保护类</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工程师人员，须提供人员有效身份证正反面加盖公章，职称证书加盖公章，</w:t>
      </w:r>
      <w:r>
        <w:rPr>
          <w:rFonts w:hint="eastAsia" w:ascii="宋体" w:hAnsi="宋体" w:eastAsia="宋体" w:cs="宋体"/>
          <w:color w:val="000000" w:themeColor="text1"/>
          <w:sz w:val="24"/>
          <w:szCs w:val="24"/>
          <w:highlight w:val="none"/>
          <w14:textFill>
            <w14:solidFill>
              <w14:schemeClr w14:val="tx1"/>
            </w14:solidFill>
          </w14:textFill>
        </w:rPr>
        <w:t>由法定的社保收缴部门出具的近三个月（2026年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月-2026年4月）的投标人为其依法缴纳社保证明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本条为实质性条款，供应商必须完全响应不得负偏离，否则做无效投标处理</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3E4B9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6、时间安排</w:t>
      </w:r>
    </w:p>
    <w:p w14:paraId="059ED51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预计江宁区4个污染地块土壤污染风险评估项目需要90天完成，时间安排计划如下表所示。</w:t>
      </w:r>
    </w:p>
    <w:p w14:paraId="2FD4CE4E">
      <w:pPr>
        <w:jc w:val="center"/>
        <w:rPr>
          <w:rFonts w:cs="Times New Roman"/>
          <w:b/>
          <w:bCs/>
          <w:color w:val="000000" w:themeColor="text1"/>
          <w:kern w:val="0"/>
          <w:highlight w:val="none"/>
          <w14:textFill>
            <w14:solidFill>
              <w14:schemeClr w14:val="tx1"/>
            </w14:solidFill>
          </w14:textFill>
        </w:rPr>
      </w:pPr>
      <w:r>
        <w:rPr>
          <w:rFonts w:cs="Times New Roman"/>
          <w:b/>
          <w:bCs/>
          <w:color w:val="000000" w:themeColor="text1"/>
          <w:kern w:val="0"/>
          <w:highlight w:val="none"/>
          <w14:textFill>
            <w14:solidFill>
              <w14:schemeClr w14:val="tx1"/>
            </w14:solidFill>
          </w14:textFill>
        </w:rPr>
        <w:t xml:space="preserve">表1  </w:t>
      </w:r>
      <w:r>
        <w:rPr>
          <w:rFonts w:hint="eastAsia" w:cs="Times New Roman"/>
          <w:b/>
          <w:bCs/>
          <w:color w:val="000000" w:themeColor="text1"/>
          <w:kern w:val="0"/>
          <w:highlight w:val="none"/>
          <w14:textFill>
            <w14:solidFill>
              <w14:schemeClr w14:val="tx1"/>
            </w14:solidFill>
          </w14:textFill>
        </w:rPr>
        <w:t>江宁区4个污染地块土壤污染风险评估时间安排计划</w:t>
      </w:r>
      <w:r>
        <w:rPr>
          <w:rFonts w:cs="Times New Roman"/>
          <w:b/>
          <w:bCs/>
          <w:color w:val="000000" w:themeColor="text1"/>
          <w:kern w:val="0"/>
          <w:highlight w:val="none"/>
          <w14:textFill>
            <w14:solidFill>
              <w14:schemeClr w14:val="tx1"/>
            </w14:solidFill>
          </w14:textFill>
        </w:rPr>
        <w:t>表</w:t>
      </w:r>
    </w:p>
    <w:tbl>
      <w:tblPr>
        <w:tblStyle w:val="51"/>
        <w:tblW w:w="54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7"/>
        <w:gridCol w:w="467"/>
        <w:gridCol w:w="469"/>
        <w:gridCol w:w="469"/>
        <w:gridCol w:w="469"/>
        <w:gridCol w:w="468"/>
        <w:gridCol w:w="470"/>
        <w:gridCol w:w="470"/>
        <w:gridCol w:w="470"/>
        <w:gridCol w:w="470"/>
        <w:gridCol w:w="468"/>
        <w:gridCol w:w="470"/>
        <w:gridCol w:w="470"/>
        <w:gridCol w:w="470"/>
        <w:gridCol w:w="468"/>
        <w:gridCol w:w="470"/>
        <w:gridCol w:w="470"/>
        <w:gridCol w:w="470"/>
        <w:gridCol w:w="464"/>
      </w:tblGrid>
      <w:tr w14:paraId="023A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pct"/>
            <w:shd w:val="clear" w:color="000000" w:fill="FFFFFF"/>
            <w:vAlign w:val="center"/>
          </w:tcPr>
          <w:p w14:paraId="2381300D">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工期（天）</w:t>
            </w:r>
          </w:p>
        </w:tc>
        <w:tc>
          <w:tcPr>
            <w:tcW w:w="235" w:type="pct"/>
            <w:shd w:val="clear" w:color="auto" w:fill="auto"/>
            <w:noWrap/>
            <w:vAlign w:val="center"/>
          </w:tcPr>
          <w:p w14:paraId="6190990B">
            <w:pPr>
              <w:widowControl/>
              <w:spacing w:line="240" w:lineRule="auto"/>
              <w:jc w:val="center"/>
              <w:rPr>
                <w:rFonts w:cs="Times New Roman"/>
                <w:b/>
                <w:bCs/>
                <w:color w:val="000000"/>
                <w:kern w:val="0"/>
                <w:sz w:val="22"/>
                <w:highlight w:val="none"/>
              </w:rPr>
            </w:pPr>
            <w:r>
              <w:rPr>
                <w:rFonts w:cs="Times New Roman"/>
                <w:b/>
                <w:bCs/>
                <w:color w:val="000000"/>
                <w:kern w:val="0"/>
                <w:sz w:val="22"/>
                <w:highlight w:val="none"/>
              </w:rPr>
              <w:t>5</w:t>
            </w:r>
          </w:p>
        </w:tc>
        <w:tc>
          <w:tcPr>
            <w:tcW w:w="236" w:type="pct"/>
            <w:shd w:val="clear" w:color="000000" w:fill="FFFFFF"/>
            <w:vAlign w:val="center"/>
          </w:tcPr>
          <w:p w14:paraId="126BF953">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10</w:t>
            </w:r>
          </w:p>
        </w:tc>
        <w:tc>
          <w:tcPr>
            <w:tcW w:w="236" w:type="pct"/>
            <w:shd w:val="clear" w:color="auto" w:fill="auto"/>
            <w:noWrap/>
            <w:vAlign w:val="center"/>
          </w:tcPr>
          <w:p w14:paraId="64351544">
            <w:pPr>
              <w:widowControl/>
              <w:spacing w:line="240" w:lineRule="auto"/>
              <w:jc w:val="center"/>
              <w:rPr>
                <w:rFonts w:cs="Times New Roman"/>
                <w:b/>
                <w:bCs/>
                <w:color w:val="000000"/>
                <w:kern w:val="0"/>
                <w:sz w:val="22"/>
                <w:highlight w:val="none"/>
              </w:rPr>
            </w:pPr>
            <w:r>
              <w:rPr>
                <w:rFonts w:cs="Times New Roman"/>
                <w:b/>
                <w:bCs/>
                <w:color w:val="000000"/>
                <w:kern w:val="0"/>
                <w:sz w:val="22"/>
                <w:highlight w:val="none"/>
              </w:rPr>
              <w:t>15</w:t>
            </w:r>
          </w:p>
        </w:tc>
        <w:tc>
          <w:tcPr>
            <w:tcW w:w="236" w:type="pct"/>
            <w:shd w:val="clear" w:color="000000" w:fill="FFFFFF"/>
            <w:vAlign w:val="center"/>
          </w:tcPr>
          <w:p w14:paraId="273D62E1">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20</w:t>
            </w:r>
          </w:p>
        </w:tc>
        <w:tc>
          <w:tcPr>
            <w:tcW w:w="235" w:type="pct"/>
            <w:shd w:val="clear" w:color="auto" w:fill="auto"/>
            <w:noWrap/>
            <w:vAlign w:val="center"/>
          </w:tcPr>
          <w:p w14:paraId="30C8A78F">
            <w:pPr>
              <w:widowControl/>
              <w:spacing w:line="240" w:lineRule="auto"/>
              <w:jc w:val="center"/>
              <w:rPr>
                <w:rFonts w:cs="Times New Roman"/>
                <w:b/>
                <w:bCs/>
                <w:color w:val="000000"/>
                <w:kern w:val="0"/>
                <w:sz w:val="22"/>
                <w:highlight w:val="none"/>
              </w:rPr>
            </w:pPr>
            <w:r>
              <w:rPr>
                <w:rFonts w:cs="Times New Roman"/>
                <w:b/>
                <w:bCs/>
                <w:color w:val="000000"/>
                <w:kern w:val="0"/>
                <w:sz w:val="22"/>
                <w:highlight w:val="none"/>
              </w:rPr>
              <w:t>25</w:t>
            </w:r>
          </w:p>
        </w:tc>
        <w:tc>
          <w:tcPr>
            <w:tcW w:w="236" w:type="pct"/>
            <w:shd w:val="clear" w:color="000000" w:fill="FFFFFF"/>
            <w:vAlign w:val="center"/>
          </w:tcPr>
          <w:p w14:paraId="165BBC80">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30</w:t>
            </w:r>
          </w:p>
        </w:tc>
        <w:tc>
          <w:tcPr>
            <w:tcW w:w="236" w:type="pct"/>
            <w:shd w:val="clear" w:color="auto" w:fill="auto"/>
            <w:noWrap/>
            <w:vAlign w:val="center"/>
          </w:tcPr>
          <w:p w14:paraId="3B04F051">
            <w:pPr>
              <w:widowControl/>
              <w:spacing w:line="240" w:lineRule="auto"/>
              <w:jc w:val="center"/>
              <w:rPr>
                <w:rFonts w:cs="Times New Roman"/>
                <w:b/>
                <w:bCs/>
                <w:color w:val="000000"/>
                <w:kern w:val="0"/>
                <w:sz w:val="22"/>
                <w:highlight w:val="none"/>
              </w:rPr>
            </w:pPr>
            <w:r>
              <w:rPr>
                <w:rFonts w:cs="Times New Roman"/>
                <w:b/>
                <w:bCs/>
                <w:color w:val="000000"/>
                <w:kern w:val="0"/>
                <w:sz w:val="22"/>
                <w:highlight w:val="none"/>
              </w:rPr>
              <w:t>35</w:t>
            </w:r>
          </w:p>
        </w:tc>
        <w:tc>
          <w:tcPr>
            <w:tcW w:w="236" w:type="pct"/>
            <w:shd w:val="clear" w:color="000000" w:fill="FFFFFF"/>
            <w:vAlign w:val="center"/>
          </w:tcPr>
          <w:p w14:paraId="32324564">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40</w:t>
            </w:r>
          </w:p>
        </w:tc>
        <w:tc>
          <w:tcPr>
            <w:tcW w:w="236" w:type="pct"/>
            <w:shd w:val="clear" w:color="auto" w:fill="auto"/>
            <w:noWrap/>
            <w:vAlign w:val="center"/>
          </w:tcPr>
          <w:p w14:paraId="3B37E58A">
            <w:pPr>
              <w:widowControl/>
              <w:spacing w:line="240" w:lineRule="auto"/>
              <w:jc w:val="center"/>
              <w:rPr>
                <w:rFonts w:cs="Times New Roman"/>
                <w:b/>
                <w:bCs/>
                <w:color w:val="000000"/>
                <w:kern w:val="0"/>
                <w:sz w:val="22"/>
                <w:highlight w:val="none"/>
              </w:rPr>
            </w:pPr>
            <w:r>
              <w:rPr>
                <w:rFonts w:cs="Times New Roman"/>
                <w:b/>
                <w:bCs/>
                <w:color w:val="000000"/>
                <w:kern w:val="0"/>
                <w:sz w:val="22"/>
                <w:highlight w:val="none"/>
              </w:rPr>
              <w:t>45</w:t>
            </w:r>
          </w:p>
        </w:tc>
        <w:tc>
          <w:tcPr>
            <w:tcW w:w="235" w:type="pct"/>
            <w:shd w:val="clear" w:color="000000" w:fill="FFFFFF"/>
            <w:vAlign w:val="center"/>
          </w:tcPr>
          <w:p w14:paraId="502E254C">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50</w:t>
            </w:r>
          </w:p>
        </w:tc>
        <w:tc>
          <w:tcPr>
            <w:tcW w:w="236" w:type="pct"/>
            <w:shd w:val="clear" w:color="auto" w:fill="auto"/>
            <w:noWrap/>
            <w:vAlign w:val="center"/>
          </w:tcPr>
          <w:p w14:paraId="42D55F04">
            <w:pPr>
              <w:widowControl/>
              <w:spacing w:line="240" w:lineRule="auto"/>
              <w:jc w:val="center"/>
              <w:rPr>
                <w:rFonts w:cs="Times New Roman"/>
                <w:b/>
                <w:bCs/>
                <w:color w:val="000000"/>
                <w:kern w:val="0"/>
                <w:sz w:val="22"/>
                <w:highlight w:val="none"/>
              </w:rPr>
            </w:pPr>
            <w:r>
              <w:rPr>
                <w:rFonts w:cs="Times New Roman"/>
                <w:b/>
                <w:bCs/>
                <w:color w:val="000000"/>
                <w:kern w:val="0"/>
                <w:sz w:val="22"/>
                <w:highlight w:val="none"/>
              </w:rPr>
              <w:t>55</w:t>
            </w:r>
          </w:p>
        </w:tc>
        <w:tc>
          <w:tcPr>
            <w:tcW w:w="236" w:type="pct"/>
            <w:shd w:val="clear" w:color="000000" w:fill="FFFFFF"/>
            <w:vAlign w:val="center"/>
          </w:tcPr>
          <w:p w14:paraId="4E348C38">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60</w:t>
            </w:r>
          </w:p>
        </w:tc>
        <w:tc>
          <w:tcPr>
            <w:tcW w:w="236" w:type="pct"/>
            <w:shd w:val="clear" w:color="auto" w:fill="auto"/>
            <w:noWrap/>
            <w:vAlign w:val="center"/>
          </w:tcPr>
          <w:p w14:paraId="1CD77365">
            <w:pPr>
              <w:widowControl/>
              <w:spacing w:line="240" w:lineRule="auto"/>
              <w:jc w:val="center"/>
              <w:rPr>
                <w:rFonts w:cs="Times New Roman"/>
                <w:b/>
                <w:bCs/>
                <w:color w:val="000000"/>
                <w:kern w:val="0"/>
                <w:sz w:val="22"/>
                <w:highlight w:val="none"/>
              </w:rPr>
            </w:pPr>
            <w:r>
              <w:rPr>
                <w:rFonts w:cs="Times New Roman"/>
                <w:b/>
                <w:bCs/>
                <w:color w:val="000000"/>
                <w:kern w:val="0"/>
                <w:sz w:val="22"/>
                <w:highlight w:val="none"/>
              </w:rPr>
              <w:t>65</w:t>
            </w:r>
          </w:p>
        </w:tc>
        <w:tc>
          <w:tcPr>
            <w:tcW w:w="235" w:type="pct"/>
            <w:shd w:val="clear" w:color="000000" w:fill="FFFFFF"/>
            <w:vAlign w:val="center"/>
          </w:tcPr>
          <w:p w14:paraId="57E756A0">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70</w:t>
            </w:r>
          </w:p>
        </w:tc>
        <w:tc>
          <w:tcPr>
            <w:tcW w:w="236" w:type="pct"/>
            <w:shd w:val="clear" w:color="auto" w:fill="auto"/>
            <w:noWrap/>
            <w:vAlign w:val="center"/>
          </w:tcPr>
          <w:p w14:paraId="77D83E82">
            <w:pPr>
              <w:widowControl/>
              <w:spacing w:line="240" w:lineRule="auto"/>
              <w:jc w:val="center"/>
              <w:rPr>
                <w:rFonts w:cs="Times New Roman"/>
                <w:b/>
                <w:bCs/>
                <w:color w:val="000000"/>
                <w:kern w:val="0"/>
                <w:sz w:val="22"/>
                <w:highlight w:val="none"/>
              </w:rPr>
            </w:pPr>
            <w:r>
              <w:rPr>
                <w:rFonts w:cs="Times New Roman"/>
                <w:b/>
                <w:bCs/>
                <w:color w:val="000000"/>
                <w:kern w:val="0"/>
                <w:sz w:val="22"/>
                <w:highlight w:val="none"/>
              </w:rPr>
              <w:t>75</w:t>
            </w:r>
          </w:p>
        </w:tc>
        <w:tc>
          <w:tcPr>
            <w:tcW w:w="236" w:type="pct"/>
            <w:shd w:val="clear" w:color="000000" w:fill="FFFFFF"/>
            <w:vAlign w:val="center"/>
          </w:tcPr>
          <w:p w14:paraId="2992F0FD">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80</w:t>
            </w:r>
          </w:p>
        </w:tc>
        <w:tc>
          <w:tcPr>
            <w:tcW w:w="236" w:type="pct"/>
            <w:shd w:val="clear" w:color="auto" w:fill="auto"/>
            <w:noWrap/>
            <w:vAlign w:val="center"/>
          </w:tcPr>
          <w:p w14:paraId="0440ED93">
            <w:pPr>
              <w:widowControl/>
              <w:spacing w:line="240" w:lineRule="auto"/>
              <w:jc w:val="center"/>
              <w:rPr>
                <w:rFonts w:cs="Times New Roman"/>
                <w:b/>
                <w:bCs/>
                <w:color w:val="000000"/>
                <w:kern w:val="0"/>
                <w:sz w:val="22"/>
                <w:highlight w:val="none"/>
              </w:rPr>
            </w:pPr>
            <w:r>
              <w:rPr>
                <w:rFonts w:cs="Times New Roman"/>
                <w:b/>
                <w:bCs/>
                <w:color w:val="000000"/>
                <w:kern w:val="0"/>
                <w:sz w:val="22"/>
                <w:highlight w:val="none"/>
              </w:rPr>
              <w:t>85</w:t>
            </w:r>
          </w:p>
        </w:tc>
        <w:tc>
          <w:tcPr>
            <w:tcW w:w="233" w:type="pct"/>
            <w:shd w:val="clear" w:color="000000" w:fill="FFFFFF"/>
            <w:vAlign w:val="center"/>
          </w:tcPr>
          <w:p w14:paraId="456EDECC">
            <w:pPr>
              <w:widowControl/>
              <w:spacing w:line="240" w:lineRule="auto"/>
              <w:jc w:val="center"/>
              <w:rPr>
                <w:rFonts w:cs="Times New Roman"/>
                <w:b/>
                <w:bCs/>
                <w:color w:val="000000"/>
                <w:kern w:val="0"/>
                <w:sz w:val="21"/>
                <w:szCs w:val="21"/>
                <w:highlight w:val="none"/>
              </w:rPr>
            </w:pPr>
            <w:r>
              <w:rPr>
                <w:rFonts w:cs="Times New Roman"/>
                <w:b/>
                <w:bCs/>
                <w:color w:val="000000"/>
                <w:kern w:val="0"/>
                <w:sz w:val="21"/>
                <w:szCs w:val="21"/>
                <w:highlight w:val="none"/>
              </w:rPr>
              <w:t>90</w:t>
            </w:r>
          </w:p>
        </w:tc>
      </w:tr>
      <w:tr w14:paraId="616A4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pct"/>
            <w:shd w:val="clear" w:color="000000" w:fill="FFFFFF"/>
            <w:vAlign w:val="center"/>
          </w:tcPr>
          <w:p w14:paraId="38A0CF60">
            <w:pPr>
              <w:widowControl/>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水文地质勘察</w:t>
            </w:r>
          </w:p>
        </w:tc>
        <w:tc>
          <w:tcPr>
            <w:tcW w:w="235" w:type="pct"/>
            <w:shd w:val="clear" w:color="auto" w:fill="00B050"/>
            <w:vAlign w:val="center"/>
          </w:tcPr>
          <w:p w14:paraId="517A00E0">
            <w:pPr>
              <w:widowControl/>
              <w:spacing w:line="240" w:lineRule="auto"/>
              <w:jc w:val="center"/>
              <w:rPr>
                <w:rFonts w:cs="Times New Roman"/>
                <w:color w:val="000000"/>
                <w:kern w:val="0"/>
                <w:sz w:val="21"/>
                <w:szCs w:val="21"/>
                <w:highlight w:val="none"/>
              </w:rPr>
            </w:pPr>
          </w:p>
        </w:tc>
        <w:tc>
          <w:tcPr>
            <w:tcW w:w="236" w:type="pct"/>
            <w:shd w:val="clear" w:color="auto" w:fill="00B050"/>
            <w:vAlign w:val="center"/>
          </w:tcPr>
          <w:p w14:paraId="0E10FEBE">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35BD2465">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08B8B62E">
            <w:pPr>
              <w:widowControl/>
              <w:spacing w:line="240" w:lineRule="auto"/>
              <w:jc w:val="center"/>
              <w:rPr>
                <w:rFonts w:cs="Times New Roman"/>
                <w:color w:val="000000"/>
                <w:kern w:val="0"/>
                <w:sz w:val="21"/>
                <w:szCs w:val="21"/>
                <w:highlight w:val="none"/>
              </w:rPr>
            </w:pPr>
          </w:p>
        </w:tc>
        <w:tc>
          <w:tcPr>
            <w:tcW w:w="235" w:type="pct"/>
            <w:shd w:val="clear" w:color="000000" w:fill="FFFFFF"/>
            <w:vAlign w:val="center"/>
          </w:tcPr>
          <w:p w14:paraId="3FF73BCB">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41477957">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65285D92">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6349849B">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2A7B0980">
            <w:pPr>
              <w:widowControl/>
              <w:spacing w:line="240" w:lineRule="auto"/>
              <w:jc w:val="center"/>
              <w:rPr>
                <w:rFonts w:cs="Times New Roman"/>
                <w:color w:val="000000"/>
                <w:kern w:val="0"/>
                <w:sz w:val="21"/>
                <w:szCs w:val="21"/>
                <w:highlight w:val="none"/>
              </w:rPr>
            </w:pPr>
          </w:p>
        </w:tc>
        <w:tc>
          <w:tcPr>
            <w:tcW w:w="235" w:type="pct"/>
            <w:shd w:val="clear" w:color="000000" w:fill="FFFFFF"/>
            <w:vAlign w:val="center"/>
          </w:tcPr>
          <w:p w14:paraId="7B8AAEA1">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3D0E703B">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559F6B0E">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0E8F9E92">
            <w:pPr>
              <w:widowControl/>
              <w:spacing w:line="240" w:lineRule="auto"/>
              <w:jc w:val="center"/>
              <w:rPr>
                <w:rFonts w:cs="Times New Roman"/>
                <w:color w:val="000000"/>
                <w:kern w:val="0"/>
                <w:sz w:val="21"/>
                <w:szCs w:val="21"/>
                <w:highlight w:val="none"/>
              </w:rPr>
            </w:pPr>
          </w:p>
        </w:tc>
        <w:tc>
          <w:tcPr>
            <w:tcW w:w="235" w:type="pct"/>
            <w:shd w:val="clear" w:color="000000" w:fill="FFFFFF"/>
            <w:vAlign w:val="center"/>
          </w:tcPr>
          <w:p w14:paraId="6D163BFB">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11435127">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722290C4">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73CC2E9D">
            <w:pPr>
              <w:widowControl/>
              <w:spacing w:line="240" w:lineRule="auto"/>
              <w:jc w:val="center"/>
              <w:rPr>
                <w:rFonts w:cs="Times New Roman"/>
                <w:color w:val="000000"/>
                <w:kern w:val="0"/>
                <w:sz w:val="21"/>
                <w:szCs w:val="21"/>
                <w:highlight w:val="none"/>
              </w:rPr>
            </w:pPr>
          </w:p>
        </w:tc>
        <w:tc>
          <w:tcPr>
            <w:tcW w:w="233" w:type="pct"/>
            <w:shd w:val="clear" w:color="000000" w:fill="FFFFFF"/>
            <w:vAlign w:val="center"/>
          </w:tcPr>
          <w:p w14:paraId="3EF103EA">
            <w:pPr>
              <w:widowControl/>
              <w:spacing w:line="240" w:lineRule="auto"/>
              <w:jc w:val="center"/>
              <w:rPr>
                <w:rFonts w:cs="Times New Roman"/>
                <w:color w:val="000000"/>
                <w:kern w:val="0"/>
                <w:sz w:val="21"/>
                <w:szCs w:val="21"/>
                <w:highlight w:val="none"/>
              </w:rPr>
            </w:pPr>
          </w:p>
        </w:tc>
      </w:tr>
      <w:tr w14:paraId="6B92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pct"/>
            <w:shd w:val="clear" w:color="000000" w:fill="FFFFFF"/>
            <w:vAlign w:val="center"/>
          </w:tcPr>
          <w:p w14:paraId="5C578FAB">
            <w:pPr>
              <w:widowControl/>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补充调查方案制定</w:t>
            </w:r>
          </w:p>
        </w:tc>
        <w:tc>
          <w:tcPr>
            <w:tcW w:w="235" w:type="pct"/>
            <w:shd w:val="clear" w:color="000000" w:fill="FFFFFF"/>
            <w:vAlign w:val="center"/>
          </w:tcPr>
          <w:p w14:paraId="6C3AEF63">
            <w:pPr>
              <w:widowControl/>
              <w:spacing w:line="240" w:lineRule="auto"/>
              <w:jc w:val="center"/>
              <w:rPr>
                <w:rFonts w:cs="Times New Roman"/>
                <w:color w:val="000000"/>
                <w:kern w:val="0"/>
                <w:sz w:val="21"/>
                <w:szCs w:val="21"/>
                <w:highlight w:val="none"/>
              </w:rPr>
            </w:pPr>
          </w:p>
        </w:tc>
        <w:tc>
          <w:tcPr>
            <w:tcW w:w="236" w:type="pct"/>
            <w:shd w:val="clear" w:color="000000" w:fill="00B050"/>
            <w:vAlign w:val="center"/>
          </w:tcPr>
          <w:p w14:paraId="22A8EEFD">
            <w:pPr>
              <w:widowControl/>
              <w:spacing w:line="240" w:lineRule="auto"/>
              <w:jc w:val="center"/>
              <w:rPr>
                <w:rFonts w:cs="Times New Roman"/>
                <w:color w:val="000000"/>
                <w:kern w:val="0"/>
                <w:sz w:val="21"/>
                <w:szCs w:val="21"/>
                <w:highlight w:val="none"/>
              </w:rPr>
            </w:pPr>
          </w:p>
        </w:tc>
        <w:tc>
          <w:tcPr>
            <w:tcW w:w="236" w:type="pct"/>
            <w:shd w:val="clear" w:color="auto" w:fill="00B050"/>
            <w:vAlign w:val="center"/>
          </w:tcPr>
          <w:p w14:paraId="1D6E1272">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79913518">
            <w:pPr>
              <w:widowControl/>
              <w:spacing w:line="240" w:lineRule="auto"/>
              <w:jc w:val="center"/>
              <w:rPr>
                <w:rFonts w:cs="Times New Roman"/>
                <w:color w:val="000000"/>
                <w:kern w:val="0"/>
                <w:sz w:val="21"/>
                <w:szCs w:val="21"/>
                <w:highlight w:val="none"/>
              </w:rPr>
            </w:pPr>
          </w:p>
        </w:tc>
        <w:tc>
          <w:tcPr>
            <w:tcW w:w="235" w:type="pct"/>
            <w:shd w:val="clear" w:color="auto" w:fill="auto"/>
            <w:vAlign w:val="center"/>
          </w:tcPr>
          <w:p w14:paraId="466BB1F9">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2EE517B3">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6A65CF5F">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4E6A8F15">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1D945320">
            <w:pPr>
              <w:widowControl/>
              <w:spacing w:line="240" w:lineRule="auto"/>
              <w:jc w:val="center"/>
              <w:rPr>
                <w:rFonts w:cs="Times New Roman"/>
                <w:color w:val="000000"/>
                <w:kern w:val="0"/>
                <w:sz w:val="21"/>
                <w:szCs w:val="21"/>
                <w:highlight w:val="none"/>
              </w:rPr>
            </w:pPr>
          </w:p>
        </w:tc>
        <w:tc>
          <w:tcPr>
            <w:tcW w:w="235" w:type="pct"/>
            <w:shd w:val="clear" w:color="auto" w:fill="auto"/>
            <w:vAlign w:val="center"/>
          </w:tcPr>
          <w:p w14:paraId="48E4633C">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357D87E3">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663B29CF">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0F3DD675">
            <w:pPr>
              <w:widowControl/>
              <w:spacing w:line="240" w:lineRule="auto"/>
              <w:jc w:val="center"/>
              <w:rPr>
                <w:rFonts w:cs="Times New Roman"/>
                <w:color w:val="000000"/>
                <w:kern w:val="0"/>
                <w:sz w:val="21"/>
                <w:szCs w:val="21"/>
                <w:highlight w:val="none"/>
              </w:rPr>
            </w:pPr>
          </w:p>
        </w:tc>
        <w:tc>
          <w:tcPr>
            <w:tcW w:w="235" w:type="pct"/>
            <w:shd w:val="clear" w:color="auto" w:fill="auto"/>
            <w:vAlign w:val="center"/>
          </w:tcPr>
          <w:p w14:paraId="49C33580">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15BF3B6D">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13357169">
            <w:pPr>
              <w:widowControl/>
              <w:spacing w:line="240" w:lineRule="auto"/>
              <w:jc w:val="center"/>
              <w:rPr>
                <w:rFonts w:cs="Times New Roman"/>
                <w:color w:val="000000"/>
                <w:kern w:val="0"/>
                <w:sz w:val="21"/>
                <w:szCs w:val="21"/>
                <w:highlight w:val="none"/>
              </w:rPr>
            </w:pPr>
          </w:p>
        </w:tc>
        <w:tc>
          <w:tcPr>
            <w:tcW w:w="236" w:type="pct"/>
            <w:shd w:val="clear" w:color="auto" w:fill="auto"/>
            <w:vAlign w:val="center"/>
          </w:tcPr>
          <w:p w14:paraId="4505D54A">
            <w:pPr>
              <w:widowControl/>
              <w:spacing w:line="240" w:lineRule="auto"/>
              <w:jc w:val="center"/>
              <w:rPr>
                <w:rFonts w:cs="Times New Roman"/>
                <w:color w:val="000000"/>
                <w:kern w:val="0"/>
                <w:sz w:val="21"/>
                <w:szCs w:val="21"/>
                <w:highlight w:val="none"/>
              </w:rPr>
            </w:pPr>
          </w:p>
        </w:tc>
        <w:tc>
          <w:tcPr>
            <w:tcW w:w="233" w:type="pct"/>
            <w:shd w:val="clear" w:color="auto" w:fill="auto"/>
            <w:vAlign w:val="center"/>
          </w:tcPr>
          <w:p w14:paraId="3F2C1BD4">
            <w:pPr>
              <w:widowControl/>
              <w:spacing w:line="240" w:lineRule="auto"/>
              <w:jc w:val="center"/>
              <w:rPr>
                <w:rFonts w:cs="Times New Roman"/>
                <w:color w:val="000000"/>
                <w:kern w:val="0"/>
                <w:sz w:val="21"/>
                <w:szCs w:val="21"/>
                <w:highlight w:val="none"/>
              </w:rPr>
            </w:pPr>
          </w:p>
        </w:tc>
      </w:tr>
      <w:tr w14:paraId="773C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pct"/>
            <w:shd w:val="clear" w:color="000000" w:fill="FFFFFF"/>
            <w:vAlign w:val="center"/>
          </w:tcPr>
          <w:p w14:paraId="0AA53DE4">
            <w:pPr>
              <w:widowControl/>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现场钻探及采样</w:t>
            </w:r>
          </w:p>
        </w:tc>
        <w:tc>
          <w:tcPr>
            <w:tcW w:w="235" w:type="pct"/>
            <w:shd w:val="clear" w:color="000000" w:fill="FFFFFF"/>
            <w:vAlign w:val="center"/>
          </w:tcPr>
          <w:p w14:paraId="6738F1D5">
            <w:pPr>
              <w:widowControl/>
              <w:spacing w:line="240" w:lineRule="auto"/>
              <w:jc w:val="center"/>
              <w:rPr>
                <w:rFonts w:cs="Times New Roman"/>
                <w:color w:val="000000"/>
                <w:kern w:val="0"/>
                <w:sz w:val="21"/>
                <w:szCs w:val="21"/>
                <w:highlight w:val="none"/>
              </w:rPr>
            </w:pPr>
          </w:p>
        </w:tc>
        <w:tc>
          <w:tcPr>
            <w:tcW w:w="236" w:type="pct"/>
            <w:shd w:val="clear" w:color="auto" w:fill="auto"/>
            <w:noWrap/>
            <w:vAlign w:val="center"/>
          </w:tcPr>
          <w:p w14:paraId="69502802">
            <w:pPr>
              <w:widowControl/>
              <w:spacing w:line="240" w:lineRule="auto"/>
              <w:jc w:val="center"/>
              <w:rPr>
                <w:rFonts w:cs="Times New Roman"/>
                <w:color w:val="000000"/>
                <w:kern w:val="0"/>
                <w:sz w:val="22"/>
                <w:highlight w:val="none"/>
              </w:rPr>
            </w:pPr>
          </w:p>
        </w:tc>
        <w:tc>
          <w:tcPr>
            <w:tcW w:w="236" w:type="pct"/>
            <w:shd w:val="clear" w:color="000000" w:fill="00B050"/>
            <w:vAlign w:val="center"/>
          </w:tcPr>
          <w:p w14:paraId="38D1EA27">
            <w:pPr>
              <w:widowControl/>
              <w:spacing w:line="240" w:lineRule="auto"/>
              <w:jc w:val="center"/>
              <w:rPr>
                <w:rFonts w:cs="Times New Roman"/>
                <w:color w:val="000000"/>
                <w:kern w:val="0"/>
                <w:sz w:val="21"/>
                <w:szCs w:val="21"/>
                <w:highlight w:val="none"/>
              </w:rPr>
            </w:pPr>
          </w:p>
        </w:tc>
        <w:tc>
          <w:tcPr>
            <w:tcW w:w="236" w:type="pct"/>
            <w:shd w:val="clear" w:color="000000" w:fill="00B050"/>
            <w:vAlign w:val="center"/>
          </w:tcPr>
          <w:p w14:paraId="52E360ED">
            <w:pPr>
              <w:widowControl/>
              <w:spacing w:line="240" w:lineRule="auto"/>
              <w:jc w:val="center"/>
              <w:rPr>
                <w:rFonts w:cs="Times New Roman"/>
                <w:color w:val="000000"/>
                <w:kern w:val="0"/>
                <w:sz w:val="21"/>
                <w:szCs w:val="21"/>
                <w:highlight w:val="none"/>
              </w:rPr>
            </w:pPr>
          </w:p>
        </w:tc>
        <w:tc>
          <w:tcPr>
            <w:tcW w:w="235" w:type="pct"/>
            <w:shd w:val="clear" w:color="auto" w:fill="auto"/>
            <w:noWrap/>
            <w:vAlign w:val="center"/>
          </w:tcPr>
          <w:p w14:paraId="17658B5F">
            <w:pPr>
              <w:widowControl/>
              <w:spacing w:line="240" w:lineRule="auto"/>
              <w:jc w:val="center"/>
              <w:rPr>
                <w:rFonts w:cs="Times New Roman"/>
                <w:color w:val="000000"/>
                <w:kern w:val="0"/>
                <w:sz w:val="22"/>
                <w:highlight w:val="none"/>
              </w:rPr>
            </w:pPr>
          </w:p>
        </w:tc>
        <w:tc>
          <w:tcPr>
            <w:tcW w:w="236" w:type="pct"/>
            <w:shd w:val="clear" w:color="000000" w:fill="FFFFFF"/>
            <w:vAlign w:val="center"/>
          </w:tcPr>
          <w:p w14:paraId="43445CA7">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3EDA76EA">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61A75808">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5E71BC15">
            <w:pPr>
              <w:widowControl/>
              <w:spacing w:line="240" w:lineRule="auto"/>
              <w:jc w:val="center"/>
              <w:rPr>
                <w:rFonts w:cs="Times New Roman"/>
                <w:color w:val="000000"/>
                <w:kern w:val="0"/>
                <w:sz w:val="21"/>
                <w:szCs w:val="21"/>
                <w:highlight w:val="none"/>
              </w:rPr>
            </w:pPr>
          </w:p>
        </w:tc>
        <w:tc>
          <w:tcPr>
            <w:tcW w:w="235" w:type="pct"/>
            <w:shd w:val="clear" w:color="000000" w:fill="FFFFFF"/>
            <w:vAlign w:val="center"/>
          </w:tcPr>
          <w:p w14:paraId="40345FC3">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3C8A3094">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22101BF1">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56C973CC">
            <w:pPr>
              <w:widowControl/>
              <w:spacing w:line="240" w:lineRule="auto"/>
              <w:jc w:val="center"/>
              <w:rPr>
                <w:rFonts w:cs="Times New Roman"/>
                <w:color w:val="000000"/>
                <w:kern w:val="0"/>
                <w:sz w:val="21"/>
                <w:szCs w:val="21"/>
                <w:highlight w:val="none"/>
              </w:rPr>
            </w:pPr>
          </w:p>
        </w:tc>
        <w:tc>
          <w:tcPr>
            <w:tcW w:w="235" w:type="pct"/>
            <w:shd w:val="clear" w:color="000000" w:fill="FFFFFF"/>
            <w:vAlign w:val="center"/>
          </w:tcPr>
          <w:p w14:paraId="1482C203">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22A3945E">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4BDC3DAC">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6EE0C2D2">
            <w:pPr>
              <w:widowControl/>
              <w:spacing w:line="240" w:lineRule="auto"/>
              <w:jc w:val="center"/>
              <w:rPr>
                <w:rFonts w:cs="Times New Roman"/>
                <w:color w:val="000000"/>
                <w:kern w:val="0"/>
                <w:sz w:val="21"/>
                <w:szCs w:val="21"/>
                <w:highlight w:val="none"/>
              </w:rPr>
            </w:pPr>
          </w:p>
        </w:tc>
        <w:tc>
          <w:tcPr>
            <w:tcW w:w="233" w:type="pct"/>
            <w:shd w:val="clear" w:color="000000" w:fill="FFFFFF"/>
            <w:vAlign w:val="center"/>
          </w:tcPr>
          <w:p w14:paraId="7BA7133F">
            <w:pPr>
              <w:widowControl/>
              <w:spacing w:line="240" w:lineRule="auto"/>
              <w:jc w:val="center"/>
              <w:rPr>
                <w:rFonts w:cs="Times New Roman"/>
                <w:color w:val="000000"/>
                <w:kern w:val="0"/>
                <w:sz w:val="21"/>
                <w:szCs w:val="21"/>
                <w:highlight w:val="none"/>
              </w:rPr>
            </w:pPr>
          </w:p>
        </w:tc>
      </w:tr>
      <w:tr w14:paraId="1B840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pct"/>
            <w:shd w:val="clear" w:color="000000" w:fill="FFFFFF"/>
            <w:vAlign w:val="center"/>
          </w:tcPr>
          <w:p w14:paraId="43682069">
            <w:pPr>
              <w:widowControl/>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实验室检测及分析</w:t>
            </w:r>
          </w:p>
        </w:tc>
        <w:tc>
          <w:tcPr>
            <w:tcW w:w="235" w:type="pct"/>
            <w:shd w:val="clear" w:color="000000" w:fill="FFFFFF"/>
            <w:vAlign w:val="center"/>
          </w:tcPr>
          <w:p w14:paraId="4639AB00">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3B129BA8">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391E99D2">
            <w:pPr>
              <w:widowControl/>
              <w:spacing w:line="240" w:lineRule="auto"/>
              <w:jc w:val="center"/>
              <w:rPr>
                <w:rFonts w:cs="Times New Roman"/>
                <w:color w:val="000000"/>
                <w:kern w:val="0"/>
                <w:sz w:val="21"/>
                <w:szCs w:val="21"/>
                <w:highlight w:val="none"/>
              </w:rPr>
            </w:pPr>
          </w:p>
        </w:tc>
        <w:tc>
          <w:tcPr>
            <w:tcW w:w="236" w:type="pct"/>
            <w:shd w:val="clear" w:color="000000" w:fill="00B050"/>
            <w:vAlign w:val="center"/>
          </w:tcPr>
          <w:p w14:paraId="6CF25A93">
            <w:pPr>
              <w:widowControl/>
              <w:spacing w:line="240" w:lineRule="auto"/>
              <w:jc w:val="center"/>
              <w:rPr>
                <w:rFonts w:cs="Times New Roman"/>
                <w:color w:val="000000"/>
                <w:kern w:val="0"/>
                <w:sz w:val="21"/>
                <w:szCs w:val="21"/>
                <w:highlight w:val="none"/>
              </w:rPr>
            </w:pPr>
          </w:p>
        </w:tc>
        <w:tc>
          <w:tcPr>
            <w:tcW w:w="235" w:type="pct"/>
            <w:shd w:val="clear" w:color="000000" w:fill="00B050"/>
            <w:vAlign w:val="center"/>
          </w:tcPr>
          <w:p w14:paraId="58D34D5D">
            <w:pPr>
              <w:widowControl/>
              <w:spacing w:line="240" w:lineRule="auto"/>
              <w:jc w:val="center"/>
              <w:rPr>
                <w:rFonts w:cs="Times New Roman"/>
                <w:color w:val="000000"/>
                <w:kern w:val="0"/>
                <w:sz w:val="21"/>
                <w:szCs w:val="21"/>
                <w:highlight w:val="none"/>
              </w:rPr>
            </w:pPr>
          </w:p>
        </w:tc>
        <w:tc>
          <w:tcPr>
            <w:tcW w:w="236" w:type="pct"/>
            <w:shd w:val="clear" w:color="000000" w:fill="00B050"/>
            <w:vAlign w:val="center"/>
          </w:tcPr>
          <w:p w14:paraId="11309A44">
            <w:pPr>
              <w:widowControl/>
              <w:spacing w:line="240" w:lineRule="auto"/>
              <w:jc w:val="center"/>
              <w:rPr>
                <w:rFonts w:cs="Times New Roman"/>
                <w:color w:val="000000"/>
                <w:kern w:val="0"/>
                <w:sz w:val="21"/>
                <w:szCs w:val="21"/>
                <w:highlight w:val="none"/>
              </w:rPr>
            </w:pPr>
          </w:p>
        </w:tc>
        <w:tc>
          <w:tcPr>
            <w:tcW w:w="236" w:type="pct"/>
            <w:tcBorders>
              <w:bottom w:val="single" w:color="auto" w:sz="4" w:space="0"/>
            </w:tcBorders>
            <w:shd w:val="clear" w:color="auto" w:fill="auto"/>
            <w:vAlign w:val="center"/>
          </w:tcPr>
          <w:p w14:paraId="3B5A41B7">
            <w:pPr>
              <w:widowControl/>
              <w:spacing w:line="240" w:lineRule="auto"/>
              <w:jc w:val="center"/>
              <w:rPr>
                <w:rFonts w:cs="Times New Roman"/>
                <w:color w:val="000000"/>
                <w:kern w:val="0"/>
                <w:sz w:val="21"/>
                <w:szCs w:val="21"/>
                <w:highlight w:val="none"/>
              </w:rPr>
            </w:pPr>
          </w:p>
        </w:tc>
        <w:tc>
          <w:tcPr>
            <w:tcW w:w="236" w:type="pct"/>
            <w:tcBorders>
              <w:bottom w:val="single" w:color="auto" w:sz="4" w:space="0"/>
            </w:tcBorders>
            <w:shd w:val="clear" w:color="000000" w:fill="FFFFFF"/>
            <w:vAlign w:val="center"/>
          </w:tcPr>
          <w:p w14:paraId="7FF0E953">
            <w:pPr>
              <w:widowControl/>
              <w:spacing w:line="240" w:lineRule="auto"/>
              <w:jc w:val="center"/>
              <w:rPr>
                <w:rFonts w:cs="Times New Roman"/>
                <w:color w:val="000000"/>
                <w:kern w:val="0"/>
                <w:sz w:val="21"/>
                <w:szCs w:val="21"/>
                <w:highlight w:val="none"/>
              </w:rPr>
            </w:pPr>
          </w:p>
        </w:tc>
        <w:tc>
          <w:tcPr>
            <w:tcW w:w="236" w:type="pct"/>
            <w:tcBorders>
              <w:bottom w:val="single" w:color="auto" w:sz="4" w:space="0"/>
            </w:tcBorders>
            <w:shd w:val="clear" w:color="000000" w:fill="FFFFFF"/>
            <w:vAlign w:val="center"/>
          </w:tcPr>
          <w:p w14:paraId="4C14E4A8">
            <w:pPr>
              <w:widowControl/>
              <w:spacing w:line="240" w:lineRule="auto"/>
              <w:jc w:val="center"/>
              <w:rPr>
                <w:rFonts w:cs="Times New Roman"/>
                <w:color w:val="000000"/>
                <w:kern w:val="0"/>
                <w:sz w:val="21"/>
                <w:szCs w:val="21"/>
                <w:highlight w:val="none"/>
              </w:rPr>
            </w:pPr>
          </w:p>
        </w:tc>
        <w:tc>
          <w:tcPr>
            <w:tcW w:w="235" w:type="pct"/>
            <w:tcBorders>
              <w:bottom w:val="single" w:color="auto" w:sz="4" w:space="0"/>
            </w:tcBorders>
            <w:shd w:val="clear" w:color="000000" w:fill="FFFFFF"/>
            <w:vAlign w:val="center"/>
          </w:tcPr>
          <w:p w14:paraId="6DA60D66">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40BB01C3">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62FF9B4F">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7AE06E59">
            <w:pPr>
              <w:widowControl/>
              <w:spacing w:line="240" w:lineRule="auto"/>
              <w:jc w:val="center"/>
              <w:rPr>
                <w:rFonts w:cs="Times New Roman"/>
                <w:color w:val="000000"/>
                <w:kern w:val="0"/>
                <w:sz w:val="21"/>
                <w:szCs w:val="21"/>
                <w:highlight w:val="none"/>
              </w:rPr>
            </w:pPr>
          </w:p>
        </w:tc>
        <w:tc>
          <w:tcPr>
            <w:tcW w:w="235" w:type="pct"/>
            <w:shd w:val="clear" w:color="000000" w:fill="FFFFFF"/>
            <w:vAlign w:val="center"/>
          </w:tcPr>
          <w:p w14:paraId="49C88BDB">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69F3D362">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7061CD7C">
            <w:pPr>
              <w:widowControl/>
              <w:spacing w:line="240" w:lineRule="auto"/>
              <w:jc w:val="center"/>
              <w:rPr>
                <w:rFonts w:cs="Times New Roman"/>
                <w:color w:val="000000"/>
                <w:kern w:val="0"/>
                <w:sz w:val="21"/>
                <w:szCs w:val="21"/>
                <w:highlight w:val="none"/>
              </w:rPr>
            </w:pPr>
          </w:p>
        </w:tc>
        <w:tc>
          <w:tcPr>
            <w:tcW w:w="236" w:type="pct"/>
            <w:shd w:val="clear" w:color="000000" w:fill="FFFFFF"/>
            <w:vAlign w:val="center"/>
          </w:tcPr>
          <w:p w14:paraId="6B674822">
            <w:pPr>
              <w:widowControl/>
              <w:spacing w:line="240" w:lineRule="auto"/>
              <w:jc w:val="center"/>
              <w:rPr>
                <w:rFonts w:cs="Times New Roman"/>
                <w:color w:val="000000"/>
                <w:kern w:val="0"/>
                <w:sz w:val="21"/>
                <w:szCs w:val="21"/>
                <w:highlight w:val="none"/>
              </w:rPr>
            </w:pPr>
          </w:p>
        </w:tc>
        <w:tc>
          <w:tcPr>
            <w:tcW w:w="233" w:type="pct"/>
            <w:shd w:val="clear" w:color="000000" w:fill="FFFFFF"/>
            <w:vAlign w:val="center"/>
          </w:tcPr>
          <w:p w14:paraId="462A30F5">
            <w:pPr>
              <w:widowControl/>
              <w:spacing w:line="240" w:lineRule="auto"/>
              <w:jc w:val="center"/>
              <w:rPr>
                <w:rFonts w:cs="Times New Roman"/>
                <w:color w:val="000000"/>
                <w:kern w:val="0"/>
                <w:sz w:val="21"/>
                <w:szCs w:val="21"/>
                <w:highlight w:val="none"/>
              </w:rPr>
            </w:pPr>
          </w:p>
        </w:tc>
      </w:tr>
      <w:tr w14:paraId="23BA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pct"/>
            <w:shd w:val="clear" w:color="000000" w:fill="FFFFFF"/>
            <w:vAlign w:val="center"/>
          </w:tcPr>
          <w:p w14:paraId="4840D40C">
            <w:pPr>
              <w:widowControl/>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污染物入江风险评估</w:t>
            </w:r>
          </w:p>
        </w:tc>
        <w:tc>
          <w:tcPr>
            <w:tcW w:w="235" w:type="pct"/>
            <w:shd w:val="clear" w:color="auto" w:fill="auto"/>
            <w:noWrap/>
            <w:vAlign w:val="center"/>
          </w:tcPr>
          <w:p w14:paraId="68F1A97A">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477284B0">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68EA79B3">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7BDA3876">
            <w:pPr>
              <w:widowControl/>
              <w:spacing w:line="240" w:lineRule="auto"/>
              <w:jc w:val="center"/>
              <w:rPr>
                <w:rFonts w:cs="Times New Roman"/>
                <w:color w:val="000000"/>
                <w:kern w:val="0"/>
                <w:sz w:val="22"/>
                <w:highlight w:val="none"/>
              </w:rPr>
            </w:pPr>
          </w:p>
        </w:tc>
        <w:tc>
          <w:tcPr>
            <w:tcW w:w="235" w:type="pct"/>
            <w:shd w:val="clear" w:color="auto" w:fill="auto"/>
            <w:noWrap/>
            <w:vAlign w:val="center"/>
          </w:tcPr>
          <w:p w14:paraId="70B8B936">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19154368">
            <w:pPr>
              <w:widowControl/>
              <w:spacing w:line="240" w:lineRule="auto"/>
              <w:jc w:val="center"/>
              <w:rPr>
                <w:rFonts w:cs="Times New Roman"/>
                <w:color w:val="000000"/>
                <w:kern w:val="0"/>
                <w:sz w:val="22"/>
                <w:highlight w:val="none"/>
              </w:rPr>
            </w:pPr>
          </w:p>
        </w:tc>
        <w:tc>
          <w:tcPr>
            <w:tcW w:w="236" w:type="pct"/>
            <w:tcBorders>
              <w:bottom w:val="single" w:color="auto" w:sz="4" w:space="0"/>
            </w:tcBorders>
            <w:shd w:val="clear" w:color="000000" w:fill="00B050"/>
            <w:noWrap/>
            <w:vAlign w:val="center"/>
          </w:tcPr>
          <w:p w14:paraId="3C93CAA2">
            <w:pPr>
              <w:widowControl/>
              <w:spacing w:line="240" w:lineRule="auto"/>
              <w:jc w:val="center"/>
              <w:rPr>
                <w:rFonts w:cs="Times New Roman"/>
                <w:color w:val="000000"/>
                <w:kern w:val="0"/>
                <w:sz w:val="22"/>
                <w:highlight w:val="none"/>
              </w:rPr>
            </w:pPr>
          </w:p>
        </w:tc>
        <w:tc>
          <w:tcPr>
            <w:tcW w:w="236" w:type="pct"/>
            <w:tcBorders>
              <w:bottom w:val="single" w:color="auto" w:sz="4" w:space="0"/>
            </w:tcBorders>
            <w:shd w:val="clear" w:color="000000" w:fill="00B050"/>
            <w:vAlign w:val="center"/>
          </w:tcPr>
          <w:p w14:paraId="4542F484">
            <w:pPr>
              <w:widowControl/>
              <w:spacing w:line="240" w:lineRule="auto"/>
              <w:jc w:val="center"/>
              <w:rPr>
                <w:rFonts w:cs="Times New Roman"/>
                <w:color w:val="000000"/>
                <w:kern w:val="0"/>
                <w:sz w:val="21"/>
                <w:szCs w:val="21"/>
                <w:highlight w:val="none"/>
              </w:rPr>
            </w:pPr>
          </w:p>
        </w:tc>
        <w:tc>
          <w:tcPr>
            <w:tcW w:w="236" w:type="pct"/>
            <w:tcBorders>
              <w:bottom w:val="single" w:color="auto" w:sz="4" w:space="0"/>
            </w:tcBorders>
            <w:shd w:val="clear" w:color="000000" w:fill="00B050"/>
            <w:vAlign w:val="center"/>
          </w:tcPr>
          <w:p w14:paraId="53DEDB5A">
            <w:pPr>
              <w:widowControl/>
              <w:spacing w:line="240" w:lineRule="auto"/>
              <w:jc w:val="center"/>
              <w:rPr>
                <w:rFonts w:cs="Times New Roman"/>
                <w:color w:val="000000"/>
                <w:kern w:val="0"/>
                <w:sz w:val="21"/>
                <w:szCs w:val="21"/>
                <w:highlight w:val="none"/>
              </w:rPr>
            </w:pPr>
          </w:p>
        </w:tc>
        <w:tc>
          <w:tcPr>
            <w:tcW w:w="235" w:type="pct"/>
            <w:shd w:val="clear" w:color="000000" w:fill="00B050"/>
            <w:noWrap/>
            <w:vAlign w:val="center"/>
          </w:tcPr>
          <w:p w14:paraId="501ACF5A">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6B7F4E68">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2E6E32BF">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101077E9">
            <w:pPr>
              <w:widowControl/>
              <w:spacing w:line="240" w:lineRule="auto"/>
              <w:jc w:val="center"/>
              <w:rPr>
                <w:rFonts w:cs="Times New Roman"/>
                <w:color w:val="000000"/>
                <w:kern w:val="0"/>
                <w:sz w:val="22"/>
                <w:highlight w:val="none"/>
              </w:rPr>
            </w:pPr>
          </w:p>
        </w:tc>
        <w:tc>
          <w:tcPr>
            <w:tcW w:w="235" w:type="pct"/>
            <w:shd w:val="clear" w:color="auto" w:fill="auto"/>
            <w:noWrap/>
            <w:vAlign w:val="center"/>
          </w:tcPr>
          <w:p w14:paraId="16AA52CA">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2C704A01">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19631F9F">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77DAB0D7">
            <w:pPr>
              <w:widowControl/>
              <w:spacing w:line="240" w:lineRule="auto"/>
              <w:jc w:val="center"/>
              <w:rPr>
                <w:rFonts w:cs="Times New Roman"/>
                <w:color w:val="000000"/>
                <w:kern w:val="0"/>
                <w:sz w:val="22"/>
                <w:highlight w:val="none"/>
              </w:rPr>
            </w:pPr>
          </w:p>
        </w:tc>
        <w:tc>
          <w:tcPr>
            <w:tcW w:w="233" w:type="pct"/>
            <w:shd w:val="clear" w:color="auto" w:fill="auto"/>
            <w:noWrap/>
            <w:vAlign w:val="center"/>
          </w:tcPr>
          <w:p w14:paraId="2829D3FF">
            <w:pPr>
              <w:widowControl/>
              <w:spacing w:line="240" w:lineRule="auto"/>
              <w:jc w:val="center"/>
              <w:rPr>
                <w:rFonts w:cs="Times New Roman"/>
                <w:color w:val="000000"/>
                <w:kern w:val="0"/>
                <w:sz w:val="22"/>
                <w:highlight w:val="none"/>
              </w:rPr>
            </w:pPr>
          </w:p>
        </w:tc>
      </w:tr>
      <w:tr w14:paraId="08AC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pct"/>
            <w:shd w:val="clear" w:color="000000" w:fill="FFFFFF"/>
            <w:vAlign w:val="center"/>
          </w:tcPr>
          <w:p w14:paraId="4945E5CC">
            <w:pPr>
              <w:widowControl/>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风险评估报告编制</w:t>
            </w:r>
          </w:p>
        </w:tc>
        <w:tc>
          <w:tcPr>
            <w:tcW w:w="235" w:type="pct"/>
            <w:shd w:val="clear" w:color="auto" w:fill="auto"/>
            <w:noWrap/>
            <w:vAlign w:val="center"/>
          </w:tcPr>
          <w:p w14:paraId="7BDBC39A">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203E25F2">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55795F97">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0754F329">
            <w:pPr>
              <w:widowControl/>
              <w:spacing w:line="240" w:lineRule="auto"/>
              <w:jc w:val="center"/>
              <w:rPr>
                <w:rFonts w:cs="Times New Roman"/>
                <w:color w:val="000000"/>
                <w:kern w:val="0"/>
                <w:sz w:val="22"/>
                <w:highlight w:val="none"/>
              </w:rPr>
            </w:pPr>
          </w:p>
        </w:tc>
        <w:tc>
          <w:tcPr>
            <w:tcW w:w="235" w:type="pct"/>
            <w:shd w:val="clear" w:color="auto" w:fill="auto"/>
            <w:noWrap/>
            <w:vAlign w:val="center"/>
          </w:tcPr>
          <w:p w14:paraId="3D6A703F">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420ACF21">
            <w:pPr>
              <w:widowControl/>
              <w:spacing w:line="240" w:lineRule="auto"/>
              <w:jc w:val="center"/>
              <w:rPr>
                <w:rFonts w:cs="Times New Roman"/>
                <w:color w:val="000000"/>
                <w:kern w:val="0"/>
                <w:sz w:val="22"/>
                <w:highlight w:val="none"/>
              </w:rPr>
            </w:pPr>
          </w:p>
        </w:tc>
        <w:tc>
          <w:tcPr>
            <w:tcW w:w="236" w:type="pct"/>
            <w:shd w:val="clear" w:color="000000" w:fill="00B050"/>
            <w:noWrap/>
            <w:vAlign w:val="center"/>
          </w:tcPr>
          <w:p w14:paraId="0E6E0B78">
            <w:pPr>
              <w:widowControl/>
              <w:spacing w:line="240" w:lineRule="auto"/>
              <w:jc w:val="center"/>
              <w:rPr>
                <w:rFonts w:cs="Times New Roman"/>
                <w:color w:val="000000"/>
                <w:kern w:val="0"/>
                <w:sz w:val="22"/>
                <w:highlight w:val="none"/>
              </w:rPr>
            </w:pPr>
          </w:p>
        </w:tc>
        <w:tc>
          <w:tcPr>
            <w:tcW w:w="236" w:type="pct"/>
            <w:shd w:val="clear" w:color="auto" w:fill="00B050"/>
            <w:noWrap/>
            <w:vAlign w:val="center"/>
          </w:tcPr>
          <w:p w14:paraId="23D2AC51">
            <w:pPr>
              <w:widowControl/>
              <w:spacing w:line="240" w:lineRule="auto"/>
              <w:jc w:val="center"/>
              <w:rPr>
                <w:rFonts w:cs="Times New Roman"/>
                <w:color w:val="000000"/>
                <w:kern w:val="0"/>
                <w:sz w:val="22"/>
                <w:highlight w:val="none"/>
              </w:rPr>
            </w:pPr>
          </w:p>
        </w:tc>
        <w:tc>
          <w:tcPr>
            <w:tcW w:w="236" w:type="pct"/>
            <w:shd w:val="clear" w:color="auto" w:fill="00B050"/>
            <w:noWrap/>
            <w:vAlign w:val="center"/>
          </w:tcPr>
          <w:p w14:paraId="42647E6B">
            <w:pPr>
              <w:widowControl/>
              <w:spacing w:line="240" w:lineRule="auto"/>
              <w:jc w:val="center"/>
              <w:rPr>
                <w:rFonts w:cs="Times New Roman"/>
                <w:color w:val="000000"/>
                <w:kern w:val="0"/>
                <w:sz w:val="22"/>
                <w:highlight w:val="none"/>
              </w:rPr>
            </w:pPr>
          </w:p>
        </w:tc>
        <w:tc>
          <w:tcPr>
            <w:tcW w:w="235" w:type="pct"/>
            <w:shd w:val="clear" w:color="000000" w:fill="00B050"/>
            <w:vAlign w:val="center"/>
          </w:tcPr>
          <w:p w14:paraId="1C1A88A7">
            <w:pPr>
              <w:widowControl/>
              <w:spacing w:line="240" w:lineRule="auto"/>
              <w:jc w:val="center"/>
              <w:rPr>
                <w:rFonts w:cs="Times New Roman"/>
                <w:color w:val="000000"/>
                <w:kern w:val="0"/>
                <w:sz w:val="21"/>
                <w:szCs w:val="21"/>
                <w:highlight w:val="none"/>
              </w:rPr>
            </w:pPr>
          </w:p>
        </w:tc>
        <w:tc>
          <w:tcPr>
            <w:tcW w:w="236" w:type="pct"/>
            <w:shd w:val="clear" w:color="000000" w:fill="00B050"/>
            <w:vAlign w:val="center"/>
          </w:tcPr>
          <w:p w14:paraId="49CD95A7">
            <w:pPr>
              <w:widowControl/>
              <w:spacing w:line="240" w:lineRule="auto"/>
              <w:jc w:val="center"/>
              <w:rPr>
                <w:rFonts w:cs="Times New Roman"/>
                <w:color w:val="000000"/>
                <w:kern w:val="0"/>
                <w:sz w:val="21"/>
                <w:szCs w:val="21"/>
                <w:highlight w:val="none"/>
              </w:rPr>
            </w:pPr>
          </w:p>
        </w:tc>
        <w:tc>
          <w:tcPr>
            <w:tcW w:w="236" w:type="pct"/>
            <w:shd w:val="clear" w:color="000000" w:fill="00B050"/>
            <w:vAlign w:val="center"/>
          </w:tcPr>
          <w:p w14:paraId="6DBF1D7A">
            <w:pPr>
              <w:widowControl/>
              <w:spacing w:line="240" w:lineRule="auto"/>
              <w:jc w:val="center"/>
              <w:rPr>
                <w:rFonts w:cs="Times New Roman"/>
                <w:color w:val="000000"/>
                <w:kern w:val="0"/>
                <w:sz w:val="21"/>
                <w:szCs w:val="21"/>
                <w:highlight w:val="none"/>
              </w:rPr>
            </w:pPr>
          </w:p>
        </w:tc>
        <w:tc>
          <w:tcPr>
            <w:tcW w:w="236" w:type="pct"/>
            <w:shd w:val="clear" w:color="auto" w:fill="auto"/>
            <w:noWrap/>
            <w:vAlign w:val="center"/>
          </w:tcPr>
          <w:p w14:paraId="0630CE50">
            <w:pPr>
              <w:widowControl/>
              <w:spacing w:line="240" w:lineRule="auto"/>
              <w:jc w:val="center"/>
              <w:rPr>
                <w:rFonts w:cs="Times New Roman"/>
                <w:color w:val="000000"/>
                <w:kern w:val="0"/>
                <w:sz w:val="22"/>
                <w:highlight w:val="none"/>
              </w:rPr>
            </w:pPr>
          </w:p>
        </w:tc>
        <w:tc>
          <w:tcPr>
            <w:tcW w:w="235" w:type="pct"/>
            <w:shd w:val="clear" w:color="auto" w:fill="auto"/>
            <w:noWrap/>
            <w:vAlign w:val="center"/>
          </w:tcPr>
          <w:p w14:paraId="63ADCC5B">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1AB55F9B">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4CDFAFB0">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56B41422">
            <w:pPr>
              <w:widowControl/>
              <w:spacing w:line="240" w:lineRule="auto"/>
              <w:jc w:val="center"/>
              <w:rPr>
                <w:rFonts w:cs="Times New Roman"/>
                <w:color w:val="000000"/>
                <w:kern w:val="0"/>
                <w:sz w:val="22"/>
                <w:highlight w:val="none"/>
              </w:rPr>
            </w:pPr>
          </w:p>
        </w:tc>
        <w:tc>
          <w:tcPr>
            <w:tcW w:w="233" w:type="pct"/>
            <w:shd w:val="clear" w:color="auto" w:fill="auto"/>
            <w:noWrap/>
            <w:vAlign w:val="center"/>
          </w:tcPr>
          <w:p w14:paraId="78FFFD12">
            <w:pPr>
              <w:widowControl/>
              <w:spacing w:line="240" w:lineRule="auto"/>
              <w:jc w:val="center"/>
              <w:rPr>
                <w:rFonts w:cs="Times New Roman"/>
                <w:color w:val="000000"/>
                <w:kern w:val="0"/>
                <w:sz w:val="22"/>
                <w:highlight w:val="none"/>
              </w:rPr>
            </w:pPr>
          </w:p>
        </w:tc>
      </w:tr>
      <w:tr w14:paraId="1267B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pct"/>
            <w:shd w:val="clear" w:color="000000" w:fill="FFFFFF"/>
            <w:vAlign w:val="center"/>
          </w:tcPr>
          <w:p w14:paraId="718254E2">
            <w:pPr>
              <w:widowControl/>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风险评估报告市级评审、修改、复核</w:t>
            </w:r>
          </w:p>
        </w:tc>
        <w:tc>
          <w:tcPr>
            <w:tcW w:w="235" w:type="pct"/>
            <w:shd w:val="clear" w:color="auto" w:fill="auto"/>
            <w:noWrap/>
            <w:vAlign w:val="center"/>
          </w:tcPr>
          <w:p w14:paraId="6C114EA0">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1DB507C8">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6879EEAA">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056423D3">
            <w:pPr>
              <w:widowControl/>
              <w:spacing w:line="240" w:lineRule="auto"/>
              <w:jc w:val="center"/>
              <w:rPr>
                <w:rFonts w:cs="Times New Roman"/>
                <w:color w:val="000000"/>
                <w:kern w:val="0"/>
                <w:sz w:val="22"/>
                <w:highlight w:val="none"/>
              </w:rPr>
            </w:pPr>
          </w:p>
        </w:tc>
        <w:tc>
          <w:tcPr>
            <w:tcW w:w="235" w:type="pct"/>
            <w:shd w:val="clear" w:color="auto" w:fill="auto"/>
            <w:noWrap/>
            <w:vAlign w:val="center"/>
          </w:tcPr>
          <w:p w14:paraId="4970A68D">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62DC7C3D">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190F1A66">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37026315">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4743BF3D">
            <w:pPr>
              <w:widowControl/>
              <w:spacing w:line="240" w:lineRule="auto"/>
              <w:jc w:val="center"/>
              <w:rPr>
                <w:rFonts w:cs="Times New Roman"/>
                <w:color w:val="000000"/>
                <w:kern w:val="0"/>
                <w:sz w:val="22"/>
                <w:highlight w:val="none"/>
              </w:rPr>
            </w:pPr>
          </w:p>
        </w:tc>
        <w:tc>
          <w:tcPr>
            <w:tcW w:w="235" w:type="pct"/>
            <w:shd w:val="clear" w:color="auto" w:fill="auto"/>
            <w:noWrap/>
            <w:vAlign w:val="center"/>
          </w:tcPr>
          <w:p w14:paraId="1239B92E">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56C17B05">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49E389E3">
            <w:pPr>
              <w:widowControl/>
              <w:spacing w:line="240" w:lineRule="auto"/>
              <w:jc w:val="center"/>
              <w:rPr>
                <w:rFonts w:cs="Times New Roman"/>
                <w:color w:val="000000"/>
                <w:kern w:val="0"/>
                <w:sz w:val="22"/>
                <w:highlight w:val="none"/>
              </w:rPr>
            </w:pPr>
          </w:p>
        </w:tc>
        <w:tc>
          <w:tcPr>
            <w:tcW w:w="236" w:type="pct"/>
            <w:shd w:val="clear" w:color="000000" w:fill="00B050"/>
            <w:vAlign w:val="center"/>
          </w:tcPr>
          <w:p w14:paraId="33842891">
            <w:pPr>
              <w:widowControl/>
              <w:spacing w:line="240" w:lineRule="auto"/>
              <w:jc w:val="center"/>
              <w:rPr>
                <w:rFonts w:cs="Times New Roman"/>
                <w:color w:val="000000"/>
                <w:kern w:val="0"/>
                <w:sz w:val="21"/>
                <w:szCs w:val="21"/>
                <w:highlight w:val="none"/>
              </w:rPr>
            </w:pPr>
          </w:p>
        </w:tc>
        <w:tc>
          <w:tcPr>
            <w:tcW w:w="235" w:type="pct"/>
            <w:shd w:val="clear" w:color="000000" w:fill="00B050"/>
            <w:vAlign w:val="center"/>
          </w:tcPr>
          <w:p w14:paraId="4EFF8DFC">
            <w:pPr>
              <w:widowControl/>
              <w:spacing w:line="240" w:lineRule="auto"/>
              <w:jc w:val="center"/>
              <w:rPr>
                <w:rFonts w:cs="Times New Roman"/>
                <w:color w:val="000000"/>
                <w:kern w:val="0"/>
                <w:sz w:val="21"/>
                <w:szCs w:val="21"/>
                <w:highlight w:val="none"/>
              </w:rPr>
            </w:pPr>
          </w:p>
        </w:tc>
        <w:tc>
          <w:tcPr>
            <w:tcW w:w="236" w:type="pct"/>
            <w:shd w:val="clear" w:color="000000" w:fill="00B050"/>
            <w:vAlign w:val="center"/>
          </w:tcPr>
          <w:p w14:paraId="226FF753">
            <w:pPr>
              <w:widowControl/>
              <w:spacing w:line="240" w:lineRule="auto"/>
              <w:jc w:val="center"/>
              <w:rPr>
                <w:rFonts w:cs="Times New Roman"/>
                <w:color w:val="000000"/>
                <w:kern w:val="0"/>
                <w:sz w:val="21"/>
                <w:szCs w:val="21"/>
                <w:highlight w:val="none"/>
              </w:rPr>
            </w:pPr>
          </w:p>
        </w:tc>
        <w:tc>
          <w:tcPr>
            <w:tcW w:w="236" w:type="pct"/>
            <w:shd w:val="clear" w:color="auto" w:fill="auto"/>
            <w:noWrap/>
            <w:vAlign w:val="center"/>
          </w:tcPr>
          <w:p w14:paraId="6DA5790D">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75B27B88">
            <w:pPr>
              <w:widowControl/>
              <w:spacing w:line="240" w:lineRule="auto"/>
              <w:jc w:val="center"/>
              <w:rPr>
                <w:rFonts w:cs="Times New Roman"/>
                <w:color w:val="000000"/>
                <w:kern w:val="0"/>
                <w:sz w:val="22"/>
                <w:highlight w:val="none"/>
              </w:rPr>
            </w:pPr>
          </w:p>
        </w:tc>
        <w:tc>
          <w:tcPr>
            <w:tcW w:w="233" w:type="pct"/>
            <w:shd w:val="clear" w:color="auto" w:fill="auto"/>
            <w:noWrap/>
            <w:vAlign w:val="center"/>
          </w:tcPr>
          <w:p w14:paraId="4EF84BE7">
            <w:pPr>
              <w:widowControl/>
              <w:spacing w:line="240" w:lineRule="auto"/>
              <w:jc w:val="center"/>
              <w:rPr>
                <w:rFonts w:cs="Times New Roman"/>
                <w:color w:val="000000"/>
                <w:kern w:val="0"/>
                <w:sz w:val="22"/>
                <w:highlight w:val="none"/>
              </w:rPr>
            </w:pPr>
          </w:p>
        </w:tc>
      </w:tr>
      <w:tr w14:paraId="3F452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8" w:type="pct"/>
            <w:shd w:val="clear" w:color="000000" w:fill="FFFFFF"/>
            <w:vAlign w:val="center"/>
          </w:tcPr>
          <w:p w14:paraId="65D11ABB">
            <w:pPr>
              <w:widowControl/>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风险评估报告省级评审、修改、复核</w:t>
            </w:r>
          </w:p>
        </w:tc>
        <w:tc>
          <w:tcPr>
            <w:tcW w:w="235" w:type="pct"/>
            <w:shd w:val="clear" w:color="auto" w:fill="auto"/>
            <w:noWrap/>
            <w:vAlign w:val="center"/>
          </w:tcPr>
          <w:p w14:paraId="5E25E512">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1067F8F9">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49167428">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3007E446">
            <w:pPr>
              <w:widowControl/>
              <w:spacing w:line="240" w:lineRule="auto"/>
              <w:jc w:val="center"/>
              <w:rPr>
                <w:rFonts w:cs="Times New Roman"/>
                <w:color w:val="000000"/>
                <w:kern w:val="0"/>
                <w:sz w:val="22"/>
                <w:highlight w:val="none"/>
              </w:rPr>
            </w:pPr>
          </w:p>
        </w:tc>
        <w:tc>
          <w:tcPr>
            <w:tcW w:w="235" w:type="pct"/>
            <w:shd w:val="clear" w:color="auto" w:fill="auto"/>
            <w:noWrap/>
            <w:vAlign w:val="center"/>
          </w:tcPr>
          <w:p w14:paraId="0AD1EA35">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2BBF7F58">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75CD9F1C">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6A1EBDDB">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69A32195">
            <w:pPr>
              <w:widowControl/>
              <w:spacing w:line="240" w:lineRule="auto"/>
              <w:jc w:val="center"/>
              <w:rPr>
                <w:rFonts w:cs="Times New Roman"/>
                <w:color w:val="000000"/>
                <w:kern w:val="0"/>
                <w:sz w:val="22"/>
                <w:highlight w:val="none"/>
              </w:rPr>
            </w:pPr>
          </w:p>
        </w:tc>
        <w:tc>
          <w:tcPr>
            <w:tcW w:w="235" w:type="pct"/>
            <w:shd w:val="clear" w:color="auto" w:fill="auto"/>
            <w:noWrap/>
            <w:vAlign w:val="center"/>
          </w:tcPr>
          <w:p w14:paraId="48CB8D6D">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74DAE381">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48DC7018">
            <w:pPr>
              <w:widowControl/>
              <w:spacing w:line="240" w:lineRule="auto"/>
              <w:jc w:val="center"/>
              <w:rPr>
                <w:rFonts w:cs="Times New Roman"/>
                <w:color w:val="000000"/>
                <w:kern w:val="0"/>
                <w:sz w:val="22"/>
                <w:highlight w:val="none"/>
              </w:rPr>
            </w:pPr>
          </w:p>
        </w:tc>
        <w:tc>
          <w:tcPr>
            <w:tcW w:w="236" w:type="pct"/>
            <w:shd w:val="clear" w:color="auto" w:fill="auto"/>
            <w:noWrap/>
            <w:vAlign w:val="center"/>
          </w:tcPr>
          <w:p w14:paraId="6DBC9C69">
            <w:pPr>
              <w:widowControl/>
              <w:spacing w:line="240" w:lineRule="auto"/>
              <w:jc w:val="center"/>
              <w:rPr>
                <w:rFonts w:cs="Times New Roman"/>
                <w:color w:val="000000"/>
                <w:kern w:val="0"/>
                <w:sz w:val="22"/>
                <w:highlight w:val="none"/>
              </w:rPr>
            </w:pPr>
          </w:p>
        </w:tc>
        <w:tc>
          <w:tcPr>
            <w:tcW w:w="235" w:type="pct"/>
            <w:shd w:val="clear" w:color="auto" w:fill="auto"/>
            <w:noWrap/>
            <w:vAlign w:val="center"/>
          </w:tcPr>
          <w:p w14:paraId="7AD96E08">
            <w:pPr>
              <w:widowControl/>
              <w:spacing w:line="240" w:lineRule="auto"/>
              <w:jc w:val="center"/>
              <w:rPr>
                <w:rFonts w:cs="Times New Roman"/>
                <w:color w:val="000000"/>
                <w:kern w:val="0"/>
                <w:sz w:val="22"/>
                <w:highlight w:val="none"/>
              </w:rPr>
            </w:pPr>
          </w:p>
        </w:tc>
        <w:tc>
          <w:tcPr>
            <w:tcW w:w="236" w:type="pct"/>
            <w:shd w:val="clear" w:color="auto" w:fill="00B050"/>
            <w:vAlign w:val="center"/>
          </w:tcPr>
          <w:p w14:paraId="4B8107C6">
            <w:pPr>
              <w:widowControl/>
              <w:spacing w:line="240" w:lineRule="auto"/>
              <w:jc w:val="center"/>
              <w:rPr>
                <w:rFonts w:cs="Times New Roman"/>
                <w:color w:val="000000"/>
                <w:kern w:val="0"/>
                <w:sz w:val="21"/>
                <w:szCs w:val="21"/>
                <w:highlight w:val="none"/>
              </w:rPr>
            </w:pPr>
          </w:p>
        </w:tc>
        <w:tc>
          <w:tcPr>
            <w:tcW w:w="236" w:type="pct"/>
            <w:shd w:val="clear" w:color="000000" w:fill="00B050"/>
            <w:vAlign w:val="center"/>
          </w:tcPr>
          <w:p w14:paraId="087735E8">
            <w:pPr>
              <w:widowControl/>
              <w:spacing w:line="240" w:lineRule="auto"/>
              <w:jc w:val="center"/>
              <w:rPr>
                <w:rFonts w:cs="Times New Roman"/>
                <w:color w:val="000000"/>
                <w:kern w:val="0"/>
                <w:sz w:val="21"/>
                <w:szCs w:val="21"/>
                <w:highlight w:val="none"/>
              </w:rPr>
            </w:pPr>
          </w:p>
        </w:tc>
        <w:tc>
          <w:tcPr>
            <w:tcW w:w="236" w:type="pct"/>
            <w:shd w:val="clear" w:color="000000" w:fill="00B050"/>
            <w:vAlign w:val="center"/>
          </w:tcPr>
          <w:p w14:paraId="7CE35FB9">
            <w:pPr>
              <w:widowControl/>
              <w:spacing w:line="240" w:lineRule="auto"/>
              <w:jc w:val="center"/>
              <w:rPr>
                <w:rFonts w:cs="Times New Roman"/>
                <w:color w:val="000000"/>
                <w:kern w:val="0"/>
                <w:sz w:val="21"/>
                <w:szCs w:val="21"/>
                <w:highlight w:val="none"/>
              </w:rPr>
            </w:pPr>
          </w:p>
        </w:tc>
        <w:tc>
          <w:tcPr>
            <w:tcW w:w="233" w:type="pct"/>
            <w:shd w:val="clear" w:color="000000" w:fill="00B050"/>
            <w:vAlign w:val="center"/>
          </w:tcPr>
          <w:p w14:paraId="2C2E9F24">
            <w:pPr>
              <w:widowControl/>
              <w:spacing w:line="240" w:lineRule="auto"/>
              <w:jc w:val="center"/>
              <w:rPr>
                <w:rFonts w:cs="Times New Roman"/>
                <w:color w:val="000000"/>
                <w:kern w:val="0"/>
                <w:sz w:val="21"/>
                <w:szCs w:val="21"/>
                <w:highlight w:val="none"/>
              </w:rPr>
            </w:pPr>
          </w:p>
        </w:tc>
      </w:tr>
    </w:tbl>
    <w:p w14:paraId="624687B4">
      <w:pPr>
        <w:numPr>
          <w:ilvl w:val="0"/>
          <w:numId w:val="0"/>
        </w:numPr>
        <w:spacing w:line="360" w:lineRule="auto"/>
        <w:outlineLvl w:val="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注：省级风险评估召开时间存在不确定性，需要与管理部门沟通协调。</w:t>
      </w:r>
    </w:p>
    <w:p w14:paraId="5BE697B7">
      <w:pPr>
        <w:spacing w:line="360" w:lineRule="auto"/>
        <w:ind w:firstLine="480" w:firstLineChars="200"/>
        <w:outlineLvl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7、项目清单</w:t>
      </w:r>
    </w:p>
    <w:tbl>
      <w:tblPr>
        <w:tblStyle w:val="52"/>
        <w:tblW w:w="9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6077"/>
        <w:gridCol w:w="1574"/>
        <w:gridCol w:w="906"/>
      </w:tblGrid>
      <w:tr w14:paraId="775C2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842" w:type="dxa"/>
            <w:noWrap w:val="0"/>
            <w:vAlign w:val="center"/>
          </w:tcPr>
          <w:p w14:paraId="10D53A1D">
            <w:pPr>
              <w:bidi w:val="0"/>
              <w:jc w:val="center"/>
              <w:rPr>
                <w:rFonts w:hint="default"/>
                <w:b/>
                <w:bCs/>
                <w:sz w:val="24"/>
                <w:szCs w:val="24"/>
                <w:highlight w:val="none"/>
                <w:lang w:val="en-US" w:eastAsia="zh-CN"/>
              </w:rPr>
            </w:pPr>
            <w:r>
              <w:rPr>
                <w:rFonts w:hint="eastAsia"/>
                <w:b/>
                <w:bCs/>
                <w:sz w:val="24"/>
                <w:szCs w:val="24"/>
                <w:highlight w:val="none"/>
                <w:lang w:val="en-US" w:eastAsia="zh-CN"/>
              </w:rPr>
              <w:t>序号</w:t>
            </w:r>
          </w:p>
        </w:tc>
        <w:tc>
          <w:tcPr>
            <w:tcW w:w="6077" w:type="dxa"/>
            <w:noWrap w:val="0"/>
            <w:vAlign w:val="center"/>
          </w:tcPr>
          <w:p w14:paraId="2DB5DADD">
            <w:pPr>
              <w:bidi w:val="0"/>
              <w:jc w:val="center"/>
              <w:rPr>
                <w:rFonts w:hint="default"/>
                <w:b/>
                <w:bCs/>
                <w:sz w:val="24"/>
                <w:szCs w:val="24"/>
                <w:highlight w:val="none"/>
                <w:lang w:val="en-US" w:eastAsia="zh-CN"/>
              </w:rPr>
            </w:pPr>
            <w:r>
              <w:rPr>
                <w:rFonts w:hint="eastAsia"/>
                <w:b/>
                <w:bCs/>
                <w:sz w:val="24"/>
                <w:szCs w:val="24"/>
                <w:highlight w:val="none"/>
                <w:lang w:val="en-US" w:eastAsia="zh-CN"/>
              </w:rPr>
              <w:t>地块名称</w:t>
            </w:r>
          </w:p>
        </w:tc>
        <w:tc>
          <w:tcPr>
            <w:tcW w:w="1574" w:type="dxa"/>
            <w:noWrap w:val="0"/>
            <w:vAlign w:val="center"/>
          </w:tcPr>
          <w:p w14:paraId="02C724B3">
            <w:pPr>
              <w:bidi w:val="0"/>
              <w:jc w:val="center"/>
              <w:rPr>
                <w:rFonts w:hint="default"/>
                <w:b/>
                <w:bCs/>
                <w:sz w:val="24"/>
                <w:szCs w:val="24"/>
                <w:highlight w:val="none"/>
                <w:lang w:val="en-US" w:eastAsia="zh-CN"/>
              </w:rPr>
            </w:pPr>
            <w:r>
              <w:rPr>
                <w:rFonts w:hint="eastAsia"/>
                <w:b/>
                <w:bCs/>
                <w:sz w:val="24"/>
                <w:szCs w:val="24"/>
                <w:highlight w:val="none"/>
                <w:lang w:val="en-US" w:eastAsia="zh-CN"/>
              </w:rPr>
              <w:t>费用</w:t>
            </w:r>
          </w:p>
        </w:tc>
        <w:tc>
          <w:tcPr>
            <w:tcW w:w="906" w:type="dxa"/>
            <w:noWrap w:val="0"/>
            <w:vAlign w:val="center"/>
          </w:tcPr>
          <w:p w14:paraId="51B8E361">
            <w:pPr>
              <w:bidi w:val="0"/>
              <w:jc w:val="center"/>
              <w:rPr>
                <w:rFonts w:hint="default"/>
                <w:b/>
                <w:bCs/>
                <w:sz w:val="24"/>
                <w:szCs w:val="24"/>
                <w:highlight w:val="none"/>
                <w:lang w:val="en-US" w:eastAsia="zh-CN"/>
              </w:rPr>
            </w:pPr>
            <w:r>
              <w:rPr>
                <w:rFonts w:hint="eastAsia"/>
                <w:b/>
                <w:bCs/>
                <w:sz w:val="24"/>
                <w:szCs w:val="24"/>
                <w:highlight w:val="none"/>
                <w:lang w:val="en-US" w:eastAsia="zh-CN"/>
              </w:rPr>
              <w:t>备注</w:t>
            </w:r>
          </w:p>
        </w:tc>
      </w:tr>
      <w:tr w14:paraId="67A5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842" w:type="dxa"/>
            <w:noWrap w:val="0"/>
            <w:vAlign w:val="center"/>
          </w:tcPr>
          <w:p w14:paraId="23975B04">
            <w:pPr>
              <w:bidi w:val="0"/>
              <w:jc w:val="center"/>
              <w:rPr>
                <w:rFonts w:hint="default"/>
                <w:sz w:val="24"/>
                <w:szCs w:val="24"/>
                <w:highlight w:val="none"/>
                <w:lang w:val="en-US" w:eastAsia="zh-CN"/>
              </w:rPr>
            </w:pPr>
            <w:r>
              <w:rPr>
                <w:rFonts w:hint="eastAsia"/>
                <w:sz w:val="24"/>
                <w:szCs w:val="24"/>
                <w:highlight w:val="none"/>
                <w:lang w:val="en-US" w:eastAsia="zh-CN"/>
              </w:rPr>
              <w:t>1</w:t>
            </w:r>
          </w:p>
        </w:tc>
        <w:tc>
          <w:tcPr>
            <w:tcW w:w="6077" w:type="dxa"/>
            <w:noWrap w:val="0"/>
            <w:vAlign w:val="center"/>
          </w:tcPr>
          <w:p w14:paraId="1EC9F949">
            <w:pPr>
              <w:bidi w:val="0"/>
              <w:jc w:val="center"/>
              <w:rPr>
                <w:rFonts w:hint="eastAsia"/>
                <w:sz w:val="24"/>
                <w:szCs w:val="24"/>
                <w:highlight w:val="none"/>
                <w:lang w:val="en-US" w:eastAsia="zh-CN"/>
              </w:rPr>
            </w:pPr>
            <w:r>
              <w:rPr>
                <w:sz w:val="24"/>
                <w:szCs w:val="24"/>
                <w:highlight w:val="none"/>
              </w:rPr>
              <w:t>原南京申宁化工有限责任公司地块风险评估项目费用</w:t>
            </w:r>
          </w:p>
        </w:tc>
        <w:tc>
          <w:tcPr>
            <w:tcW w:w="1574" w:type="dxa"/>
            <w:noWrap w:val="0"/>
            <w:vAlign w:val="center"/>
          </w:tcPr>
          <w:p w14:paraId="49E631D9">
            <w:pPr>
              <w:bidi w:val="0"/>
              <w:jc w:val="center"/>
              <w:rPr>
                <w:rFonts w:hint="eastAsia"/>
                <w:sz w:val="24"/>
                <w:szCs w:val="24"/>
                <w:highlight w:val="none"/>
                <w:lang w:val="en-US" w:eastAsia="zh-CN"/>
              </w:rPr>
            </w:pPr>
          </w:p>
        </w:tc>
        <w:tc>
          <w:tcPr>
            <w:tcW w:w="906" w:type="dxa"/>
            <w:noWrap w:val="0"/>
            <w:vAlign w:val="center"/>
          </w:tcPr>
          <w:p w14:paraId="75B12246">
            <w:pPr>
              <w:bidi w:val="0"/>
              <w:jc w:val="center"/>
              <w:rPr>
                <w:rFonts w:hint="eastAsia"/>
                <w:sz w:val="24"/>
                <w:szCs w:val="24"/>
                <w:highlight w:val="none"/>
                <w:lang w:val="en-US" w:eastAsia="zh-CN"/>
              </w:rPr>
            </w:pPr>
          </w:p>
        </w:tc>
      </w:tr>
      <w:tr w14:paraId="49511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42" w:type="dxa"/>
            <w:noWrap w:val="0"/>
            <w:vAlign w:val="center"/>
          </w:tcPr>
          <w:p w14:paraId="4CB88DE0">
            <w:pPr>
              <w:bidi w:val="0"/>
              <w:jc w:val="center"/>
              <w:rPr>
                <w:rFonts w:hint="default"/>
                <w:sz w:val="24"/>
                <w:szCs w:val="24"/>
                <w:highlight w:val="none"/>
                <w:lang w:val="en-US" w:eastAsia="zh-CN"/>
              </w:rPr>
            </w:pPr>
            <w:r>
              <w:rPr>
                <w:rFonts w:hint="eastAsia"/>
                <w:sz w:val="24"/>
                <w:szCs w:val="24"/>
                <w:highlight w:val="none"/>
                <w:lang w:val="en-US" w:eastAsia="zh-CN"/>
              </w:rPr>
              <w:t>2</w:t>
            </w:r>
          </w:p>
        </w:tc>
        <w:tc>
          <w:tcPr>
            <w:tcW w:w="6077" w:type="dxa"/>
            <w:noWrap w:val="0"/>
            <w:vAlign w:val="center"/>
          </w:tcPr>
          <w:p w14:paraId="637340A7">
            <w:pPr>
              <w:bidi w:val="0"/>
              <w:jc w:val="center"/>
              <w:rPr>
                <w:rFonts w:hint="eastAsia"/>
                <w:sz w:val="24"/>
                <w:szCs w:val="24"/>
                <w:highlight w:val="none"/>
                <w:lang w:val="en-US" w:eastAsia="zh-CN"/>
              </w:rPr>
            </w:pPr>
            <w:r>
              <w:rPr>
                <w:sz w:val="24"/>
                <w:szCs w:val="24"/>
                <w:highlight w:val="none"/>
              </w:rPr>
              <w:t>原南京祥宇农药有限公司地块风险评估项目费用</w:t>
            </w:r>
          </w:p>
        </w:tc>
        <w:tc>
          <w:tcPr>
            <w:tcW w:w="1574" w:type="dxa"/>
            <w:noWrap w:val="0"/>
            <w:vAlign w:val="center"/>
          </w:tcPr>
          <w:p w14:paraId="065853F9">
            <w:pPr>
              <w:bidi w:val="0"/>
              <w:jc w:val="center"/>
              <w:rPr>
                <w:rFonts w:hint="eastAsia"/>
                <w:sz w:val="24"/>
                <w:szCs w:val="24"/>
                <w:highlight w:val="none"/>
                <w:lang w:val="en-US" w:eastAsia="zh-CN"/>
              </w:rPr>
            </w:pPr>
          </w:p>
        </w:tc>
        <w:tc>
          <w:tcPr>
            <w:tcW w:w="906" w:type="dxa"/>
            <w:noWrap w:val="0"/>
            <w:vAlign w:val="center"/>
          </w:tcPr>
          <w:p w14:paraId="426C303E">
            <w:pPr>
              <w:bidi w:val="0"/>
              <w:jc w:val="center"/>
              <w:rPr>
                <w:rFonts w:hint="eastAsia"/>
                <w:sz w:val="24"/>
                <w:szCs w:val="24"/>
                <w:highlight w:val="none"/>
                <w:lang w:val="en-US" w:eastAsia="zh-CN"/>
              </w:rPr>
            </w:pPr>
          </w:p>
        </w:tc>
      </w:tr>
      <w:tr w14:paraId="1159A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4" w:hRule="atLeast"/>
        </w:trPr>
        <w:tc>
          <w:tcPr>
            <w:tcW w:w="842" w:type="dxa"/>
            <w:noWrap w:val="0"/>
            <w:vAlign w:val="center"/>
          </w:tcPr>
          <w:p w14:paraId="59B9D054">
            <w:pPr>
              <w:bidi w:val="0"/>
              <w:jc w:val="center"/>
              <w:rPr>
                <w:rFonts w:hint="default"/>
                <w:sz w:val="24"/>
                <w:szCs w:val="24"/>
                <w:highlight w:val="none"/>
                <w:lang w:val="en-US" w:eastAsia="zh-CN"/>
              </w:rPr>
            </w:pPr>
            <w:r>
              <w:rPr>
                <w:rFonts w:hint="eastAsia"/>
                <w:sz w:val="24"/>
                <w:szCs w:val="24"/>
                <w:highlight w:val="none"/>
                <w:lang w:val="en-US" w:eastAsia="zh-CN"/>
              </w:rPr>
              <w:t>3</w:t>
            </w:r>
          </w:p>
        </w:tc>
        <w:tc>
          <w:tcPr>
            <w:tcW w:w="6077" w:type="dxa"/>
            <w:noWrap w:val="0"/>
            <w:vAlign w:val="center"/>
          </w:tcPr>
          <w:p w14:paraId="763962BE">
            <w:pPr>
              <w:bidi w:val="0"/>
              <w:jc w:val="center"/>
              <w:rPr>
                <w:rFonts w:hint="eastAsia"/>
                <w:sz w:val="24"/>
                <w:szCs w:val="24"/>
                <w:highlight w:val="none"/>
                <w:lang w:val="en-US" w:eastAsia="zh-CN"/>
              </w:rPr>
            </w:pPr>
            <w:r>
              <w:rPr>
                <w:sz w:val="24"/>
                <w:szCs w:val="24"/>
                <w:highlight w:val="none"/>
              </w:rPr>
              <w:t>原南京科思化学有限公司地块风险评估项目费用</w:t>
            </w:r>
          </w:p>
        </w:tc>
        <w:tc>
          <w:tcPr>
            <w:tcW w:w="1574" w:type="dxa"/>
            <w:noWrap w:val="0"/>
            <w:vAlign w:val="center"/>
          </w:tcPr>
          <w:p w14:paraId="4A6A3971">
            <w:pPr>
              <w:bidi w:val="0"/>
              <w:jc w:val="center"/>
              <w:rPr>
                <w:rFonts w:hint="eastAsia"/>
                <w:sz w:val="24"/>
                <w:szCs w:val="24"/>
                <w:highlight w:val="none"/>
                <w:lang w:val="en-US" w:eastAsia="zh-CN"/>
              </w:rPr>
            </w:pPr>
          </w:p>
        </w:tc>
        <w:tc>
          <w:tcPr>
            <w:tcW w:w="906" w:type="dxa"/>
            <w:noWrap w:val="0"/>
            <w:vAlign w:val="center"/>
          </w:tcPr>
          <w:p w14:paraId="485CB8B1">
            <w:pPr>
              <w:bidi w:val="0"/>
              <w:jc w:val="center"/>
              <w:rPr>
                <w:rFonts w:hint="eastAsia"/>
                <w:sz w:val="24"/>
                <w:szCs w:val="24"/>
                <w:highlight w:val="none"/>
                <w:lang w:val="en-US" w:eastAsia="zh-CN"/>
              </w:rPr>
            </w:pPr>
          </w:p>
        </w:tc>
      </w:tr>
      <w:tr w14:paraId="7093C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842" w:type="dxa"/>
            <w:noWrap w:val="0"/>
            <w:vAlign w:val="center"/>
          </w:tcPr>
          <w:p w14:paraId="4B9EC2DC">
            <w:pPr>
              <w:bidi w:val="0"/>
              <w:jc w:val="center"/>
              <w:rPr>
                <w:rFonts w:hint="default"/>
                <w:sz w:val="24"/>
                <w:szCs w:val="24"/>
                <w:highlight w:val="none"/>
                <w:lang w:val="en-US" w:eastAsia="zh-CN"/>
              </w:rPr>
            </w:pPr>
            <w:r>
              <w:rPr>
                <w:rFonts w:hint="eastAsia"/>
                <w:sz w:val="24"/>
                <w:szCs w:val="24"/>
                <w:highlight w:val="none"/>
                <w:lang w:val="en-US" w:eastAsia="zh-CN"/>
              </w:rPr>
              <w:t>4</w:t>
            </w:r>
          </w:p>
        </w:tc>
        <w:tc>
          <w:tcPr>
            <w:tcW w:w="6077" w:type="dxa"/>
            <w:noWrap w:val="0"/>
            <w:vAlign w:val="center"/>
          </w:tcPr>
          <w:p w14:paraId="524CE50D">
            <w:pPr>
              <w:bidi w:val="0"/>
              <w:jc w:val="center"/>
              <w:rPr>
                <w:rFonts w:hint="eastAsia"/>
                <w:sz w:val="24"/>
                <w:szCs w:val="24"/>
                <w:highlight w:val="none"/>
                <w:lang w:val="en-US" w:eastAsia="zh-CN"/>
              </w:rPr>
            </w:pPr>
            <w:r>
              <w:rPr>
                <w:sz w:val="24"/>
                <w:szCs w:val="24"/>
                <w:highlight w:val="none"/>
              </w:rPr>
              <w:t>原南京宝恒化工有限公司地块风险评估项目费用</w:t>
            </w:r>
          </w:p>
        </w:tc>
        <w:tc>
          <w:tcPr>
            <w:tcW w:w="1574" w:type="dxa"/>
            <w:noWrap w:val="0"/>
            <w:vAlign w:val="center"/>
          </w:tcPr>
          <w:p w14:paraId="5B23CC52">
            <w:pPr>
              <w:bidi w:val="0"/>
              <w:jc w:val="center"/>
              <w:rPr>
                <w:rFonts w:hint="eastAsia"/>
                <w:sz w:val="24"/>
                <w:szCs w:val="24"/>
                <w:highlight w:val="none"/>
                <w:lang w:val="en-US" w:eastAsia="zh-CN"/>
              </w:rPr>
            </w:pPr>
          </w:p>
        </w:tc>
        <w:tc>
          <w:tcPr>
            <w:tcW w:w="906" w:type="dxa"/>
            <w:noWrap w:val="0"/>
            <w:vAlign w:val="center"/>
          </w:tcPr>
          <w:p w14:paraId="12D2AE54">
            <w:pPr>
              <w:bidi w:val="0"/>
              <w:jc w:val="center"/>
              <w:rPr>
                <w:rFonts w:hint="eastAsia"/>
                <w:sz w:val="24"/>
                <w:szCs w:val="24"/>
                <w:highlight w:val="none"/>
                <w:lang w:val="en-US" w:eastAsia="zh-CN"/>
              </w:rPr>
            </w:pPr>
          </w:p>
        </w:tc>
      </w:tr>
      <w:tr w14:paraId="57D42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919" w:type="dxa"/>
            <w:gridSpan w:val="2"/>
            <w:noWrap w:val="0"/>
            <w:vAlign w:val="center"/>
          </w:tcPr>
          <w:p w14:paraId="27E1C662">
            <w:pPr>
              <w:bidi w:val="0"/>
              <w:jc w:val="center"/>
              <w:rPr>
                <w:rFonts w:hint="default"/>
                <w:sz w:val="24"/>
                <w:szCs w:val="24"/>
                <w:highlight w:val="none"/>
                <w:lang w:val="en-US" w:eastAsia="zh-CN"/>
              </w:rPr>
            </w:pPr>
            <w:r>
              <w:rPr>
                <w:rFonts w:hint="eastAsia"/>
                <w:sz w:val="24"/>
                <w:szCs w:val="24"/>
                <w:highlight w:val="none"/>
                <w:lang w:val="en-US" w:eastAsia="zh-CN"/>
              </w:rPr>
              <w:t>总计（万元）</w:t>
            </w:r>
          </w:p>
        </w:tc>
        <w:tc>
          <w:tcPr>
            <w:tcW w:w="1574" w:type="dxa"/>
            <w:noWrap w:val="0"/>
            <w:vAlign w:val="center"/>
          </w:tcPr>
          <w:p w14:paraId="736C4BC4">
            <w:pPr>
              <w:bidi w:val="0"/>
              <w:jc w:val="center"/>
              <w:rPr>
                <w:rFonts w:hint="eastAsia"/>
                <w:sz w:val="24"/>
                <w:szCs w:val="24"/>
                <w:highlight w:val="none"/>
                <w:lang w:val="en-US" w:eastAsia="zh-CN"/>
              </w:rPr>
            </w:pPr>
          </w:p>
        </w:tc>
        <w:tc>
          <w:tcPr>
            <w:tcW w:w="906" w:type="dxa"/>
            <w:noWrap w:val="0"/>
            <w:vAlign w:val="center"/>
          </w:tcPr>
          <w:p w14:paraId="57A99732">
            <w:pPr>
              <w:bidi w:val="0"/>
              <w:jc w:val="center"/>
              <w:rPr>
                <w:rFonts w:hint="eastAsia"/>
                <w:sz w:val="24"/>
                <w:szCs w:val="24"/>
                <w:highlight w:val="none"/>
                <w:lang w:val="en-US" w:eastAsia="zh-CN"/>
              </w:rPr>
            </w:pPr>
          </w:p>
        </w:tc>
      </w:tr>
    </w:tbl>
    <w:p w14:paraId="7397D45C">
      <w:pPr>
        <w:spacing w:line="360" w:lineRule="auto"/>
        <w:ind w:firstLine="420" w:firstLineChars="200"/>
        <w:outlineLvl w:val="0"/>
        <w:rPr>
          <w:rFonts w:hint="eastAsia" w:ascii="宋体" w:hAnsi="宋体" w:eastAsia="宋体" w:cs="宋体"/>
          <w:sz w:val="21"/>
          <w:szCs w:val="21"/>
          <w:highlight w:val="none"/>
          <w:lang w:val="en-US" w:eastAsia="zh-CN"/>
        </w:rPr>
      </w:pPr>
    </w:p>
    <w:p w14:paraId="4B11F756">
      <w:pPr>
        <w:spacing w:line="360" w:lineRule="auto"/>
        <w:jc w:val="center"/>
        <w:outlineLvl w:val="0"/>
        <w:rPr>
          <w:rFonts w:hint="eastAsia" w:ascii="宋体" w:hAnsi="宋体" w:eastAsia="宋体" w:cs="宋体"/>
          <w:sz w:val="36"/>
          <w:szCs w:val="36"/>
          <w:highlight w:val="none"/>
          <w:lang w:val="zh-CN"/>
        </w:rPr>
      </w:pPr>
    </w:p>
    <w:p w14:paraId="7CC87073">
      <w:pPr>
        <w:spacing w:line="360" w:lineRule="auto"/>
        <w:jc w:val="center"/>
        <w:outlineLvl w:val="0"/>
        <w:rPr>
          <w:rFonts w:hint="eastAsia" w:ascii="宋体" w:hAnsi="宋体" w:eastAsia="宋体" w:cs="宋体"/>
          <w:sz w:val="36"/>
          <w:szCs w:val="36"/>
          <w:highlight w:val="none"/>
          <w:lang w:val="zh-CN"/>
        </w:rPr>
        <w:sectPr>
          <w:headerReference r:id="rId3" w:type="default"/>
          <w:footerReference r:id="rId4" w:type="default"/>
          <w:pgSz w:w="11911" w:h="16838"/>
          <w:pgMar w:top="1417" w:right="1531" w:bottom="1417" w:left="1531" w:header="879" w:footer="1196" w:gutter="0"/>
          <w:cols w:space="720" w:num="1"/>
          <w:docGrid w:linePitch="290" w:charSpace="0"/>
        </w:sectPr>
      </w:pPr>
    </w:p>
    <w:p w14:paraId="1405281D">
      <w:pPr>
        <w:jc w:val="center"/>
        <w:rPr>
          <w:rFonts w:cs="Times New Roman"/>
          <w:b/>
          <w:bCs/>
          <w:color w:val="000000"/>
          <w:kern w:val="0"/>
          <w:highlight w:val="none"/>
        </w:rPr>
      </w:pPr>
      <w:r>
        <w:rPr>
          <w:rFonts w:cs="Times New Roman"/>
          <w:b/>
          <w:bCs/>
          <w:color w:val="000000"/>
          <w:kern w:val="0"/>
          <w:highlight w:val="none"/>
        </w:rPr>
        <w:t>表1  原南京申宁化工有限责任公司地块风险评估项目费用报价明细表</w:t>
      </w:r>
    </w:p>
    <w:tbl>
      <w:tblPr>
        <w:tblStyle w:val="51"/>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0" w:type="dxa"/>
          <w:bottom w:w="0" w:type="dxa"/>
          <w:right w:w="0" w:type="dxa"/>
        </w:tblCellMar>
      </w:tblPr>
      <w:tblGrid>
        <w:gridCol w:w="573"/>
        <w:gridCol w:w="1003"/>
        <w:gridCol w:w="6054"/>
        <w:gridCol w:w="910"/>
        <w:gridCol w:w="949"/>
        <w:gridCol w:w="1480"/>
        <w:gridCol w:w="1593"/>
        <w:gridCol w:w="1560"/>
      </w:tblGrid>
      <w:tr w14:paraId="1AE7451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tcBorders>
              <w:top w:val="single" w:color="auto" w:sz="8" w:space="0"/>
              <w:left w:val="single" w:color="auto" w:sz="8" w:space="0"/>
              <w:bottom w:val="single" w:color="auto" w:sz="2" w:space="0"/>
              <w:right w:val="single" w:color="auto" w:sz="2" w:space="0"/>
            </w:tcBorders>
            <w:noWrap w:val="0"/>
            <w:vAlign w:val="center"/>
          </w:tcPr>
          <w:p w14:paraId="55CFCF6B">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序号</w:t>
            </w:r>
          </w:p>
        </w:tc>
        <w:tc>
          <w:tcPr>
            <w:tcW w:w="355" w:type="pct"/>
            <w:tcBorders>
              <w:top w:val="single" w:color="auto" w:sz="8" w:space="0"/>
              <w:left w:val="single" w:color="auto" w:sz="2" w:space="0"/>
              <w:bottom w:val="single" w:color="auto" w:sz="2" w:space="0"/>
              <w:right w:val="single" w:color="auto" w:sz="2" w:space="0"/>
            </w:tcBorders>
            <w:noWrap w:val="0"/>
            <w:vAlign w:val="center"/>
          </w:tcPr>
          <w:p w14:paraId="5FBB1263">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w:t>
            </w:r>
            <w:r>
              <w:rPr>
                <w:rFonts w:hint="eastAsia" w:cs="Times New Roman"/>
                <w:b/>
                <w:color w:val="000000"/>
                <w:sz w:val="21"/>
                <w:szCs w:val="21"/>
                <w:highlight w:val="none"/>
              </w:rPr>
              <w:t>分类</w:t>
            </w:r>
          </w:p>
        </w:tc>
        <w:tc>
          <w:tcPr>
            <w:tcW w:w="2143" w:type="pct"/>
            <w:tcBorders>
              <w:top w:val="single" w:color="auto" w:sz="8" w:space="0"/>
              <w:left w:val="single" w:color="auto" w:sz="2" w:space="0"/>
              <w:bottom w:val="single" w:color="auto" w:sz="2" w:space="0"/>
              <w:right w:val="single" w:color="auto" w:sz="2" w:space="0"/>
            </w:tcBorders>
            <w:noWrap w:val="0"/>
            <w:vAlign w:val="center"/>
          </w:tcPr>
          <w:p w14:paraId="3F4C0451">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工作内容</w:t>
            </w:r>
          </w:p>
        </w:tc>
        <w:tc>
          <w:tcPr>
            <w:tcW w:w="322" w:type="pct"/>
            <w:tcBorders>
              <w:top w:val="single" w:color="auto" w:sz="8" w:space="0"/>
              <w:left w:val="single" w:color="auto" w:sz="2" w:space="0"/>
              <w:bottom w:val="single" w:color="auto" w:sz="4" w:space="0"/>
              <w:right w:val="single" w:color="auto" w:sz="2" w:space="0"/>
            </w:tcBorders>
            <w:noWrap w:val="0"/>
            <w:vAlign w:val="center"/>
          </w:tcPr>
          <w:p w14:paraId="02B1FCAB">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计量</w:t>
            </w:r>
          </w:p>
          <w:p w14:paraId="29C2588D">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单位</w:t>
            </w:r>
          </w:p>
        </w:tc>
        <w:tc>
          <w:tcPr>
            <w:tcW w:w="336" w:type="pct"/>
            <w:tcBorders>
              <w:top w:val="single" w:color="auto" w:sz="8" w:space="0"/>
              <w:left w:val="single" w:color="auto" w:sz="2" w:space="0"/>
              <w:bottom w:val="single" w:color="auto" w:sz="4" w:space="0"/>
              <w:right w:val="single" w:color="auto" w:sz="2" w:space="0"/>
            </w:tcBorders>
            <w:noWrap w:val="0"/>
            <w:vAlign w:val="center"/>
          </w:tcPr>
          <w:p w14:paraId="3764C3CD">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数量</w:t>
            </w:r>
          </w:p>
        </w:tc>
        <w:tc>
          <w:tcPr>
            <w:tcW w:w="522" w:type="pct"/>
            <w:tcBorders>
              <w:top w:val="single" w:color="auto" w:sz="8" w:space="0"/>
              <w:left w:val="single" w:color="auto" w:sz="2" w:space="0"/>
              <w:bottom w:val="single" w:color="auto" w:sz="4" w:space="0"/>
              <w:right w:val="single" w:color="auto" w:sz="2" w:space="0"/>
            </w:tcBorders>
            <w:noWrap w:val="0"/>
            <w:vAlign w:val="center"/>
          </w:tcPr>
          <w:p w14:paraId="2D732B72">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单价</w:t>
            </w:r>
          </w:p>
          <w:p w14:paraId="422DDFCA">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64" w:type="pct"/>
            <w:tcBorders>
              <w:top w:val="single" w:color="auto" w:sz="8" w:space="0"/>
              <w:left w:val="single" w:color="auto" w:sz="2" w:space="0"/>
              <w:bottom w:val="single" w:color="auto" w:sz="4" w:space="0"/>
              <w:right w:val="single" w:color="auto" w:sz="8" w:space="0"/>
            </w:tcBorders>
            <w:noWrap w:val="0"/>
            <w:vAlign w:val="center"/>
          </w:tcPr>
          <w:p w14:paraId="3FB67CA9">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小计</w:t>
            </w:r>
          </w:p>
          <w:p w14:paraId="22BC742E">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52" w:type="pct"/>
            <w:tcBorders>
              <w:top w:val="single" w:color="auto" w:sz="8" w:space="0"/>
              <w:left w:val="single" w:color="auto" w:sz="2" w:space="0"/>
              <w:bottom w:val="single" w:color="auto" w:sz="4" w:space="0"/>
              <w:right w:val="single" w:color="auto" w:sz="8" w:space="0"/>
            </w:tcBorders>
            <w:noWrap w:val="0"/>
            <w:vAlign w:val="center"/>
          </w:tcPr>
          <w:p w14:paraId="7E421C59">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备注</w:t>
            </w:r>
          </w:p>
        </w:tc>
      </w:tr>
      <w:tr w14:paraId="4DD222E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20DF67A3">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1</w:t>
            </w:r>
          </w:p>
        </w:tc>
        <w:tc>
          <w:tcPr>
            <w:tcW w:w="355" w:type="pct"/>
            <w:vMerge w:val="restart"/>
            <w:tcBorders>
              <w:top w:val="single" w:color="auto" w:sz="4" w:space="0"/>
              <w:left w:val="single" w:color="auto" w:sz="2" w:space="0"/>
              <w:right w:val="single" w:color="auto" w:sz="2" w:space="0"/>
            </w:tcBorders>
            <w:noWrap w:val="0"/>
            <w:vAlign w:val="center"/>
          </w:tcPr>
          <w:p w14:paraId="1F6A4E2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水文地质勘察</w:t>
            </w:r>
          </w:p>
        </w:tc>
        <w:tc>
          <w:tcPr>
            <w:tcW w:w="2143" w:type="pct"/>
            <w:tcBorders>
              <w:top w:val="single" w:color="auto" w:sz="4" w:space="0"/>
              <w:left w:val="single" w:color="auto" w:sz="2" w:space="0"/>
              <w:bottom w:val="single" w:color="auto" w:sz="4" w:space="0"/>
              <w:right w:val="single" w:color="auto" w:sz="4" w:space="0"/>
            </w:tcBorders>
            <w:noWrap w:val="0"/>
            <w:vAlign w:val="center"/>
          </w:tcPr>
          <w:p w14:paraId="6300279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钻探，布设4个钻孔点位，单个点位钻孔深度达到40m，需钻探至中风化层</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2E50ACC6">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5FFA3CB9">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76F29D11">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4570D420">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right w:val="single" w:color="auto" w:sz="4" w:space="0"/>
            </w:tcBorders>
            <w:noWrap w:val="0"/>
            <w:vAlign w:val="center"/>
          </w:tcPr>
          <w:p w14:paraId="56B4EB75">
            <w:pPr>
              <w:widowControl/>
              <w:adjustRightInd w:val="0"/>
              <w:snapToGrid w:val="0"/>
              <w:spacing w:line="240" w:lineRule="auto"/>
              <w:rPr>
                <w:rFonts w:cs="Times New Roman"/>
                <w:color w:val="000000"/>
                <w:sz w:val="21"/>
                <w:szCs w:val="21"/>
                <w:highlight w:val="none"/>
              </w:rPr>
            </w:pPr>
          </w:p>
        </w:tc>
      </w:tr>
      <w:tr w14:paraId="2FBDDF7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top w:val="single" w:color="auto" w:sz="4" w:space="0"/>
              <w:left w:val="single" w:color="auto" w:sz="8" w:space="0"/>
              <w:right w:val="single" w:color="auto" w:sz="2" w:space="0"/>
            </w:tcBorders>
            <w:noWrap w:val="0"/>
            <w:vAlign w:val="center"/>
          </w:tcPr>
          <w:p w14:paraId="309AAF2A">
            <w:pPr>
              <w:adjustRightInd w:val="0"/>
              <w:snapToGrid w:val="0"/>
              <w:spacing w:line="240" w:lineRule="auto"/>
              <w:jc w:val="center"/>
              <w:rPr>
                <w:rFonts w:cs="Times New Roman"/>
                <w:bCs/>
                <w:color w:val="000000"/>
                <w:kern w:val="0"/>
                <w:sz w:val="21"/>
                <w:szCs w:val="21"/>
                <w:highlight w:val="none"/>
              </w:rPr>
            </w:pPr>
          </w:p>
        </w:tc>
        <w:tc>
          <w:tcPr>
            <w:tcW w:w="355" w:type="pct"/>
            <w:vMerge w:val="continue"/>
            <w:tcBorders>
              <w:top w:val="single" w:color="auto" w:sz="4" w:space="0"/>
              <w:left w:val="single" w:color="auto" w:sz="2" w:space="0"/>
              <w:right w:val="single" w:color="auto" w:sz="2" w:space="0"/>
            </w:tcBorders>
            <w:noWrap w:val="0"/>
            <w:vAlign w:val="center"/>
          </w:tcPr>
          <w:p w14:paraId="2D079530">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64F0C70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建设地下水井，用于抽水试验及流场确定等，布设4个钻孔点位，单个点位建井深度达到40m，需钻探至中风化层</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094AD559">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6EE87B8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319C3A97">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33928F59">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right w:val="single" w:color="auto" w:sz="4" w:space="0"/>
            </w:tcBorders>
            <w:noWrap w:val="0"/>
            <w:vAlign w:val="center"/>
          </w:tcPr>
          <w:p w14:paraId="7DA700B9">
            <w:pPr>
              <w:widowControl/>
              <w:adjustRightInd w:val="0"/>
              <w:snapToGrid w:val="0"/>
              <w:spacing w:line="240" w:lineRule="auto"/>
              <w:rPr>
                <w:rFonts w:cs="Times New Roman"/>
                <w:color w:val="000000"/>
                <w:sz w:val="21"/>
                <w:szCs w:val="21"/>
                <w:highlight w:val="none"/>
              </w:rPr>
            </w:pPr>
          </w:p>
        </w:tc>
      </w:tr>
      <w:tr w14:paraId="3B3C682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top w:val="single" w:color="auto" w:sz="4" w:space="0"/>
              <w:left w:val="single" w:color="auto" w:sz="8" w:space="0"/>
              <w:right w:val="single" w:color="auto" w:sz="2" w:space="0"/>
            </w:tcBorders>
            <w:noWrap w:val="0"/>
            <w:vAlign w:val="center"/>
          </w:tcPr>
          <w:p w14:paraId="005BFE7C">
            <w:pPr>
              <w:adjustRightInd w:val="0"/>
              <w:snapToGrid w:val="0"/>
              <w:spacing w:line="240" w:lineRule="auto"/>
              <w:jc w:val="center"/>
              <w:rPr>
                <w:rFonts w:cs="Times New Roman"/>
                <w:bCs/>
                <w:color w:val="000000"/>
                <w:kern w:val="0"/>
                <w:sz w:val="21"/>
                <w:szCs w:val="21"/>
                <w:highlight w:val="none"/>
              </w:rPr>
            </w:pPr>
          </w:p>
        </w:tc>
        <w:tc>
          <w:tcPr>
            <w:tcW w:w="355" w:type="pct"/>
            <w:vMerge w:val="continue"/>
            <w:tcBorders>
              <w:top w:val="single" w:color="auto" w:sz="4" w:space="0"/>
              <w:left w:val="single" w:color="auto" w:sz="2" w:space="0"/>
              <w:right w:val="single" w:color="auto" w:sz="2" w:space="0"/>
            </w:tcBorders>
            <w:noWrap w:val="0"/>
            <w:vAlign w:val="center"/>
          </w:tcPr>
          <w:p w14:paraId="1BE4BA3E">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081AFD9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土工试验，包括土壤有机质含量、含水率、孔隙度、渗透系数、土壤颗粒密度、土壤容重等参数的测定，每个点位采集</w:t>
            </w:r>
            <w:r>
              <w:rPr>
                <w:rFonts w:hint="eastAsia" w:cs="Times New Roman"/>
                <w:color w:val="000000"/>
                <w:sz w:val="21"/>
                <w:szCs w:val="21"/>
                <w:highlight w:val="none"/>
              </w:rPr>
              <w:t>4个土工试验样品，共需送检16个土工试验样品</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55E73F04">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66C13357">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7AE9A234">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58D33602">
            <w:pPr>
              <w:widowControl/>
              <w:adjustRightInd w:val="0"/>
              <w:snapToGrid w:val="0"/>
              <w:spacing w:line="240" w:lineRule="auto"/>
              <w:jc w:val="center"/>
              <w:rPr>
                <w:rFonts w:cs="Times New Roman"/>
                <w:color w:val="000000"/>
                <w:sz w:val="21"/>
                <w:szCs w:val="21"/>
                <w:highlight w:val="none"/>
              </w:rPr>
            </w:pPr>
          </w:p>
        </w:tc>
        <w:tc>
          <w:tcPr>
            <w:tcW w:w="552" w:type="pct"/>
            <w:tcBorders>
              <w:left w:val="single" w:color="auto" w:sz="4" w:space="0"/>
              <w:right w:val="single" w:color="auto" w:sz="4" w:space="0"/>
            </w:tcBorders>
            <w:noWrap w:val="0"/>
            <w:vAlign w:val="center"/>
          </w:tcPr>
          <w:p w14:paraId="5FA6C682">
            <w:pPr>
              <w:widowControl/>
              <w:adjustRightInd w:val="0"/>
              <w:snapToGrid w:val="0"/>
              <w:spacing w:line="240" w:lineRule="auto"/>
              <w:rPr>
                <w:rFonts w:cs="Times New Roman"/>
                <w:color w:val="000000"/>
                <w:sz w:val="21"/>
                <w:szCs w:val="21"/>
                <w:highlight w:val="none"/>
              </w:rPr>
            </w:pPr>
          </w:p>
        </w:tc>
      </w:tr>
      <w:tr w14:paraId="3F06B67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50546A3D">
            <w:pPr>
              <w:adjustRightInd w:val="0"/>
              <w:snapToGrid w:val="0"/>
              <w:spacing w:line="240" w:lineRule="auto"/>
              <w:jc w:val="center"/>
              <w:rPr>
                <w:rFonts w:cs="Times New Roman"/>
                <w:bCs/>
                <w:color w:val="000000"/>
                <w:kern w:val="0"/>
                <w:sz w:val="21"/>
                <w:szCs w:val="21"/>
                <w:highlight w:val="none"/>
              </w:rPr>
            </w:pPr>
          </w:p>
        </w:tc>
        <w:tc>
          <w:tcPr>
            <w:tcW w:w="355" w:type="pct"/>
            <w:vMerge w:val="continue"/>
            <w:tcBorders>
              <w:left w:val="single" w:color="auto" w:sz="2" w:space="0"/>
              <w:right w:val="single" w:color="auto" w:sz="2" w:space="0"/>
            </w:tcBorders>
            <w:noWrap w:val="0"/>
            <w:vAlign w:val="center"/>
          </w:tcPr>
          <w:p w14:paraId="11DC975A">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6C9CEAF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抽水试验，需要</w:t>
            </w:r>
            <w:r>
              <w:rPr>
                <w:rFonts w:hint="eastAsia" w:cs="Times New Roman"/>
                <w:color w:val="000000"/>
                <w:sz w:val="21"/>
                <w:szCs w:val="21"/>
                <w:highlight w:val="none"/>
              </w:rPr>
              <w:t>2个台班</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41886581">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台班</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28A1672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6546C42E">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7451F92E">
            <w:pPr>
              <w:widowControl/>
              <w:adjustRightInd w:val="0"/>
              <w:snapToGrid w:val="0"/>
              <w:spacing w:line="240" w:lineRule="auto"/>
              <w:jc w:val="center"/>
              <w:rPr>
                <w:rFonts w:cs="Times New Roman"/>
                <w:color w:val="000000"/>
                <w:sz w:val="21"/>
                <w:szCs w:val="21"/>
                <w:highlight w:val="none"/>
              </w:rPr>
            </w:pPr>
          </w:p>
        </w:tc>
        <w:tc>
          <w:tcPr>
            <w:tcW w:w="552" w:type="pct"/>
            <w:tcBorders>
              <w:left w:val="single" w:color="auto" w:sz="4" w:space="0"/>
              <w:right w:val="single" w:color="auto" w:sz="4" w:space="0"/>
            </w:tcBorders>
            <w:noWrap w:val="0"/>
            <w:vAlign w:val="center"/>
          </w:tcPr>
          <w:p w14:paraId="5D9500AB">
            <w:pPr>
              <w:widowControl/>
              <w:adjustRightInd w:val="0"/>
              <w:snapToGrid w:val="0"/>
              <w:spacing w:line="240" w:lineRule="auto"/>
              <w:rPr>
                <w:rFonts w:cs="Times New Roman"/>
                <w:color w:val="000000"/>
                <w:sz w:val="21"/>
                <w:szCs w:val="21"/>
                <w:highlight w:val="none"/>
              </w:rPr>
            </w:pPr>
          </w:p>
        </w:tc>
      </w:tr>
      <w:tr w14:paraId="6B039AD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01B37D5D">
            <w:pPr>
              <w:adjustRightInd w:val="0"/>
              <w:snapToGrid w:val="0"/>
              <w:spacing w:line="240" w:lineRule="auto"/>
              <w:jc w:val="center"/>
              <w:rPr>
                <w:rFonts w:cs="Times New Roman"/>
                <w:bCs/>
                <w:color w:val="000000"/>
                <w:kern w:val="0"/>
                <w:sz w:val="21"/>
                <w:szCs w:val="21"/>
                <w:highlight w:val="none"/>
              </w:rPr>
            </w:pPr>
          </w:p>
        </w:tc>
        <w:tc>
          <w:tcPr>
            <w:tcW w:w="355" w:type="pct"/>
            <w:vMerge w:val="continue"/>
            <w:tcBorders>
              <w:left w:val="single" w:color="auto" w:sz="2" w:space="0"/>
              <w:bottom w:val="single" w:color="auto" w:sz="4" w:space="0"/>
              <w:right w:val="single" w:color="auto" w:sz="2" w:space="0"/>
            </w:tcBorders>
            <w:noWrap w:val="0"/>
            <w:vAlign w:val="center"/>
          </w:tcPr>
          <w:p w14:paraId="67F4D004">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1B70621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完成水文地质勘察报告（明确地层结构、地下水特征、地下水与长江水力联系、区域地下水补给、径流、排泄规律，以及对应长江河段的水质现状，水文特征等）</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56900A41">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64705D39">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75F0395A">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40D89B35">
            <w:pPr>
              <w:widowControl/>
              <w:adjustRightInd w:val="0"/>
              <w:snapToGrid w:val="0"/>
              <w:spacing w:line="240" w:lineRule="auto"/>
              <w:jc w:val="center"/>
              <w:rPr>
                <w:rFonts w:cs="Times New Roman"/>
                <w:color w:val="000000"/>
                <w:sz w:val="21"/>
                <w:szCs w:val="21"/>
                <w:highlight w:val="none"/>
              </w:rPr>
            </w:pPr>
          </w:p>
        </w:tc>
        <w:tc>
          <w:tcPr>
            <w:tcW w:w="552" w:type="pct"/>
            <w:tcBorders>
              <w:left w:val="single" w:color="auto" w:sz="4" w:space="0"/>
              <w:bottom w:val="single" w:color="auto" w:sz="4" w:space="0"/>
              <w:right w:val="single" w:color="auto" w:sz="4" w:space="0"/>
            </w:tcBorders>
            <w:noWrap w:val="0"/>
            <w:vAlign w:val="center"/>
          </w:tcPr>
          <w:p w14:paraId="2118EB20">
            <w:pPr>
              <w:widowControl/>
              <w:adjustRightInd w:val="0"/>
              <w:snapToGrid w:val="0"/>
              <w:spacing w:line="240" w:lineRule="auto"/>
              <w:rPr>
                <w:rFonts w:cs="Times New Roman"/>
                <w:color w:val="000000"/>
                <w:sz w:val="21"/>
                <w:szCs w:val="21"/>
                <w:highlight w:val="none"/>
              </w:rPr>
            </w:pPr>
          </w:p>
        </w:tc>
      </w:tr>
      <w:tr w14:paraId="3D5EF5D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tcBorders>
              <w:top w:val="single" w:color="auto" w:sz="4" w:space="0"/>
              <w:left w:val="single" w:color="auto" w:sz="8" w:space="0"/>
              <w:bottom w:val="single" w:color="auto" w:sz="4" w:space="0"/>
              <w:right w:val="single" w:color="auto" w:sz="2" w:space="0"/>
            </w:tcBorders>
            <w:noWrap w:val="0"/>
            <w:vAlign w:val="center"/>
          </w:tcPr>
          <w:p w14:paraId="6493887B">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2</w:t>
            </w:r>
          </w:p>
        </w:tc>
        <w:tc>
          <w:tcPr>
            <w:tcW w:w="355" w:type="pct"/>
            <w:tcBorders>
              <w:top w:val="single" w:color="auto" w:sz="4" w:space="0"/>
              <w:left w:val="single" w:color="auto" w:sz="2" w:space="0"/>
              <w:bottom w:val="single" w:color="auto" w:sz="4" w:space="0"/>
              <w:right w:val="single" w:color="auto" w:sz="2" w:space="0"/>
            </w:tcBorders>
            <w:noWrap w:val="0"/>
            <w:vAlign w:val="center"/>
          </w:tcPr>
          <w:p w14:paraId="6D89200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补充调查方案制定</w:t>
            </w:r>
          </w:p>
        </w:tc>
        <w:tc>
          <w:tcPr>
            <w:tcW w:w="2143" w:type="pct"/>
            <w:tcBorders>
              <w:top w:val="single" w:color="auto" w:sz="4" w:space="0"/>
              <w:left w:val="single" w:color="auto" w:sz="2" w:space="0"/>
              <w:bottom w:val="single" w:color="auto" w:sz="4" w:space="0"/>
              <w:right w:val="single" w:color="auto" w:sz="4" w:space="0"/>
            </w:tcBorders>
            <w:noWrap w:val="0"/>
            <w:vAlign w:val="center"/>
          </w:tcPr>
          <w:p w14:paraId="4A558F7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根据申宁化工地块的资料分析结果，制定申宁化工地块的补充调查方案</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544283DA">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5A6469D">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00E7FC3C">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516528B8">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6E7C0D00">
            <w:pPr>
              <w:widowControl/>
              <w:adjustRightInd w:val="0"/>
              <w:snapToGrid w:val="0"/>
              <w:spacing w:line="240" w:lineRule="auto"/>
              <w:rPr>
                <w:rFonts w:cs="Times New Roman"/>
                <w:color w:val="000000"/>
                <w:sz w:val="21"/>
                <w:szCs w:val="21"/>
                <w:highlight w:val="none"/>
              </w:rPr>
            </w:pPr>
          </w:p>
        </w:tc>
      </w:tr>
      <w:tr w14:paraId="125DE91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3B5ECB60">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3</w:t>
            </w:r>
          </w:p>
        </w:tc>
        <w:tc>
          <w:tcPr>
            <w:tcW w:w="355" w:type="pct"/>
            <w:vMerge w:val="restart"/>
            <w:tcBorders>
              <w:top w:val="single" w:color="auto" w:sz="4" w:space="0"/>
              <w:left w:val="single" w:color="auto" w:sz="2" w:space="0"/>
              <w:right w:val="single" w:color="auto" w:sz="2" w:space="0"/>
            </w:tcBorders>
            <w:noWrap w:val="0"/>
            <w:vAlign w:val="center"/>
          </w:tcPr>
          <w:p w14:paraId="698122C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现场钻探及采样费用</w:t>
            </w:r>
          </w:p>
        </w:tc>
        <w:tc>
          <w:tcPr>
            <w:tcW w:w="2143" w:type="pct"/>
            <w:tcBorders>
              <w:top w:val="single" w:color="auto" w:sz="4" w:space="0"/>
              <w:left w:val="single" w:color="auto" w:sz="2" w:space="0"/>
              <w:bottom w:val="single" w:color="auto" w:sz="4" w:space="0"/>
              <w:right w:val="single" w:color="auto" w:sz="4" w:space="0"/>
            </w:tcBorders>
            <w:noWrap w:val="0"/>
            <w:vAlign w:val="center"/>
          </w:tcPr>
          <w:p w14:paraId="2BAF83E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申宁化工地块补充调查的钻探及采样工作，包括土壤钻探以及土壤样品采集（钻探深度至少为</w:t>
            </w:r>
            <w:r>
              <w:rPr>
                <w:rFonts w:hint="eastAsia" w:cs="Times New Roman"/>
                <w:color w:val="000000"/>
                <w:sz w:val="21"/>
                <w:szCs w:val="21"/>
                <w:highlight w:val="none"/>
              </w:rPr>
              <w:t>6m，部分点位需要钻探15m、30m</w:t>
            </w:r>
            <w:r>
              <w:rPr>
                <w:rFonts w:cs="Times New Roman"/>
                <w:color w:val="000000"/>
                <w:sz w:val="21"/>
                <w:szCs w:val="21"/>
                <w:highlight w:val="none"/>
              </w:rPr>
              <w:t>），土壤总钻探深度约</w:t>
            </w:r>
            <w:r>
              <w:rPr>
                <w:rFonts w:hint="eastAsia" w:cs="Times New Roman"/>
                <w:color w:val="000000"/>
                <w:sz w:val="21"/>
                <w:szCs w:val="21"/>
                <w:highlight w:val="none"/>
              </w:rPr>
              <w:t>150m</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3C492A3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46ACA544">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150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10EB59AF">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1FAAFB30">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72B8F932">
            <w:pPr>
              <w:adjustRightInd w:val="0"/>
              <w:snapToGrid w:val="0"/>
              <w:spacing w:line="240" w:lineRule="auto"/>
              <w:rPr>
                <w:rFonts w:cs="Times New Roman"/>
                <w:color w:val="000000"/>
                <w:sz w:val="21"/>
                <w:szCs w:val="21"/>
                <w:highlight w:val="none"/>
              </w:rPr>
            </w:pPr>
          </w:p>
        </w:tc>
      </w:tr>
      <w:tr w14:paraId="2835852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18782ABC">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bottom w:val="single" w:color="auto" w:sz="4" w:space="0"/>
              <w:right w:val="single" w:color="auto" w:sz="2" w:space="0"/>
            </w:tcBorders>
            <w:noWrap w:val="0"/>
            <w:vAlign w:val="center"/>
          </w:tcPr>
          <w:p w14:paraId="49E91D36">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195AB1F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申宁化工地块补充调查的钻探及采样工作，包括地下水建井以及地下水样品采集（建井深度至少为</w:t>
            </w:r>
            <w:r>
              <w:rPr>
                <w:rFonts w:hint="eastAsia" w:cs="Times New Roman"/>
                <w:color w:val="000000"/>
                <w:sz w:val="21"/>
                <w:szCs w:val="21"/>
                <w:highlight w:val="none"/>
              </w:rPr>
              <w:t>6m，部分点位建井深度需要达到15m、30m</w:t>
            </w:r>
            <w:r>
              <w:rPr>
                <w:rFonts w:cs="Times New Roman"/>
                <w:color w:val="000000"/>
                <w:sz w:val="21"/>
                <w:szCs w:val="21"/>
                <w:highlight w:val="none"/>
              </w:rPr>
              <w:t>），地下水总建井深度约</w:t>
            </w:r>
            <w:r>
              <w:rPr>
                <w:rFonts w:hint="eastAsia" w:cs="Times New Roman"/>
                <w:color w:val="000000"/>
                <w:sz w:val="21"/>
                <w:szCs w:val="21"/>
                <w:highlight w:val="none"/>
              </w:rPr>
              <w:t>200m</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638AEFF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26FAB2B7">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200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6F16B814">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43FAC8B3">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737E21EE">
            <w:pPr>
              <w:adjustRightInd w:val="0"/>
              <w:snapToGrid w:val="0"/>
              <w:spacing w:line="240" w:lineRule="auto"/>
              <w:rPr>
                <w:rFonts w:cs="Times New Roman"/>
                <w:color w:val="000000"/>
                <w:sz w:val="21"/>
                <w:szCs w:val="21"/>
                <w:highlight w:val="none"/>
              </w:rPr>
            </w:pPr>
          </w:p>
        </w:tc>
      </w:tr>
      <w:tr w14:paraId="0640ABF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0CCF3A9A">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4</w:t>
            </w:r>
          </w:p>
        </w:tc>
        <w:tc>
          <w:tcPr>
            <w:tcW w:w="355" w:type="pct"/>
            <w:vMerge w:val="restart"/>
            <w:tcBorders>
              <w:top w:val="single" w:color="auto" w:sz="4" w:space="0"/>
              <w:left w:val="single" w:color="auto" w:sz="2" w:space="0"/>
              <w:right w:val="single" w:color="auto" w:sz="2" w:space="0"/>
            </w:tcBorders>
            <w:noWrap w:val="0"/>
            <w:vAlign w:val="center"/>
          </w:tcPr>
          <w:p w14:paraId="260DCC5E">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样品处理与检测费</w:t>
            </w:r>
          </w:p>
        </w:tc>
        <w:tc>
          <w:tcPr>
            <w:tcW w:w="2143" w:type="pct"/>
            <w:tcBorders>
              <w:top w:val="single" w:color="auto" w:sz="4" w:space="0"/>
              <w:left w:val="single" w:color="auto" w:sz="2" w:space="0"/>
              <w:bottom w:val="single" w:color="auto" w:sz="4" w:space="0"/>
              <w:right w:val="single" w:color="auto" w:sz="4" w:space="0"/>
            </w:tcBorders>
            <w:noWrap w:val="0"/>
            <w:vAlign w:val="center"/>
          </w:tcPr>
          <w:p w14:paraId="0CC279A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土壤的检测因子需包括pH、重金属</w:t>
            </w:r>
            <w:r>
              <w:rPr>
                <w:rFonts w:hint="eastAsia" w:cs="Times New Roman"/>
                <w:color w:val="000000"/>
                <w:sz w:val="21"/>
                <w:szCs w:val="21"/>
                <w:highlight w:val="none"/>
              </w:rPr>
              <w:t>7项、挥发性有机污染物65项、半挥发性有机污染物64项、特征污染物17项（需要包括：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）、丙酮、四氢呋喃、乙酸乙酯、对苯二酚、乙醚、正丁醇、苯乙酮、均三甲苯、甲氰菊酯、氯氰菊酯、锌、硒、钒、氟化物、苯甲醚和2-萘乙酮</w:t>
            </w:r>
            <w:r>
              <w:rPr>
                <w:rFonts w:hint="eastAsia" w:cs="Times New Roman"/>
                <w:color w:val="000000"/>
                <w:sz w:val="21"/>
                <w:szCs w:val="21"/>
                <w:highlight w:val="none"/>
              </w:rPr>
              <w:t>等）</w:t>
            </w:r>
            <w:r>
              <w:rPr>
                <w:rFonts w:cs="Times New Roman"/>
                <w:color w:val="000000"/>
                <w:sz w:val="21"/>
                <w:szCs w:val="21"/>
                <w:highlight w:val="none"/>
              </w:rPr>
              <w:t>，土壤样品约</w:t>
            </w:r>
            <w:r>
              <w:rPr>
                <w:rFonts w:hint="eastAsia" w:cs="Times New Roman"/>
                <w:color w:val="000000"/>
                <w:sz w:val="21"/>
                <w:szCs w:val="21"/>
                <w:highlight w:val="none"/>
              </w:rPr>
              <w:t>100个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5F2C2F4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5B096546">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100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275C7972">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6CF86518">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5DDFEFA6">
            <w:pPr>
              <w:adjustRightInd w:val="0"/>
              <w:snapToGrid w:val="0"/>
              <w:spacing w:line="240" w:lineRule="auto"/>
              <w:rPr>
                <w:rFonts w:cs="Times New Roman"/>
                <w:color w:val="000000"/>
                <w:sz w:val="21"/>
                <w:szCs w:val="21"/>
                <w:highlight w:val="none"/>
              </w:rPr>
            </w:pPr>
          </w:p>
        </w:tc>
      </w:tr>
      <w:tr w14:paraId="4910AD7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top w:val="single" w:color="auto" w:sz="4" w:space="0"/>
              <w:left w:val="single" w:color="auto" w:sz="8" w:space="0"/>
              <w:right w:val="single" w:color="auto" w:sz="2" w:space="0"/>
            </w:tcBorders>
            <w:noWrap w:val="0"/>
            <w:vAlign w:val="center"/>
          </w:tcPr>
          <w:p w14:paraId="27BCDD99">
            <w:pPr>
              <w:adjustRightInd w:val="0"/>
              <w:snapToGrid w:val="0"/>
              <w:spacing w:line="240" w:lineRule="auto"/>
              <w:jc w:val="center"/>
              <w:rPr>
                <w:rFonts w:cs="Times New Roman"/>
                <w:color w:val="000000"/>
                <w:sz w:val="21"/>
                <w:szCs w:val="21"/>
                <w:highlight w:val="none"/>
              </w:rPr>
            </w:pPr>
          </w:p>
        </w:tc>
        <w:tc>
          <w:tcPr>
            <w:tcW w:w="355" w:type="pct"/>
            <w:vMerge w:val="continue"/>
            <w:tcBorders>
              <w:top w:val="single" w:color="auto" w:sz="4" w:space="0"/>
              <w:left w:val="single" w:color="auto" w:sz="2" w:space="0"/>
              <w:right w:val="single" w:color="auto" w:sz="2" w:space="0"/>
            </w:tcBorders>
            <w:noWrap w:val="0"/>
            <w:vAlign w:val="center"/>
          </w:tcPr>
          <w:p w14:paraId="7C506C9F">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52894E0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周边地表水体的底泥，样品处理与检测费，</w:t>
            </w:r>
            <w:r>
              <w:rPr>
                <w:rFonts w:hint="eastAsia" w:cs="Times New Roman"/>
                <w:color w:val="000000"/>
                <w:sz w:val="21"/>
                <w:szCs w:val="21"/>
                <w:highlight w:val="none"/>
              </w:rPr>
              <w:t>底泥</w:t>
            </w:r>
            <w:r>
              <w:rPr>
                <w:rFonts w:cs="Times New Roman"/>
                <w:color w:val="000000"/>
                <w:sz w:val="21"/>
                <w:szCs w:val="21"/>
                <w:highlight w:val="none"/>
              </w:rPr>
              <w:t>的检测因子</w:t>
            </w:r>
            <w:r>
              <w:rPr>
                <w:rFonts w:hint="eastAsia" w:cs="Times New Roman"/>
                <w:color w:val="000000"/>
                <w:sz w:val="21"/>
                <w:szCs w:val="21"/>
                <w:highlight w:val="none"/>
              </w:rPr>
              <w:t>与</w:t>
            </w:r>
            <w:r>
              <w:rPr>
                <w:rFonts w:cs="Times New Roman"/>
                <w:color w:val="000000"/>
                <w:sz w:val="21"/>
                <w:szCs w:val="21"/>
                <w:highlight w:val="none"/>
              </w:rPr>
              <w:t>土壤的检测因子一致，</w:t>
            </w:r>
            <w:r>
              <w:rPr>
                <w:rFonts w:hint="eastAsia" w:cs="Times New Roman"/>
                <w:color w:val="000000"/>
                <w:sz w:val="21"/>
                <w:szCs w:val="21"/>
                <w:highlight w:val="none"/>
              </w:rPr>
              <w:t>底泥</w:t>
            </w:r>
            <w:r>
              <w:rPr>
                <w:rFonts w:cs="Times New Roman"/>
                <w:color w:val="000000"/>
                <w:sz w:val="21"/>
                <w:szCs w:val="21"/>
                <w:highlight w:val="none"/>
              </w:rPr>
              <w:t>样品约</w:t>
            </w:r>
            <w:r>
              <w:rPr>
                <w:rFonts w:hint="eastAsia" w:cs="Times New Roman"/>
                <w:color w:val="000000"/>
                <w:sz w:val="21"/>
                <w:szCs w:val="21"/>
                <w:highlight w:val="none"/>
              </w:rPr>
              <w:t>4个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4CB8A1E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56E547B9">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4</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24CA5954">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76A7846A">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0CE23900">
            <w:pPr>
              <w:adjustRightInd w:val="0"/>
              <w:snapToGrid w:val="0"/>
              <w:spacing w:line="240" w:lineRule="auto"/>
              <w:rPr>
                <w:rFonts w:cs="Times New Roman"/>
                <w:color w:val="000000"/>
                <w:sz w:val="21"/>
                <w:szCs w:val="21"/>
                <w:highlight w:val="none"/>
              </w:rPr>
            </w:pPr>
          </w:p>
        </w:tc>
      </w:tr>
      <w:tr w14:paraId="175D040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top w:val="single" w:color="auto" w:sz="4" w:space="0"/>
              <w:left w:val="single" w:color="auto" w:sz="8" w:space="0"/>
              <w:right w:val="single" w:color="auto" w:sz="2" w:space="0"/>
            </w:tcBorders>
            <w:noWrap w:val="0"/>
            <w:vAlign w:val="center"/>
          </w:tcPr>
          <w:p w14:paraId="3DF26541">
            <w:pPr>
              <w:adjustRightInd w:val="0"/>
              <w:snapToGrid w:val="0"/>
              <w:spacing w:line="240" w:lineRule="auto"/>
              <w:jc w:val="center"/>
              <w:rPr>
                <w:rFonts w:cs="Times New Roman"/>
                <w:color w:val="000000"/>
                <w:sz w:val="21"/>
                <w:szCs w:val="21"/>
                <w:highlight w:val="none"/>
              </w:rPr>
            </w:pPr>
          </w:p>
        </w:tc>
        <w:tc>
          <w:tcPr>
            <w:tcW w:w="355" w:type="pct"/>
            <w:vMerge w:val="continue"/>
            <w:tcBorders>
              <w:top w:val="single" w:color="auto" w:sz="4" w:space="0"/>
              <w:left w:val="single" w:color="auto" w:sz="2" w:space="0"/>
              <w:right w:val="single" w:color="auto" w:sz="2" w:space="0"/>
            </w:tcBorders>
            <w:noWrap w:val="0"/>
            <w:vAlign w:val="center"/>
          </w:tcPr>
          <w:p w14:paraId="3218F982">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41CC21DE">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地下水</w:t>
            </w:r>
            <w:r>
              <w:rPr>
                <w:rFonts w:cs="Times New Roman"/>
                <w:color w:val="000000"/>
                <w:sz w:val="21"/>
                <w:szCs w:val="21"/>
                <w:highlight w:val="none"/>
              </w:rPr>
              <w:t>的检测因子需包括pH、重金属</w:t>
            </w:r>
            <w:r>
              <w:rPr>
                <w:rFonts w:hint="eastAsia" w:cs="Times New Roman"/>
                <w:color w:val="000000"/>
                <w:sz w:val="21"/>
                <w:szCs w:val="21"/>
                <w:highlight w:val="none"/>
              </w:rPr>
              <w:t>7项、挥发性有机污染物65项、半挥发性有机污染物64项、特征污染物17项（需要包括：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）、丙酮、四氢呋喃、乙酸乙酯、对苯二酚、乙醚、正丁醇、苯乙酮、均三甲苯、甲氰菊酯、氯氰菊酯、锌、硒、钒、氟化物、苯甲醚和2-萘乙酮</w:t>
            </w:r>
            <w:r>
              <w:rPr>
                <w:rFonts w:hint="eastAsia" w:cs="Times New Roman"/>
                <w:color w:val="000000"/>
                <w:sz w:val="21"/>
                <w:szCs w:val="21"/>
                <w:highlight w:val="none"/>
              </w:rPr>
              <w:t>等）、《地下水质量标准》(GBT14848-2017)中的感官性状无机指标等25项等。考虑</w:t>
            </w:r>
            <w:r>
              <w:rPr>
                <w:rFonts w:cs="Times New Roman"/>
                <w:color w:val="000000"/>
                <w:sz w:val="21"/>
                <w:szCs w:val="21"/>
                <w:highlight w:val="none"/>
              </w:rPr>
              <w:t>到地块内涉及</w:t>
            </w:r>
            <w:r>
              <w:rPr>
                <w:rFonts w:hint="eastAsia" w:cs="Times New Roman"/>
                <w:color w:val="000000"/>
                <w:sz w:val="21"/>
                <w:szCs w:val="21"/>
                <w:highlight w:val="none"/>
              </w:rPr>
              <w:t>DNAPL类物质超标，根据技术规范要求需要分别在水位线以下0.5m和井管底部采集地下水样品</w:t>
            </w:r>
            <w:r>
              <w:rPr>
                <w:rFonts w:cs="Times New Roman"/>
                <w:color w:val="000000"/>
                <w:sz w:val="21"/>
                <w:szCs w:val="21"/>
                <w:highlight w:val="none"/>
              </w:rPr>
              <w:t>，地下水样品约</w:t>
            </w:r>
            <w:r>
              <w:rPr>
                <w:rFonts w:hint="eastAsia" w:cs="Times New Roman"/>
                <w:color w:val="000000"/>
                <w:sz w:val="21"/>
                <w:szCs w:val="21"/>
                <w:highlight w:val="none"/>
              </w:rPr>
              <w:t>28个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1AEEF63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40970597">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28</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0C927F37">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7087A91E">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38363104">
            <w:pPr>
              <w:adjustRightInd w:val="0"/>
              <w:snapToGrid w:val="0"/>
              <w:spacing w:line="240" w:lineRule="auto"/>
              <w:rPr>
                <w:rFonts w:cs="Times New Roman"/>
                <w:color w:val="000000"/>
                <w:sz w:val="21"/>
                <w:szCs w:val="21"/>
                <w:highlight w:val="none"/>
              </w:rPr>
            </w:pPr>
          </w:p>
        </w:tc>
      </w:tr>
      <w:tr w14:paraId="6D30262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03BA26C2">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bottom w:val="single" w:color="auto" w:sz="4" w:space="0"/>
              <w:right w:val="single" w:color="auto" w:sz="2" w:space="0"/>
            </w:tcBorders>
            <w:noWrap w:val="0"/>
            <w:vAlign w:val="center"/>
          </w:tcPr>
          <w:p w14:paraId="4D0B4733">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65E9EBF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周边地表水体的地表水，样品处理与检测费，</w:t>
            </w:r>
            <w:r>
              <w:rPr>
                <w:rFonts w:hint="eastAsia" w:cs="Times New Roman"/>
                <w:color w:val="000000"/>
                <w:sz w:val="21"/>
                <w:szCs w:val="21"/>
                <w:highlight w:val="none"/>
              </w:rPr>
              <w:t>地表水</w:t>
            </w:r>
            <w:r>
              <w:rPr>
                <w:rFonts w:cs="Times New Roman"/>
                <w:color w:val="000000"/>
                <w:sz w:val="21"/>
                <w:szCs w:val="21"/>
                <w:highlight w:val="none"/>
              </w:rPr>
              <w:t>的检测因子</w:t>
            </w:r>
            <w:r>
              <w:rPr>
                <w:rFonts w:hint="eastAsia" w:cs="Times New Roman"/>
                <w:color w:val="000000"/>
                <w:sz w:val="21"/>
                <w:szCs w:val="21"/>
                <w:highlight w:val="none"/>
              </w:rPr>
              <w:t>与</w:t>
            </w:r>
            <w:r>
              <w:rPr>
                <w:rFonts w:cs="Times New Roman"/>
                <w:color w:val="000000"/>
                <w:sz w:val="21"/>
                <w:szCs w:val="21"/>
                <w:highlight w:val="none"/>
              </w:rPr>
              <w:t>土壤的检测因子一致，地表水样品约</w:t>
            </w:r>
            <w:r>
              <w:rPr>
                <w:rFonts w:hint="eastAsia" w:cs="Times New Roman"/>
                <w:color w:val="000000"/>
                <w:sz w:val="21"/>
                <w:szCs w:val="21"/>
                <w:highlight w:val="none"/>
              </w:rPr>
              <w:t>4个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252BCC3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2E586DB9">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4</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03C04C0E">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056A9AE3">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22A146EE">
            <w:pPr>
              <w:adjustRightInd w:val="0"/>
              <w:snapToGrid w:val="0"/>
              <w:spacing w:line="240" w:lineRule="auto"/>
              <w:rPr>
                <w:rFonts w:cs="Times New Roman"/>
                <w:color w:val="000000"/>
                <w:sz w:val="21"/>
                <w:szCs w:val="21"/>
                <w:highlight w:val="none"/>
              </w:rPr>
            </w:pPr>
          </w:p>
        </w:tc>
      </w:tr>
      <w:tr w14:paraId="7FA3BFE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1C33F60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5</w:t>
            </w:r>
          </w:p>
        </w:tc>
        <w:tc>
          <w:tcPr>
            <w:tcW w:w="355" w:type="pct"/>
            <w:vMerge w:val="restart"/>
            <w:tcBorders>
              <w:top w:val="single" w:color="auto" w:sz="2" w:space="0"/>
              <w:left w:val="single" w:color="auto" w:sz="2" w:space="0"/>
              <w:right w:val="single" w:color="auto" w:sz="2" w:space="0"/>
            </w:tcBorders>
            <w:noWrap w:val="0"/>
            <w:vAlign w:val="center"/>
          </w:tcPr>
          <w:p w14:paraId="0DCB6EA9">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污染物入江风险评估</w:t>
            </w:r>
          </w:p>
        </w:tc>
        <w:tc>
          <w:tcPr>
            <w:tcW w:w="2143" w:type="pct"/>
            <w:tcBorders>
              <w:top w:val="single" w:color="auto" w:sz="2" w:space="0"/>
              <w:left w:val="single" w:color="auto" w:sz="2" w:space="0"/>
              <w:bottom w:val="single" w:color="auto" w:sz="2" w:space="0"/>
              <w:right w:val="single" w:color="auto" w:sz="2" w:space="0"/>
            </w:tcBorders>
            <w:noWrap w:val="0"/>
            <w:vAlign w:val="center"/>
          </w:tcPr>
          <w:p w14:paraId="7DC52BB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入江风险识别与途径分析，</w:t>
            </w:r>
            <w:r>
              <w:rPr>
                <w:rFonts w:hint="eastAsia" w:cs="Times New Roman"/>
                <w:bCs/>
                <w:color w:val="000000"/>
                <w:kern w:val="0"/>
                <w:sz w:val="21"/>
                <w:szCs w:val="21"/>
                <w:highlight w:val="none"/>
              </w:rPr>
              <w:t>结合地块利用类型，识别入江风险因素，分析污染物入江的主要途径及可行性，包括地块污染本身风险、水文水力联系风险、污染物入江途径风险、敏感目标影响风险、暴雨与汛期风险、开发建设新增风险等</w:t>
            </w:r>
          </w:p>
        </w:tc>
        <w:tc>
          <w:tcPr>
            <w:tcW w:w="322" w:type="pct"/>
            <w:vMerge w:val="restart"/>
            <w:tcBorders>
              <w:top w:val="single" w:color="auto" w:sz="4" w:space="0"/>
              <w:left w:val="single" w:color="auto" w:sz="4" w:space="0"/>
              <w:right w:val="single" w:color="auto" w:sz="4" w:space="0"/>
            </w:tcBorders>
            <w:noWrap w:val="0"/>
            <w:vAlign w:val="center"/>
          </w:tcPr>
          <w:p w14:paraId="5B770C02">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vMerge w:val="restart"/>
            <w:tcBorders>
              <w:top w:val="single" w:color="auto" w:sz="4" w:space="0"/>
              <w:left w:val="single" w:color="auto" w:sz="4" w:space="0"/>
              <w:right w:val="single" w:color="auto" w:sz="4" w:space="0"/>
            </w:tcBorders>
            <w:noWrap w:val="0"/>
            <w:vAlign w:val="center"/>
          </w:tcPr>
          <w:p w14:paraId="7F6D8E3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vMerge w:val="restart"/>
            <w:tcBorders>
              <w:top w:val="single" w:color="auto" w:sz="4" w:space="0"/>
              <w:left w:val="single" w:color="auto" w:sz="4" w:space="0"/>
              <w:right w:val="single" w:color="auto" w:sz="4" w:space="0"/>
            </w:tcBorders>
            <w:noWrap w:val="0"/>
            <w:vAlign w:val="center"/>
          </w:tcPr>
          <w:p w14:paraId="56D21D9A">
            <w:pPr>
              <w:widowControl/>
              <w:adjustRightInd w:val="0"/>
              <w:snapToGrid w:val="0"/>
              <w:spacing w:line="240" w:lineRule="auto"/>
              <w:jc w:val="center"/>
              <w:rPr>
                <w:rFonts w:cs="Times New Roman"/>
                <w:color w:val="000000"/>
                <w:sz w:val="21"/>
                <w:szCs w:val="21"/>
                <w:highlight w:val="none"/>
              </w:rPr>
            </w:pPr>
          </w:p>
        </w:tc>
        <w:tc>
          <w:tcPr>
            <w:tcW w:w="564" w:type="pct"/>
            <w:vMerge w:val="restart"/>
            <w:tcBorders>
              <w:top w:val="single" w:color="auto" w:sz="4" w:space="0"/>
              <w:left w:val="single" w:color="auto" w:sz="4" w:space="0"/>
              <w:right w:val="single" w:color="auto" w:sz="4" w:space="0"/>
            </w:tcBorders>
            <w:noWrap w:val="0"/>
            <w:vAlign w:val="center"/>
          </w:tcPr>
          <w:p w14:paraId="5753F6B8">
            <w:pPr>
              <w:widowControl/>
              <w:adjustRightInd w:val="0"/>
              <w:snapToGrid w:val="0"/>
              <w:spacing w:line="240" w:lineRule="auto"/>
              <w:jc w:val="center"/>
              <w:rPr>
                <w:rFonts w:cs="Times New Roman"/>
                <w:color w:val="000000"/>
                <w:sz w:val="21"/>
                <w:szCs w:val="21"/>
                <w:highlight w:val="none"/>
              </w:rPr>
            </w:pPr>
          </w:p>
        </w:tc>
        <w:tc>
          <w:tcPr>
            <w:tcW w:w="552" w:type="pct"/>
            <w:vMerge w:val="restart"/>
            <w:tcBorders>
              <w:top w:val="single" w:color="auto" w:sz="4" w:space="0"/>
              <w:left w:val="single" w:color="auto" w:sz="4" w:space="0"/>
              <w:right w:val="single" w:color="auto" w:sz="4" w:space="0"/>
            </w:tcBorders>
            <w:noWrap w:val="0"/>
            <w:vAlign w:val="center"/>
          </w:tcPr>
          <w:p w14:paraId="16A8840D">
            <w:pPr>
              <w:widowControl/>
              <w:adjustRightInd w:val="0"/>
              <w:snapToGrid w:val="0"/>
              <w:spacing w:line="240" w:lineRule="auto"/>
              <w:rPr>
                <w:rFonts w:cs="Times New Roman"/>
                <w:color w:val="000000"/>
                <w:sz w:val="21"/>
                <w:szCs w:val="21"/>
                <w:highlight w:val="none"/>
              </w:rPr>
            </w:pPr>
          </w:p>
        </w:tc>
      </w:tr>
      <w:tr w14:paraId="412F28F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7E2A0C61">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6B84B757">
            <w:pPr>
              <w:adjustRightInd w:val="0"/>
              <w:snapToGrid w:val="0"/>
              <w:spacing w:line="240" w:lineRule="auto"/>
              <w:jc w:val="center"/>
              <w:rPr>
                <w:rFonts w:cs="Times New Roman"/>
                <w:color w:val="00000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4ABFEF8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hint="eastAsia" w:cs="Times New Roman"/>
                <w:color w:val="000000"/>
                <w:sz w:val="21"/>
                <w:szCs w:val="21"/>
                <w:highlight w:val="none"/>
              </w:rPr>
              <w:t>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p>
        </w:tc>
        <w:tc>
          <w:tcPr>
            <w:tcW w:w="322" w:type="pct"/>
            <w:vMerge w:val="continue"/>
            <w:tcBorders>
              <w:left w:val="single" w:color="auto" w:sz="4" w:space="0"/>
              <w:right w:val="single" w:color="auto" w:sz="4" w:space="0"/>
            </w:tcBorders>
            <w:noWrap w:val="0"/>
            <w:vAlign w:val="center"/>
          </w:tcPr>
          <w:p w14:paraId="6149DC39">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6E3F9749">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7F1F59B3">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2A2F0727">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4A72D65A">
            <w:pPr>
              <w:widowControl/>
              <w:adjustRightInd w:val="0"/>
              <w:snapToGrid w:val="0"/>
              <w:spacing w:line="240" w:lineRule="auto"/>
              <w:rPr>
                <w:rFonts w:cs="Times New Roman"/>
                <w:color w:val="000000"/>
                <w:sz w:val="21"/>
                <w:szCs w:val="21"/>
                <w:highlight w:val="none"/>
              </w:rPr>
            </w:pPr>
          </w:p>
        </w:tc>
      </w:tr>
      <w:tr w14:paraId="7E685B6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35761816">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11098C2B">
            <w:pPr>
              <w:adjustRightInd w:val="0"/>
              <w:snapToGrid w:val="0"/>
              <w:spacing w:line="240" w:lineRule="auto"/>
              <w:jc w:val="center"/>
              <w:rPr>
                <w:rFonts w:cs="Times New Roman"/>
                <w:color w:val="00000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1F73889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入江风险防控措施，</w:t>
            </w:r>
            <w:r>
              <w:rPr>
                <w:rFonts w:hint="eastAsia" w:cs="Times New Roman"/>
                <w:bCs/>
                <w:color w:val="000000"/>
                <w:kern w:val="0"/>
                <w:sz w:val="21"/>
                <w:szCs w:val="21"/>
                <w:highlight w:val="none"/>
              </w:rPr>
              <w:t>结合风险等级及地块利用类型，制定针对性、可操作的源头管控、过程拦截、应急处置及长效监测措施</w:t>
            </w:r>
          </w:p>
        </w:tc>
        <w:tc>
          <w:tcPr>
            <w:tcW w:w="322" w:type="pct"/>
            <w:vMerge w:val="continue"/>
            <w:tcBorders>
              <w:left w:val="single" w:color="auto" w:sz="4" w:space="0"/>
              <w:right w:val="single" w:color="auto" w:sz="4" w:space="0"/>
            </w:tcBorders>
            <w:noWrap w:val="0"/>
            <w:vAlign w:val="center"/>
          </w:tcPr>
          <w:p w14:paraId="1E595CDC">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0A5BF84C">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43215CD5">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6C4FD016">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5825326D">
            <w:pPr>
              <w:widowControl/>
              <w:adjustRightInd w:val="0"/>
              <w:snapToGrid w:val="0"/>
              <w:spacing w:line="240" w:lineRule="auto"/>
              <w:rPr>
                <w:rFonts w:cs="Times New Roman"/>
                <w:color w:val="000000"/>
                <w:sz w:val="21"/>
                <w:szCs w:val="21"/>
                <w:highlight w:val="none"/>
              </w:rPr>
            </w:pPr>
          </w:p>
        </w:tc>
      </w:tr>
      <w:tr w14:paraId="74B42A6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41B572DD">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bottom w:val="single" w:color="auto" w:sz="2" w:space="0"/>
              <w:right w:val="single" w:color="auto" w:sz="2" w:space="0"/>
            </w:tcBorders>
            <w:noWrap w:val="0"/>
            <w:vAlign w:val="center"/>
          </w:tcPr>
          <w:p w14:paraId="1B054BFA">
            <w:pPr>
              <w:adjustRightInd w:val="0"/>
              <w:snapToGrid w:val="0"/>
              <w:spacing w:line="240" w:lineRule="auto"/>
              <w:jc w:val="center"/>
              <w:rPr>
                <w:rFonts w:cs="Times New Roman"/>
                <w:color w:val="00000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762B4DA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风险分析报告编制，</w:t>
            </w:r>
            <w:r>
              <w:rPr>
                <w:rFonts w:hint="eastAsia" w:cs="Times New Roman"/>
                <w:bCs/>
                <w:color w:val="000000"/>
                <w:kern w:val="0"/>
                <w:sz w:val="21"/>
                <w:szCs w:val="21"/>
                <w:highlight w:val="none"/>
              </w:rPr>
              <w:t>编制入江风险分析报告，作为地块开发利用及监管的依据</w:t>
            </w:r>
          </w:p>
        </w:tc>
        <w:tc>
          <w:tcPr>
            <w:tcW w:w="322" w:type="pct"/>
            <w:vMerge w:val="continue"/>
            <w:tcBorders>
              <w:left w:val="single" w:color="auto" w:sz="4" w:space="0"/>
              <w:bottom w:val="single" w:color="auto" w:sz="4" w:space="0"/>
              <w:right w:val="single" w:color="auto" w:sz="4" w:space="0"/>
            </w:tcBorders>
            <w:noWrap w:val="0"/>
            <w:vAlign w:val="center"/>
          </w:tcPr>
          <w:p w14:paraId="5925D6B4">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bottom w:val="single" w:color="auto" w:sz="4" w:space="0"/>
              <w:right w:val="single" w:color="auto" w:sz="4" w:space="0"/>
            </w:tcBorders>
            <w:noWrap w:val="0"/>
            <w:vAlign w:val="center"/>
          </w:tcPr>
          <w:p w14:paraId="46F8FD1A">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bottom w:val="single" w:color="auto" w:sz="4" w:space="0"/>
              <w:right w:val="single" w:color="auto" w:sz="4" w:space="0"/>
            </w:tcBorders>
            <w:noWrap w:val="0"/>
            <w:vAlign w:val="center"/>
          </w:tcPr>
          <w:p w14:paraId="36B346C3">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bottom w:val="single" w:color="auto" w:sz="4" w:space="0"/>
              <w:right w:val="single" w:color="auto" w:sz="4" w:space="0"/>
            </w:tcBorders>
            <w:noWrap w:val="0"/>
            <w:vAlign w:val="center"/>
          </w:tcPr>
          <w:p w14:paraId="76832AC0">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bottom w:val="single" w:color="auto" w:sz="4" w:space="0"/>
              <w:right w:val="single" w:color="auto" w:sz="4" w:space="0"/>
            </w:tcBorders>
            <w:noWrap w:val="0"/>
            <w:vAlign w:val="center"/>
          </w:tcPr>
          <w:p w14:paraId="6478FE23">
            <w:pPr>
              <w:widowControl/>
              <w:adjustRightInd w:val="0"/>
              <w:snapToGrid w:val="0"/>
              <w:spacing w:line="240" w:lineRule="auto"/>
              <w:rPr>
                <w:rFonts w:cs="Times New Roman"/>
                <w:color w:val="000000"/>
                <w:sz w:val="21"/>
                <w:szCs w:val="21"/>
                <w:highlight w:val="none"/>
              </w:rPr>
            </w:pPr>
          </w:p>
        </w:tc>
      </w:tr>
      <w:tr w14:paraId="016BAF1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0B463CE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6</w:t>
            </w:r>
          </w:p>
        </w:tc>
        <w:tc>
          <w:tcPr>
            <w:tcW w:w="355" w:type="pct"/>
            <w:vMerge w:val="restart"/>
            <w:tcBorders>
              <w:top w:val="single" w:color="auto" w:sz="2" w:space="0"/>
              <w:left w:val="single" w:color="auto" w:sz="2" w:space="0"/>
              <w:right w:val="single" w:color="auto" w:sz="2" w:space="0"/>
            </w:tcBorders>
            <w:noWrap w:val="0"/>
            <w:vAlign w:val="center"/>
          </w:tcPr>
          <w:p w14:paraId="0CB8F7FA">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风险评估报告编制、修改、备案等。</w:t>
            </w:r>
          </w:p>
        </w:tc>
        <w:tc>
          <w:tcPr>
            <w:tcW w:w="2143" w:type="pct"/>
            <w:tcBorders>
              <w:top w:val="single" w:color="auto" w:sz="2" w:space="0"/>
              <w:left w:val="single" w:color="auto" w:sz="2" w:space="0"/>
              <w:bottom w:val="single" w:color="auto" w:sz="2" w:space="0"/>
              <w:right w:val="single" w:color="auto" w:sz="2" w:space="0"/>
            </w:tcBorders>
            <w:noWrap w:val="0"/>
            <w:vAlign w:val="center"/>
          </w:tcPr>
          <w:p w14:paraId="6B68435C">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开展危害识别，收集土壤污染状况调查阶段获得的相关资料和数据，掌握地块土壤和地下水中关注污染物的浓度分布，明确规划土地利用方式，分析可能的敏感受体，如儿童、成人、地下水体等。</w:t>
            </w:r>
          </w:p>
        </w:tc>
        <w:tc>
          <w:tcPr>
            <w:tcW w:w="322" w:type="pct"/>
            <w:vMerge w:val="restart"/>
            <w:tcBorders>
              <w:top w:val="single" w:color="auto" w:sz="4" w:space="0"/>
              <w:left w:val="single" w:color="auto" w:sz="4" w:space="0"/>
              <w:right w:val="single" w:color="auto" w:sz="4" w:space="0"/>
            </w:tcBorders>
            <w:noWrap w:val="0"/>
            <w:vAlign w:val="center"/>
          </w:tcPr>
          <w:p w14:paraId="51001C2E">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vMerge w:val="restart"/>
            <w:tcBorders>
              <w:top w:val="single" w:color="auto" w:sz="4" w:space="0"/>
              <w:left w:val="single" w:color="auto" w:sz="4" w:space="0"/>
              <w:right w:val="single" w:color="auto" w:sz="4" w:space="0"/>
            </w:tcBorders>
            <w:noWrap w:val="0"/>
            <w:vAlign w:val="center"/>
          </w:tcPr>
          <w:p w14:paraId="2C64D77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vMerge w:val="restart"/>
            <w:tcBorders>
              <w:top w:val="single" w:color="auto" w:sz="4" w:space="0"/>
              <w:left w:val="single" w:color="auto" w:sz="4" w:space="0"/>
              <w:right w:val="single" w:color="auto" w:sz="4" w:space="0"/>
            </w:tcBorders>
            <w:noWrap w:val="0"/>
            <w:vAlign w:val="center"/>
          </w:tcPr>
          <w:p w14:paraId="397A380A">
            <w:pPr>
              <w:widowControl/>
              <w:adjustRightInd w:val="0"/>
              <w:snapToGrid w:val="0"/>
              <w:spacing w:line="240" w:lineRule="auto"/>
              <w:jc w:val="center"/>
              <w:rPr>
                <w:rFonts w:cs="Times New Roman"/>
                <w:color w:val="000000"/>
                <w:sz w:val="21"/>
                <w:szCs w:val="21"/>
                <w:highlight w:val="none"/>
              </w:rPr>
            </w:pPr>
          </w:p>
        </w:tc>
        <w:tc>
          <w:tcPr>
            <w:tcW w:w="564" w:type="pct"/>
            <w:vMerge w:val="restart"/>
            <w:tcBorders>
              <w:top w:val="single" w:color="auto" w:sz="4" w:space="0"/>
              <w:left w:val="single" w:color="auto" w:sz="4" w:space="0"/>
              <w:right w:val="single" w:color="auto" w:sz="4" w:space="0"/>
            </w:tcBorders>
            <w:noWrap w:val="0"/>
            <w:vAlign w:val="center"/>
          </w:tcPr>
          <w:p w14:paraId="05A25665">
            <w:pPr>
              <w:widowControl/>
              <w:adjustRightInd w:val="0"/>
              <w:snapToGrid w:val="0"/>
              <w:spacing w:line="240" w:lineRule="auto"/>
              <w:jc w:val="center"/>
              <w:rPr>
                <w:rFonts w:cs="Times New Roman"/>
                <w:color w:val="000000"/>
                <w:sz w:val="21"/>
                <w:szCs w:val="21"/>
                <w:highlight w:val="none"/>
              </w:rPr>
            </w:pPr>
          </w:p>
        </w:tc>
        <w:tc>
          <w:tcPr>
            <w:tcW w:w="552" w:type="pct"/>
            <w:vMerge w:val="restart"/>
            <w:tcBorders>
              <w:top w:val="single" w:color="auto" w:sz="4" w:space="0"/>
              <w:left w:val="single" w:color="auto" w:sz="4" w:space="0"/>
              <w:right w:val="single" w:color="auto" w:sz="4" w:space="0"/>
            </w:tcBorders>
            <w:noWrap w:val="0"/>
            <w:vAlign w:val="center"/>
          </w:tcPr>
          <w:p w14:paraId="05761374">
            <w:pPr>
              <w:widowControl/>
              <w:adjustRightInd w:val="0"/>
              <w:snapToGrid w:val="0"/>
              <w:spacing w:line="240" w:lineRule="auto"/>
              <w:rPr>
                <w:rFonts w:cs="Times New Roman"/>
                <w:color w:val="000000"/>
                <w:sz w:val="21"/>
                <w:szCs w:val="21"/>
                <w:highlight w:val="none"/>
              </w:rPr>
            </w:pPr>
          </w:p>
        </w:tc>
      </w:tr>
      <w:tr w14:paraId="67664FD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1EF87E29">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0D96E78E">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1371B148">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暴露评估，在危害识别的基础上，分析地块内关注污染物迁移和危害敏感受体的可能性，确定地块地下水污染物的主要暴露途径和暴露评估模型，确定评估模型参数取值，计算敏感人群对地下水中污染物的暴露量。</w:t>
            </w:r>
          </w:p>
        </w:tc>
        <w:tc>
          <w:tcPr>
            <w:tcW w:w="322" w:type="pct"/>
            <w:vMerge w:val="continue"/>
            <w:tcBorders>
              <w:left w:val="single" w:color="auto" w:sz="4" w:space="0"/>
              <w:right w:val="single" w:color="auto" w:sz="4" w:space="0"/>
            </w:tcBorders>
            <w:noWrap w:val="0"/>
            <w:vAlign w:val="center"/>
          </w:tcPr>
          <w:p w14:paraId="3592FB59">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3211137B">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30A1A97C">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3D974EDC">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4E5A726F">
            <w:pPr>
              <w:widowControl/>
              <w:adjustRightInd w:val="0"/>
              <w:snapToGrid w:val="0"/>
              <w:spacing w:line="240" w:lineRule="auto"/>
              <w:rPr>
                <w:rFonts w:cs="Times New Roman"/>
                <w:color w:val="000000"/>
                <w:sz w:val="21"/>
                <w:szCs w:val="21"/>
                <w:highlight w:val="none"/>
              </w:rPr>
            </w:pPr>
          </w:p>
        </w:tc>
      </w:tr>
      <w:tr w14:paraId="04CBD70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6387A804">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48C895C5">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1618B626">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开展毒性评估，在危害识别的基础上，分析关注污染物对人体健康的危害效应，包括致癌效应和非致癌效应，确定与关注污染物相关的参数，包括参考剂量、参考浓度、致癌斜率因子和呼吸吸入单位致癌因子等。</w:t>
            </w:r>
          </w:p>
        </w:tc>
        <w:tc>
          <w:tcPr>
            <w:tcW w:w="322" w:type="pct"/>
            <w:vMerge w:val="continue"/>
            <w:tcBorders>
              <w:left w:val="single" w:color="auto" w:sz="4" w:space="0"/>
              <w:right w:val="single" w:color="auto" w:sz="4" w:space="0"/>
            </w:tcBorders>
            <w:noWrap w:val="0"/>
            <w:vAlign w:val="center"/>
          </w:tcPr>
          <w:p w14:paraId="7F6E9265">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0910436C">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4602022F">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73277F3B">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014B42A0">
            <w:pPr>
              <w:widowControl/>
              <w:adjustRightInd w:val="0"/>
              <w:snapToGrid w:val="0"/>
              <w:spacing w:line="240" w:lineRule="auto"/>
              <w:rPr>
                <w:rFonts w:cs="Times New Roman"/>
                <w:color w:val="000000"/>
                <w:sz w:val="21"/>
                <w:szCs w:val="21"/>
                <w:highlight w:val="none"/>
              </w:rPr>
            </w:pPr>
          </w:p>
        </w:tc>
      </w:tr>
      <w:tr w14:paraId="31829DD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6B02CA72">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28E3F28E">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4E98C815">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开展风险表征，在暴露评估和毒性评估的基础上，采用风险评估模型计算土壤和地下水中单一污染物经单一途径的致癌风险和危害商，计算单一污染物的总致癌风险和危害商，进行不确定性分析。</w:t>
            </w:r>
          </w:p>
        </w:tc>
        <w:tc>
          <w:tcPr>
            <w:tcW w:w="322" w:type="pct"/>
            <w:vMerge w:val="continue"/>
            <w:tcBorders>
              <w:left w:val="single" w:color="auto" w:sz="4" w:space="0"/>
              <w:right w:val="single" w:color="auto" w:sz="4" w:space="0"/>
            </w:tcBorders>
            <w:noWrap w:val="0"/>
            <w:vAlign w:val="center"/>
          </w:tcPr>
          <w:p w14:paraId="1D82307B">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6F0F4FA5">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6F3482A6">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60CCC840">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33961999">
            <w:pPr>
              <w:widowControl/>
              <w:adjustRightInd w:val="0"/>
              <w:snapToGrid w:val="0"/>
              <w:spacing w:line="240" w:lineRule="auto"/>
              <w:rPr>
                <w:rFonts w:cs="Times New Roman"/>
                <w:color w:val="000000"/>
                <w:sz w:val="21"/>
                <w:szCs w:val="21"/>
                <w:highlight w:val="none"/>
              </w:rPr>
            </w:pPr>
          </w:p>
        </w:tc>
      </w:tr>
      <w:tr w14:paraId="5666D71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76BF79AA">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bottom w:val="single" w:color="auto" w:sz="2" w:space="0"/>
              <w:right w:val="single" w:color="auto" w:sz="2" w:space="0"/>
            </w:tcBorders>
            <w:noWrap w:val="0"/>
            <w:vAlign w:val="center"/>
          </w:tcPr>
          <w:p w14:paraId="16BC7DBD">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3C709110">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p>
        </w:tc>
        <w:tc>
          <w:tcPr>
            <w:tcW w:w="322" w:type="pct"/>
            <w:vMerge w:val="continue"/>
            <w:tcBorders>
              <w:left w:val="single" w:color="auto" w:sz="4" w:space="0"/>
              <w:bottom w:val="single" w:color="auto" w:sz="4" w:space="0"/>
              <w:right w:val="single" w:color="auto" w:sz="4" w:space="0"/>
            </w:tcBorders>
            <w:noWrap w:val="0"/>
            <w:vAlign w:val="center"/>
          </w:tcPr>
          <w:p w14:paraId="1BD1EBB8">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bottom w:val="single" w:color="auto" w:sz="4" w:space="0"/>
              <w:right w:val="single" w:color="auto" w:sz="4" w:space="0"/>
            </w:tcBorders>
            <w:noWrap w:val="0"/>
            <w:vAlign w:val="center"/>
          </w:tcPr>
          <w:p w14:paraId="0EC2FB7C">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bottom w:val="single" w:color="auto" w:sz="4" w:space="0"/>
              <w:right w:val="single" w:color="auto" w:sz="4" w:space="0"/>
            </w:tcBorders>
            <w:noWrap w:val="0"/>
            <w:vAlign w:val="center"/>
          </w:tcPr>
          <w:p w14:paraId="5050F778">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bottom w:val="single" w:color="auto" w:sz="4" w:space="0"/>
              <w:right w:val="single" w:color="auto" w:sz="4" w:space="0"/>
            </w:tcBorders>
            <w:noWrap w:val="0"/>
            <w:vAlign w:val="center"/>
          </w:tcPr>
          <w:p w14:paraId="52BBE033">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bottom w:val="single" w:color="auto" w:sz="4" w:space="0"/>
              <w:right w:val="single" w:color="auto" w:sz="4" w:space="0"/>
            </w:tcBorders>
            <w:noWrap w:val="0"/>
            <w:vAlign w:val="center"/>
          </w:tcPr>
          <w:p w14:paraId="4148DC5F">
            <w:pPr>
              <w:widowControl/>
              <w:adjustRightInd w:val="0"/>
              <w:snapToGrid w:val="0"/>
              <w:spacing w:line="240" w:lineRule="auto"/>
              <w:rPr>
                <w:rFonts w:cs="Times New Roman"/>
                <w:color w:val="000000"/>
                <w:sz w:val="21"/>
                <w:szCs w:val="21"/>
                <w:highlight w:val="none"/>
              </w:rPr>
            </w:pPr>
          </w:p>
        </w:tc>
      </w:tr>
      <w:tr w14:paraId="1300AFA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4" w:space="0"/>
            </w:tcBorders>
            <w:noWrap w:val="0"/>
            <w:vAlign w:val="center"/>
          </w:tcPr>
          <w:p w14:paraId="057F813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7</w:t>
            </w:r>
          </w:p>
        </w:tc>
        <w:tc>
          <w:tcPr>
            <w:tcW w:w="355" w:type="pct"/>
            <w:vMerge w:val="restart"/>
            <w:tcBorders>
              <w:top w:val="single" w:color="auto" w:sz="4" w:space="0"/>
              <w:left w:val="single" w:color="auto" w:sz="4" w:space="0"/>
              <w:right w:val="single" w:color="auto" w:sz="4" w:space="0"/>
            </w:tcBorders>
            <w:noWrap w:val="0"/>
            <w:vAlign w:val="center"/>
          </w:tcPr>
          <w:p w14:paraId="5E05225E">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风险评估报告专家费、会务费、</w:t>
            </w:r>
            <w:r>
              <w:rPr>
                <w:rFonts w:hint="eastAsia" w:eastAsia="宋体" w:cs="Times New Roman"/>
                <w:bCs/>
                <w:color w:val="000000"/>
                <w:kern w:val="0"/>
                <w:sz w:val="21"/>
                <w:szCs w:val="21"/>
                <w:highlight w:val="none"/>
                <w:lang w:val="en-US" w:eastAsia="zh-CN"/>
              </w:rPr>
              <w:t>彩色</w:t>
            </w:r>
            <w:r>
              <w:rPr>
                <w:rFonts w:cs="Times New Roman"/>
                <w:bCs/>
                <w:color w:val="000000"/>
                <w:kern w:val="0"/>
                <w:sz w:val="21"/>
                <w:szCs w:val="21"/>
                <w:highlight w:val="none"/>
              </w:rPr>
              <w:t>打印费等</w:t>
            </w:r>
          </w:p>
        </w:tc>
        <w:tc>
          <w:tcPr>
            <w:tcW w:w="2143" w:type="pct"/>
            <w:tcBorders>
              <w:top w:val="single" w:color="auto" w:sz="2" w:space="0"/>
              <w:left w:val="single" w:color="auto" w:sz="4" w:space="0"/>
              <w:bottom w:val="single" w:color="auto" w:sz="4" w:space="0"/>
              <w:right w:val="single" w:color="auto" w:sz="4" w:space="0"/>
            </w:tcBorders>
            <w:noWrap w:val="0"/>
            <w:vAlign w:val="center"/>
          </w:tcPr>
          <w:p w14:paraId="11F9D448">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32DBEDBE">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5FE663F7">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02367C5F">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2FB353BB">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03823DD8">
            <w:pPr>
              <w:widowControl/>
              <w:adjustRightInd w:val="0"/>
              <w:snapToGrid w:val="0"/>
              <w:spacing w:line="240" w:lineRule="auto"/>
              <w:rPr>
                <w:rFonts w:cs="Times New Roman"/>
                <w:color w:val="000000"/>
                <w:sz w:val="21"/>
                <w:szCs w:val="21"/>
                <w:highlight w:val="none"/>
              </w:rPr>
            </w:pPr>
          </w:p>
        </w:tc>
      </w:tr>
      <w:tr w14:paraId="04FBC0E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4" w:space="0"/>
            </w:tcBorders>
            <w:noWrap w:val="0"/>
            <w:vAlign w:val="center"/>
          </w:tcPr>
          <w:p w14:paraId="391BF8BB">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4" w:space="0"/>
              <w:bottom w:val="single" w:color="auto" w:sz="4" w:space="0"/>
              <w:right w:val="single" w:color="auto" w:sz="4" w:space="0"/>
            </w:tcBorders>
            <w:noWrap w:val="0"/>
            <w:vAlign w:val="center"/>
          </w:tcPr>
          <w:p w14:paraId="5E0CD92A">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4" w:space="0"/>
              <w:bottom w:val="single" w:color="auto" w:sz="4" w:space="0"/>
              <w:right w:val="single" w:color="auto" w:sz="4" w:space="0"/>
            </w:tcBorders>
            <w:noWrap w:val="0"/>
            <w:vAlign w:val="center"/>
          </w:tcPr>
          <w:p w14:paraId="11B6DBCD">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省生态环境厅至少邀请5名业内专家及相关部门领导，组织召开专家评审会</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4C6A8A6B">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98894D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07960977">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5A5EB7B3">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2ACEDA1B">
            <w:pPr>
              <w:widowControl/>
              <w:adjustRightInd w:val="0"/>
              <w:snapToGrid w:val="0"/>
              <w:spacing w:line="240" w:lineRule="auto"/>
              <w:rPr>
                <w:rFonts w:cs="Times New Roman"/>
                <w:color w:val="000000"/>
                <w:sz w:val="21"/>
                <w:szCs w:val="21"/>
                <w:highlight w:val="none"/>
              </w:rPr>
            </w:pPr>
          </w:p>
        </w:tc>
      </w:tr>
      <w:tr w14:paraId="2191CE3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917" w:hRule="atLeast"/>
          <w:jc w:val="center"/>
        </w:trPr>
        <w:tc>
          <w:tcPr>
            <w:tcW w:w="3883" w:type="pct"/>
            <w:gridSpan w:val="6"/>
            <w:tcBorders>
              <w:top w:val="single" w:color="auto" w:sz="2" w:space="0"/>
              <w:left w:val="single" w:color="auto" w:sz="2" w:space="0"/>
              <w:bottom w:val="single" w:color="auto" w:sz="4" w:space="0"/>
              <w:right w:val="single" w:color="auto" w:sz="4" w:space="0"/>
            </w:tcBorders>
            <w:noWrap w:val="0"/>
            <w:vAlign w:val="center"/>
          </w:tcPr>
          <w:p w14:paraId="245640E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合计</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737FAEF9">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4A653032">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w:t>
            </w:r>
          </w:p>
        </w:tc>
      </w:tr>
    </w:tbl>
    <w:p w14:paraId="6543D9D1">
      <w:pPr>
        <w:jc w:val="center"/>
        <w:rPr>
          <w:rFonts w:cs="Times New Roman"/>
          <w:b/>
          <w:bCs/>
          <w:color w:val="000000"/>
          <w:kern w:val="0"/>
          <w:highlight w:val="none"/>
        </w:rPr>
      </w:pPr>
      <w:r>
        <w:rPr>
          <w:rFonts w:cs="Times New Roman"/>
          <w:b/>
          <w:bCs/>
          <w:color w:val="000000"/>
          <w:kern w:val="0"/>
          <w:highlight w:val="none"/>
        </w:rPr>
        <w:br w:type="page"/>
      </w:r>
      <w:r>
        <w:rPr>
          <w:rFonts w:cs="Times New Roman"/>
          <w:b/>
          <w:bCs/>
          <w:color w:val="000000"/>
          <w:kern w:val="0"/>
          <w:highlight w:val="none"/>
        </w:rPr>
        <w:t>表2  原南京祥宇农药有限公司地块风险评估项目费用报价明细表</w:t>
      </w:r>
    </w:p>
    <w:tbl>
      <w:tblPr>
        <w:tblStyle w:val="51"/>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0" w:type="dxa"/>
          <w:bottom w:w="0" w:type="dxa"/>
          <w:right w:w="0" w:type="dxa"/>
        </w:tblCellMar>
      </w:tblPr>
      <w:tblGrid>
        <w:gridCol w:w="519"/>
        <w:gridCol w:w="1051"/>
        <w:gridCol w:w="6074"/>
        <w:gridCol w:w="890"/>
        <w:gridCol w:w="966"/>
        <w:gridCol w:w="1506"/>
        <w:gridCol w:w="1613"/>
        <w:gridCol w:w="1503"/>
      </w:tblGrid>
      <w:tr w14:paraId="6EE0923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tcBorders>
              <w:top w:val="single" w:color="auto" w:sz="8" w:space="0"/>
              <w:left w:val="single" w:color="auto" w:sz="8" w:space="0"/>
              <w:bottom w:val="single" w:color="auto" w:sz="2" w:space="0"/>
              <w:right w:val="single" w:color="auto" w:sz="2" w:space="0"/>
            </w:tcBorders>
            <w:noWrap w:val="0"/>
            <w:vAlign w:val="center"/>
          </w:tcPr>
          <w:p w14:paraId="3B03B3FB">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序号</w:t>
            </w:r>
          </w:p>
        </w:tc>
        <w:tc>
          <w:tcPr>
            <w:tcW w:w="372" w:type="pct"/>
            <w:tcBorders>
              <w:top w:val="single" w:color="auto" w:sz="8" w:space="0"/>
              <w:left w:val="single" w:color="auto" w:sz="2" w:space="0"/>
              <w:bottom w:val="single" w:color="auto" w:sz="2" w:space="0"/>
              <w:right w:val="single" w:color="auto" w:sz="2" w:space="0"/>
            </w:tcBorders>
            <w:noWrap w:val="0"/>
            <w:vAlign w:val="center"/>
          </w:tcPr>
          <w:p w14:paraId="49CCE05B">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w:t>
            </w:r>
            <w:r>
              <w:rPr>
                <w:rFonts w:hint="eastAsia" w:cs="Times New Roman"/>
                <w:b/>
                <w:color w:val="000000"/>
                <w:sz w:val="21"/>
                <w:szCs w:val="21"/>
                <w:highlight w:val="none"/>
              </w:rPr>
              <w:t>分类</w:t>
            </w:r>
          </w:p>
        </w:tc>
        <w:tc>
          <w:tcPr>
            <w:tcW w:w="2150" w:type="pct"/>
            <w:tcBorders>
              <w:top w:val="single" w:color="auto" w:sz="8" w:space="0"/>
              <w:left w:val="single" w:color="auto" w:sz="2" w:space="0"/>
              <w:bottom w:val="single" w:color="auto" w:sz="2" w:space="0"/>
              <w:right w:val="single" w:color="auto" w:sz="2" w:space="0"/>
            </w:tcBorders>
            <w:noWrap w:val="0"/>
            <w:vAlign w:val="center"/>
          </w:tcPr>
          <w:p w14:paraId="40A437FC">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工作内容</w:t>
            </w:r>
          </w:p>
        </w:tc>
        <w:tc>
          <w:tcPr>
            <w:tcW w:w="315" w:type="pct"/>
            <w:tcBorders>
              <w:top w:val="single" w:color="auto" w:sz="8" w:space="0"/>
              <w:left w:val="single" w:color="auto" w:sz="2" w:space="0"/>
              <w:bottom w:val="single" w:color="auto" w:sz="4" w:space="0"/>
              <w:right w:val="single" w:color="auto" w:sz="2" w:space="0"/>
            </w:tcBorders>
            <w:noWrap w:val="0"/>
            <w:vAlign w:val="center"/>
          </w:tcPr>
          <w:p w14:paraId="120ADAE7">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计量</w:t>
            </w:r>
          </w:p>
          <w:p w14:paraId="2BA40223">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单位</w:t>
            </w:r>
          </w:p>
        </w:tc>
        <w:tc>
          <w:tcPr>
            <w:tcW w:w="342" w:type="pct"/>
            <w:tcBorders>
              <w:top w:val="single" w:color="auto" w:sz="8" w:space="0"/>
              <w:left w:val="single" w:color="auto" w:sz="2" w:space="0"/>
              <w:bottom w:val="single" w:color="auto" w:sz="4" w:space="0"/>
              <w:right w:val="single" w:color="auto" w:sz="2" w:space="0"/>
            </w:tcBorders>
            <w:noWrap w:val="0"/>
            <w:vAlign w:val="center"/>
          </w:tcPr>
          <w:p w14:paraId="2F61A081">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数量</w:t>
            </w:r>
          </w:p>
        </w:tc>
        <w:tc>
          <w:tcPr>
            <w:tcW w:w="532" w:type="pct"/>
            <w:tcBorders>
              <w:top w:val="single" w:color="auto" w:sz="8" w:space="0"/>
              <w:left w:val="single" w:color="auto" w:sz="2" w:space="0"/>
              <w:bottom w:val="single" w:color="auto" w:sz="4" w:space="0"/>
              <w:right w:val="single" w:color="auto" w:sz="2" w:space="0"/>
            </w:tcBorders>
            <w:noWrap w:val="0"/>
            <w:vAlign w:val="center"/>
          </w:tcPr>
          <w:p w14:paraId="4EEA450F">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单价</w:t>
            </w:r>
          </w:p>
          <w:p w14:paraId="144CD5F0">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71" w:type="pct"/>
            <w:tcBorders>
              <w:top w:val="single" w:color="auto" w:sz="8" w:space="0"/>
              <w:left w:val="single" w:color="auto" w:sz="2" w:space="0"/>
              <w:bottom w:val="single" w:color="auto" w:sz="4" w:space="0"/>
              <w:right w:val="single" w:color="auto" w:sz="8" w:space="0"/>
            </w:tcBorders>
            <w:noWrap w:val="0"/>
            <w:vAlign w:val="center"/>
          </w:tcPr>
          <w:p w14:paraId="25B7D4C4">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小计</w:t>
            </w:r>
          </w:p>
          <w:p w14:paraId="690D7792">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32" w:type="pct"/>
            <w:tcBorders>
              <w:top w:val="single" w:color="auto" w:sz="8" w:space="0"/>
              <w:left w:val="single" w:color="auto" w:sz="2" w:space="0"/>
              <w:bottom w:val="single" w:color="auto" w:sz="4" w:space="0"/>
              <w:right w:val="single" w:color="auto" w:sz="8" w:space="0"/>
            </w:tcBorders>
            <w:noWrap w:val="0"/>
            <w:vAlign w:val="center"/>
          </w:tcPr>
          <w:p w14:paraId="38BB084B">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备注</w:t>
            </w:r>
          </w:p>
        </w:tc>
      </w:tr>
      <w:tr w14:paraId="74446A2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25A45982">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1</w:t>
            </w:r>
          </w:p>
        </w:tc>
        <w:tc>
          <w:tcPr>
            <w:tcW w:w="372" w:type="pct"/>
            <w:vMerge w:val="restart"/>
            <w:tcBorders>
              <w:top w:val="single" w:color="auto" w:sz="4" w:space="0"/>
              <w:left w:val="single" w:color="auto" w:sz="2" w:space="0"/>
              <w:right w:val="single" w:color="auto" w:sz="2" w:space="0"/>
            </w:tcBorders>
            <w:noWrap w:val="0"/>
            <w:vAlign w:val="center"/>
          </w:tcPr>
          <w:p w14:paraId="1725298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水文地质勘察</w:t>
            </w:r>
          </w:p>
        </w:tc>
        <w:tc>
          <w:tcPr>
            <w:tcW w:w="2150" w:type="pct"/>
            <w:tcBorders>
              <w:top w:val="single" w:color="auto" w:sz="4" w:space="0"/>
              <w:left w:val="single" w:color="auto" w:sz="2" w:space="0"/>
              <w:bottom w:val="single" w:color="auto" w:sz="4" w:space="0"/>
              <w:right w:val="single" w:color="auto" w:sz="4" w:space="0"/>
            </w:tcBorders>
            <w:noWrap w:val="0"/>
            <w:vAlign w:val="center"/>
          </w:tcPr>
          <w:p w14:paraId="687BF6D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钻探，布设4个钻孔点位，单个点位钻孔深度达到40m，需钻探至中风化层</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69F300D7">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4C6C2107">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6772AAE8">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3C54BB90">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591728C1">
            <w:pPr>
              <w:widowControl/>
              <w:adjustRightInd w:val="0"/>
              <w:snapToGrid w:val="0"/>
              <w:spacing w:line="240" w:lineRule="auto"/>
              <w:rPr>
                <w:rFonts w:cs="Times New Roman"/>
                <w:color w:val="000000"/>
                <w:sz w:val="21"/>
                <w:szCs w:val="21"/>
                <w:highlight w:val="none"/>
              </w:rPr>
            </w:pPr>
          </w:p>
        </w:tc>
      </w:tr>
      <w:tr w14:paraId="2A3B921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066BC914">
            <w:pPr>
              <w:adjustRightInd w:val="0"/>
              <w:snapToGrid w:val="0"/>
              <w:spacing w:line="240" w:lineRule="auto"/>
              <w:jc w:val="center"/>
              <w:rPr>
                <w:rFonts w:cs="Times New Roman"/>
                <w:bCs/>
                <w:color w:val="000000"/>
                <w:kern w:val="0"/>
                <w:sz w:val="21"/>
                <w:szCs w:val="21"/>
                <w:highlight w:val="none"/>
              </w:rPr>
            </w:pPr>
          </w:p>
        </w:tc>
        <w:tc>
          <w:tcPr>
            <w:tcW w:w="372" w:type="pct"/>
            <w:vMerge w:val="continue"/>
            <w:tcBorders>
              <w:left w:val="single" w:color="auto" w:sz="2" w:space="0"/>
              <w:right w:val="single" w:color="auto" w:sz="2" w:space="0"/>
            </w:tcBorders>
            <w:noWrap w:val="0"/>
            <w:vAlign w:val="center"/>
          </w:tcPr>
          <w:p w14:paraId="4AFC738A">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5EC4D00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建设地下水井，用于抽水试验及流场确定等，布设4个钻孔点位，单个点位建井深度达到40m，需钻探至中风化层</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5465DA03">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3DB4D86D">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7723D0CE">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2314EE28">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6E47E40B">
            <w:pPr>
              <w:widowControl/>
              <w:adjustRightInd w:val="0"/>
              <w:snapToGrid w:val="0"/>
              <w:spacing w:line="240" w:lineRule="auto"/>
              <w:rPr>
                <w:rFonts w:cs="Times New Roman"/>
                <w:color w:val="000000"/>
                <w:sz w:val="21"/>
                <w:szCs w:val="21"/>
                <w:highlight w:val="none"/>
              </w:rPr>
            </w:pPr>
          </w:p>
        </w:tc>
      </w:tr>
      <w:tr w14:paraId="64E3814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0DA27044">
            <w:pPr>
              <w:adjustRightInd w:val="0"/>
              <w:snapToGrid w:val="0"/>
              <w:spacing w:line="240" w:lineRule="auto"/>
              <w:jc w:val="center"/>
              <w:rPr>
                <w:rFonts w:cs="Times New Roman"/>
                <w:bCs/>
                <w:color w:val="000000"/>
                <w:kern w:val="0"/>
                <w:sz w:val="21"/>
                <w:szCs w:val="21"/>
                <w:highlight w:val="none"/>
              </w:rPr>
            </w:pPr>
          </w:p>
        </w:tc>
        <w:tc>
          <w:tcPr>
            <w:tcW w:w="372" w:type="pct"/>
            <w:vMerge w:val="continue"/>
            <w:tcBorders>
              <w:left w:val="single" w:color="auto" w:sz="2" w:space="0"/>
              <w:right w:val="single" w:color="auto" w:sz="2" w:space="0"/>
            </w:tcBorders>
            <w:noWrap w:val="0"/>
            <w:vAlign w:val="center"/>
          </w:tcPr>
          <w:p w14:paraId="6C26CC33">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30A26D5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土工试验，包括土壤有机质含量、含水率、孔隙度、渗透系数、土壤颗粒密度、土壤容重等参数的测定，每个点位采集</w:t>
            </w:r>
            <w:r>
              <w:rPr>
                <w:rFonts w:hint="eastAsia" w:cs="Times New Roman"/>
                <w:color w:val="000000"/>
                <w:sz w:val="21"/>
                <w:szCs w:val="21"/>
                <w:highlight w:val="none"/>
              </w:rPr>
              <w:t>4个土工试验样品，共需送检16个土工试验样品</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11A06C10">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4F3D2762">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7FF31453">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59ED011F">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442170C1">
            <w:pPr>
              <w:widowControl/>
              <w:adjustRightInd w:val="0"/>
              <w:snapToGrid w:val="0"/>
              <w:spacing w:line="240" w:lineRule="auto"/>
              <w:rPr>
                <w:rFonts w:cs="Times New Roman"/>
                <w:color w:val="000000"/>
                <w:sz w:val="21"/>
                <w:szCs w:val="21"/>
                <w:highlight w:val="none"/>
              </w:rPr>
            </w:pPr>
          </w:p>
        </w:tc>
      </w:tr>
      <w:tr w14:paraId="15D9BD2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4F55B1D1">
            <w:pPr>
              <w:adjustRightInd w:val="0"/>
              <w:snapToGrid w:val="0"/>
              <w:spacing w:line="240" w:lineRule="auto"/>
              <w:jc w:val="center"/>
              <w:rPr>
                <w:rFonts w:cs="Times New Roman"/>
                <w:bCs/>
                <w:color w:val="000000"/>
                <w:kern w:val="0"/>
                <w:sz w:val="21"/>
                <w:szCs w:val="21"/>
                <w:highlight w:val="none"/>
              </w:rPr>
            </w:pPr>
          </w:p>
        </w:tc>
        <w:tc>
          <w:tcPr>
            <w:tcW w:w="372" w:type="pct"/>
            <w:vMerge w:val="continue"/>
            <w:tcBorders>
              <w:left w:val="single" w:color="auto" w:sz="2" w:space="0"/>
              <w:right w:val="single" w:color="auto" w:sz="2" w:space="0"/>
            </w:tcBorders>
            <w:noWrap w:val="0"/>
            <w:vAlign w:val="center"/>
          </w:tcPr>
          <w:p w14:paraId="366846EA">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05BBA93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抽水试验，需要</w:t>
            </w:r>
            <w:r>
              <w:rPr>
                <w:rFonts w:hint="eastAsia" w:cs="Times New Roman"/>
                <w:color w:val="000000"/>
                <w:sz w:val="21"/>
                <w:szCs w:val="21"/>
                <w:highlight w:val="none"/>
              </w:rPr>
              <w:t>2个台班</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4EA75629">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台班</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5D61747E">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46E08666">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65099A04">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44C5AA08">
            <w:pPr>
              <w:widowControl/>
              <w:adjustRightInd w:val="0"/>
              <w:snapToGrid w:val="0"/>
              <w:spacing w:line="240" w:lineRule="auto"/>
              <w:rPr>
                <w:rFonts w:cs="Times New Roman"/>
                <w:color w:val="000000"/>
                <w:sz w:val="21"/>
                <w:szCs w:val="21"/>
                <w:highlight w:val="none"/>
              </w:rPr>
            </w:pPr>
          </w:p>
        </w:tc>
      </w:tr>
      <w:tr w14:paraId="7DC7067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641C4F88">
            <w:pPr>
              <w:adjustRightInd w:val="0"/>
              <w:snapToGrid w:val="0"/>
              <w:spacing w:line="240" w:lineRule="auto"/>
              <w:jc w:val="center"/>
              <w:rPr>
                <w:rFonts w:cs="Times New Roman"/>
                <w:bCs/>
                <w:color w:val="000000"/>
                <w:kern w:val="0"/>
                <w:sz w:val="21"/>
                <w:szCs w:val="21"/>
                <w:highlight w:val="none"/>
              </w:rPr>
            </w:pPr>
          </w:p>
        </w:tc>
        <w:tc>
          <w:tcPr>
            <w:tcW w:w="372" w:type="pct"/>
            <w:vMerge w:val="continue"/>
            <w:tcBorders>
              <w:left w:val="single" w:color="auto" w:sz="2" w:space="0"/>
              <w:bottom w:val="single" w:color="auto" w:sz="4" w:space="0"/>
              <w:right w:val="single" w:color="auto" w:sz="2" w:space="0"/>
            </w:tcBorders>
            <w:noWrap w:val="0"/>
            <w:vAlign w:val="center"/>
          </w:tcPr>
          <w:p w14:paraId="4B4EB456">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0AA7BCA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完成水文地质勘察报告（明确地层结构、地下水特征、地下水与长江水力联系、区域地下水补给、径流、排泄规律，以及对应长江河段的水质现状，水文特征等）</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6415CED6">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7B5F2D23">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431A8712">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5309C030">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4913529E">
            <w:pPr>
              <w:widowControl/>
              <w:adjustRightInd w:val="0"/>
              <w:snapToGrid w:val="0"/>
              <w:spacing w:line="240" w:lineRule="auto"/>
              <w:rPr>
                <w:rFonts w:cs="Times New Roman"/>
                <w:color w:val="000000"/>
                <w:sz w:val="21"/>
                <w:szCs w:val="21"/>
                <w:highlight w:val="none"/>
              </w:rPr>
            </w:pPr>
          </w:p>
        </w:tc>
      </w:tr>
      <w:tr w14:paraId="5170FF2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tcBorders>
              <w:top w:val="single" w:color="auto" w:sz="4" w:space="0"/>
              <w:left w:val="single" w:color="auto" w:sz="8" w:space="0"/>
              <w:bottom w:val="single" w:color="auto" w:sz="4" w:space="0"/>
              <w:right w:val="single" w:color="auto" w:sz="2" w:space="0"/>
            </w:tcBorders>
            <w:noWrap w:val="0"/>
            <w:vAlign w:val="center"/>
          </w:tcPr>
          <w:p w14:paraId="1BAF878B">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2</w:t>
            </w:r>
          </w:p>
        </w:tc>
        <w:tc>
          <w:tcPr>
            <w:tcW w:w="372" w:type="pct"/>
            <w:tcBorders>
              <w:top w:val="single" w:color="auto" w:sz="4" w:space="0"/>
              <w:left w:val="single" w:color="auto" w:sz="2" w:space="0"/>
              <w:bottom w:val="single" w:color="auto" w:sz="4" w:space="0"/>
              <w:right w:val="single" w:color="auto" w:sz="2" w:space="0"/>
            </w:tcBorders>
            <w:noWrap w:val="0"/>
            <w:vAlign w:val="center"/>
          </w:tcPr>
          <w:p w14:paraId="4A51032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补充调查方案制定</w:t>
            </w:r>
          </w:p>
        </w:tc>
        <w:tc>
          <w:tcPr>
            <w:tcW w:w="2150" w:type="pct"/>
            <w:tcBorders>
              <w:top w:val="single" w:color="auto" w:sz="4" w:space="0"/>
              <w:left w:val="single" w:color="auto" w:sz="2" w:space="0"/>
              <w:bottom w:val="single" w:color="auto" w:sz="4" w:space="0"/>
              <w:right w:val="single" w:color="auto" w:sz="4" w:space="0"/>
            </w:tcBorders>
            <w:noWrap w:val="0"/>
            <w:vAlign w:val="center"/>
          </w:tcPr>
          <w:p w14:paraId="4A6C0A8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根据祥宇农药地块的资料分析结果，制定祥宇农药地块的补充调查方案</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66AFD35D">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6B059085">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107B6F26">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5E0E793D">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5ECDEC9D">
            <w:pPr>
              <w:widowControl/>
              <w:adjustRightInd w:val="0"/>
              <w:snapToGrid w:val="0"/>
              <w:spacing w:line="240" w:lineRule="auto"/>
              <w:rPr>
                <w:rFonts w:cs="Times New Roman"/>
                <w:color w:val="000000"/>
                <w:sz w:val="21"/>
                <w:szCs w:val="21"/>
                <w:highlight w:val="none"/>
              </w:rPr>
            </w:pPr>
          </w:p>
        </w:tc>
      </w:tr>
      <w:tr w14:paraId="63DF60C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380998B2">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3</w:t>
            </w:r>
          </w:p>
        </w:tc>
        <w:tc>
          <w:tcPr>
            <w:tcW w:w="372" w:type="pct"/>
            <w:vMerge w:val="restart"/>
            <w:tcBorders>
              <w:top w:val="single" w:color="auto" w:sz="4" w:space="0"/>
              <w:left w:val="single" w:color="auto" w:sz="2" w:space="0"/>
              <w:right w:val="single" w:color="auto" w:sz="2" w:space="0"/>
            </w:tcBorders>
            <w:noWrap w:val="0"/>
            <w:vAlign w:val="center"/>
          </w:tcPr>
          <w:p w14:paraId="638C957B">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现场钻探及采样费用</w:t>
            </w:r>
          </w:p>
        </w:tc>
        <w:tc>
          <w:tcPr>
            <w:tcW w:w="2150" w:type="pct"/>
            <w:tcBorders>
              <w:top w:val="single" w:color="auto" w:sz="4" w:space="0"/>
              <w:left w:val="single" w:color="auto" w:sz="2" w:space="0"/>
              <w:bottom w:val="single" w:color="auto" w:sz="4" w:space="0"/>
              <w:right w:val="single" w:color="auto" w:sz="4" w:space="0"/>
            </w:tcBorders>
            <w:noWrap w:val="0"/>
            <w:vAlign w:val="center"/>
          </w:tcPr>
          <w:p w14:paraId="73BA7BC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祥宇农药地块补充调查的钻探及采样工作，包括土壤钻探以及土壤样品采集（钻探深度至少为</w:t>
            </w:r>
            <w:r>
              <w:rPr>
                <w:rFonts w:hint="eastAsia" w:cs="Times New Roman"/>
                <w:color w:val="000000"/>
                <w:sz w:val="21"/>
                <w:szCs w:val="21"/>
                <w:highlight w:val="none"/>
              </w:rPr>
              <w:t>6m，部分点位需要钻探至9m、30m</w:t>
            </w:r>
            <w:r>
              <w:rPr>
                <w:rFonts w:cs="Times New Roman"/>
                <w:color w:val="000000"/>
                <w:sz w:val="21"/>
                <w:szCs w:val="21"/>
                <w:highlight w:val="none"/>
              </w:rPr>
              <w:t>），土壤总钻探深度约</w:t>
            </w:r>
            <w:r>
              <w:rPr>
                <w:rFonts w:hint="eastAsia" w:cs="Times New Roman"/>
                <w:color w:val="000000"/>
                <w:sz w:val="21"/>
                <w:szCs w:val="21"/>
                <w:highlight w:val="none"/>
              </w:rPr>
              <w:t>150m</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26B2B58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2E4AC267">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150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2EAC6F85">
            <w:pPr>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44457E18">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3307C1EA">
            <w:pPr>
              <w:adjustRightInd w:val="0"/>
              <w:snapToGrid w:val="0"/>
              <w:spacing w:line="240" w:lineRule="auto"/>
              <w:rPr>
                <w:rFonts w:cs="Times New Roman"/>
                <w:color w:val="000000"/>
                <w:sz w:val="21"/>
                <w:szCs w:val="21"/>
                <w:highlight w:val="none"/>
              </w:rPr>
            </w:pPr>
          </w:p>
        </w:tc>
      </w:tr>
      <w:tr w14:paraId="67A9BCB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69DD0EC7">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bottom w:val="single" w:color="auto" w:sz="4" w:space="0"/>
              <w:right w:val="single" w:color="auto" w:sz="2" w:space="0"/>
            </w:tcBorders>
            <w:noWrap w:val="0"/>
            <w:vAlign w:val="center"/>
          </w:tcPr>
          <w:p w14:paraId="23B52DC7">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6244938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祥宇农药地块补充调查的钻探及采样工作，包括地下水建井以及地下水样品采集（建井深度至少为</w:t>
            </w:r>
            <w:r>
              <w:rPr>
                <w:rFonts w:hint="eastAsia" w:cs="Times New Roman"/>
                <w:color w:val="000000"/>
                <w:sz w:val="21"/>
                <w:szCs w:val="21"/>
                <w:highlight w:val="none"/>
              </w:rPr>
              <w:t>6m，部分点位建井深度需要达到9m、30m</w:t>
            </w:r>
            <w:r>
              <w:rPr>
                <w:rFonts w:cs="Times New Roman"/>
                <w:color w:val="000000"/>
                <w:sz w:val="21"/>
                <w:szCs w:val="21"/>
                <w:highlight w:val="none"/>
              </w:rPr>
              <w:t>），地下水总建井深度约</w:t>
            </w:r>
            <w:r>
              <w:rPr>
                <w:rFonts w:hint="eastAsia" w:cs="Times New Roman"/>
                <w:color w:val="000000"/>
                <w:sz w:val="21"/>
                <w:szCs w:val="21"/>
                <w:highlight w:val="none"/>
              </w:rPr>
              <w:t>180m</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2F9C2F4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491EBCBC">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180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3A79EA79">
            <w:pPr>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15631B01">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1D6A9EA0">
            <w:pPr>
              <w:adjustRightInd w:val="0"/>
              <w:snapToGrid w:val="0"/>
              <w:spacing w:line="240" w:lineRule="auto"/>
              <w:rPr>
                <w:rFonts w:cs="Times New Roman"/>
                <w:color w:val="000000"/>
                <w:sz w:val="21"/>
                <w:szCs w:val="21"/>
                <w:highlight w:val="none"/>
              </w:rPr>
            </w:pPr>
          </w:p>
        </w:tc>
      </w:tr>
      <w:tr w14:paraId="37BB150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5A5155AD">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4</w:t>
            </w:r>
          </w:p>
        </w:tc>
        <w:tc>
          <w:tcPr>
            <w:tcW w:w="372" w:type="pct"/>
            <w:vMerge w:val="restart"/>
            <w:tcBorders>
              <w:top w:val="single" w:color="auto" w:sz="4" w:space="0"/>
              <w:left w:val="single" w:color="auto" w:sz="2" w:space="0"/>
              <w:right w:val="single" w:color="auto" w:sz="2" w:space="0"/>
            </w:tcBorders>
            <w:noWrap w:val="0"/>
            <w:vAlign w:val="center"/>
          </w:tcPr>
          <w:p w14:paraId="140E29AD">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样品处理与检测费</w:t>
            </w:r>
          </w:p>
        </w:tc>
        <w:tc>
          <w:tcPr>
            <w:tcW w:w="2150" w:type="pct"/>
            <w:tcBorders>
              <w:top w:val="single" w:color="auto" w:sz="4" w:space="0"/>
              <w:left w:val="single" w:color="auto" w:sz="2" w:space="0"/>
              <w:bottom w:val="single" w:color="auto" w:sz="4" w:space="0"/>
              <w:right w:val="single" w:color="auto" w:sz="4" w:space="0"/>
            </w:tcBorders>
            <w:noWrap w:val="0"/>
            <w:vAlign w:val="center"/>
          </w:tcPr>
          <w:p w14:paraId="579BC3E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土壤检测因子需包括pH、重金属</w:t>
            </w:r>
            <w:r>
              <w:rPr>
                <w:rFonts w:hint="eastAsia" w:cs="Times New Roman"/>
                <w:color w:val="000000"/>
                <w:sz w:val="21"/>
                <w:szCs w:val="21"/>
                <w:highlight w:val="none"/>
              </w:rPr>
              <w:t>7项、挥发性有机污染物65项、半挥发性有机污染物64项、特征污染物18项（需要包括：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）、苯乙酮、1,3,5-三甲基苯、锌、铝、硒、银、氟化物、丙酮、对苯二酚、乙醚、正丁醇、甲氰菊酯、氯氰菊酯、四氢呋喃、乙酸乙酯、噻吩磺隆、烟嘧磺隆</w:t>
            </w:r>
            <w:r>
              <w:rPr>
                <w:rFonts w:hint="eastAsia" w:cs="Times New Roman"/>
                <w:color w:val="000000"/>
                <w:sz w:val="21"/>
                <w:szCs w:val="21"/>
                <w:highlight w:val="none"/>
              </w:rPr>
              <w:t>等）</w:t>
            </w:r>
            <w:r>
              <w:rPr>
                <w:rFonts w:cs="Times New Roman"/>
                <w:color w:val="000000"/>
                <w:sz w:val="21"/>
                <w:szCs w:val="21"/>
                <w:highlight w:val="none"/>
              </w:rPr>
              <w:t>，土壤样品约</w:t>
            </w:r>
            <w:r>
              <w:rPr>
                <w:rFonts w:hint="eastAsia" w:cs="Times New Roman"/>
                <w:color w:val="000000"/>
                <w:sz w:val="21"/>
                <w:szCs w:val="21"/>
                <w:highlight w:val="none"/>
              </w:rPr>
              <w:t>90个</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52409F3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29769036">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90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4C7E259D">
            <w:pPr>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57BA2AED">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7AF1D3AA">
            <w:pPr>
              <w:adjustRightInd w:val="0"/>
              <w:snapToGrid w:val="0"/>
              <w:spacing w:line="240" w:lineRule="auto"/>
              <w:rPr>
                <w:rFonts w:cs="Times New Roman"/>
                <w:color w:val="000000"/>
                <w:sz w:val="21"/>
                <w:szCs w:val="21"/>
                <w:highlight w:val="none"/>
              </w:rPr>
            </w:pPr>
          </w:p>
        </w:tc>
      </w:tr>
      <w:tr w14:paraId="057D640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23E707C1">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bottom w:val="single" w:color="auto" w:sz="4" w:space="0"/>
              <w:right w:val="single" w:color="auto" w:sz="2" w:space="0"/>
            </w:tcBorders>
            <w:noWrap w:val="0"/>
            <w:vAlign w:val="center"/>
          </w:tcPr>
          <w:p w14:paraId="5FB81C4D">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6A6C2BD1">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地下水</w:t>
            </w:r>
            <w:r>
              <w:rPr>
                <w:rFonts w:cs="Times New Roman"/>
                <w:color w:val="000000"/>
                <w:sz w:val="21"/>
                <w:szCs w:val="21"/>
                <w:highlight w:val="none"/>
              </w:rPr>
              <w:t>的检测因子需包括pH、重金属</w:t>
            </w:r>
            <w:r>
              <w:rPr>
                <w:rFonts w:hint="eastAsia" w:cs="Times New Roman"/>
                <w:color w:val="000000"/>
                <w:sz w:val="21"/>
                <w:szCs w:val="21"/>
                <w:highlight w:val="none"/>
              </w:rPr>
              <w:t>7项、挥发性有机污染物65项、半挥发性有机污染物64项、特征污染物18项（需要包括：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）、苯乙酮、1,3,5-三甲基苯、锌、铝、硒、银、氟化物、丙酮、对苯二酚、乙醚、正丁醇、甲氰菊酯、氯氰菊酯、四氢呋喃、乙酸乙酯、噻吩磺隆、烟嘧磺隆</w:t>
            </w:r>
            <w:r>
              <w:rPr>
                <w:rFonts w:hint="eastAsia" w:cs="Times New Roman"/>
                <w:color w:val="000000"/>
                <w:sz w:val="21"/>
                <w:szCs w:val="21"/>
                <w:highlight w:val="none"/>
              </w:rPr>
              <w:t>等）、《地下水质量标准》(GBT14848-2017)中的感官性状无机指标等25项等。考虑</w:t>
            </w:r>
            <w:r>
              <w:rPr>
                <w:rFonts w:cs="Times New Roman"/>
                <w:color w:val="000000"/>
                <w:sz w:val="21"/>
                <w:szCs w:val="21"/>
                <w:highlight w:val="none"/>
              </w:rPr>
              <w:t>到地块内涉及</w:t>
            </w:r>
            <w:r>
              <w:rPr>
                <w:rFonts w:hint="eastAsia" w:cs="Times New Roman"/>
                <w:color w:val="000000"/>
                <w:sz w:val="21"/>
                <w:szCs w:val="21"/>
                <w:highlight w:val="none"/>
              </w:rPr>
              <w:t>DNAPL类物质超标，根据技术规范要求需要分别在水位线以下0.5m和井管底部采集地下水样品</w:t>
            </w:r>
            <w:r>
              <w:rPr>
                <w:rFonts w:cs="Times New Roman"/>
                <w:color w:val="000000"/>
                <w:sz w:val="21"/>
                <w:szCs w:val="21"/>
                <w:highlight w:val="none"/>
              </w:rPr>
              <w:t>，地下水样品约</w:t>
            </w:r>
            <w:r>
              <w:rPr>
                <w:rFonts w:hint="eastAsia" w:cs="Times New Roman"/>
                <w:color w:val="000000"/>
                <w:sz w:val="21"/>
                <w:szCs w:val="21"/>
                <w:highlight w:val="none"/>
              </w:rPr>
              <w:t>28个</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708141A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5C21142A">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28</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3D6DA32E">
            <w:pPr>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0B500A45">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5656D4D2">
            <w:pPr>
              <w:adjustRightInd w:val="0"/>
              <w:snapToGrid w:val="0"/>
              <w:spacing w:line="240" w:lineRule="auto"/>
              <w:rPr>
                <w:rFonts w:cs="Times New Roman"/>
                <w:color w:val="000000"/>
                <w:sz w:val="21"/>
                <w:szCs w:val="21"/>
                <w:highlight w:val="none"/>
              </w:rPr>
            </w:pPr>
          </w:p>
        </w:tc>
      </w:tr>
      <w:tr w14:paraId="0FD2734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72D0540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5</w:t>
            </w:r>
          </w:p>
        </w:tc>
        <w:tc>
          <w:tcPr>
            <w:tcW w:w="372" w:type="pct"/>
            <w:vMerge w:val="restart"/>
            <w:tcBorders>
              <w:top w:val="single" w:color="auto" w:sz="2" w:space="0"/>
              <w:left w:val="single" w:color="auto" w:sz="2" w:space="0"/>
              <w:right w:val="single" w:color="auto" w:sz="2" w:space="0"/>
            </w:tcBorders>
            <w:noWrap w:val="0"/>
            <w:vAlign w:val="center"/>
          </w:tcPr>
          <w:p w14:paraId="1132D328">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污染物入江风险评估</w:t>
            </w:r>
          </w:p>
        </w:tc>
        <w:tc>
          <w:tcPr>
            <w:tcW w:w="2150" w:type="pct"/>
            <w:tcBorders>
              <w:top w:val="single" w:color="auto" w:sz="2" w:space="0"/>
              <w:left w:val="single" w:color="auto" w:sz="2" w:space="0"/>
              <w:bottom w:val="single" w:color="auto" w:sz="2" w:space="0"/>
              <w:right w:val="single" w:color="auto" w:sz="2" w:space="0"/>
            </w:tcBorders>
            <w:noWrap w:val="0"/>
            <w:vAlign w:val="center"/>
          </w:tcPr>
          <w:p w14:paraId="10FB747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入江风险识别与途径分析，</w:t>
            </w:r>
            <w:r>
              <w:rPr>
                <w:rFonts w:hint="eastAsia" w:cs="Times New Roman"/>
                <w:bCs/>
                <w:color w:val="000000"/>
                <w:kern w:val="0"/>
                <w:sz w:val="21"/>
                <w:szCs w:val="21"/>
                <w:highlight w:val="none"/>
              </w:rPr>
              <w:t>结合地块利用类型，识别入江风险因素，分析污染物入江的主要途径及可行性，包括地块污染本身风险、水文水力联系风险、污染物入江途径风险、敏感目标影响风险、暴雨与汛期风险、开发建设新增风险等</w:t>
            </w:r>
          </w:p>
        </w:tc>
        <w:tc>
          <w:tcPr>
            <w:tcW w:w="315" w:type="pct"/>
            <w:vMerge w:val="restart"/>
            <w:tcBorders>
              <w:top w:val="single" w:color="auto" w:sz="4" w:space="0"/>
              <w:left w:val="single" w:color="auto" w:sz="4" w:space="0"/>
              <w:right w:val="single" w:color="auto" w:sz="4" w:space="0"/>
            </w:tcBorders>
            <w:noWrap w:val="0"/>
            <w:vAlign w:val="center"/>
          </w:tcPr>
          <w:p w14:paraId="7C042B0C">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vMerge w:val="restart"/>
            <w:tcBorders>
              <w:top w:val="single" w:color="auto" w:sz="4" w:space="0"/>
              <w:left w:val="single" w:color="auto" w:sz="4" w:space="0"/>
              <w:right w:val="single" w:color="auto" w:sz="4" w:space="0"/>
            </w:tcBorders>
            <w:noWrap w:val="0"/>
            <w:vAlign w:val="center"/>
          </w:tcPr>
          <w:p w14:paraId="487883A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vMerge w:val="restart"/>
            <w:tcBorders>
              <w:top w:val="single" w:color="auto" w:sz="4" w:space="0"/>
              <w:left w:val="single" w:color="auto" w:sz="4" w:space="0"/>
              <w:right w:val="single" w:color="auto" w:sz="4" w:space="0"/>
            </w:tcBorders>
            <w:noWrap w:val="0"/>
            <w:vAlign w:val="center"/>
          </w:tcPr>
          <w:p w14:paraId="4C041ACB">
            <w:pPr>
              <w:widowControl/>
              <w:adjustRightInd w:val="0"/>
              <w:snapToGrid w:val="0"/>
              <w:spacing w:line="240" w:lineRule="auto"/>
              <w:jc w:val="center"/>
              <w:rPr>
                <w:rFonts w:cs="Times New Roman"/>
                <w:color w:val="000000"/>
                <w:sz w:val="21"/>
                <w:szCs w:val="21"/>
                <w:highlight w:val="none"/>
              </w:rPr>
            </w:pPr>
          </w:p>
        </w:tc>
        <w:tc>
          <w:tcPr>
            <w:tcW w:w="571" w:type="pct"/>
            <w:vMerge w:val="restart"/>
            <w:tcBorders>
              <w:top w:val="single" w:color="auto" w:sz="4" w:space="0"/>
              <w:left w:val="single" w:color="auto" w:sz="4" w:space="0"/>
              <w:right w:val="single" w:color="auto" w:sz="4" w:space="0"/>
            </w:tcBorders>
            <w:noWrap w:val="0"/>
            <w:vAlign w:val="center"/>
          </w:tcPr>
          <w:p w14:paraId="7557362F">
            <w:pPr>
              <w:widowControl/>
              <w:adjustRightInd w:val="0"/>
              <w:snapToGrid w:val="0"/>
              <w:spacing w:line="240" w:lineRule="auto"/>
              <w:jc w:val="center"/>
              <w:rPr>
                <w:rFonts w:cs="Times New Roman"/>
                <w:color w:val="000000"/>
                <w:sz w:val="21"/>
                <w:szCs w:val="21"/>
                <w:highlight w:val="none"/>
              </w:rPr>
            </w:pPr>
          </w:p>
        </w:tc>
        <w:tc>
          <w:tcPr>
            <w:tcW w:w="532" w:type="pct"/>
            <w:vMerge w:val="restart"/>
            <w:tcBorders>
              <w:top w:val="single" w:color="auto" w:sz="4" w:space="0"/>
              <w:left w:val="single" w:color="auto" w:sz="4" w:space="0"/>
              <w:right w:val="single" w:color="auto" w:sz="4" w:space="0"/>
            </w:tcBorders>
            <w:noWrap w:val="0"/>
            <w:vAlign w:val="center"/>
          </w:tcPr>
          <w:p w14:paraId="49A956A0">
            <w:pPr>
              <w:widowControl/>
              <w:adjustRightInd w:val="0"/>
              <w:snapToGrid w:val="0"/>
              <w:spacing w:line="240" w:lineRule="auto"/>
              <w:rPr>
                <w:rFonts w:cs="Times New Roman"/>
                <w:color w:val="000000"/>
                <w:sz w:val="21"/>
                <w:szCs w:val="21"/>
                <w:highlight w:val="none"/>
              </w:rPr>
            </w:pPr>
          </w:p>
        </w:tc>
      </w:tr>
      <w:tr w14:paraId="5E28D71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24A33C26">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64550BE0">
            <w:pPr>
              <w:adjustRightInd w:val="0"/>
              <w:snapToGrid w:val="0"/>
              <w:spacing w:line="240" w:lineRule="auto"/>
              <w:jc w:val="center"/>
              <w:rPr>
                <w:rFonts w:cs="Times New Roman"/>
                <w:color w:val="00000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6617158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hint="eastAsia" w:cs="Times New Roman"/>
                <w:color w:val="000000"/>
                <w:sz w:val="21"/>
                <w:szCs w:val="21"/>
                <w:highlight w:val="none"/>
              </w:rPr>
              <w:t>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p>
        </w:tc>
        <w:tc>
          <w:tcPr>
            <w:tcW w:w="315" w:type="pct"/>
            <w:vMerge w:val="continue"/>
            <w:tcBorders>
              <w:left w:val="single" w:color="auto" w:sz="4" w:space="0"/>
              <w:right w:val="single" w:color="auto" w:sz="4" w:space="0"/>
            </w:tcBorders>
            <w:noWrap w:val="0"/>
            <w:vAlign w:val="center"/>
          </w:tcPr>
          <w:p w14:paraId="4F6A2125">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19416132">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55039876">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3B7EB8FC">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109CF679">
            <w:pPr>
              <w:widowControl/>
              <w:adjustRightInd w:val="0"/>
              <w:snapToGrid w:val="0"/>
              <w:spacing w:line="240" w:lineRule="auto"/>
              <w:rPr>
                <w:rFonts w:cs="Times New Roman"/>
                <w:color w:val="000000"/>
                <w:sz w:val="21"/>
                <w:szCs w:val="21"/>
                <w:highlight w:val="none"/>
              </w:rPr>
            </w:pPr>
          </w:p>
        </w:tc>
      </w:tr>
      <w:tr w14:paraId="313E917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58E9F31F">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02D4F03A">
            <w:pPr>
              <w:adjustRightInd w:val="0"/>
              <w:snapToGrid w:val="0"/>
              <w:spacing w:line="240" w:lineRule="auto"/>
              <w:jc w:val="center"/>
              <w:rPr>
                <w:rFonts w:cs="Times New Roman"/>
                <w:color w:val="00000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3BE812F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入江风险防控措施，</w:t>
            </w:r>
            <w:r>
              <w:rPr>
                <w:rFonts w:hint="eastAsia" w:cs="Times New Roman"/>
                <w:bCs/>
                <w:color w:val="000000"/>
                <w:kern w:val="0"/>
                <w:sz w:val="21"/>
                <w:szCs w:val="21"/>
                <w:highlight w:val="none"/>
              </w:rPr>
              <w:t>结合风险等级及地块利用类型，制定针对性、可操作的源头管控、过程拦截、应急处置及长效监测措施</w:t>
            </w:r>
          </w:p>
        </w:tc>
        <w:tc>
          <w:tcPr>
            <w:tcW w:w="315" w:type="pct"/>
            <w:vMerge w:val="continue"/>
            <w:tcBorders>
              <w:left w:val="single" w:color="auto" w:sz="4" w:space="0"/>
              <w:right w:val="single" w:color="auto" w:sz="4" w:space="0"/>
            </w:tcBorders>
            <w:noWrap w:val="0"/>
            <w:vAlign w:val="center"/>
          </w:tcPr>
          <w:p w14:paraId="7DD52B3E">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704406F9">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622172A0">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11B117AA">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23E246BF">
            <w:pPr>
              <w:widowControl/>
              <w:adjustRightInd w:val="0"/>
              <w:snapToGrid w:val="0"/>
              <w:spacing w:line="240" w:lineRule="auto"/>
              <w:rPr>
                <w:rFonts w:cs="Times New Roman"/>
                <w:color w:val="000000"/>
                <w:sz w:val="21"/>
                <w:szCs w:val="21"/>
                <w:highlight w:val="none"/>
              </w:rPr>
            </w:pPr>
          </w:p>
        </w:tc>
      </w:tr>
      <w:tr w14:paraId="401EA93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64A4F7DB">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bottom w:val="single" w:color="auto" w:sz="2" w:space="0"/>
              <w:right w:val="single" w:color="auto" w:sz="2" w:space="0"/>
            </w:tcBorders>
            <w:noWrap w:val="0"/>
            <w:vAlign w:val="center"/>
          </w:tcPr>
          <w:p w14:paraId="1F541703">
            <w:pPr>
              <w:adjustRightInd w:val="0"/>
              <w:snapToGrid w:val="0"/>
              <w:spacing w:line="240" w:lineRule="auto"/>
              <w:jc w:val="center"/>
              <w:rPr>
                <w:rFonts w:cs="Times New Roman"/>
                <w:color w:val="00000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0EDF476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风险分析报告编制，</w:t>
            </w:r>
            <w:r>
              <w:rPr>
                <w:rFonts w:hint="eastAsia" w:cs="Times New Roman"/>
                <w:bCs/>
                <w:color w:val="000000"/>
                <w:kern w:val="0"/>
                <w:sz w:val="21"/>
                <w:szCs w:val="21"/>
                <w:highlight w:val="none"/>
              </w:rPr>
              <w:t>编制入江风险分析报告，作为地块开发利用及监管的依据</w:t>
            </w:r>
          </w:p>
        </w:tc>
        <w:tc>
          <w:tcPr>
            <w:tcW w:w="315" w:type="pct"/>
            <w:vMerge w:val="continue"/>
            <w:tcBorders>
              <w:left w:val="single" w:color="auto" w:sz="4" w:space="0"/>
              <w:bottom w:val="single" w:color="auto" w:sz="4" w:space="0"/>
              <w:right w:val="single" w:color="auto" w:sz="4" w:space="0"/>
            </w:tcBorders>
            <w:noWrap w:val="0"/>
            <w:vAlign w:val="center"/>
          </w:tcPr>
          <w:p w14:paraId="5C3924A9">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bottom w:val="single" w:color="auto" w:sz="4" w:space="0"/>
              <w:right w:val="single" w:color="auto" w:sz="4" w:space="0"/>
            </w:tcBorders>
            <w:noWrap w:val="0"/>
            <w:vAlign w:val="center"/>
          </w:tcPr>
          <w:p w14:paraId="1DE625BB">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bottom w:val="single" w:color="auto" w:sz="4" w:space="0"/>
              <w:right w:val="single" w:color="auto" w:sz="4" w:space="0"/>
            </w:tcBorders>
            <w:noWrap w:val="0"/>
            <w:vAlign w:val="center"/>
          </w:tcPr>
          <w:p w14:paraId="5138CBFE">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bottom w:val="single" w:color="auto" w:sz="4" w:space="0"/>
              <w:right w:val="single" w:color="auto" w:sz="4" w:space="0"/>
            </w:tcBorders>
            <w:noWrap w:val="0"/>
            <w:vAlign w:val="center"/>
          </w:tcPr>
          <w:p w14:paraId="343983DC">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bottom w:val="single" w:color="auto" w:sz="4" w:space="0"/>
              <w:right w:val="single" w:color="auto" w:sz="4" w:space="0"/>
            </w:tcBorders>
            <w:noWrap w:val="0"/>
            <w:vAlign w:val="center"/>
          </w:tcPr>
          <w:p w14:paraId="4C12D06A">
            <w:pPr>
              <w:widowControl/>
              <w:adjustRightInd w:val="0"/>
              <w:snapToGrid w:val="0"/>
              <w:spacing w:line="240" w:lineRule="auto"/>
              <w:rPr>
                <w:rFonts w:cs="Times New Roman"/>
                <w:color w:val="000000"/>
                <w:sz w:val="21"/>
                <w:szCs w:val="21"/>
                <w:highlight w:val="none"/>
              </w:rPr>
            </w:pPr>
          </w:p>
        </w:tc>
      </w:tr>
      <w:tr w14:paraId="31B370B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6E3B1B9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6</w:t>
            </w:r>
          </w:p>
        </w:tc>
        <w:tc>
          <w:tcPr>
            <w:tcW w:w="372" w:type="pct"/>
            <w:vMerge w:val="restart"/>
            <w:tcBorders>
              <w:top w:val="single" w:color="auto" w:sz="2" w:space="0"/>
              <w:left w:val="single" w:color="auto" w:sz="2" w:space="0"/>
              <w:right w:val="single" w:color="auto" w:sz="2" w:space="0"/>
            </w:tcBorders>
            <w:noWrap w:val="0"/>
            <w:vAlign w:val="center"/>
          </w:tcPr>
          <w:p w14:paraId="5ECD716B">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风险评估报告编制</w:t>
            </w:r>
          </w:p>
        </w:tc>
        <w:tc>
          <w:tcPr>
            <w:tcW w:w="2150" w:type="pct"/>
            <w:tcBorders>
              <w:top w:val="single" w:color="auto" w:sz="2" w:space="0"/>
              <w:left w:val="single" w:color="auto" w:sz="2" w:space="0"/>
              <w:bottom w:val="single" w:color="auto" w:sz="2" w:space="0"/>
              <w:right w:val="single" w:color="auto" w:sz="2" w:space="0"/>
            </w:tcBorders>
            <w:noWrap w:val="0"/>
            <w:vAlign w:val="center"/>
          </w:tcPr>
          <w:p w14:paraId="47BE3728">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开展危害识别，收集土壤污染状况调查阶段获得的相关资料和数据，掌握地块土壤和地下水中关注污染物的浓度分布，明确规划土地利用方式，分析可能的敏感受体，如儿童、成人、地下水体等。</w:t>
            </w:r>
          </w:p>
        </w:tc>
        <w:tc>
          <w:tcPr>
            <w:tcW w:w="315" w:type="pct"/>
            <w:vMerge w:val="restart"/>
            <w:tcBorders>
              <w:top w:val="single" w:color="auto" w:sz="4" w:space="0"/>
              <w:left w:val="single" w:color="auto" w:sz="4" w:space="0"/>
              <w:right w:val="single" w:color="auto" w:sz="4" w:space="0"/>
            </w:tcBorders>
            <w:noWrap w:val="0"/>
            <w:vAlign w:val="center"/>
          </w:tcPr>
          <w:p w14:paraId="51A1ACC9">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vMerge w:val="restart"/>
            <w:tcBorders>
              <w:top w:val="single" w:color="auto" w:sz="4" w:space="0"/>
              <w:left w:val="single" w:color="auto" w:sz="4" w:space="0"/>
              <w:right w:val="single" w:color="auto" w:sz="4" w:space="0"/>
            </w:tcBorders>
            <w:noWrap w:val="0"/>
            <w:vAlign w:val="center"/>
          </w:tcPr>
          <w:p w14:paraId="30E945E7">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vMerge w:val="restart"/>
            <w:tcBorders>
              <w:top w:val="single" w:color="auto" w:sz="4" w:space="0"/>
              <w:left w:val="single" w:color="auto" w:sz="4" w:space="0"/>
              <w:right w:val="single" w:color="auto" w:sz="4" w:space="0"/>
            </w:tcBorders>
            <w:noWrap w:val="0"/>
            <w:vAlign w:val="center"/>
          </w:tcPr>
          <w:p w14:paraId="61EFDDE2">
            <w:pPr>
              <w:widowControl/>
              <w:adjustRightInd w:val="0"/>
              <w:snapToGrid w:val="0"/>
              <w:spacing w:line="240" w:lineRule="auto"/>
              <w:jc w:val="center"/>
              <w:rPr>
                <w:rFonts w:cs="Times New Roman"/>
                <w:color w:val="000000"/>
                <w:sz w:val="21"/>
                <w:szCs w:val="21"/>
                <w:highlight w:val="none"/>
              </w:rPr>
            </w:pPr>
          </w:p>
        </w:tc>
        <w:tc>
          <w:tcPr>
            <w:tcW w:w="571" w:type="pct"/>
            <w:vMerge w:val="restart"/>
            <w:tcBorders>
              <w:top w:val="single" w:color="auto" w:sz="4" w:space="0"/>
              <w:left w:val="single" w:color="auto" w:sz="4" w:space="0"/>
              <w:right w:val="single" w:color="auto" w:sz="4" w:space="0"/>
            </w:tcBorders>
            <w:noWrap w:val="0"/>
            <w:vAlign w:val="center"/>
          </w:tcPr>
          <w:p w14:paraId="3A30B7C2">
            <w:pPr>
              <w:widowControl/>
              <w:adjustRightInd w:val="0"/>
              <w:snapToGrid w:val="0"/>
              <w:spacing w:line="240" w:lineRule="auto"/>
              <w:jc w:val="center"/>
              <w:rPr>
                <w:rFonts w:cs="Times New Roman"/>
                <w:color w:val="000000"/>
                <w:sz w:val="21"/>
                <w:szCs w:val="21"/>
                <w:highlight w:val="none"/>
              </w:rPr>
            </w:pPr>
          </w:p>
        </w:tc>
        <w:tc>
          <w:tcPr>
            <w:tcW w:w="532" w:type="pct"/>
            <w:vMerge w:val="restart"/>
            <w:tcBorders>
              <w:top w:val="single" w:color="auto" w:sz="4" w:space="0"/>
              <w:left w:val="single" w:color="auto" w:sz="4" w:space="0"/>
              <w:right w:val="single" w:color="auto" w:sz="4" w:space="0"/>
            </w:tcBorders>
            <w:noWrap w:val="0"/>
            <w:vAlign w:val="center"/>
          </w:tcPr>
          <w:p w14:paraId="111B6268">
            <w:pPr>
              <w:widowControl/>
              <w:adjustRightInd w:val="0"/>
              <w:snapToGrid w:val="0"/>
              <w:spacing w:line="240" w:lineRule="auto"/>
              <w:rPr>
                <w:rFonts w:cs="Times New Roman"/>
                <w:color w:val="000000"/>
                <w:sz w:val="21"/>
                <w:szCs w:val="21"/>
                <w:highlight w:val="none"/>
              </w:rPr>
            </w:pPr>
          </w:p>
        </w:tc>
      </w:tr>
      <w:tr w14:paraId="14F150A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14F99337">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580BC3E6">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02CAA889">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暴露评估，在危害识别的基础上，分析地块内关注污染物迁移和危害敏感受体的可能性，确定地块地下水污染物的主要暴露途径和暴露评估模型，确定评估模型参数取值，计算敏感人群对地下水中污染物的暴露量。</w:t>
            </w:r>
          </w:p>
        </w:tc>
        <w:tc>
          <w:tcPr>
            <w:tcW w:w="315" w:type="pct"/>
            <w:vMerge w:val="continue"/>
            <w:tcBorders>
              <w:left w:val="single" w:color="auto" w:sz="4" w:space="0"/>
              <w:right w:val="single" w:color="auto" w:sz="4" w:space="0"/>
            </w:tcBorders>
            <w:noWrap w:val="0"/>
            <w:vAlign w:val="center"/>
          </w:tcPr>
          <w:p w14:paraId="4826C32A">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6E1E6FA3">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120BAF2E">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4A50E025">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64C9A8DB">
            <w:pPr>
              <w:widowControl/>
              <w:adjustRightInd w:val="0"/>
              <w:snapToGrid w:val="0"/>
              <w:spacing w:line="240" w:lineRule="auto"/>
              <w:rPr>
                <w:rFonts w:cs="Times New Roman"/>
                <w:color w:val="000000"/>
                <w:sz w:val="21"/>
                <w:szCs w:val="21"/>
                <w:highlight w:val="none"/>
              </w:rPr>
            </w:pPr>
          </w:p>
        </w:tc>
      </w:tr>
      <w:tr w14:paraId="1CEB41F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4EB365DE">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13B66759">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0FEEE0C3">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开展毒性评估，在危害识别的基础上，分析关注污染物对人体健康的危害效应，包括致癌效应和非致癌效应，确定与关注污染物相关的参数，包括参考剂量、参考浓度、致癌斜率因子和呼吸吸入单位致癌因子等。</w:t>
            </w:r>
          </w:p>
        </w:tc>
        <w:tc>
          <w:tcPr>
            <w:tcW w:w="315" w:type="pct"/>
            <w:vMerge w:val="continue"/>
            <w:tcBorders>
              <w:left w:val="single" w:color="auto" w:sz="4" w:space="0"/>
              <w:right w:val="single" w:color="auto" w:sz="4" w:space="0"/>
            </w:tcBorders>
            <w:noWrap w:val="0"/>
            <w:vAlign w:val="center"/>
          </w:tcPr>
          <w:p w14:paraId="1B008690">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245E62B3">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51012DED">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2EBDB553">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0486231B">
            <w:pPr>
              <w:widowControl/>
              <w:adjustRightInd w:val="0"/>
              <w:snapToGrid w:val="0"/>
              <w:spacing w:line="240" w:lineRule="auto"/>
              <w:rPr>
                <w:rFonts w:cs="Times New Roman"/>
                <w:color w:val="000000"/>
                <w:sz w:val="21"/>
                <w:szCs w:val="21"/>
                <w:highlight w:val="none"/>
              </w:rPr>
            </w:pPr>
          </w:p>
        </w:tc>
      </w:tr>
      <w:tr w14:paraId="42B4338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30C0E64E">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3CDA2CEC">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6FEDB0F4">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开展风险表征，在暴露评估和毒性评估的基础上，采用风险评估模型计算土壤和地下水中单一污染物经单一途径的致癌风险和危害商，计算单一污染物的总致癌风险和危害商，进行不确定性分析。</w:t>
            </w:r>
          </w:p>
        </w:tc>
        <w:tc>
          <w:tcPr>
            <w:tcW w:w="315" w:type="pct"/>
            <w:vMerge w:val="continue"/>
            <w:tcBorders>
              <w:left w:val="single" w:color="auto" w:sz="4" w:space="0"/>
              <w:right w:val="single" w:color="auto" w:sz="4" w:space="0"/>
            </w:tcBorders>
            <w:noWrap w:val="0"/>
            <w:vAlign w:val="center"/>
          </w:tcPr>
          <w:p w14:paraId="5D5CC521">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2ED96A14">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4CD9DAC6">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5F7C46B7">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276E7DA3">
            <w:pPr>
              <w:widowControl/>
              <w:adjustRightInd w:val="0"/>
              <w:snapToGrid w:val="0"/>
              <w:spacing w:line="240" w:lineRule="auto"/>
              <w:rPr>
                <w:rFonts w:cs="Times New Roman"/>
                <w:color w:val="000000"/>
                <w:sz w:val="21"/>
                <w:szCs w:val="21"/>
                <w:highlight w:val="none"/>
              </w:rPr>
            </w:pPr>
          </w:p>
        </w:tc>
      </w:tr>
      <w:tr w14:paraId="704E512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75"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0D8F24B4">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bottom w:val="single" w:color="auto" w:sz="2" w:space="0"/>
              <w:right w:val="single" w:color="auto" w:sz="2" w:space="0"/>
            </w:tcBorders>
            <w:noWrap w:val="0"/>
            <w:vAlign w:val="center"/>
          </w:tcPr>
          <w:p w14:paraId="7418C900">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50CAFDE5">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p>
        </w:tc>
        <w:tc>
          <w:tcPr>
            <w:tcW w:w="315" w:type="pct"/>
            <w:vMerge w:val="continue"/>
            <w:tcBorders>
              <w:left w:val="single" w:color="auto" w:sz="4" w:space="0"/>
              <w:bottom w:val="single" w:color="auto" w:sz="4" w:space="0"/>
              <w:right w:val="single" w:color="auto" w:sz="4" w:space="0"/>
            </w:tcBorders>
            <w:noWrap w:val="0"/>
            <w:vAlign w:val="center"/>
          </w:tcPr>
          <w:p w14:paraId="7ADCD4D9">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bottom w:val="single" w:color="auto" w:sz="4" w:space="0"/>
              <w:right w:val="single" w:color="auto" w:sz="4" w:space="0"/>
            </w:tcBorders>
            <w:noWrap w:val="0"/>
            <w:vAlign w:val="center"/>
          </w:tcPr>
          <w:p w14:paraId="044A7999">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bottom w:val="single" w:color="auto" w:sz="4" w:space="0"/>
              <w:right w:val="single" w:color="auto" w:sz="4" w:space="0"/>
            </w:tcBorders>
            <w:noWrap w:val="0"/>
            <w:vAlign w:val="center"/>
          </w:tcPr>
          <w:p w14:paraId="6E2F67BE">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bottom w:val="single" w:color="auto" w:sz="4" w:space="0"/>
              <w:right w:val="single" w:color="auto" w:sz="4" w:space="0"/>
            </w:tcBorders>
            <w:noWrap w:val="0"/>
            <w:vAlign w:val="center"/>
          </w:tcPr>
          <w:p w14:paraId="650B1135">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bottom w:val="single" w:color="auto" w:sz="4" w:space="0"/>
              <w:right w:val="single" w:color="auto" w:sz="4" w:space="0"/>
            </w:tcBorders>
            <w:noWrap w:val="0"/>
            <w:vAlign w:val="center"/>
          </w:tcPr>
          <w:p w14:paraId="6D362681">
            <w:pPr>
              <w:widowControl/>
              <w:adjustRightInd w:val="0"/>
              <w:snapToGrid w:val="0"/>
              <w:spacing w:line="240" w:lineRule="auto"/>
              <w:rPr>
                <w:rFonts w:cs="Times New Roman"/>
                <w:color w:val="000000"/>
                <w:sz w:val="21"/>
                <w:szCs w:val="21"/>
                <w:highlight w:val="none"/>
              </w:rPr>
            </w:pPr>
          </w:p>
        </w:tc>
      </w:tr>
      <w:tr w14:paraId="7669ED8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4" w:space="0"/>
            </w:tcBorders>
            <w:noWrap w:val="0"/>
            <w:vAlign w:val="center"/>
          </w:tcPr>
          <w:p w14:paraId="7A6FCBB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7</w:t>
            </w:r>
          </w:p>
        </w:tc>
        <w:tc>
          <w:tcPr>
            <w:tcW w:w="372" w:type="pct"/>
            <w:vMerge w:val="restart"/>
            <w:tcBorders>
              <w:top w:val="single" w:color="auto" w:sz="4" w:space="0"/>
              <w:left w:val="single" w:color="auto" w:sz="4" w:space="0"/>
              <w:right w:val="single" w:color="auto" w:sz="4" w:space="0"/>
            </w:tcBorders>
            <w:noWrap w:val="0"/>
            <w:vAlign w:val="center"/>
          </w:tcPr>
          <w:p w14:paraId="2CC173A5">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风险评估报告专家费、会务费、</w:t>
            </w:r>
            <w:r>
              <w:rPr>
                <w:rFonts w:hint="eastAsia" w:eastAsia="宋体" w:cs="Times New Roman"/>
                <w:bCs/>
                <w:color w:val="000000"/>
                <w:kern w:val="0"/>
                <w:sz w:val="21"/>
                <w:szCs w:val="21"/>
                <w:highlight w:val="none"/>
                <w:lang w:val="en-US" w:eastAsia="zh-CN"/>
              </w:rPr>
              <w:t>彩色</w:t>
            </w:r>
            <w:r>
              <w:rPr>
                <w:rFonts w:cs="Times New Roman"/>
                <w:bCs/>
                <w:color w:val="000000"/>
                <w:kern w:val="0"/>
                <w:sz w:val="21"/>
                <w:szCs w:val="21"/>
                <w:highlight w:val="none"/>
              </w:rPr>
              <w:t>打印费等</w:t>
            </w:r>
          </w:p>
        </w:tc>
        <w:tc>
          <w:tcPr>
            <w:tcW w:w="2150" w:type="pct"/>
            <w:tcBorders>
              <w:top w:val="single" w:color="auto" w:sz="2" w:space="0"/>
              <w:left w:val="single" w:color="auto" w:sz="4" w:space="0"/>
              <w:bottom w:val="single" w:color="auto" w:sz="4" w:space="0"/>
              <w:right w:val="single" w:color="auto" w:sz="4" w:space="0"/>
            </w:tcBorders>
            <w:noWrap w:val="0"/>
            <w:vAlign w:val="center"/>
          </w:tcPr>
          <w:p w14:paraId="5443F201">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28F11CEA">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04B5BA1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22923B89">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33A34DEB">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79C34A50">
            <w:pPr>
              <w:widowControl/>
              <w:adjustRightInd w:val="0"/>
              <w:snapToGrid w:val="0"/>
              <w:spacing w:line="240" w:lineRule="auto"/>
              <w:rPr>
                <w:rFonts w:cs="Times New Roman"/>
                <w:color w:val="000000"/>
                <w:sz w:val="21"/>
                <w:szCs w:val="21"/>
                <w:highlight w:val="none"/>
              </w:rPr>
            </w:pPr>
          </w:p>
        </w:tc>
      </w:tr>
      <w:tr w14:paraId="4F8CBA5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4" w:space="0"/>
            </w:tcBorders>
            <w:noWrap w:val="0"/>
            <w:vAlign w:val="center"/>
          </w:tcPr>
          <w:p w14:paraId="1795BC3E">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4" w:space="0"/>
              <w:bottom w:val="single" w:color="auto" w:sz="4" w:space="0"/>
              <w:right w:val="single" w:color="auto" w:sz="4" w:space="0"/>
            </w:tcBorders>
            <w:noWrap w:val="0"/>
            <w:vAlign w:val="center"/>
          </w:tcPr>
          <w:p w14:paraId="0DC70547">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4" w:space="0"/>
              <w:bottom w:val="single" w:color="auto" w:sz="4" w:space="0"/>
              <w:right w:val="single" w:color="auto" w:sz="4" w:space="0"/>
            </w:tcBorders>
            <w:noWrap w:val="0"/>
            <w:vAlign w:val="center"/>
          </w:tcPr>
          <w:p w14:paraId="2851BFC4">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省生态环境厅至少邀请5名业内专家及相关部门领导，组织召开专家评审会</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7BC1E9EF">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58A3340E">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4CC01A31">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1F64A1C7">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437271C8">
            <w:pPr>
              <w:widowControl/>
              <w:adjustRightInd w:val="0"/>
              <w:snapToGrid w:val="0"/>
              <w:spacing w:line="240" w:lineRule="auto"/>
              <w:rPr>
                <w:rFonts w:cs="Times New Roman"/>
                <w:color w:val="000000"/>
                <w:sz w:val="21"/>
                <w:szCs w:val="21"/>
                <w:highlight w:val="none"/>
              </w:rPr>
            </w:pPr>
          </w:p>
        </w:tc>
      </w:tr>
      <w:tr w14:paraId="0008CE1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1257" w:hRule="atLeast"/>
          <w:jc w:val="center"/>
        </w:trPr>
        <w:tc>
          <w:tcPr>
            <w:tcW w:w="3896" w:type="pct"/>
            <w:gridSpan w:val="6"/>
            <w:tcBorders>
              <w:top w:val="single" w:color="auto" w:sz="2" w:space="0"/>
              <w:left w:val="single" w:color="auto" w:sz="2" w:space="0"/>
              <w:bottom w:val="single" w:color="auto" w:sz="4" w:space="0"/>
              <w:right w:val="single" w:color="auto" w:sz="4" w:space="0"/>
            </w:tcBorders>
            <w:noWrap w:val="0"/>
            <w:vAlign w:val="center"/>
          </w:tcPr>
          <w:p w14:paraId="18D3E2E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合计</w:t>
            </w:r>
          </w:p>
        </w:tc>
        <w:tc>
          <w:tcPr>
            <w:tcW w:w="571" w:type="pct"/>
            <w:tcBorders>
              <w:top w:val="single" w:color="auto" w:sz="4" w:space="0"/>
              <w:left w:val="single" w:color="auto" w:sz="4" w:space="0"/>
              <w:bottom w:val="single" w:color="auto" w:sz="4" w:space="0"/>
              <w:right w:val="single" w:color="auto" w:sz="4" w:space="0"/>
            </w:tcBorders>
            <w:noWrap w:val="0"/>
            <w:vAlign w:val="center"/>
          </w:tcPr>
          <w:p w14:paraId="7CAD14DB">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1E471D9F">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w:t>
            </w:r>
          </w:p>
        </w:tc>
      </w:tr>
    </w:tbl>
    <w:p w14:paraId="6C10D1FE">
      <w:pPr>
        <w:jc w:val="center"/>
        <w:rPr>
          <w:rFonts w:cs="Times New Roman"/>
          <w:b/>
          <w:bCs/>
          <w:color w:val="000000"/>
          <w:kern w:val="0"/>
          <w:highlight w:val="none"/>
        </w:rPr>
      </w:pPr>
      <w:r>
        <w:rPr>
          <w:rFonts w:cs="Times New Roman"/>
          <w:b/>
          <w:bCs/>
          <w:color w:val="000000"/>
          <w:kern w:val="0"/>
          <w:highlight w:val="none"/>
        </w:rPr>
        <w:br w:type="page"/>
      </w:r>
      <w:r>
        <w:rPr>
          <w:rFonts w:cs="Times New Roman"/>
          <w:b/>
          <w:bCs/>
          <w:color w:val="000000"/>
          <w:kern w:val="0"/>
          <w:highlight w:val="none"/>
        </w:rPr>
        <w:t>表3  原南京科思化学有限公司地块风险评估项目费用报价明细表</w:t>
      </w:r>
    </w:p>
    <w:tbl>
      <w:tblPr>
        <w:tblStyle w:val="51"/>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0" w:type="dxa"/>
          <w:bottom w:w="0" w:type="dxa"/>
          <w:right w:w="0" w:type="dxa"/>
        </w:tblCellMar>
      </w:tblPr>
      <w:tblGrid>
        <w:gridCol w:w="519"/>
        <w:gridCol w:w="915"/>
        <w:gridCol w:w="6198"/>
        <w:gridCol w:w="910"/>
        <w:gridCol w:w="963"/>
        <w:gridCol w:w="1520"/>
        <w:gridCol w:w="1639"/>
        <w:gridCol w:w="1458"/>
      </w:tblGrid>
      <w:tr w14:paraId="206A9DF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PrEx>
        <w:trPr>
          <w:trHeight w:val="20" w:hRule="atLeast"/>
          <w:jc w:val="center"/>
        </w:trPr>
        <w:tc>
          <w:tcPr>
            <w:tcW w:w="184" w:type="pct"/>
            <w:tcBorders>
              <w:top w:val="single" w:color="auto" w:sz="8" w:space="0"/>
              <w:left w:val="single" w:color="auto" w:sz="8" w:space="0"/>
              <w:bottom w:val="single" w:color="auto" w:sz="2" w:space="0"/>
              <w:right w:val="single" w:color="auto" w:sz="2" w:space="0"/>
            </w:tcBorders>
            <w:noWrap w:val="0"/>
            <w:vAlign w:val="center"/>
          </w:tcPr>
          <w:p w14:paraId="5C8D5CAE">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序号</w:t>
            </w:r>
          </w:p>
        </w:tc>
        <w:tc>
          <w:tcPr>
            <w:tcW w:w="324" w:type="pct"/>
            <w:tcBorders>
              <w:top w:val="single" w:color="auto" w:sz="8" w:space="0"/>
              <w:left w:val="single" w:color="auto" w:sz="2" w:space="0"/>
              <w:bottom w:val="single" w:color="auto" w:sz="2" w:space="0"/>
              <w:right w:val="single" w:color="auto" w:sz="2" w:space="0"/>
            </w:tcBorders>
            <w:noWrap w:val="0"/>
            <w:vAlign w:val="center"/>
          </w:tcPr>
          <w:p w14:paraId="704545C9">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w:t>
            </w:r>
            <w:r>
              <w:rPr>
                <w:rFonts w:hint="eastAsia" w:cs="Times New Roman"/>
                <w:b/>
                <w:color w:val="000000"/>
                <w:sz w:val="21"/>
                <w:szCs w:val="21"/>
                <w:highlight w:val="none"/>
              </w:rPr>
              <w:t>分类</w:t>
            </w:r>
          </w:p>
        </w:tc>
        <w:tc>
          <w:tcPr>
            <w:tcW w:w="2194" w:type="pct"/>
            <w:tcBorders>
              <w:top w:val="single" w:color="auto" w:sz="8" w:space="0"/>
              <w:left w:val="single" w:color="auto" w:sz="2" w:space="0"/>
              <w:bottom w:val="single" w:color="auto" w:sz="2" w:space="0"/>
              <w:right w:val="single" w:color="auto" w:sz="2" w:space="0"/>
            </w:tcBorders>
            <w:noWrap w:val="0"/>
            <w:vAlign w:val="center"/>
          </w:tcPr>
          <w:p w14:paraId="206234F4">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工作内容</w:t>
            </w:r>
          </w:p>
        </w:tc>
        <w:tc>
          <w:tcPr>
            <w:tcW w:w="322" w:type="pct"/>
            <w:tcBorders>
              <w:top w:val="single" w:color="auto" w:sz="8" w:space="0"/>
              <w:left w:val="single" w:color="auto" w:sz="2" w:space="0"/>
              <w:bottom w:val="single" w:color="auto" w:sz="4" w:space="0"/>
              <w:right w:val="single" w:color="auto" w:sz="2" w:space="0"/>
            </w:tcBorders>
            <w:noWrap w:val="0"/>
            <w:vAlign w:val="center"/>
          </w:tcPr>
          <w:p w14:paraId="6B7776CB">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计量</w:t>
            </w:r>
          </w:p>
          <w:p w14:paraId="4221B9E8">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单位</w:t>
            </w:r>
          </w:p>
        </w:tc>
        <w:tc>
          <w:tcPr>
            <w:tcW w:w="341" w:type="pct"/>
            <w:tcBorders>
              <w:top w:val="single" w:color="auto" w:sz="8" w:space="0"/>
              <w:left w:val="single" w:color="auto" w:sz="2" w:space="0"/>
              <w:bottom w:val="single" w:color="auto" w:sz="4" w:space="0"/>
              <w:right w:val="single" w:color="auto" w:sz="2" w:space="0"/>
            </w:tcBorders>
            <w:noWrap w:val="0"/>
            <w:vAlign w:val="center"/>
          </w:tcPr>
          <w:p w14:paraId="31BBBEB9">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数量</w:t>
            </w:r>
          </w:p>
        </w:tc>
        <w:tc>
          <w:tcPr>
            <w:tcW w:w="537" w:type="pct"/>
            <w:tcBorders>
              <w:top w:val="single" w:color="auto" w:sz="8" w:space="0"/>
              <w:left w:val="single" w:color="auto" w:sz="2" w:space="0"/>
              <w:bottom w:val="single" w:color="auto" w:sz="4" w:space="0"/>
              <w:right w:val="single" w:color="auto" w:sz="2" w:space="0"/>
            </w:tcBorders>
            <w:noWrap w:val="0"/>
            <w:vAlign w:val="center"/>
          </w:tcPr>
          <w:p w14:paraId="05EAE019">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单价</w:t>
            </w:r>
          </w:p>
          <w:p w14:paraId="1FE8DA8D">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80" w:type="pct"/>
            <w:tcBorders>
              <w:top w:val="single" w:color="auto" w:sz="8" w:space="0"/>
              <w:left w:val="single" w:color="auto" w:sz="2" w:space="0"/>
              <w:bottom w:val="single" w:color="auto" w:sz="4" w:space="0"/>
              <w:right w:val="single" w:color="auto" w:sz="8" w:space="0"/>
            </w:tcBorders>
            <w:noWrap w:val="0"/>
            <w:vAlign w:val="center"/>
          </w:tcPr>
          <w:p w14:paraId="372A0688">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小计</w:t>
            </w:r>
          </w:p>
          <w:p w14:paraId="0E0B6BD6">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16" w:type="pct"/>
            <w:tcBorders>
              <w:top w:val="single" w:color="auto" w:sz="8" w:space="0"/>
              <w:left w:val="single" w:color="auto" w:sz="2" w:space="0"/>
              <w:bottom w:val="single" w:color="auto" w:sz="4" w:space="0"/>
              <w:right w:val="single" w:color="auto" w:sz="8" w:space="0"/>
            </w:tcBorders>
            <w:noWrap w:val="0"/>
            <w:vAlign w:val="center"/>
          </w:tcPr>
          <w:p w14:paraId="02E01801">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备注</w:t>
            </w:r>
          </w:p>
        </w:tc>
      </w:tr>
      <w:tr w14:paraId="3A70CF2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785017EE">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1</w:t>
            </w:r>
          </w:p>
        </w:tc>
        <w:tc>
          <w:tcPr>
            <w:tcW w:w="324" w:type="pct"/>
            <w:vMerge w:val="restart"/>
            <w:tcBorders>
              <w:top w:val="single" w:color="auto" w:sz="4" w:space="0"/>
              <w:left w:val="single" w:color="auto" w:sz="2" w:space="0"/>
              <w:right w:val="single" w:color="auto" w:sz="2" w:space="0"/>
            </w:tcBorders>
            <w:noWrap w:val="0"/>
            <w:vAlign w:val="center"/>
          </w:tcPr>
          <w:p w14:paraId="12AE496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水文地质勘察</w:t>
            </w:r>
          </w:p>
        </w:tc>
        <w:tc>
          <w:tcPr>
            <w:tcW w:w="2194" w:type="pct"/>
            <w:tcBorders>
              <w:top w:val="single" w:color="auto" w:sz="4" w:space="0"/>
              <w:left w:val="single" w:color="auto" w:sz="2" w:space="0"/>
              <w:bottom w:val="single" w:color="auto" w:sz="4" w:space="0"/>
              <w:right w:val="single" w:color="auto" w:sz="4" w:space="0"/>
            </w:tcBorders>
            <w:noWrap w:val="0"/>
            <w:vAlign w:val="center"/>
          </w:tcPr>
          <w:p w14:paraId="5CD4764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钻探，布设4个钻孔点位，单个点位钻孔深度达到40m，需钻探至中风化层</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1ADB633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26505D2B">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11766D4D">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0027AA5C">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EECECA3">
            <w:pPr>
              <w:widowControl/>
              <w:adjustRightInd w:val="0"/>
              <w:snapToGrid w:val="0"/>
              <w:spacing w:line="240" w:lineRule="auto"/>
              <w:rPr>
                <w:rFonts w:cs="Times New Roman"/>
                <w:color w:val="000000"/>
                <w:sz w:val="21"/>
                <w:szCs w:val="21"/>
                <w:highlight w:val="none"/>
              </w:rPr>
            </w:pPr>
          </w:p>
        </w:tc>
      </w:tr>
      <w:tr w14:paraId="166E740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3147A33E">
            <w:pPr>
              <w:adjustRightInd w:val="0"/>
              <w:snapToGrid w:val="0"/>
              <w:spacing w:line="240" w:lineRule="auto"/>
              <w:jc w:val="center"/>
              <w:rPr>
                <w:rFonts w:cs="Times New Roman"/>
                <w:bCs/>
                <w:color w:val="000000"/>
                <w:kern w:val="0"/>
                <w:sz w:val="21"/>
                <w:szCs w:val="21"/>
                <w:highlight w:val="none"/>
              </w:rPr>
            </w:pPr>
          </w:p>
        </w:tc>
        <w:tc>
          <w:tcPr>
            <w:tcW w:w="324" w:type="pct"/>
            <w:vMerge w:val="continue"/>
            <w:tcBorders>
              <w:left w:val="single" w:color="auto" w:sz="2" w:space="0"/>
              <w:right w:val="single" w:color="auto" w:sz="2" w:space="0"/>
            </w:tcBorders>
            <w:noWrap w:val="0"/>
            <w:vAlign w:val="center"/>
          </w:tcPr>
          <w:p w14:paraId="6E2F89FC">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7BA7B6C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建设地下水井，用于抽水试验及流场确定等，布设4个钻孔点位，单个点位建井深度达到40m，需钻探至中风化层</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0D37545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41DB0CE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19DBF2C0">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35D4551A">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49C3983">
            <w:pPr>
              <w:widowControl/>
              <w:adjustRightInd w:val="0"/>
              <w:snapToGrid w:val="0"/>
              <w:spacing w:line="240" w:lineRule="auto"/>
              <w:rPr>
                <w:rFonts w:cs="Times New Roman"/>
                <w:color w:val="000000"/>
                <w:sz w:val="21"/>
                <w:szCs w:val="21"/>
                <w:highlight w:val="none"/>
              </w:rPr>
            </w:pPr>
          </w:p>
        </w:tc>
      </w:tr>
      <w:tr w14:paraId="52D15BB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3EB58A5A">
            <w:pPr>
              <w:adjustRightInd w:val="0"/>
              <w:snapToGrid w:val="0"/>
              <w:spacing w:line="240" w:lineRule="auto"/>
              <w:jc w:val="center"/>
              <w:rPr>
                <w:rFonts w:cs="Times New Roman"/>
                <w:bCs/>
                <w:color w:val="000000"/>
                <w:kern w:val="0"/>
                <w:sz w:val="21"/>
                <w:szCs w:val="21"/>
                <w:highlight w:val="none"/>
              </w:rPr>
            </w:pPr>
          </w:p>
        </w:tc>
        <w:tc>
          <w:tcPr>
            <w:tcW w:w="324" w:type="pct"/>
            <w:vMerge w:val="continue"/>
            <w:tcBorders>
              <w:left w:val="single" w:color="auto" w:sz="2" w:space="0"/>
              <w:right w:val="single" w:color="auto" w:sz="2" w:space="0"/>
            </w:tcBorders>
            <w:noWrap w:val="0"/>
            <w:vAlign w:val="center"/>
          </w:tcPr>
          <w:p w14:paraId="72B3346D">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5F06072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土工试验，包括土壤有机质含量、含水率、孔隙度、渗透系数、土壤颗粒密度、土壤容重等参数的测定，每个点位采集</w:t>
            </w:r>
            <w:r>
              <w:rPr>
                <w:rFonts w:hint="eastAsia" w:cs="Times New Roman"/>
                <w:color w:val="000000"/>
                <w:sz w:val="21"/>
                <w:szCs w:val="21"/>
                <w:highlight w:val="none"/>
              </w:rPr>
              <w:t>4个土工试验样品，共需送检16个土工试验样品</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6EE51884">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0D3044FA">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49C76F40">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0DBE55FD">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A6E68B8">
            <w:pPr>
              <w:widowControl/>
              <w:adjustRightInd w:val="0"/>
              <w:snapToGrid w:val="0"/>
              <w:spacing w:line="240" w:lineRule="auto"/>
              <w:rPr>
                <w:rFonts w:cs="Times New Roman"/>
                <w:color w:val="000000"/>
                <w:sz w:val="21"/>
                <w:szCs w:val="21"/>
                <w:highlight w:val="none"/>
              </w:rPr>
            </w:pPr>
          </w:p>
        </w:tc>
      </w:tr>
      <w:tr w14:paraId="03078FE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7A96DB9E">
            <w:pPr>
              <w:adjustRightInd w:val="0"/>
              <w:snapToGrid w:val="0"/>
              <w:spacing w:line="240" w:lineRule="auto"/>
              <w:jc w:val="center"/>
              <w:rPr>
                <w:rFonts w:cs="Times New Roman"/>
                <w:bCs/>
                <w:color w:val="000000"/>
                <w:kern w:val="0"/>
                <w:sz w:val="21"/>
                <w:szCs w:val="21"/>
                <w:highlight w:val="none"/>
              </w:rPr>
            </w:pPr>
          </w:p>
        </w:tc>
        <w:tc>
          <w:tcPr>
            <w:tcW w:w="324" w:type="pct"/>
            <w:vMerge w:val="continue"/>
            <w:tcBorders>
              <w:left w:val="single" w:color="auto" w:sz="2" w:space="0"/>
              <w:right w:val="single" w:color="auto" w:sz="2" w:space="0"/>
            </w:tcBorders>
            <w:noWrap w:val="0"/>
            <w:vAlign w:val="center"/>
          </w:tcPr>
          <w:p w14:paraId="0C24DB66">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271F226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抽水试验，需要</w:t>
            </w:r>
            <w:r>
              <w:rPr>
                <w:rFonts w:hint="eastAsia" w:cs="Times New Roman"/>
                <w:color w:val="000000"/>
                <w:sz w:val="21"/>
                <w:szCs w:val="21"/>
                <w:highlight w:val="none"/>
              </w:rPr>
              <w:t>2个台班</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4594E586">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台班</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565E31B8">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79A24539">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5070D211">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6BA0E81A">
            <w:pPr>
              <w:widowControl/>
              <w:adjustRightInd w:val="0"/>
              <w:snapToGrid w:val="0"/>
              <w:spacing w:line="240" w:lineRule="auto"/>
              <w:rPr>
                <w:rFonts w:cs="Times New Roman"/>
                <w:color w:val="000000"/>
                <w:sz w:val="21"/>
                <w:szCs w:val="21"/>
                <w:highlight w:val="none"/>
              </w:rPr>
            </w:pPr>
          </w:p>
        </w:tc>
      </w:tr>
      <w:tr w14:paraId="301153D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7AEEF732">
            <w:pPr>
              <w:adjustRightInd w:val="0"/>
              <w:snapToGrid w:val="0"/>
              <w:spacing w:line="240" w:lineRule="auto"/>
              <w:jc w:val="center"/>
              <w:rPr>
                <w:rFonts w:cs="Times New Roman"/>
                <w:bCs/>
                <w:color w:val="000000"/>
                <w:kern w:val="0"/>
                <w:sz w:val="21"/>
                <w:szCs w:val="21"/>
                <w:highlight w:val="none"/>
              </w:rPr>
            </w:pPr>
          </w:p>
        </w:tc>
        <w:tc>
          <w:tcPr>
            <w:tcW w:w="324" w:type="pct"/>
            <w:vMerge w:val="continue"/>
            <w:tcBorders>
              <w:left w:val="single" w:color="auto" w:sz="2" w:space="0"/>
              <w:bottom w:val="single" w:color="auto" w:sz="4" w:space="0"/>
              <w:right w:val="single" w:color="auto" w:sz="2" w:space="0"/>
            </w:tcBorders>
            <w:noWrap w:val="0"/>
            <w:vAlign w:val="center"/>
          </w:tcPr>
          <w:p w14:paraId="092DB20C">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40C158F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完成水文地质勘察报告（明确地层结构、地下水特征、地下水与长江水力联系、区域地下水补给、径流、排泄规律，以及对应长江河段的水质现状，水文特征等）</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3ED3CE8B">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61BD898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03906E7A">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56E81457">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6C5962B">
            <w:pPr>
              <w:widowControl/>
              <w:adjustRightInd w:val="0"/>
              <w:snapToGrid w:val="0"/>
              <w:spacing w:line="240" w:lineRule="auto"/>
              <w:rPr>
                <w:rFonts w:cs="Times New Roman"/>
                <w:color w:val="000000"/>
                <w:sz w:val="21"/>
                <w:szCs w:val="21"/>
                <w:highlight w:val="none"/>
              </w:rPr>
            </w:pPr>
          </w:p>
        </w:tc>
      </w:tr>
      <w:tr w14:paraId="2784E40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tcBorders>
              <w:top w:val="single" w:color="auto" w:sz="4" w:space="0"/>
              <w:left w:val="single" w:color="auto" w:sz="8" w:space="0"/>
              <w:bottom w:val="single" w:color="auto" w:sz="4" w:space="0"/>
              <w:right w:val="single" w:color="auto" w:sz="2" w:space="0"/>
            </w:tcBorders>
            <w:noWrap w:val="0"/>
            <w:vAlign w:val="center"/>
          </w:tcPr>
          <w:p w14:paraId="3EF016C6">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2</w:t>
            </w:r>
          </w:p>
        </w:tc>
        <w:tc>
          <w:tcPr>
            <w:tcW w:w="324" w:type="pct"/>
            <w:tcBorders>
              <w:top w:val="single" w:color="auto" w:sz="4" w:space="0"/>
              <w:left w:val="single" w:color="auto" w:sz="2" w:space="0"/>
              <w:bottom w:val="single" w:color="auto" w:sz="4" w:space="0"/>
              <w:right w:val="single" w:color="auto" w:sz="2" w:space="0"/>
            </w:tcBorders>
            <w:noWrap w:val="0"/>
            <w:vAlign w:val="center"/>
          </w:tcPr>
          <w:p w14:paraId="11E866B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补充调查方案制定</w:t>
            </w:r>
          </w:p>
        </w:tc>
        <w:tc>
          <w:tcPr>
            <w:tcW w:w="2194" w:type="pct"/>
            <w:tcBorders>
              <w:top w:val="single" w:color="auto" w:sz="4" w:space="0"/>
              <w:left w:val="single" w:color="auto" w:sz="2" w:space="0"/>
              <w:bottom w:val="single" w:color="auto" w:sz="4" w:space="0"/>
              <w:right w:val="single" w:color="auto" w:sz="4" w:space="0"/>
            </w:tcBorders>
            <w:noWrap w:val="0"/>
            <w:vAlign w:val="center"/>
          </w:tcPr>
          <w:p w14:paraId="6E03485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根据科思化学地块的资料分析结果，制定科思化学地块的补充调查方案</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2A6E2DB9">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757A37C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3CCA340E">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0C4DA990">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C7172FC">
            <w:pPr>
              <w:widowControl/>
              <w:adjustRightInd w:val="0"/>
              <w:snapToGrid w:val="0"/>
              <w:spacing w:line="240" w:lineRule="auto"/>
              <w:rPr>
                <w:rFonts w:cs="Times New Roman"/>
                <w:color w:val="000000"/>
                <w:sz w:val="21"/>
                <w:szCs w:val="21"/>
                <w:highlight w:val="none"/>
              </w:rPr>
            </w:pPr>
          </w:p>
        </w:tc>
      </w:tr>
      <w:tr w14:paraId="455948A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06ADDF7B">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3</w:t>
            </w:r>
          </w:p>
        </w:tc>
        <w:tc>
          <w:tcPr>
            <w:tcW w:w="324" w:type="pct"/>
            <w:vMerge w:val="restart"/>
            <w:tcBorders>
              <w:top w:val="single" w:color="auto" w:sz="4" w:space="0"/>
              <w:left w:val="single" w:color="auto" w:sz="2" w:space="0"/>
              <w:right w:val="single" w:color="auto" w:sz="2" w:space="0"/>
            </w:tcBorders>
            <w:noWrap w:val="0"/>
            <w:vAlign w:val="center"/>
          </w:tcPr>
          <w:p w14:paraId="0C779CA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现场钻探及采样费用</w:t>
            </w:r>
          </w:p>
        </w:tc>
        <w:tc>
          <w:tcPr>
            <w:tcW w:w="2194" w:type="pct"/>
            <w:tcBorders>
              <w:top w:val="single" w:color="auto" w:sz="4" w:space="0"/>
              <w:left w:val="single" w:color="auto" w:sz="2" w:space="0"/>
              <w:bottom w:val="single" w:color="auto" w:sz="4" w:space="0"/>
              <w:right w:val="single" w:color="auto" w:sz="4" w:space="0"/>
            </w:tcBorders>
            <w:noWrap w:val="0"/>
            <w:vAlign w:val="center"/>
          </w:tcPr>
          <w:p w14:paraId="0F2A89A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科思化学地块补充调查的钻探及采样工作，包括土壤钻探以及土壤样品采集（钻探深度至少为</w:t>
            </w:r>
            <w:r>
              <w:rPr>
                <w:rFonts w:hint="eastAsia" w:cs="Times New Roman"/>
                <w:color w:val="000000"/>
                <w:sz w:val="21"/>
                <w:szCs w:val="21"/>
                <w:highlight w:val="none"/>
              </w:rPr>
              <w:t>6m，部分点位需要钻探15m、30m</w:t>
            </w:r>
            <w:r>
              <w:rPr>
                <w:rFonts w:cs="Times New Roman"/>
                <w:color w:val="000000"/>
                <w:sz w:val="21"/>
                <w:szCs w:val="21"/>
                <w:highlight w:val="none"/>
              </w:rPr>
              <w:t>），土壤总钻探深度约</w:t>
            </w:r>
            <w:r>
              <w:rPr>
                <w:rFonts w:hint="eastAsia" w:cs="Times New Roman"/>
                <w:color w:val="000000"/>
                <w:sz w:val="21"/>
                <w:szCs w:val="21"/>
                <w:highlight w:val="none"/>
              </w:rPr>
              <w:t>230m</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2A7AAD6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71566504">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230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5C86A25B">
            <w:pPr>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3959C245">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912EB59">
            <w:pPr>
              <w:adjustRightInd w:val="0"/>
              <w:snapToGrid w:val="0"/>
              <w:spacing w:line="240" w:lineRule="auto"/>
              <w:rPr>
                <w:rFonts w:cs="Times New Roman"/>
                <w:color w:val="000000"/>
                <w:sz w:val="21"/>
                <w:szCs w:val="21"/>
                <w:highlight w:val="none"/>
              </w:rPr>
            </w:pPr>
          </w:p>
        </w:tc>
      </w:tr>
      <w:tr w14:paraId="537475C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1454675B">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bottom w:val="single" w:color="auto" w:sz="4" w:space="0"/>
              <w:right w:val="single" w:color="auto" w:sz="2" w:space="0"/>
            </w:tcBorders>
            <w:noWrap w:val="0"/>
            <w:vAlign w:val="center"/>
          </w:tcPr>
          <w:p w14:paraId="0746342D">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2DEE3E3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科思化学地块补充调查的钻探及采样工作，包括地下水建井以及地下水样品采集（建井深度至少为</w:t>
            </w:r>
            <w:r>
              <w:rPr>
                <w:rFonts w:hint="eastAsia" w:cs="Times New Roman"/>
                <w:color w:val="000000"/>
                <w:sz w:val="21"/>
                <w:szCs w:val="21"/>
                <w:highlight w:val="none"/>
              </w:rPr>
              <w:t>6m，部分点位建井深度需要达到15m、30m</w:t>
            </w:r>
            <w:r>
              <w:rPr>
                <w:rFonts w:cs="Times New Roman"/>
                <w:color w:val="000000"/>
                <w:sz w:val="21"/>
                <w:szCs w:val="21"/>
                <w:highlight w:val="none"/>
              </w:rPr>
              <w:t>），地下水总建井深度约</w:t>
            </w:r>
            <w:r>
              <w:rPr>
                <w:rFonts w:hint="eastAsia" w:cs="Times New Roman"/>
                <w:color w:val="000000"/>
                <w:sz w:val="21"/>
                <w:szCs w:val="21"/>
                <w:highlight w:val="none"/>
              </w:rPr>
              <w:t>300m</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1DD8ADF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5B45E4D9">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300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6C09E94C">
            <w:pPr>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442EA737">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687AE2C9">
            <w:pPr>
              <w:adjustRightInd w:val="0"/>
              <w:snapToGrid w:val="0"/>
              <w:spacing w:line="240" w:lineRule="auto"/>
              <w:rPr>
                <w:rFonts w:cs="Times New Roman"/>
                <w:color w:val="000000"/>
                <w:sz w:val="21"/>
                <w:szCs w:val="21"/>
                <w:highlight w:val="none"/>
              </w:rPr>
            </w:pPr>
          </w:p>
        </w:tc>
      </w:tr>
      <w:tr w14:paraId="0BB2590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6145708B">
            <w:pPr>
              <w:adjustRightInd w:val="0"/>
              <w:snapToGrid w:val="0"/>
              <w:spacing w:line="240" w:lineRule="auto"/>
              <w:jc w:val="center"/>
              <w:rPr>
                <w:rFonts w:cs="Times New Roman"/>
                <w:bCs/>
                <w:color w:val="000000"/>
                <w:kern w:val="0"/>
                <w:sz w:val="21"/>
                <w:szCs w:val="21"/>
                <w:highlight w:val="none"/>
              </w:rPr>
            </w:pPr>
            <w:bookmarkStart w:id="139" w:name="_Hlk227746391"/>
            <w:r>
              <w:rPr>
                <w:rFonts w:cs="Times New Roman"/>
                <w:color w:val="000000"/>
                <w:sz w:val="21"/>
                <w:szCs w:val="21"/>
                <w:highlight w:val="none"/>
              </w:rPr>
              <w:t>4</w:t>
            </w:r>
          </w:p>
        </w:tc>
        <w:tc>
          <w:tcPr>
            <w:tcW w:w="324" w:type="pct"/>
            <w:vMerge w:val="restart"/>
            <w:tcBorders>
              <w:top w:val="single" w:color="auto" w:sz="4" w:space="0"/>
              <w:left w:val="single" w:color="auto" w:sz="2" w:space="0"/>
              <w:right w:val="single" w:color="auto" w:sz="2" w:space="0"/>
            </w:tcBorders>
            <w:noWrap w:val="0"/>
            <w:vAlign w:val="center"/>
          </w:tcPr>
          <w:p w14:paraId="35EDE082">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样品处理与检测费</w:t>
            </w:r>
          </w:p>
        </w:tc>
        <w:tc>
          <w:tcPr>
            <w:tcW w:w="2194" w:type="pct"/>
            <w:tcBorders>
              <w:top w:val="single" w:color="auto" w:sz="4" w:space="0"/>
              <w:left w:val="single" w:color="auto" w:sz="2" w:space="0"/>
              <w:bottom w:val="single" w:color="auto" w:sz="4" w:space="0"/>
              <w:right w:val="single" w:color="auto" w:sz="4" w:space="0"/>
            </w:tcBorders>
            <w:noWrap w:val="0"/>
            <w:vAlign w:val="center"/>
          </w:tcPr>
          <w:p w14:paraId="0BF8286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土壤检测因子包括pH、重金属</w:t>
            </w:r>
            <w:r>
              <w:rPr>
                <w:rFonts w:hint="eastAsia" w:cs="Times New Roman"/>
                <w:color w:val="000000"/>
                <w:sz w:val="21"/>
                <w:szCs w:val="21"/>
                <w:highlight w:val="none"/>
              </w:rPr>
              <w:t>7项、挥发性有机污染物65项、半挥发性有机污染物64项、特征污染物20项（需要包括：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一溴二氯甲烷、溴仿、二溴氯甲烷、1,2-二溴乙烷、六氯环戊二烯、2,4-二硝基甲苯、2,4-二氯酚、2,4,6-三氯酚、2,4-二硝基酚、五氯酚、邻苯二甲酸二(2-乙基己基)酯、邻苯二甲酸丁基苄酯、邻苯二甲酸二正辛酯、3,3’-二氯联苯胺、苯甲醚、甲醇、均三甲苯、苯乙酮、2-萘乙酮</w:t>
            </w:r>
            <w:r>
              <w:rPr>
                <w:rFonts w:hint="eastAsia" w:cs="Times New Roman"/>
                <w:color w:val="000000"/>
                <w:sz w:val="21"/>
                <w:szCs w:val="21"/>
                <w:highlight w:val="none"/>
              </w:rPr>
              <w:t>等）</w:t>
            </w:r>
            <w:r>
              <w:rPr>
                <w:rFonts w:cs="Times New Roman"/>
                <w:color w:val="000000"/>
                <w:sz w:val="21"/>
                <w:szCs w:val="21"/>
                <w:highlight w:val="none"/>
              </w:rPr>
              <w:t>，土壤样品约</w:t>
            </w:r>
            <w:r>
              <w:rPr>
                <w:rFonts w:hint="eastAsia" w:cs="Times New Roman"/>
                <w:color w:val="000000"/>
                <w:sz w:val="21"/>
                <w:szCs w:val="21"/>
                <w:highlight w:val="none"/>
              </w:rPr>
              <w:t>160个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56842EE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48A5F420">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35D2DB7D">
            <w:pPr>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54BB0423">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79CF602">
            <w:pPr>
              <w:adjustRightInd w:val="0"/>
              <w:snapToGrid w:val="0"/>
              <w:spacing w:line="240" w:lineRule="auto"/>
              <w:rPr>
                <w:rFonts w:cs="Times New Roman"/>
                <w:color w:val="000000"/>
                <w:sz w:val="21"/>
                <w:szCs w:val="21"/>
                <w:highlight w:val="none"/>
              </w:rPr>
            </w:pPr>
          </w:p>
        </w:tc>
      </w:tr>
      <w:tr w14:paraId="24E5EB2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34C106E6">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bottom w:val="single" w:color="auto" w:sz="4" w:space="0"/>
              <w:right w:val="single" w:color="auto" w:sz="2" w:space="0"/>
            </w:tcBorders>
            <w:noWrap w:val="0"/>
            <w:vAlign w:val="center"/>
          </w:tcPr>
          <w:p w14:paraId="02AE715D">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1DD442CA">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地下水</w:t>
            </w:r>
            <w:r>
              <w:rPr>
                <w:rFonts w:cs="Times New Roman"/>
                <w:color w:val="000000"/>
                <w:sz w:val="21"/>
                <w:szCs w:val="21"/>
                <w:highlight w:val="none"/>
              </w:rPr>
              <w:t>的检测因子包括pH、重金属</w:t>
            </w:r>
            <w:r>
              <w:rPr>
                <w:rFonts w:hint="eastAsia" w:cs="Times New Roman"/>
                <w:color w:val="000000"/>
                <w:sz w:val="21"/>
                <w:szCs w:val="21"/>
                <w:highlight w:val="none"/>
              </w:rPr>
              <w:t>7项、挥发性有机污染物65项、半挥发性有机污染物64项、特征污染物20项（需要包括：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一溴二氯甲烷、溴仿、二溴氯甲烷、1,2-二溴乙烷、六氯环戊二烯、2,4-二硝基甲苯、2,4-二氯酚、2,4,6-三氯酚、2,4-二硝基酚、五氯酚、邻苯二甲酸二(2-乙基己基)酯、邻苯二甲酸丁基苄酯、邻苯二甲酸二正辛酯、3,3’-二氯联苯胺、苯甲醚、甲醇、均三甲苯、苯乙酮、2-萘乙酮</w:t>
            </w:r>
            <w:r>
              <w:rPr>
                <w:rFonts w:hint="eastAsia" w:cs="Times New Roman"/>
                <w:color w:val="000000"/>
                <w:sz w:val="21"/>
                <w:szCs w:val="21"/>
                <w:highlight w:val="none"/>
              </w:rPr>
              <w:t>等）</w:t>
            </w:r>
            <w:r>
              <w:rPr>
                <w:rFonts w:cs="Times New Roman"/>
                <w:color w:val="000000"/>
                <w:sz w:val="21"/>
                <w:szCs w:val="21"/>
                <w:highlight w:val="none"/>
              </w:rPr>
              <w:t>，</w:t>
            </w:r>
            <w:r>
              <w:rPr>
                <w:rFonts w:hint="eastAsia" w:cs="Times New Roman"/>
                <w:color w:val="000000"/>
                <w:sz w:val="21"/>
                <w:szCs w:val="21"/>
                <w:highlight w:val="none"/>
              </w:rPr>
              <w:t>《地下水质量标准》(GBT14848-2017)中的感官性状无机指标等25项等。考虑</w:t>
            </w:r>
            <w:r>
              <w:rPr>
                <w:rFonts w:cs="Times New Roman"/>
                <w:color w:val="000000"/>
                <w:sz w:val="21"/>
                <w:szCs w:val="21"/>
                <w:highlight w:val="none"/>
              </w:rPr>
              <w:t>到地块内涉及</w:t>
            </w:r>
            <w:r>
              <w:rPr>
                <w:rFonts w:hint="eastAsia" w:cs="Times New Roman"/>
                <w:color w:val="000000"/>
                <w:sz w:val="21"/>
                <w:szCs w:val="21"/>
                <w:highlight w:val="none"/>
              </w:rPr>
              <w:t>DNAPL类物质超标，根据技术规范要求需要分别在水位线以下0.5m和井管底部采集地下水样品</w:t>
            </w:r>
            <w:r>
              <w:rPr>
                <w:rFonts w:cs="Times New Roman"/>
                <w:color w:val="000000"/>
                <w:sz w:val="21"/>
                <w:szCs w:val="21"/>
                <w:highlight w:val="none"/>
              </w:rPr>
              <w:t>，地下水样品约</w:t>
            </w:r>
            <w:r>
              <w:rPr>
                <w:rFonts w:hint="eastAsia" w:cs="Times New Roman"/>
                <w:color w:val="000000"/>
                <w:sz w:val="21"/>
                <w:szCs w:val="21"/>
                <w:highlight w:val="none"/>
              </w:rPr>
              <w:t>52个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160DF0E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40F7CAE1">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52</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68720C3E">
            <w:pPr>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2C7B0134">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450775C">
            <w:pPr>
              <w:adjustRightInd w:val="0"/>
              <w:snapToGrid w:val="0"/>
              <w:spacing w:line="240" w:lineRule="auto"/>
              <w:rPr>
                <w:rFonts w:cs="Times New Roman"/>
                <w:color w:val="000000"/>
                <w:sz w:val="21"/>
                <w:szCs w:val="21"/>
                <w:highlight w:val="none"/>
              </w:rPr>
            </w:pPr>
          </w:p>
        </w:tc>
      </w:tr>
      <w:bookmarkEnd w:id="139"/>
      <w:tr w14:paraId="1CE4B76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221A462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5</w:t>
            </w:r>
          </w:p>
        </w:tc>
        <w:tc>
          <w:tcPr>
            <w:tcW w:w="324" w:type="pct"/>
            <w:vMerge w:val="restart"/>
            <w:tcBorders>
              <w:top w:val="single" w:color="auto" w:sz="2" w:space="0"/>
              <w:left w:val="single" w:color="auto" w:sz="2" w:space="0"/>
              <w:right w:val="single" w:color="auto" w:sz="2" w:space="0"/>
            </w:tcBorders>
            <w:noWrap w:val="0"/>
            <w:vAlign w:val="center"/>
          </w:tcPr>
          <w:p w14:paraId="4CCD1B20">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污染物入江风险评估</w:t>
            </w:r>
          </w:p>
        </w:tc>
        <w:tc>
          <w:tcPr>
            <w:tcW w:w="2194" w:type="pct"/>
            <w:tcBorders>
              <w:top w:val="single" w:color="auto" w:sz="2" w:space="0"/>
              <w:left w:val="single" w:color="auto" w:sz="2" w:space="0"/>
              <w:bottom w:val="single" w:color="auto" w:sz="2" w:space="0"/>
              <w:right w:val="single" w:color="auto" w:sz="2" w:space="0"/>
            </w:tcBorders>
            <w:noWrap w:val="0"/>
            <w:vAlign w:val="center"/>
          </w:tcPr>
          <w:p w14:paraId="52651D6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入江风险识别与途径分析，</w:t>
            </w:r>
            <w:r>
              <w:rPr>
                <w:rFonts w:hint="eastAsia" w:cs="Times New Roman"/>
                <w:bCs/>
                <w:color w:val="000000"/>
                <w:kern w:val="0"/>
                <w:sz w:val="21"/>
                <w:szCs w:val="21"/>
                <w:highlight w:val="none"/>
              </w:rPr>
              <w:t>结合地块利用类型，识别入江风险因素，分析污染物入江的主要途径及可行性，包括地块污染本身风险、水文水力联系风险、污染物入江途径风险、敏感目标影响风险、暴雨与汛期风险、开发建设新增风险等</w:t>
            </w:r>
          </w:p>
        </w:tc>
        <w:tc>
          <w:tcPr>
            <w:tcW w:w="322" w:type="pct"/>
            <w:vMerge w:val="restart"/>
            <w:tcBorders>
              <w:top w:val="single" w:color="auto" w:sz="4" w:space="0"/>
              <w:left w:val="single" w:color="auto" w:sz="4" w:space="0"/>
              <w:right w:val="single" w:color="auto" w:sz="4" w:space="0"/>
            </w:tcBorders>
            <w:noWrap w:val="0"/>
            <w:vAlign w:val="center"/>
          </w:tcPr>
          <w:p w14:paraId="59699EC9">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vMerge w:val="restart"/>
            <w:tcBorders>
              <w:top w:val="single" w:color="auto" w:sz="4" w:space="0"/>
              <w:left w:val="single" w:color="auto" w:sz="4" w:space="0"/>
              <w:right w:val="single" w:color="auto" w:sz="4" w:space="0"/>
            </w:tcBorders>
            <w:noWrap w:val="0"/>
            <w:vAlign w:val="center"/>
          </w:tcPr>
          <w:p w14:paraId="6CCD023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vMerge w:val="restart"/>
            <w:tcBorders>
              <w:top w:val="single" w:color="auto" w:sz="4" w:space="0"/>
              <w:left w:val="single" w:color="auto" w:sz="4" w:space="0"/>
              <w:right w:val="single" w:color="auto" w:sz="4" w:space="0"/>
            </w:tcBorders>
            <w:noWrap w:val="0"/>
            <w:vAlign w:val="center"/>
          </w:tcPr>
          <w:p w14:paraId="0BBD2729">
            <w:pPr>
              <w:widowControl/>
              <w:adjustRightInd w:val="0"/>
              <w:snapToGrid w:val="0"/>
              <w:spacing w:line="240" w:lineRule="auto"/>
              <w:jc w:val="center"/>
              <w:rPr>
                <w:rFonts w:cs="Times New Roman"/>
                <w:color w:val="000000"/>
                <w:sz w:val="21"/>
                <w:szCs w:val="21"/>
                <w:highlight w:val="none"/>
              </w:rPr>
            </w:pPr>
          </w:p>
        </w:tc>
        <w:tc>
          <w:tcPr>
            <w:tcW w:w="580" w:type="pct"/>
            <w:vMerge w:val="restart"/>
            <w:tcBorders>
              <w:top w:val="single" w:color="auto" w:sz="4" w:space="0"/>
              <w:left w:val="single" w:color="auto" w:sz="4" w:space="0"/>
              <w:right w:val="single" w:color="auto" w:sz="4" w:space="0"/>
            </w:tcBorders>
            <w:noWrap w:val="0"/>
            <w:vAlign w:val="center"/>
          </w:tcPr>
          <w:p w14:paraId="7AC4E7C1">
            <w:pPr>
              <w:widowControl/>
              <w:adjustRightInd w:val="0"/>
              <w:snapToGrid w:val="0"/>
              <w:spacing w:line="240" w:lineRule="auto"/>
              <w:jc w:val="center"/>
              <w:rPr>
                <w:rFonts w:cs="Times New Roman"/>
                <w:color w:val="000000"/>
                <w:sz w:val="21"/>
                <w:szCs w:val="21"/>
                <w:highlight w:val="none"/>
              </w:rPr>
            </w:pPr>
          </w:p>
        </w:tc>
        <w:tc>
          <w:tcPr>
            <w:tcW w:w="516" w:type="pct"/>
            <w:vMerge w:val="restart"/>
            <w:tcBorders>
              <w:top w:val="single" w:color="auto" w:sz="4" w:space="0"/>
              <w:left w:val="single" w:color="auto" w:sz="4" w:space="0"/>
              <w:right w:val="single" w:color="auto" w:sz="4" w:space="0"/>
            </w:tcBorders>
            <w:noWrap w:val="0"/>
            <w:vAlign w:val="center"/>
          </w:tcPr>
          <w:p w14:paraId="261E6471">
            <w:pPr>
              <w:widowControl/>
              <w:adjustRightInd w:val="0"/>
              <w:snapToGrid w:val="0"/>
              <w:spacing w:line="240" w:lineRule="auto"/>
              <w:rPr>
                <w:rFonts w:cs="Times New Roman"/>
                <w:color w:val="000000"/>
                <w:sz w:val="21"/>
                <w:szCs w:val="21"/>
                <w:highlight w:val="none"/>
              </w:rPr>
            </w:pPr>
          </w:p>
        </w:tc>
      </w:tr>
      <w:tr w14:paraId="373199A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657698A9">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4C360456">
            <w:pPr>
              <w:adjustRightInd w:val="0"/>
              <w:snapToGrid w:val="0"/>
              <w:spacing w:line="240" w:lineRule="auto"/>
              <w:jc w:val="center"/>
              <w:rPr>
                <w:rFonts w:cs="Times New Roman"/>
                <w:color w:val="00000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2A0D16E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hint="eastAsia" w:cs="Times New Roman"/>
                <w:color w:val="000000"/>
                <w:sz w:val="21"/>
                <w:szCs w:val="21"/>
                <w:highlight w:val="none"/>
              </w:rPr>
              <w:t>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p>
        </w:tc>
        <w:tc>
          <w:tcPr>
            <w:tcW w:w="322" w:type="pct"/>
            <w:vMerge w:val="continue"/>
            <w:tcBorders>
              <w:left w:val="single" w:color="auto" w:sz="4" w:space="0"/>
              <w:right w:val="single" w:color="auto" w:sz="4" w:space="0"/>
            </w:tcBorders>
            <w:noWrap w:val="0"/>
            <w:vAlign w:val="center"/>
          </w:tcPr>
          <w:p w14:paraId="2EB289E7">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48F70A2B">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7BC96634">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45FE89C3">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1D992D96">
            <w:pPr>
              <w:widowControl/>
              <w:adjustRightInd w:val="0"/>
              <w:snapToGrid w:val="0"/>
              <w:spacing w:line="240" w:lineRule="auto"/>
              <w:rPr>
                <w:rFonts w:cs="Times New Roman"/>
                <w:color w:val="000000"/>
                <w:sz w:val="21"/>
                <w:szCs w:val="21"/>
                <w:highlight w:val="none"/>
              </w:rPr>
            </w:pPr>
          </w:p>
        </w:tc>
      </w:tr>
      <w:tr w14:paraId="5B39938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28FC42A7">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6BB6BE03">
            <w:pPr>
              <w:adjustRightInd w:val="0"/>
              <w:snapToGrid w:val="0"/>
              <w:spacing w:line="240" w:lineRule="auto"/>
              <w:jc w:val="center"/>
              <w:rPr>
                <w:rFonts w:cs="Times New Roman"/>
                <w:color w:val="00000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0CE3E16B">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入江风险防控措施，</w:t>
            </w:r>
            <w:r>
              <w:rPr>
                <w:rFonts w:hint="eastAsia" w:cs="Times New Roman"/>
                <w:bCs/>
                <w:color w:val="000000"/>
                <w:kern w:val="0"/>
                <w:sz w:val="21"/>
                <w:szCs w:val="21"/>
                <w:highlight w:val="none"/>
              </w:rPr>
              <w:t>结合风险等级及地块利用类型，制定针对性、可操作的源头管控、过程拦截、应急处置及长效监测措施</w:t>
            </w:r>
          </w:p>
        </w:tc>
        <w:tc>
          <w:tcPr>
            <w:tcW w:w="322" w:type="pct"/>
            <w:vMerge w:val="continue"/>
            <w:tcBorders>
              <w:left w:val="single" w:color="auto" w:sz="4" w:space="0"/>
              <w:right w:val="single" w:color="auto" w:sz="4" w:space="0"/>
            </w:tcBorders>
            <w:noWrap w:val="0"/>
            <w:vAlign w:val="center"/>
          </w:tcPr>
          <w:p w14:paraId="5F3870C0">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713A3C87">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26CA5400">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1211695F">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2DA8A938">
            <w:pPr>
              <w:widowControl/>
              <w:adjustRightInd w:val="0"/>
              <w:snapToGrid w:val="0"/>
              <w:spacing w:line="240" w:lineRule="auto"/>
              <w:rPr>
                <w:rFonts w:cs="Times New Roman"/>
                <w:color w:val="000000"/>
                <w:sz w:val="21"/>
                <w:szCs w:val="21"/>
                <w:highlight w:val="none"/>
              </w:rPr>
            </w:pPr>
          </w:p>
        </w:tc>
      </w:tr>
      <w:tr w14:paraId="1B16FFA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5DA2ED6D">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bottom w:val="single" w:color="auto" w:sz="2" w:space="0"/>
              <w:right w:val="single" w:color="auto" w:sz="2" w:space="0"/>
            </w:tcBorders>
            <w:noWrap w:val="0"/>
            <w:vAlign w:val="center"/>
          </w:tcPr>
          <w:p w14:paraId="42F3670D">
            <w:pPr>
              <w:adjustRightInd w:val="0"/>
              <w:snapToGrid w:val="0"/>
              <w:spacing w:line="240" w:lineRule="auto"/>
              <w:jc w:val="center"/>
              <w:rPr>
                <w:rFonts w:cs="Times New Roman"/>
                <w:color w:val="00000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1CDA6D6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风险分析报告编制，</w:t>
            </w:r>
            <w:r>
              <w:rPr>
                <w:rFonts w:hint="eastAsia" w:cs="Times New Roman"/>
                <w:bCs/>
                <w:color w:val="000000"/>
                <w:kern w:val="0"/>
                <w:sz w:val="21"/>
                <w:szCs w:val="21"/>
                <w:highlight w:val="none"/>
              </w:rPr>
              <w:t>编制入江风险分析报告，作为地块开发利用及监管的依据</w:t>
            </w:r>
          </w:p>
        </w:tc>
        <w:tc>
          <w:tcPr>
            <w:tcW w:w="322" w:type="pct"/>
            <w:vMerge w:val="continue"/>
            <w:tcBorders>
              <w:left w:val="single" w:color="auto" w:sz="4" w:space="0"/>
              <w:bottom w:val="single" w:color="auto" w:sz="4" w:space="0"/>
              <w:right w:val="single" w:color="auto" w:sz="4" w:space="0"/>
            </w:tcBorders>
            <w:noWrap w:val="0"/>
            <w:vAlign w:val="center"/>
          </w:tcPr>
          <w:p w14:paraId="44A0BDA9">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bottom w:val="single" w:color="auto" w:sz="4" w:space="0"/>
              <w:right w:val="single" w:color="auto" w:sz="4" w:space="0"/>
            </w:tcBorders>
            <w:noWrap w:val="0"/>
            <w:vAlign w:val="center"/>
          </w:tcPr>
          <w:p w14:paraId="679F1713">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bottom w:val="single" w:color="auto" w:sz="4" w:space="0"/>
              <w:right w:val="single" w:color="auto" w:sz="4" w:space="0"/>
            </w:tcBorders>
            <w:noWrap w:val="0"/>
            <w:vAlign w:val="center"/>
          </w:tcPr>
          <w:p w14:paraId="5EDF8D3E">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bottom w:val="single" w:color="auto" w:sz="4" w:space="0"/>
              <w:right w:val="single" w:color="auto" w:sz="4" w:space="0"/>
            </w:tcBorders>
            <w:noWrap w:val="0"/>
            <w:vAlign w:val="center"/>
          </w:tcPr>
          <w:p w14:paraId="7CD7F842">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bottom w:val="single" w:color="auto" w:sz="4" w:space="0"/>
              <w:right w:val="single" w:color="auto" w:sz="4" w:space="0"/>
            </w:tcBorders>
            <w:noWrap w:val="0"/>
            <w:vAlign w:val="center"/>
          </w:tcPr>
          <w:p w14:paraId="07D98677">
            <w:pPr>
              <w:widowControl/>
              <w:adjustRightInd w:val="0"/>
              <w:snapToGrid w:val="0"/>
              <w:spacing w:line="240" w:lineRule="auto"/>
              <w:rPr>
                <w:rFonts w:cs="Times New Roman"/>
                <w:color w:val="000000"/>
                <w:sz w:val="21"/>
                <w:szCs w:val="21"/>
                <w:highlight w:val="none"/>
              </w:rPr>
            </w:pPr>
          </w:p>
        </w:tc>
      </w:tr>
      <w:tr w14:paraId="5E272EF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7B6A167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6</w:t>
            </w:r>
          </w:p>
        </w:tc>
        <w:tc>
          <w:tcPr>
            <w:tcW w:w="324" w:type="pct"/>
            <w:vMerge w:val="restart"/>
            <w:tcBorders>
              <w:top w:val="single" w:color="auto" w:sz="2" w:space="0"/>
              <w:left w:val="single" w:color="auto" w:sz="2" w:space="0"/>
              <w:right w:val="single" w:color="auto" w:sz="2" w:space="0"/>
            </w:tcBorders>
            <w:noWrap w:val="0"/>
            <w:vAlign w:val="center"/>
          </w:tcPr>
          <w:p w14:paraId="7532C8D8">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风险评估报告编制</w:t>
            </w:r>
          </w:p>
        </w:tc>
        <w:tc>
          <w:tcPr>
            <w:tcW w:w="2194" w:type="pct"/>
            <w:tcBorders>
              <w:top w:val="single" w:color="auto" w:sz="2" w:space="0"/>
              <w:left w:val="single" w:color="auto" w:sz="2" w:space="0"/>
              <w:bottom w:val="single" w:color="auto" w:sz="2" w:space="0"/>
              <w:right w:val="single" w:color="auto" w:sz="2" w:space="0"/>
            </w:tcBorders>
            <w:noWrap w:val="0"/>
            <w:vAlign w:val="center"/>
          </w:tcPr>
          <w:p w14:paraId="2DBF32E9">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开展危害识别，收集土壤污染状况调查阶段获得的相关资料和数据，掌握地块土壤和地下水中关注污染物的浓度分布，明确规划土地利用方式，分析可能的敏感受体，如儿童、成人、地下水体等。</w:t>
            </w:r>
          </w:p>
        </w:tc>
        <w:tc>
          <w:tcPr>
            <w:tcW w:w="322" w:type="pct"/>
            <w:vMerge w:val="restart"/>
            <w:tcBorders>
              <w:top w:val="single" w:color="auto" w:sz="4" w:space="0"/>
              <w:left w:val="single" w:color="auto" w:sz="4" w:space="0"/>
              <w:right w:val="single" w:color="auto" w:sz="4" w:space="0"/>
            </w:tcBorders>
            <w:noWrap w:val="0"/>
            <w:vAlign w:val="center"/>
          </w:tcPr>
          <w:p w14:paraId="76E3E1C2">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vMerge w:val="restart"/>
            <w:tcBorders>
              <w:top w:val="single" w:color="auto" w:sz="4" w:space="0"/>
              <w:left w:val="single" w:color="auto" w:sz="4" w:space="0"/>
              <w:right w:val="single" w:color="auto" w:sz="4" w:space="0"/>
            </w:tcBorders>
            <w:noWrap w:val="0"/>
            <w:vAlign w:val="center"/>
          </w:tcPr>
          <w:p w14:paraId="07683069">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vMerge w:val="restart"/>
            <w:tcBorders>
              <w:top w:val="single" w:color="auto" w:sz="4" w:space="0"/>
              <w:left w:val="single" w:color="auto" w:sz="4" w:space="0"/>
              <w:right w:val="single" w:color="auto" w:sz="4" w:space="0"/>
            </w:tcBorders>
            <w:noWrap w:val="0"/>
            <w:vAlign w:val="center"/>
          </w:tcPr>
          <w:p w14:paraId="27076B7B">
            <w:pPr>
              <w:widowControl/>
              <w:adjustRightInd w:val="0"/>
              <w:snapToGrid w:val="0"/>
              <w:spacing w:line="240" w:lineRule="auto"/>
              <w:jc w:val="center"/>
              <w:rPr>
                <w:rFonts w:cs="Times New Roman"/>
                <w:color w:val="000000"/>
                <w:sz w:val="21"/>
                <w:szCs w:val="21"/>
                <w:highlight w:val="none"/>
              </w:rPr>
            </w:pPr>
          </w:p>
        </w:tc>
        <w:tc>
          <w:tcPr>
            <w:tcW w:w="580" w:type="pct"/>
            <w:vMerge w:val="restart"/>
            <w:tcBorders>
              <w:top w:val="single" w:color="auto" w:sz="4" w:space="0"/>
              <w:left w:val="single" w:color="auto" w:sz="4" w:space="0"/>
              <w:right w:val="single" w:color="auto" w:sz="4" w:space="0"/>
            </w:tcBorders>
            <w:noWrap w:val="0"/>
            <w:vAlign w:val="center"/>
          </w:tcPr>
          <w:p w14:paraId="57B968A7">
            <w:pPr>
              <w:widowControl/>
              <w:adjustRightInd w:val="0"/>
              <w:snapToGrid w:val="0"/>
              <w:spacing w:line="240" w:lineRule="auto"/>
              <w:jc w:val="center"/>
              <w:rPr>
                <w:rFonts w:cs="Times New Roman"/>
                <w:color w:val="000000"/>
                <w:sz w:val="21"/>
                <w:szCs w:val="21"/>
                <w:highlight w:val="none"/>
              </w:rPr>
            </w:pPr>
          </w:p>
        </w:tc>
        <w:tc>
          <w:tcPr>
            <w:tcW w:w="516" w:type="pct"/>
            <w:vMerge w:val="restart"/>
            <w:tcBorders>
              <w:top w:val="single" w:color="auto" w:sz="4" w:space="0"/>
              <w:left w:val="single" w:color="auto" w:sz="4" w:space="0"/>
              <w:right w:val="single" w:color="auto" w:sz="4" w:space="0"/>
            </w:tcBorders>
            <w:noWrap w:val="0"/>
            <w:vAlign w:val="center"/>
          </w:tcPr>
          <w:p w14:paraId="6900B88C">
            <w:pPr>
              <w:widowControl/>
              <w:adjustRightInd w:val="0"/>
              <w:snapToGrid w:val="0"/>
              <w:spacing w:line="240" w:lineRule="auto"/>
              <w:rPr>
                <w:rFonts w:cs="Times New Roman"/>
                <w:color w:val="000000"/>
                <w:sz w:val="21"/>
                <w:szCs w:val="21"/>
                <w:highlight w:val="none"/>
              </w:rPr>
            </w:pPr>
          </w:p>
        </w:tc>
      </w:tr>
      <w:tr w14:paraId="6DC2B5A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1D51444B">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10CDDB6E">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3794A5C0">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暴露评估，在危害识别的基础上，分析地块内关注污染物迁移和危害敏感受体的可能性，确定地块地下水污染物的主要暴露途径和暴露评估模型，确定评估模型参数取值，计算敏感人群对地下水中污染物的暴露量。</w:t>
            </w:r>
          </w:p>
        </w:tc>
        <w:tc>
          <w:tcPr>
            <w:tcW w:w="322" w:type="pct"/>
            <w:vMerge w:val="continue"/>
            <w:tcBorders>
              <w:left w:val="single" w:color="auto" w:sz="4" w:space="0"/>
              <w:right w:val="single" w:color="auto" w:sz="4" w:space="0"/>
            </w:tcBorders>
            <w:noWrap w:val="0"/>
            <w:vAlign w:val="center"/>
          </w:tcPr>
          <w:p w14:paraId="0E0EBD11">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3183EB7F">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24EEB3CE">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4AC2C511">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5026DA28">
            <w:pPr>
              <w:widowControl/>
              <w:adjustRightInd w:val="0"/>
              <w:snapToGrid w:val="0"/>
              <w:spacing w:line="240" w:lineRule="auto"/>
              <w:rPr>
                <w:rFonts w:cs="Times New Roman"/>
                <w:color w:val="000000"/>
                <w:sz w:val="21"/>
                <w:szCs w:val="21"/>
                <w:highlight w:val="none"/>
              </w:rPr>
            </w:pPr>
          </w:p>
        </w:tc>
      </w:tr>
      <w:tr w14:paraId="345A1B3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17DB1510">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6C77FE13">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2E22CB33">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开展毒性评估，在危害识别的基础上，分析关注污染物对人体健康的危害效应，包括致癌效应和非致癌效应，确定与关注污染物相关的参数，包括参考剂量、参考浓度、致癌斜率因子和呼吸吸入单位致癌因子等。</w:t>
            </w:r>
          </w:p>
        </w:tc>
        <w:tc>
          <w:tcPr>
            <w:tcW w:w="322" w:type="pct"/>
            <w:vMerge w:val="continue"/>
            <w:tcBorders>
              <w:left w:val="single" w:color="auto" w:sz="4" w:space="0"/>
              <w:right w:val="single" w:color="auto" w:sz="4" w:space="0"/>
            </w:tcBorders>
            <w:noWrap w:val="0"/>
            <w:vAlign w:val="center"/>
          </w:tcPr>
          <w:p w14:paraId="590D732E">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52FCD600">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53814F06">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68F1117F">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58F6D8A4">
            <w:pPr>
              <w:widowControl/>
              <w:adjustRightInd w:val="0"/>
              <w:snapToGrid w:val="0"/>
              <w:spacing w:line="240" w:lineRule="auto"/>
              <w:rPr>
                <w:rFonts w:cs="Times New Roman"/>
                <w:color w:val="000000"/>
                <w:sz w:val="21"/>
                <w:szCs w:val="21"/>
                <w:highlight w:val="none"/>
              </w:rPr>
            </w:pPr>
          </w:p>
        </w:tc>
      </w:tr>
      <w:tr w14:paraId="734F925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67C6BD56">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3F6343BD">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67757822">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开展风险表征，在暴露评估和毒性评估的基础上，采用风险评估模型计算土壤和地下水中单一污染物经单一途径的致癌风险和危害商，计算单一污染物的总致癌风险和危害商，进行不确定性分析。</w:t>
            </w:r>
          </w:p>
        </w:tc>
        <w:tc>
          <w:tcPr>
            <w:tcW w:w="322" w:type="pct"/>
            <w:vMerge w:val="continue"/>
            <w:tcBorders>
              <w:left w:val="single" w:color="auto" w:sz="4" w:space="0"/>
              <w:right w:val="single" w:color="auto" w:sz="4" w:space="0"/>
            </w:tcBorders>
            <w:noWrap w:val="0"/>
            <w:vAlign w:val="center"/>
          </w:tcPr>
          <w:p w14:paraId="242D1C03">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28FF4A4C">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49F98B69">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26E10142">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256091ED">
            <w:pPr>
              <w:widowControl/>
              <w:adjustRightInd w:val="0"/>
              <w:snapToGrid w:val="0"/>
              <w:spacing w:line="240" w:lineRule="auto"/>
              <w:rPr>
                <w:rFonts w:cs="Times New Roman"/>
                <w:color w:val="000000"/>
                <w:sz w:val="21"/>
                <w:szCs w:val="21"/>
                <w:highlight w:val="none"/>
              </w:rPr>
            </w:pPr>
          </w:p>
        </w:tc>
      </w:tr>
      <w:tr w14:paraId="12FDFEF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7A491458">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bottom w:val="single" w:color="auto" w:sz="2" w:space="0"/>
              <w:right w:val="single" w:color="auto" w:sz="2" w:space="0"/>
            </w:tcBorders>
            <w:noWrap w:val="0"/>
            <w:vAlign w:val="center"/>
          </w:tcPr>
          <w:p w14:paraId="11F642F9">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156E1923">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p>
        </w:tc>
        <w:tc>
          <w:tcPr>
            <w:tcW w:w="322" w:type="pct"/>
            <w:vMerge w:val="continue"/>
            <w:tcBorders>
              <w:left w:val="single" w:color="auto" w:sz="4" w:space="0"/>
              <w:bottom w:val="single" w:color="auto" w:sz="4" w:space="0"/>
              <w:right w:val="single" w:color="auto" w:sz="4" w:space="0"/>
            </w:tcBorders>
            <w:noWrap w:val="0"/>
            <w:vAlign w:val="center"/>
          </w:tcPr>
          <w:p w14:paraId="33C67AE7">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bottom w:val="single" w:color="auto" w:sz="4" w:space="0"/>
              <w:right w:val="single" w:color="auto" w:sz="4" w:space="0"/>
            </w:tcBorders>
            <w:noWrap w:val="0"/>
            <w:vAlign w:val="center"/>
          </w:tcPr>
          <w:p w14:paraId="2FE875B7">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bottom w:val="single" w:color="auto" w:sz="4" w:space="0"/>
              <w:right w:val="single" w:color="auto" w:sz="4" w:space="0"/>
            </w:tcBorders>
            <w:noWrap w:val="0"/>
            <w:vAlign w:val="center"/>
          </w:tcPr>
          <w:p w14:paraId="505E172C">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bottom w:val="single" w:color="auto" w:sz="4" w:space="0"/>
              <w:right w:val="single" w:color="auto" w:sz="4" w:space="0"/>
            </w:tcBorders>
            <w:noWrap w:val="0"/>
            <w:vAlign w:val="center"/>
          </w:tcPr>
          <w:p w14:paraId="415449EA">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bottom w:val="single" w:color="auto" w:sz="4" w:space="0"/>
              <w:right w:val="single" w:color="auto" w:sz="4" w:space="0"/>
            </w:tcBorders>
            <w:noWrap w:val="0"/>
            <w:vAlign w:val="center"/>
          </w:tcPr>
          <w:p w14:paraId="121E507A">
            <w:pPr>
              <w:widowControl/>
              <w:adjustRightInd w:val="0"/>
              <w:snapToGrid w:val="0"/>
              <w:spacing w:line="240" w:lineRule="auto"/>
              <w:rPr>
                <w:rFonts w:cs="Times New Roman"/>
                <w:color w:val="000000"/>
                <w:sz w:val="21"/>
                <w:szCs w:val="21"/>
                <w:highlight w:val="none"/>
              </w:rPr>
            </w:pPr>
          </w:p>
        </w:tc>
      </w:tr>
      <w:tr w14:paraId="1D80AA8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4" w:space="0"/>
            </w:tcBorders>
            <w:noWrap w:val="0"/>
            <w:vAlign w:val="center"/>
          </w:tcPr>
          <w:p w14:paraId="0CC7D93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7</w:t>
            </w:r>
          </w:p>
        </w:tc>
        <w:tc>
          <w:tcPr>
            <w:tcW w:w="324" w:type="pct"/>
            <w:vMerge w:val="restart"/>
            <w:tcBorders>
              <w:top w:val="single" w:color="auto" w:sz="4" w:space="0"/>
              <w:left w:val="single" w:color="auto" w:sz="4" w:space="0"/>
              <w:right w:val="single" w:color="auto" w:sz="4" w:space="0"/>
            </w:tcBorders>
            <w:noWrap w:val="0"/>
            <w:vAlign w:val="center"/>
          </w:tcPr>
          <w:p w14:paraId="5DED08F3">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风险评估报告专家费、会务费、</w:t>
            </w:r>
            <w:r>
              <w:rPr>
                <w:rFonts w:hint="eastAsia" w:eastAsia="宋体" w:cs="Times New Roman"/>
                <w:bCs/>
                <w:color w:val="000000"/>
                <w:kern w:val="0"/>
                <w:sz w:val="21"/>
                <w:szCs w:val="21"/>
                <w:highlight w:val="none"/>
                <w:lang w:val="en-US" w:eastAsia="zh-CN"/>
              </w:rPr>
              <w:t>彩色</w:t>
            </w:r>
            <w:r>
              <w:rPr>
                <w:rFonts w:cs="Times New Roman"/>
                <w:bCs/>
                <w:color w:val="000000"/>
                <w:kern w:val="0"/>
                <w:sz w:val="21"/>
                <w:szCs w:val="21"/>
                <w:highlight w:val="none"/>
              </w:rPr>
              <w:t>打印费等</w:t>
            </w:r>
          </w:p>
        </w:tc>
        <w:tc>
          <w:tcPr>
            <w:tcW w:w="2194" w:type="pct"/>
            <w:tcBorders>
              <w:top w:val="single" w:color="auto" w:sz="2" w:space="0"/>
              <w:left w:val="single" w:color="auto" w:sz="4" w:space="0"/>
              <w:bottom w:val="single" w:color="auto" w:sz="4" w:space="0"/>
              <w:right w:val="single" w:color="auto" w:sz="4" w:space="0"/>
            </w:tcBorders>
            <w:noWrap w:val="0"/>
            <w:vAlign w:val="center"/>
          </w:tcPr>
          <w:p w14:paraId="62734278">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6B401BE7">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41FA886A">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3090678F">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233109F0">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9C038B2">
            <w:pPr>
              <w:widowControl/>
              <w:adjustRightInd w:val="0"/>
              <w:snapToGrid w:val="0"/>
              <w:spacing w:line="240" w:lineRule="auto"/>
              <w:rPr>
                <w:rFonts w:cs="Times New Roman"/>
                <w:color w:val="000000"/>
                <w:sz w:val="21"/>
                <w:szCs w:val="21"/>
                <w:highlight w:val="none"/>
              </w:rPr>
            </w:pPr>
          </w:p>
        </w:tc>
      </w:tr>
      <w:tr w14:paraId="644296C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4" w:space="0"/>
            </w:tcBorders>
            <w:noWrap w:val="0"/>
            <w:vAlign w:val="center"/>
          </w:tcPr>
          <w:p w14:paraId="3D9DD7E1">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4" w:space="0"/>
              <w:bottom w:val="single" w:color="auto" w:sz="4" w:space="0"/>
              <w:right w:val="single" w:color="auto" w:sz="4" w:space="0"/>
            </w:tcBorders>
            <w:noWrap w:val="0"/>
            <w:vAlign w:val="center"/>
          </w:tcPr>
          <w:p w14:paraId="221F964D">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4" w:space="0"/>
              <w:bottom w:val="single" w:color="auto" w:sz="4" w:space="0"/>
              <w:right w:val="single" w:color="auto" w:sz="4" w:space="0"/>
            </w:tcBorders>
            <w:noWrap w:val="0"/>
            <w:vAlign w:val="center"/>
          </w:tcPr>
          <w:p w14:paraId="186C03B3">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省生态环境厅至少邀请5名业内专家及相关部门领导，组织召开专家评审会</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562BFCA7">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2FF8A796">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590A833E">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4F551A9E">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5455667">
            <w:pPr>
              <w:widowControl/>
              <w:adjustRightInd w:val="0"/>
              <w:snapToGrid w:val="0"/>
              <w:spacing w:line="240" w:lineRule="auto"/>
              <w:rPr>
                <w:rFonts w:cs="Times New Roman"/>
                <w:color w:val="000000"/>
                <w:sz w:val="21"/>
                <w:szCs w:val="21"/>
                <w:highlight w:val="none"/>
              </w:rPr>
            </w:pPr>
          </w:p>
        </w:tc>
      </w:tr>
      <w:tr w14:paraId="64FCF4C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1157" w:hRule="atLeast"/>
          <w:jc w:val="center"/>
        </w:trPr>
        <w:tc>
          <w:tcPr>
            <w:tcW w:w="3903" w:type="pct"/>
            <w:gridSpan w:val="6"/>
            <w:tcBorders>
              <w:top w:val="single" w:color="auto" w:sz="2" w:space="0"/>
              <w:left w:val="single" w:color="auto" w:sz="2" w:space="0"/>
              <w:bottom w:val="single" w:color="auto" w:sz="4" w:space="0"/>
              <w:right w:val="single" w:color="auto" w:sz="4" w:space="0"/>
            </w:tcBorders>
            <w:noWrap w:val="0"/>
            <w:vAlign w:val="center"/>
          </w:tcPr>
          <w:p w14:paraId="7E85B0C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合计</w:t>
            </w:r>
          </w:p>
        </w:tc>
        <w:tc>
          <w:tcPr>
            <w:tcW w:w="580" w:type="pct"/>
            <w:tcBorders>
              <w:top w:val="single" w:color="auto" w:sz="4" w:space="0"/>
              <w:left w:val="single" w:color="auto" w:sz="4" w:space="0"/>
              <w:bottom w:val="single" w:color="auto" w:sz="4" w:space="0"/>
              <w:right w:val="single" w:color="auto" w:sz="4" w:space="0"/>
            </w:tcBorders>
            <w:noWrap w:val="0"/>
            <w:vAlign w:val="center"/>
          </w:tcPr>
          <w:p w14:paraId="39D9B20D">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top"/>
          </w:tcPr>
          <w:p w14:paraId="5B275E5F">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w:t>
            </w:r>
          </w:p>
        </w:tc>
      </w:tr>
    </w:tbl>
    <w:p w14:paraId="6BCFC06E">
      <w:pPr>
        <w:jc w:val="center"/>
        <w:rPr>
          <w:rFonts w:cs="Times New Roman"/>
          <w:b/>
          <w:bCs/>
          <w:color w:val="000000"/>
          <w:kern w:val="0"/>
          <w:highlight w:val="none"/>
        </w:rPr>
      </w:pPr>
    </w:p>
    <w:p w14:paraId="01AD0C7D">
      <w:pPr>
        <w:jc w:val="center"/>
        <w:rPr>
          <w:rFonts w:cs="Times New Roman"/>
          <w:b/>
          <w:bCs/>
          <w:color w:val="000000"/>
          <w:kern w:val="0"/>
          <w:highlight w:val="none"/>
        </w:rPr>
      </w:pPr>
      <w:r>
        <w:rPr>
          <w:rFonts w:cs="Times New Roman"/>
          <w:b/>
          <w:bCs/>
          <w:color w:val="000000"/>
          <w:kern w:val="0"/>
          <w:highlight w:val="none"/>
        </w:rPr>
        <w:br w:type="page"/>
      </w:r>
      <w:r>
        <w:rPr>
          <w:rFonts w:cs="Times New Roman"/>
          <w:b/>
          <w:bCs/>
          <w:color w:val="000000"/>
          <w:kern w:val="0"/>
          <w:highlight w:val="none"/>
        </w:rPr>
        <w:t>表4  原南京宝恒化工有限公司地块风险评估项目费用报价明细表</w:t>
      </w:r>
    </w:p>
    <w:tbl>
      <w:tblPr>
        <w:tblStyle w:val="51"/>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0" w:type="dxa"/>
          <w:bottom w:w="0" w:type="dxa"/>
          <w:right w:w="0" w:type="dxa"/>
        </w:tblCellMar>
      </w:tblPr>
      <w:tblGrid>
        <w:gridCol w:w="429"/>
        <w:gridCol w:w="997"/>
        <w:gridCol w:w="6184"/>
        <w:gridCol w:w="932"/>
        <w:gridCol w:w="941"/>
        <w:gridCol w:w="1574"/>
        <w:gridCol w:w="1661"/>
        <w:gridCol w:w="1404"/>
      </w:tblGrid>
      <w:tr w14:paraId="347C86D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tcBorders>
              <w:top w:val="single" w:color="auto" w:sz="8" w:space="0"/>
              <w:left w:val="single" w:color="auto" w:sz="8" w:space="0"/>
              <w:bottom w:val="single" w:color="auto" w:sz="2" w:space="0"/>
              <w:right w:val="single" w:color="auto" w:sz="2" w:space="0"/>
            </w:tcBorders>
            <w:noWrap w:val="0"/>
            <w:vAlign w:val="center"/>
          </w:tcPr>
          <w:p w14:paraId="6EF9AF24">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序号</w:t>
            </w:r>
          </w:p>
        </w:tc>
        <w:tc>
          <w:tcPr>
            <w:tcW w:w="353" w:type="pct"/>
            <w:tcBorders>
              <w:top w:val="single" w:color="auto" w:sz="8" w:space="0"/>
              <w:left w:val="single" w:color="auto" w:sz="2" w:space="0"/>
              <w:bottom w:val="single" w:color="auto" w:sz="2" w:space="0"/>
              <w:right w:val="single" w:color="auto" w:sz="2" w:space="0"/>
            </w:tcBorders>
            <w:noWrap w:val="0"/>
            <w:vAlign w:val="center"/>
          </w:tcPr>
          <w:p w14:paraId="7F651541">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w:t>
            </w:r>
            <w:r>
              <w:rPr>
                <w:rFonts w:hint="eastAsia" w:cs="Times New Roman"/>
                <w:b/>
                <w:color w:val="000000"/>
                <w:sz w:val="21"/>
                <w:szCs w:val="21"/>
                <w:highlight w:val="none"/>
              </w:rPr>
              <w:t>分类</w:t>
            </w:r>
          </w:p>
        </w:tc>
        <w:tc>
          <w:tcPr>
            <w:tcW w:w="2189" w:type="pct"/>
            <w:tcBorders>
              <w:top w:val="single" w:color="auto" w:sz="8" w:space="0"/>
              <w:left w:val="single" w:color="auto" w:sz="2" w:space="0"/>
              <w:bottom w:val="single" w:color="auto" w:sz="2" w:space="0"/>
              <w:right w:val="single" w:color="auto" w:sz="2" w:space="0"/>
            </w:tcBorders>
            <w:noWrap w:val="0"/>
            <w:vAlign w:val="center"/>
          </w:tcPr>
          <w:p w14:paraId="23636EF8">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工作内容</w:t>
            </w:r>
          </w:p>
        </w:tc>
        <w:tc>
          <w:tcPr>
            <w:tcW w:w="330" w:type="pct"/>
            <w:tcBorders>
              <w:top w:val="single" w:color="auto" w:sz="8" w:space="0"/>
              <w:left w:val="single" w:color="auto" w:sz="2" w:space="0"/>
              <w:bottom w:val="single" w:color="auto" w:sz="4" w:space="0"/>
              <w:right w:val="single" w:color="auto" w:sz="2" w:space="0"/>
            </w:tcBorders>
            <w:noWrap w:val="0"/>
            <w:vAlign w:val="center"/>
          </w:tcPr>
          <w:p w14:paraId="764EDFE0">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计量</w:t>
            </w:r>
          </w:p>
          <w:p w14:paraId="5C553ACF">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单位</w:t>
            </w:r>
          </w:p>
        </w:tc>
        <w:tc>
          <w:tcPr>
            <w:tcW w:w="333" w:type="pct"/>
            <w:tcBorders>
              <w:top w:val="single" w:color="auto" w:sz="8" w:space="0"/>
              <w:left w:val="single" w:color="auto" w:sz="2" w:space="0"/>
              <w:bottom w:val="single" w:color="auto" w:sz="4" w:space="0"/>
              <w:right w:val="single" w:color="auto" w:sz="2" w:space="0"/>
            </w:tcBorders>
            <w:noWrap w:val="0"/>
            <w:vAlign w:val="center"/>
          </w:tcPr>
          <w:p w14:paraId="6B2693E6">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数量</w:t>
            </w:r>
          </w:p>
        </w:tc>
        <w:tc>
          <w:tcPr>
            <w:tcW w:w="555" w:type="pct"/>
            <w:tcBorders>
              <w:top w:val="single" w:color="auto" w:sz="8" w:space="0"/>
              <w:left w:val="single" w:color="auto" w:sz="2" w:space="0"/>
              <w:bottom w:val="single" w:color="auto" w:sz="4" w:space="0"/>
              <w:right w:val="single" w:color="auto" w:sz="2" w:space="0"/>
            </w:tcBorders>
            <w:noWrap w:val="0"/>
            <w:vAlign w:val="center"/>
          </w:tcPr>
          <w:p w14:paraId="30D1BC0B">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单价</w:t>
            </w:r>
          </w:p>
          <w:p w14:paraId="6923EFA3">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88" w:type="pct"/>
            <w:tcBorders>
              <w:top w:val="single" w:color="auto" w:sz="8" w:space="0"/>
              <w:left w:val="single" w:color="auto" w:sz="2" w:space="0"/>
              <w:bottom w:val="single" w:color="auto" w:sz="4" w:space="0"/>
              <w:right w:val="single" w:color="auto" w:sz="8" w:space="0"/>
            </w:tcBorders>
            <w:noWrap w:val="0"/>
            <w:vAlign w:val="center"/>
          </w:tcPr>
          <w:p w14:paraId="1A58C39C">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小计</w:t>
            </w:r>
          </w:p>
          <w:p w14:paraId="65D2734F">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497" w:type="pct"/>
            <w:tcBorders>
              <w:top w:val="single" w:color="auto" w:sz="8" w:space="0"/>
              <w:left w:val="single" w:color="auto" w:sz="2" w:space="0"/>
              <w:bottom w:val="single" w:color="auto" w:sz="4" w:space="0"/>
              <w:right w:val="single" w:color="auto" w:sz="8" w:space="0"/>
            </w:tcBorders>
            <w:noWrap w:val="0"/>
            <w:vAlign w:val="center"/>
          </w:tcPr>
          <w:p w14:paraId="7EC9FC39">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备注</w:t>
            </w:r>
          </w:p>
        </w:tc>
      </w:tr>
      <w:tr w14:paraId="44C3B24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72AAEC87">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1</w:t>
            </w:r>
          </w:p>
        </w:tc>
        <w:tc>
          <w:tcPr>
            <w:tcW w:w="353" w:type="pct"/>
            <w:vMerge w:val="restart"/>
            <w:tcBorders>
              <w:top w:val="single" w:color="auto" w:sz="4" w:space="0"/>
              <w:left w:val="single" w:color="auto" w:sz="2" w:space="0"/>
              <w:right w:val="single" w:color="auto" w:sz="2" w:space="0"/>
            </w:tcBorders>
            <w:noWrap w:val="0"/>
            <w:vAlign w:val="center"/>
          </w:tcPr>
          <w:p w14:paraId="17EED1F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水文地质勘察</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4D42F18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钻探，布设4个钻孔点位，单个点位钻孔深度达到40m，需钻探至中风化层</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07F69FEC">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089F6B6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820CC3F">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B8BF571">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54654E97">
            <w:pPr>
              <w:widowControl/>
              <w:adjustRightInd w:val="0"/>
              <w:snapToGrid w:val="0"/>
              <w:spacing w:line="240" w:lineRule="auto"/>
              <w:rPr>
                <w:rFonts w:cs="Times New Roman"/>
                <w:color w:val="000000"/>
                <w:sz w:val="21"/>
                <w:szCs w:val="21"/>
                <w:highlight w:val="none"/>
              </w:rPr>
            </w:pPr>
          </w:p>
        </w:tc>
      </w:tr>
      <w:tr w14:paraId="177508E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37620CC6">
            <w:pPr>
              <w:adjustRightInd w:val="0"/>
              <w:snapToGrid w:val="0"/>
              <w:spacing w:line="240" w:lineRule="auto"/>
              <w:jc w:val="center"/>
              <w:rPr>
                <w:rFonts w:cs="Times New Roman"/>
                <w:bCs/>
                <w:color w:val="000000"/>
                <w:kern w:val="0"/>
                <w:sz w:val="21"/>
                <w:szCs w:val="21"/>
                <w:highlight w:val="none"/>
              </w:rPr>
            </w:pPr>
          </w:p>
        </w:tc>
        <w:tc>
          <w:tcPr>
            <w:tcW w:w="353" w:type="pct"/>
            <w:vMerge w:val="continue"/>
            <w:tcBorders>
              <w:left w:val="single" w:color="auto" w:sz="2" w:space="0"/>
              <w:right w:val="single" w:color="auto" w:sz="2" w:space="0"/>
            </w:tcBorders>
            <w:noWrap w:val="0"/>
            <w:vAlign w:val="center"/>
          </w:tcPr>
          <w:p w14:paraId="4B2CB248">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3EEC331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建设地下水井，用于抽水试验及流场确定等，布设4个钻孔点位，单个点位建井深度达到40m，需钻探至中风化层</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09A16EBA">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52EB3199">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70BFC19">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0A0D5105">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73D376B4">
            <w:pPr>
              <w:widowControl/>
              <w:adjustRightInd w:val="0"/>
              <w:snapToGrid w:val="0"/>
              <w:spacing w:line="240" w:lineRule="auto"/>
              <w:rPr>
                <w:rFonts w:cs="Times New Roman"/>
                <w:color w:val="000000"/>
                <w:sz w:val="21"/>
                <w:szCs w:val="21"/>
                <w:highlight w:val="none"/>
              </w:rPr>
            </w:pPr>
          </w:p>
        </w:tc>
      </w:tr>
      <w:tr w14:paraId="36DAC17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006538FB">
            <w:pPr>
              <w:adjustRightInd w:val="0"/>
              <w:snapToGrid w:val="0"/>
              <w:spacing w:line="240" w:lineRule="auto"/>
              <w:jc w:val="center"/>
              <w:rPr>
                <w:rFonts w:cs="Times New Roman"/>
                <w:bCs/>
                <w:color w:val="000000"/>
                <w:kern w:val="0"/>
                <w:sz w:val="21"/>
                <w:szCs w:val="21"/>
                <w:highlight w:val="none"/>
              </w:rPr>
            </w:pPr>
          </w:p>
        </w:tc>
        <w:tc>
          <w:tcPr>
            <w:tcW w:w="353" w:type="pct"/>
            <w:vMerge w:val="continue"/>
            <w:tcBorders>
              <w:left w:val="single" w:color="auto" w:sz="2" w:space="0"/>
              <w:right w:val="single" w:color="auto" w:sz="2" w:space="0"/>
            </w:tcBorders>
            <w:noWrap w:val="0"/>
            <w:vAlign w:val="center"/>
          </w:tcPr>
          <w:p w14:paraId="337C38BE">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6A507AF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土工试验，包括土壤有机质含量、含水率、孔隙度、渗透系数、土壤颗粒密度、土壤容重等参数的测定，每个点位采集</w:t>
            </w:r>
            <w:r>
              <w:rPr>
                <w:rFonts w:hint="eastAsia" w:cs="Times New Roman"/>
                <w:color w:val="000000"/>
                <w:sz w:val="21"/>
                <w:szCs w:val="21"/>
                <w:highlight w:val="none"/>
              </w:rPr>
              <w:t>4个土工试验样品，共需送检16个土工试验样品</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43EC53BE">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6C2707B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F8EB8A2">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494F1A45">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2B85A949">
            <w:pPr>
              <w:widowControl/>
              <w:adjustRightInd w:val="0"/>
              <w:snapToGrid w:val="0"/>
              <w:spacing w:line="240" w:lineRule="auto"/>
              <w:rPr>
                <w:rFonts w:cs="Times New Roman"/>
                <w:color w:val="000000"/>
                <w:sz w:val="21"/>
                <w:szCs w:val="21"/>
                <w:highlight w:val="none"/>
              </w:rPr>
            </w:pPr>
          </w:p>
        </w:tc>
      </w:tr>
      <w:tr w14:paraId="39268ED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199B5728">
            <w:pPr>
              <w:adjustRightInd w:val="0"/>
              <w:snapToGrid w:val="0"/>
              <w:spacing w:line="240" w:lineRule="auto"/>
              <w:jc w:val="center"/>
              <w:rPr>
                <w:rFonts w:cs="Times New Roman"/>
                <w:bCs/>
                <w:color w:val="000000"/>
                <w:kern w:val="0"/>
                <w:sz w:val="21"/>
                <w:szCs w:val="21"/>
                <w:highlight w:val="none"/>
              </w:rPr>
            </w:pPr>
          </w:p>
        </w:tc>
        <w:tc>
          <w:tcPr>
            <w:tcW w:w="353" w:type="pct"/>
            <w:vMerge w:val="continue"/>
            <w:tcBorders>
              <w:left w:val="single" w:color="auto" w:sz="2" w:space="0"/>
              <w:right w:val="single" w:color="auto" w:sz="2" w:space="0"/>
            </w:tcBorders>
            <w:noWrap w:val="0"/>
            <w:vAlign w:val="center"/>
          </w:tcPr>
          <w:p w14:paraId="202EF698">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483858AB">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抽水试验，需要</w:t>
            </w:r>
            <w:r>
              <w:rPr>
                <w:rFonts w:hint="eastAsia" w:cs="Times New Roman"/>
                <w:color w:val="000000"/>
                <w:sz w:val="21"/>
                <w:szCs w:val="21"/>
                <w:highlight w:val="none"/>
              </w:rPr>
              <w:t>2个台班</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05C9FC1B">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台班</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6379C10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29DDB22">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7B3D5B7">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5BA4F8DC">
            <w:pPr>
              <w:widowControl/>
              <w:adjustRightInd w:val="0"/>
              <w:snapToGrid w:val="0"/>
              <w:spacing w:line="240" w:lineRule="auto"/>
              <w:rPr>
                <w:rFonts w:cs="Times New Roman"/>
                <w:color w:val="000000"/>
                <w:sz w:val="21"/>
                <w:szCs w:val="21"/>
                <w:highlight w:val="none"/>
              </w:rPr>
            </w:pPr>
          </w:p>
        </w:tc>
      </w:tr>
      <w:tr w14:paraId="04C0B61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06D39F13">
            <w:pPr>
              <w:adjustRightInd w:val="0"/>
              <w:snapToGrid w:val="0"/>
              <w:spacing w:line="240" w:lineRule="auto"/>
              <w:jc w:val="center"/>
              <w:rPr>
                <w:rFonts w:cs="Times New Roman"/>
                <w:bCs/>
                <w:color w:val="000000"/>
                <w:kern w:val="0"/>
                <w:sz w:val="21"/>
                <w:szCs w:val="21"/>
                <w:highlight w:val="none"/>
              </w:rPr>
            </w:pPr>
          </w:p>
        </w:tc>
        <w:tc>
          <w:tcPr>
            <w:tcW w:w="353" w:type="pct"/>
            <w:vMerge w:val="continue"/>
            <w:tcBorders>
              <w:left w:val="single" w:color="auto" w:sz="2" w:space="0"/>
              <w:bottom w:val="single" w:color="auto" w:sz="4" w:space="0"/>
              <w:right w:val="single" w:color="auto" w:sz="2" w:space="0"/>
            </w:tcBorders>
            <w:noWrap w:val="0"/>
            <w:vAlign w:val="center"/>
          </w:tcPr>
          <w:p w14:paraId="36FF90B6">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1C2A7B4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完成水文地质勘察报告（明确地层结构、地下水特征、地下水与长江水力联系、区域地下水补给、径流、排泄规律，以及对应长江河段的水质现状，水文特征等）</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3541852D">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5399A33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5E6C81D9">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360935D0">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766F430E">
            <w:pPr>
              <w:widowControl/>
              <w:adjustRightInd w:val="0"/>
              <w:snapToGrid w:val="0"/>
              <w:spacing w:line="240" w:lineRule="auto"/>
              <w:rPr>
                <w:rFonts w:cs="Times New Roman"/>
                <w:color w:val="000000"/>
                <w:sz w:val="21"/>
                <w:szCs w:val="21"/>
                <w:highlight w:val="none"/>
              </w:rPr>
            </w:pPr>
          </w:p>
        </w:tc>
      </w:tr>
      <w:tr w14:paraId="538250B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tcBorders>
              <w:top w:val="single" w:color="auto" w:sz="4" w:space="0"/>
              <w:left w:val="single" w:color="auto" w:sz="8" w:space="0"/>
              <w:bottom w:val="single" w:color="auto" w:sz="4" w:space="0"/>
              <w:right w:val="single" w:color="auto" w:sz="2" w:space="0"/>
            </w:tcBorders>
            <w:noWrap w:val="0"/>
            <w:vAlign w:val="center"/>
          </w:tcPr>
          <w:p w14:paraId="01483B43">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2</w:t>
            </w:r>
          </w:p>
        </w:tc>
        <w:tc>
          <w:tcPr>
            <w:tcW w:w="353" w:type="pct"/>
            <w:tcBorders>
              <w:top w:val="single" w:color="auto" w:sz="4" w:space="0"/>
              <w:left w:val="single" w:color="auto" w:sz="2" w:space="0"/>
              <w:bottom w:val="single" w:color="auto" w:sz="4" w:space="0"/>
              <w:right w:val="single" w:color="auto" w:sz="2" w:space="0"/>
            </w:tcBorders>
            <w:noWrap w:val="0"/>
            <w:vAlign w:val="center"/>
          </w:tcPr>
          <w:p w14:paraId="51D0763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补充调查方案制定</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23766FD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根据宝恒化工地块的资料分析结果，制定宝恒化工地块的补充调查方案（含未调查区域）</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0CCC67E0">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2BCF93CC">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3D95F8B3">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71514363">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03B9BBA9">
            <w:pPr>
              <w:widowControl/>
              <w:adjustRightInd w:val="0"/>
              <w:snapToGrid w:val="0"/>
              <w:spacing w:line="240" w:lineRule="auto"/>
              <w:rPr>
                <w:rFonts w:cs="Times New Roman"/>
                <w:color w:val="000000"/>
                <w:sz w:val="21"/>
                <w:szCs w:val="21"/>
                <w:highlight w:val="none"/>
              </w:rPr>
            </w:pPr>
          </w:p>
        </w:tc>
      </w:tr>
      <w:tr w14:paraId="3B6DB65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2311E4B3">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3</w:t>
            </w:r>
          </w:p>
        </w:tc>
        <w:tc>
          <w:tcPr>
            <w:tcW w:w="353" w:type="pct"/>
            <w:vMerge w:val="restart"/>
            <w:tcBorders>
              <w:top w:val="single" w:color="auto" w:sz="4" w:space="0"/>
              <w:left w:val="single" w:color="auto" w:sz="2" w:space="0"/>
              <w:right w:val="single" w:color="auto" w:sz="2" w:space="0"/>
            </w:tcBorders>
            <w:noWrap w:val="0"/>
            <w:vAlign w:val="center"/>
          </w:tcPr>
          <w:p w14:paraId="05293B3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现场钻探及采样费用</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65336BE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包括宝恒化工地块未开展调查区域补充调查以及扩散情况调查，包括土壤钻探以及土壤样品采集（钻探深度至少为</w:t>
            </w:r>
            <w:r>
              <w:rPr>
                <w:rFonts w:hint="eastAsia" w:cs="Times New Roman"/>
                <w:color w:val="000000"/>
                <w:sz w:val="21"/>
                <w:szCs w:val="21"/>
                <w:highlight w:val="none"/>
              </w:rPr>
              <w:t>6m，部分点位需要钻探15m、30m</w:t>
            </w:r>
            <w:r>
              <w:rPr>
                <w:rFonts w:cs="Times New Roman"/>
                <w:color w:val="000000"/>
                <w:sz w:val="21"/>
                <w:szCs w:val="21"/>
                <w:highlight w:val="none"/>
              </w:rPr>
              <w:t>），土壤总钻探深度约</w:t>
            </w:r>
            <w:r>
              <w:rPr>
                <w:rFonts w:hint="eastAsia" w:cs="Times New Roman"/>
                <w:color w:val="000000"/>
                <w:sz w:val="21"/>
                <w:szCs w:val="21"/>
                <w:highlight w:val="none"/>
              </w:rPr>
              <w:t>240m</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1117BFC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4D278BC2">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240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41089E03">
            <w:pPr>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722E338F">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39B6F79D">
            <w:pPr>
              <w:adjustRightInd w:val="0"/>
              <w:snapToGrid w:val="0"/>
              <w:spacing w:line="240" w:lineRule="auto"/>
              <w:rPr>
                <w:rFonts w:cs="Times New Roman"/>
                <w:color w:val="000000"/>
                <w:sz w:val="21"/>
                <w:szCs w:val="21"/>
                <w:highlight w:val="none"/>
              </w:rPr>
            </w:pPr>
          </w:p>
        </w:tc>
      </w:tr>
      <w:tr w14:paraId="30B375F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28CE5295">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4" w:space="0"/>
              <w:right w:val="single" w:color="auto" w:sz="2" w:space="0"/>
            </w:tcBorders>
            <w:noWrap w:val="0"/>
            <w:vAlign w:val="center"/>
          </w:tcPr>
          <w:p w14:paraId="05A91F26">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2F63A07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包括宝恒化工地块未开展调查区域补充调查以及扩散情况调查，包括地下水建井以及地下水样品采集（建井深度至少为</w:t>
            </w:r>
            <w:r>
              <w:rPr>
                <w:rFonts w:hint="eastAsia" w:cs="Times New Roman"/>
                <w:color w:val="000000"/>
                <w:sz w:val="21"/>
                <w:szCs w:val="21"/>
                <w:highlight w:val="none"/>
              </w:rPr>
              <w:t>6m，部分点位建井深度需要达到15m、30m</w:t>
            </w:r>
            <w:r>
              <w:rPr>
                <w:rFonts w:cs="Times New Roman"/>
                <w:color w:val="000000"/>
                <w:sz w:val="21"/>
                <w:szCs w:val="21"/>
                <w:highlight w:val="none"/>
              </w:rPr>
              <w:t>），地下水总建井深度约</w:t>
            </w:r>
            <w:r>
              <w:rPr>
                <w:rFonts w:hint="eastAsia" w:cs="Times New Roman"/>
                <w:color w:val="000000"/>
                <w:sz w:val="21"/>
                <w:szCs w:val="21"/>
                <w:highlight w:val="none"/>
              </w:rPr>
              <w:t>290m</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6593690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66D1315B">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290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23825CA">
            <w:pPr>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214FD7FC">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74AD675E">
            <w:pPr>
              <w:adjustRightInd w:val="0"/>
              <w:snapToGrid w:val="0"/>
              <w:spacing w:line="240" w:lineRule="auto"/>
              <w:rPr>
                <w:rFonts w:cs="Times New Roman"/>
                <w:color w:val="000000"/>
                <w:sz w:val="21"/>
                <w:szCs w:val="21"/>
                <w:highlight w:val="none"/>
              </w:rPr>
            </w:pPr>
          </w:p>
        </w:tc>
      </w:tr>
      <w:tr w14:paraId="59EF207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4FE833AC">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4</w:t>
            </w:r>
          </w:p>
        </w:tc>
        <w:tc>
          <w:tcPr>
            <w:tcW w:w="353" w:type="pct"/>
            <w:vMerge w:val="restart"/>
            <w:tcBorders>
              <w:top w:val="single" w:color="auto" w:sz="4" w:space="0"/>
              <w:left w:val="single" w:color="auto" w:sz="2" w:space="0"/>
              <w:right w:val="single" w:color="auto" w:sz="2" w:space="0"/>
            </w:tcBorders>
            <w:noWrap w:val="0"/>
            <w:vAlign w:val="center"/>
          </w:tcPr>
          <w:p w14:paraId="574E95EB">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样品处理与检测费</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6CFD2E3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包括宝恒化工地块未开展调查区域补充调查，土壤检测因子包括pH、重金属</w:t>
            </w:r>
            <w:r>
              <w:rPr>
                <w:rFonts w:hint="eastAsia" w:cs="Times New Roman"/>
                <w:color w:val="000000"/>
                <w:sz w:val="21"/>
                <w:szCs w:val="21"/>
                <w:highlight w:val="none"/>
              </w:rPr>
              <w:t>7项、挥发性有机污染物65项、半挥发性有机污染物64项、特征污染物30项（需要包括：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一溴二氯甲烷、溴仿、二溴氯甲烷、1,2-二溴乙烷、六氯环戊二烯、2,4-二硝基甲苯、2,4-二氯酚、2,4,6-三氯酚、2,4-二硝基酚、五氯酚、邻苯二甲酸二(2-乙基己基)酯、邻苯二甲酸丁基苄酯、邻苯二甲酸二正辛酯、3,3’-二氯联苯胺、钒、锌、硒、银、氟化物、丙酮、四氢呋喃、乙酸乙酯、对苯二酚、乙醚、正丁醇、甲氰菊酯、氯氰菊酯、苯乙酮、均三甲苯</w:t>
            </w:r>
            <w:r>
              <w:rPr>
                <w:rFonts w:hint="eastAsia" w:cs="Times New Roman"/>
                <w:color w:val="000000"/>
                <w:sz w:val="21"/>
                <w:szCs w:val="21"/>
                <w:highlight w:val="none"/>
              </w:rPr>
              <w:t>等）</w:t>
            </w:r>
          </w:p>
          <w:p w14:paraId="4EDCE8A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，土壤样品约</w:t>
            </w:r>
            <w:r>
              <w:rPr>
                <w:rFonts w:hint="eastAsia" w:cs="Times New Roman"/>
                <w:color w:val="000000"/>
                <w:sz w:val="21"/>
                <w:szCs w:val="21"/>
                <w:highlight w:val="none"/>
              </w:rPr>
              <w:t>180个</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1860BA4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29B3E3FA">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180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EE34334">
            <w:pPr>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7A551BD">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5B70E04D">
            <w:pPr>
              <w:adjustRightInd w:val="0"/>
              <w:snapToGrid w:val="0"/>
              <w:spacing w:line="240" w:lineRule="auto"/>
              <w:rPr>
                <w:rFonts w:cs="Times New Roman"/>
                <w:color w:val="000000"/>
                <w:sz w:val="21"/>
                <w:szCs w:val="21"/>
                <w:highlight w:val="none"/>
              </w:rPr>
            </w:pPr>
          </w:p>
        </w:tc>
      </w:tr>
      <w:tr w14:paraId="2D0B57F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664DB48A">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4" w:space="0"/>
              <w:right w:val="single" w:color="auto" w:sz="2" w:space="0"/>
            </w:tcBorders>
            <w:noWrap w:val="0"/>
            <w:vAlign w:val="center"/>
          </w:tcPr>
          <w:p w14:paraId="7025156E">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48BA183E">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地下水</w:t>
            </w:r>
            <w:r>
              <w:rPr>
                <w:rFonts w:cs="Times New Roman"/>
                <w:color w:val="000000"/>
                <w:sz w:val="21"/>
                <w:szCs w:val="21"/>
                <w:highlight w:val="none"/>
              </w:rPr>
              <w:t>的检测因子包括pH、重金属</w:t>
            </w:r>
            <w:r>
              <w:rPr>
                <w:rFonts w:hint="eastAsia" w:cs="Times New Roman"/>
                <w:color w:val="000000"/>
                <w:sz w:val="21"/>
                <w:szCs w:val="21"/>
                <w:highlight w:val="none"/>
              </w:rPr>
              <w:t>7项、挥发性有机污染物65项、半挥发性有机污染物64项、特征污染物30项（需要包括：（需要包括：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一溴二氯甲烷、溴仿、二溴氯甲烷、1,2-二溴乙烷、六氯环戊二烯、2,4-二硝基甲苯、2,4-二氯酚、2,4,6-三氯酚、2,4-二硝基酚、五氯酚、邻苯二甲酸二(2-乙基己基)酯、邻苯二甲酸丁基苄酯、邻苯二甲酸二正辛酯、3,3’-二氯联苯胺、钒、锌、硒、银、氟化物、丙酮、四氢呋喃、乙酸乙酯、对苯二酚、乙醚、正丁醇、甲氰菊酯、氯氰菊酯、苯乙酮、均三甲苯</w:t>
            </w:r>
            <w:r>
              <w:rPr>
                <w:rFonts w:hint="eastAsia" w:cs="Times New Roman"/>
                <w:color w:val="000000"/>
                <w:sz w:val="21"/>
                <w:szCs w:val="21"/>
                <w:highlight w:val="none"/>
              </w:rPr>
              <w:t>等）</w:t>
            </w:r>
            <w:r>
              <w:rPr>
                <w:rFonts w:cs="Times New Roman"/>
                <w:color w:val="000000"/>
                <w:sz w:val="21"/>
                <w:szCs w:val="21"/>
                <w:highlight w:val="none"/>
              </w:rPr>
              <w:t>，</w:t>
            </w:r>
            <w:r>
              <w:rPr>
                <w:rFonts w:hint="eastAsia" w:cs="Times New Roman"/>
                <w:color w:val="000000"/>
                <w:sz w:val="21"/>
                <w:szCs w:val="21"/>
                <w:highlight w:val="none"/>
              </w:rPr>
              <w:t>《地下水质量标准》(GBT14848-2017)中的感官性状无机指标等25项等。考虑</w:t>
            </w:r>
            <w:r>
              <w:rPr>
                <w:rFonts w:cs="Times New Roman"/>
                <w:color w:val="000000"/>
                <w:sz w:val="21"/>
                <w:szCs w:val="21"/>
                <w:highlight w:val="none"/>
              </w:rPr>
              <w:t>到地块内涉及</w:t>
            </w:r>
            <w:r>
              <w:rPr>
                <w:rFonts w:hint="eastAsia" w:cs="Times New Roman"/>
                <w:color w:val="000000"/>
                <w:sz w:val="21"/>
                <w:szCs w:val="21"/>
                <w:highlight w:val="none"/>
              </w:rPr>
              <w:t>DNAPL类物质超标，根据技术规范要求需要分别在水位线以下0.5m和井管底部采集地下水样品</w:t>
            </w:r>
            <w:r>
              <w:rPr>
                <w:rFonts w:cs="Times New Roman"/>
                <w:color w:val="000000"/>
                <w:sz w:val="21"/>
                <w:szCs w:val="21"/>
                <w:highlight w:val="none"/>
              </w:rPr>
              <w:t>，地下水样品约</w:t>
            </w:r>
            <w:r>
              <w:rPr>
                <w:rFonts w:hint="eastAsia" w:cs="Times New Roman"/>
                <w:color w:val="000000"/>
                <w:sz w:val="21"/>
                <w:szCs w:val="21"/>
                <w:highlight w:val="none"/>
              </w:rPr>
              <w:t>60个</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443802B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4D4BEC00">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60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44D2F46E">
            <w:pPr>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68FCCBCF">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26664C95">
            <w:pPr>
              <w:adjustRightInd w:val="0"/>
              <w:snapToGrid w:val="0"/>
              <w:spacing w:line="240" w:lineRule="auto"/>
              <w:rPr>
                <w:rFonts w:cs="Times New Roman"/>
                <w:color w:val="000000"/>
                <w:sz w:val="21"/>
                <w:szCs w:val="21"/>
                <w:highlight w:val="none"/>
              </w:rPr>
            </w:pPr>
          </w:p>
        </w:tc>
      </w:tr>
      <w:tr w14:paraId="2E196E6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7C23916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5</w:t>
            </w:r>
          </w:p>
        </w:tc>
        <w:tc>
          <w:tcPr>
            <w:tcW w:w="353" w:type="pct"/>
            <w:vMerge w:val="restart"/>
            <w:tcBorders>
              <w:top w:val="single" w:color="auto" w:sz="4" w:space="0"/>
              <w:left w:val="single" w:color="auto" w:sz="2" w:space="0"/>
              <w:right w:val="single" w:color="auto" w:sz="2" w:space="0"/>
            </w:tcBorders>
            <w:noWrap w:val="0"/>
            <w:vAlign w:val="center"/>
          </w:tcPr>
          <w:p w14:paraId="25A2BD27">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土壤污染状况调查报告编制</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2EDCE0E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针对宝恒化工地块未开展调查区域，开展资料收集及分析、人员访谈及分析、现场踏勘及分析，并开展污染识别及分析，包括地块的污染分析，以及周边地块的污染分析</w:t>
            </w:r>
          </w:p>
        </w:tc>
        <w:tc>
          <w:tcPr>
            <w:tcW w:w="330" w:type="pct"/>
            <w:vMerge w:val="restart"/>
            <w:tcBorders>
              <w:top w:val="single" w:color="auto" w:sz="4" w:space="0"/>
              <w:left w:val="single" w:color="auto" w:sz="4" w:space="0"/>
              <w:right w:val="single" w:color="auto" w:sz="4" w:space="0"/>
            </w:tcBorders>
            <w:noWrap w:val="0"/>
            <w:vAlign w:val="center"/>
          </w:tcPr>
          <w:p w14:paraId="5612BB66">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33" w:type="pct"/>
            <w:vMerge w:val="restart"/>
            <w:tcBorders>
              <w:top w:val="single" w:color="auto" w:sz="4" w:space="0"/>
              <w:left w:val="single" w:color="auto" w:sz="4" w:space="0"/>
              <w:right w:val="single" w:color="auto" w:sz="4" w:space="0"/>
            </w:tcBorders>
            <w:noWrap w:val="0"/>
            <w:vAlign w:val="center"/>
          </w:tcPr>
          <w:p w14:paraId="2EBEB6F4">
            <w:pPr>
              <w:adjustRightInd w:val="0"/>
              <w:snapToGrid w:val="0"/>
              <w:spacing w:line="240" w:lineRule="auto"/>
              <w:jc w:val="center"/>
              <w:rPr>
                <w:rFonts w:cs="Times New Roman"/>
                <w:sz w:val="21"/>
                <w:szCs w:val="21"/>
                <w:highlight w:val="none"/>
              </w:rPr>
            </w:pPr>
            <w:r>
              <w:rPr>
                <w:rFonts w:hint="eastAsia" w:cs="Times New Roman"/>
                <w:color w:val="000000"/>
                <w:sz w:val="21"/>
                <w:szCs w:val="21"/>
                <w:highlight w:val="none"/>
              </w:rPr>
              <w:t>1</w:t>
            </w:r>
          </w:p>
        </w:tc>
        <w:tc>
          <w:tcPr>
            <w:tcW w:w="555" w:type="pct"/>
            <w:vMerge w:val="restart"/>
            <w:tcBorders>
              <w:top w:val="single" w:color="auto" w:sz="4" w:space="0"/>
              <w:left w:val="single" w:color="auto" w:sz="4" w:space="0"/>
              <w:right w:val="single" w:color="auto" w:sz="4" w:space="0"/>
            </w:tcBorders>
            <w:noWrap w:val="0"/>
            <w:vAlign w:val="center"/>
          </w:tcPr>
          <w:p w14:paraId="7A432CD8">
            <w:pPr>
              <w:adjustRightInd w:val="0"/>
              <w:snapToGrid w:val="0"/>
              <w:spacing w:line="240" w:lineRule="auto"/>
              <w:jc w:val="center"/>
              <w:rPr>
                <w:rFonts w:cs="Times New Roman"/>
                <w:color w:val="000000"/>
                <w:sz w:val="21"/>
                <w:szCs w:val="21"/>
                <w:highlight w:val="none"/>
              </w:rPr>
            </w:pPr>
          </w:p>
        </w:tc>
        <w:tc>
          <w:tcPr>
            <w:tcW w:w="588" w:type="pct"/>
            <w:vMerge w:val="restart"/>
            <w:tcBorders>
              <w:top w:val="single" w:color="auto" w:sz="4" w:space="0"/>
              <w:left w:val="single" w:color="auto" w:sz="4" w:space="0"/>
              <w:right w:val="single" w:color="auto" w:sz="4" w:space="0"/>
            </w:tcBorders>
            <w:noWrap w:val="0"/>
            <w:vAlign w:val="center"/>
          </w:tcPr>
          <w:p w14:paraId="79ED747D">
            <w:pPr>
              <w:adjustRightInd w:val="0"/>
              <w:snapToGrid w:val="0"/>
              <w:spacing w:line="240" w:lineRule="auto"/>
              <w:jc w:val="center"/>
              <w:rPr>
                <w:rFonts w:cs="Times New Roman"/>
                <w:color w:val="000000"/>
                <w:sz w:val="21"/>
                <w:szCs w:val="21"/>
                <w:highlight w:val="none"/>
              </w:rPr>
            </w:pPr>
          </w:p>
        </w:tc>
        <w:tc>
          <w:tcPr>
            <w:tcW w:w="497" w:type="pct"/>
            <w:vMerge w:val="restart"/>
            <w:tcBorders>
              <w:top w:val="single" w:color="auto" w:sz="4" w:space="0"/>
              <w:left w:val="single" w:color="auto" w:sz="4" w:space="0"/>
              <w:right w:val="single" w:color="auto" w:sz="4" w:space="0"/>
            </w:tcBorders>
            <w:noWrap w:val="0"/>
            <w:vAlign w:val="center"/>
          </w:tcPr>
          <w:p w14:paraId="4C47031A">
            <w:pPr>
              <w:adjustRightInd w:val="0"/>
              <w:snapToGrid w:val="0"/>
              <w:spacing w:line="240" w:lineRule="auto"/>
              <w:rPr>
                <w:rFonts w:cs="Times New Roman"/>
                <w:color w:val="000000"/>
                <w:sz w:val="21"/>
                <w:szCs w:val="21"/>
                <w:highlight w:val="none"/>
              </w:rPr>
            </w:pPr>
          </w:p>
        </w:tc>
      </w:tr>
      <w:tr w14:paraId="4643242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5537862D">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5CF8D1FD">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179D4F65">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根据前面制定的采样方案，完成土壤和地下水的检测结果分析，分别采用不超标点连线法划定土壤超标范围，根据</w:t>
            </w:r>
            <w:r>
              <w:rPr>
                <w:rFonts w:hint="eastAsia" w:cs="Times New Roman"/>
                <w:bCs/>
                <w:color w:val="000000"/>
                <w:kern w:val="0"/>
                <w:sz w:val="21"/>
                <w:szCs w:val="21"/>
                <w:highlight w:val="none"/>
              </w:rPr>
              <w:t>克里金插值法绘制地下水超标污染羽，划定地下水超标范围，确保土壤和地下水污染指标全部兜边界及兜底，计算土壤和地下水超标面积和方量</w:t>
            </w:r>
          </w:p>
        </w:tc>
        <w:tc>
          <w:tcPr>
            <w:tcW w:w="330" w:type="pct"/>
            <w:vMerge w:val="continue"/>
            <w:tcBorders>
              <w:left w:val="single" w:color="auto" w:sz="4" w:space="0"/>
              <w:right w:val="single" w:color="auto" w:sz="4" w:space="0"/>
            </w:tcBorders>
            <w:noWrap w:val="0"/>
            <w:vAlign w:val="center"/>
          </w:tcPr>
          <w:p w14:paraId="137A5B5C">
            <w:pPr>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364CE038">
            <w:pPr>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3E60139B">
            <w:pPr>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4E920803">
            <w:pPr>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5EE72E7B">
            <w:pPr>
              <w:widowControl/>
              <w:adjustRightInd w:val="0"/>
              <w:snapToGrid w:val="0"/>
              <w:spacing w:line="240" w:lineRule="auto"/>
              <w:rPr>
                <w:rFonts w:cs="Times New Roman"/>
                <w:color w:val="000000"/>
                <w:sz w:val="21"/>
                <w:szCs w:val="21"/>
                <w:highlight w:val="none"/>
              </w:rPr>
            </w:pPr>
          </w:p>
        </w:tc>
      </w:tr>
      <w:tr w14:paraId="1DFAE26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3009AC1E">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4" w:space="0"/>
              <w:right w:val="single" w:color="auto" w:sz="2" w:space="0"/>
            </w:tcBorders>
            <w:noWrap w:val="0"/>
            <w:vAlign w:val="center"/>
          </w:tcPr>
          <w:p w14:paraId="092399BB">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01AA894B">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完成全流程的质控报告编制，开展土壤和地下水超标因子的溯源分析，编制</w:t>
            </w:r>
            <w:r>
              <w:rPr>
                <w:rFonts w:cs="Times New Roman"/>
                <w:bCs/>
                <w:color w:val="000000"/>
                <w:kern w:val="0"/>
                <w:sz w:val="21"/>
                <w:szCs w:val="21"/>
                <w:highlight w:val="none"/>
              </w:rPr>
              <w:t>土壤污染状况调查报告，并根据专家评审意见修改完善报告，完成报告的备案等</w:t>
            </w:r>
          </w:p>
        </w:tc>
        <w:tc>
          <w:tcPr>
            <w:tcW w:w="330" w:type="pct"/>
            <w:vMerge w:val="continue"/>
            <w:tcBorders>
              <w:left w:val="single" w:color="auto" w:sz="4" w:space="0"/>
              <w:bottom w:val="single" w:color="auto" w:sz="4" w:space="0"/>
              <w:right w:val="single" w:color="auto" w:sz="4" w:space="0"/>
            </w:tcBorders>
            <w:noWrap w:val="0"/>
            <w:vAlign w:val="center"/>
          </w:tcPr>
          <w:p w14:paraId="2559CCEF">
            <w:pPr>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bottom w:val="single" w:color="auto" w:sz="4" w:space="0"/>
              <w:right w:val="single" w:color="auto" w:sz="4" w:space="0"/>
            </w:tcBorders>
            <w:noWrap w:val="0"/>
            <w:vAlign w:val="center"/>
          </w:tcPr>
          <w:p w14:paraId="10268769">
            <w:pPr>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bottom w:val="single" w:color="auto" w:sz="4" w:space="0"/>
              <w:right w:val="single" w:color="auto" w:sz="4" w:space="0"/>
            </w:tcBorders>
            <w:noWrap w:val="0"/>
            <w:vAlign w:val="center"/>
          </w:tcPr>
          <w:p w14:paraId="51DE50EF">
            <w:pPr>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bottom w:val="single" w:color="auto" w:sz="4" w:space="0"/>
              <w:right w:val="single" w:color="auto" w:sz="4" w:space="0"/>
            </w:tcBorders>
            <w:noWrap w:val="0"/>
            <w:vAlign w:val="center"/>
          </w:tcPr>
          <w:p w14:paraId="7AD7553F">
            <w:pPr>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bottom w:val="single" w:color="auto" w:sz="4" w:space="0"/>
              <w:right w:val="single" w:color="auto" w:sz="4" w:space="0"/>
            </w:tcBorders>
            <w:noWrap w:val="0"/>
            <w:vAlign w:val="center"/>
          </w:tcPr>
          <w:p w14:paraId="07D4E74C">
            <w:pPr>
              <w:widowControl/>
              <w:adjustRightInd w:val="0"/>
              <w:snapToGrid w:val="0"/>
              <w:spacing w:line="240" w:lineRule="auto"/>
              <w:rPr>
                <w:rFonts w:cs="Times New Roman"/>
                <w:color w:val="000000"/>
                <w:sz w:val="21"/>
                <w:szCs w:val="21"/>
                <w:highlight w:val="none"/>
              </w:rPr>
            </w:pPr>
          </w:p>
        </w:tc>
      </w:tr>
      <w:tr w14:paraId="5084046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794" w:hRule="atLeast"/>
          <w:jc w:val="center"/>
        </w:trPr>
        <w:tc>
          <w:tcPr>
            <w:tcW w:w="152" w:type="pct"/>
            <w:tcBorders>
              <w:top w:val="single" w:color="auto" w:sz="4" w:space="0"/>
              <w:left w:val="single" w:color="auto" w:sz="8" w:space="0"/>
              <w:bottom w:val="single" w:color="auto" w:sz="4" w:space="0"/>
              <w:right w:val="single" w:color="auto" w:sz="2" w:space="0"/>
            </w:tcBorders>
            <w:noWrap w:val="0"/>
            <w:vAlign w:val="center"/>
          </w:tcPr>
          <w:p w14:paraId="2F61942B">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6</w:t>
            </w:r>
          </w:p>
        </w:tc>
        <w:tc>
          <w:tcPr>
            <w:tcW w:w="353" w:type="pct"/>
            <w:tcBorders>
              <w:top w:val="single" w:color="auto" w:sz="4" w:space="0"/>
              <w:left w:val="single" w:color="auto" w:sz="2" w:space="0"/>
              <w:bottom w:val="single" w:color="auto" w:sz="4" w:space="0"/>
              <w:right w:val="single" w:color="auto" w:sz="2" w:space="0"/>
            </w:tcBorders>
            <w:noWrap w:val="0"/>
            <w:vAlign w:val="center"/>
          </w:tcPr>
          <w:p w14:paraId="5450D5E3">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土壤污染状况调查报告专家费、会务费、</w:t>
            </w:r>
            <w:r>
              <w:rPr>
                <w:rFonts w:hint="eastAsia" w:eastAsia="宋体" w:cs="Times New Roman"/>
                <w:bCs/>
                <w:color w:val="000000"/>
                <w:kern w:val="0"/>
                <w:sz w:val="21"/>
                <w:szCs w:val="21"/>
                <w:highlight w:val="none"/>
                <w:lang w:val="en-US" w:eastAsia="zh-CN"/>
              </w:rPr>
              <w:t>彩色</w:t>
            </w:r>
            <w:r>
              <w:rPr>
                <w:rFonts w:cs="Times New Roman"/>
                <w:bCs/>
                <w:color w:val="000000"/>
                <w:kern w:val="0"/>
                <w:sz w:val="21"/>
                <w:szCs w:val="21"/>
                <w:highlight w:val="none"/>
              </w:rPr>
              <w:t>打印费等等</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3DD52B7E">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6EE5EED9">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27E0463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51687F6A">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61B9D902">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46AF2CCD">
            <w:pPr>
              <w:widowControl/>
              <w:adjustRightInd w:val="0"/>
              <w:snapToGrid w:val="0"/>
              <w:spacing w:line="240" w:lineRule="auto"/>
              <w:rPr>
                <w:rFonts w:cs="Times New Roman"/>
                <w:color w:val="000000"/>
                <w:sz w:val="21"/>
                <w:szCs w:val="21"/>
                <w:highlight w:val="none"/>
              </w:rPr>
            </w:pPr>
          </w:p>
        </w:tc>
      </w:tr>
      <w:tr w14:paraId="1D87A41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12DD1CD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7</w:t>
            </w:r>
          </w:p>
        </w:tc>
        <w:tc>
          <w:tcPr>
            <w:tcW w:w="353" w:type="pct"/>
            <w:vMerge w:val="restart"/>
            <w:tcBorders>
              <w:top w:val="single" w:color="auto" w:sz="2" w:space="0"/>
              <w:left w:val="single" w:color="auto" w:sz="2" w:space="0"/>
              <w:right w:val="single" w:color="auto" w:sz="2" w:space="0"/>
            </w:tcBorders>
            <w:noWrap w:val="0"/>
            <w:vAlign w:val="center"/>
          </w:tcPr>
          <w:p w14:paraId="10643485">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污染物入江风险评估</w:t>
            </w:r>
          </w:p>
        </w:tc>
        <w:tc>
          <w:tcPr>
            <w:tcW w:w="2189" w:type="pct"/>
            <w:tcBorders>
              <w:top w:val="single" w:color="auto" w:sz="2" w:space="0"/>
              <w:left w:val="single" w:color="auto" w:sz="2" w:space="0"/>
              <w:bottom w:val="single" w:color="auto" w:sz="2" w:space="0"/>
              <w:right w:val="single" w:color="auto" w:sz="2" w:space="0"/>
            </w:tcBorders>
            <w:noWrap w:val="0"/>
            <w:vAlign w:val="center"/>
          </w:tcPr>
          <w:p w14:paraId="4EC91C3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入江风险识别与途径分析，</w:t>
            </w:r>
            <w:r>
              <w:rPr>
                <w:rFonts w:hint="eastAsia" w:cs="Times New Roman"/>
                <w:bCs/>
                <w:color w:val="000000"/>
                <w:kern w:val="0"/>
                <w:sz w:val="21"/>
                <w:szCs w:val="21"/>
                <w:highlight w:val="none"/>
              </w:rPr>
              <w:t>结合地块利用类型，识别入江风险因素，分析污染物入江的主要途径及可行性，包括地块污染本身风险、水文水力联系风险、污染物入江途径风险、敏感目标影响风险、暴雨与汛期风险、开发建设新增风险等</w:t>
            </w:r>
          </w:p>
        </w:tc>
        <w:tc>
          <w:tcPr>
            <w:tcW w:w="330" w:type="pct"/>
            <w:vMerge w:val="restart"/>
            <w:tcBorders>
              <w:top w:val="single" w:color="auto" w:sz="4" w:space="0"/>
              <w:left w:val="single" w:color="auto" w:sz="4" w:space="0"/>
              <w:right w:val="single" w:color="auto" w:sz="4" w:space="0"/>
            </w:tcBorders>
            <w:noWrap w:val="0"/>
            <w:vAlign w:val="center"/>
          </w:tcPr>
          <w:p w14:paraId="2F2CCC97">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vMerge w:val="restart"/>
            <w:tcBorders>
              <w:top w:val="single" w:color="auto" w:sz="4" w:space="0"/>
              <w:left w:val="single" w:color="auto" w:sz="4" w:space="0"/>
              <w:right w:val="single" w:color="auto" w:sz="4" w:space="0"/>
            </w:tcBorders>
            <w:noWrap w:val="0"/>
            <w:vAlign w:val="center"/>
          </w:tcPr>
          <w:p w14:paraId="114E5B58">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vMerge w:val="restart"/>
            <w:tcBorders>
              <w:top w:val="single" w:color="auto" w:sz="4" w:space="0"/>
              <w:left w:val="single" w:color="auto" w:sz="4" w:space="0"/>
              <w:right w:val="single" w:color="auto" w:sz="4" w:space="0"/>
            </w:tcBorders>
            <w:noWrap w:val="0"/>
            <w:vAlign w:val="center"/>
          </w:tcPr>
          <w:p w14:paraId="6E9B934E">
            <w:pPr>
              <w:widowControl/>
              <w:adjustRightInd w:val="0"/>
              <w:snapToGrid w:val="0"/>
              <w:spacing w:line="240" w:lineRule="auto"/>
              <w:jc w:val="center"/>
              <w:rPr>
                <w:rFonts w:cs="Times New Roman"/>
                <w:color w:val="000000"/>
                <w:sz w:val="21"/>
                <w:szCs w:val="21"/>
                <w:highlight w:val="none"/>
              </w:rPr>
            </w:pPr>
          </w:p>
        </w:tc>
        <w:tc>
          <w:tcPr>
            <w:tcW w:w="588" w:type="pct"/>
            <w:vMerge w:val="restart"/>
            <w:tcBorders>
              <w:top w:val="single" w:color="auto" w:sz="4" w:space="0"/>
              <w:left w:val="single" w:color="auto" w:sz="4" w:space="0"/>
              <w:right w:val="single" w:color="auto" w:sz="4" w:space="0"/>
            </w:tcBorders>
            <w:noWrap w:val="0"/>
            <w:vAlign w:val="center"/>
          </w:tcPr>
          <w:p w14:paraId="3D409F5A">
            <w:pPr>
              <w:widowControl/>
              <w:adjustRightInd w:val="0"/>
              <w:snapToGrid w:val="0"/>
              <w:spacing w:line="240" w:lineRule="auto"/>
              <w:jc w:val="center"/>
              <w:rPr>
                <w:rFonts w:cs="Times New Roman"/>
                <w:color w:val="000000"/>
                <w:sz w:val="21"/>
                <w:szCs w:val="21"/>
                <w:highlight w:val="none"/>
              </w:rPr>
            </w:pPr>
          </w:p>
        </w:tc>
        <w:tc>
          <w:tcPr>
            <w:tcW w:w="497" w:type="pct"/>
            <w:vMerge w:val="restart"/>
            <w:tcBorders>
              <w:top w:val="single" w:color="auto" w:sz="4" w:space="0"/>
              <w:left w:val="single" w:color="auto" w:sz="4" w:space="0"/>
              <w:right w:val="single" w:color="auto" w:sz="4" w:space="0"/>
            </w:tcBorders>
            <w:noWrap w:val="0"/>
            <w:vAlign w:val="center"/>
          </w:tcPr>
          <w:p w14:paraId="5EB5FC88">
            <w:pPr>
              <w:widowControl/>
              <w:adjustRightInd w:val="0"/>
              <w:snapToGrid w:val="0"/>
              <w:spacing w:line="240" w:lineRule="auto"/>
              <w:rPr>
                <w:rFonts w:cs="Times New Roman"/>
                <w:color w:val="000000"/>
                <w:sz w:val="21"/>
                <w:szCs w:val="21"/>
                <w:highlight w:val="none"/>
              </w:rPr>
            </w:pPr>
          </w:p>
        </w:tc>
      </w:tr>
      <w:tr w14:paraId="298E38E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25D0276F">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65DFE9DD">
            <w:pPr>
              <w:adjustRightInd w:val="0"/>
              <w:snapToGrid w:val="0"/>
              <w:spacing w:line="240" w:lineRule="auto"/>
              <w:jc w:val="center"/>
              <w:rPr>
                <w:rFonts w:cs="Times New Roman"/>
                <w:color w:val="00000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1EB91A4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hint="eastAsia" w:cs="Times New Roman"/>
                <w:color w:val="000000"/>
                <w:sz w:val="21"/>
                <w:szCs w:val="21"/>
                <w:highlight w:val="none"/>
              </w:rPr>
              <w:t>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p>
        </w:tc>
        <w:tc>
          <w:tcPr>
            <w:tcW w:w="330" w:type="pct"/>
            <w:vMerge w:val="continue"/>
            <w:tcBorders>
              <w:left w:val="single" w:color="auto" w:sz="4" w:space="0"/>
              <w:right w:val="single" w:color="auto" w:sz="4" w:space="0"/>
            </w:tcBorders>
            <w:noWrap w:val="0"/>
            <w:vAlign w:val="center"/>
          </w:tcPr>
          <w:p w14:paraId="633AF64F">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38FD641F">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50E0A1A3">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2A8FC3AF">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32833697">
            <w:pPr>
              <w:widowControl/>
              <w:adjustRightInd w:val="0"/>
              <w:snapToGrid w:val="0"/>
              <w:spacing w:line="240" w:lineRule="auto"/>
              <w:rPr>
                <w:rFonts w:cs="Times New Roman"/>
                <w:color w:val="000000"/>
                <w:sz w:val="21"/>
                <w:szCs w:val="21"/>
                <w:highlight w:val="none"/>
              </w:rPr>
            </w:pPr>
          </w:p>
        </w:tc>
      </w:tr>
      <w:tr w14:paraId="050C858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4A7BD7BE">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7FE0ACDE">
            <w:pPr>
              <w:adjustRightInd w:val="0"/>
              <w:snapToGrid w:val="0"/>
              <w:spacing w:line="240" w:lineRule="auto"/>
              <w:jc w:val="center"/>
              <w:rPr>
                <w:rFonts w:cs="Times New Roman"/>
                <w:color w:val="00000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05FA8FB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入江风险防控措施，</w:t>
            </w:r>
            <w:r>
              <w:rPr>
                <w:rFonts w:hint="eastAsia" w:cs="Times New Roman"/>
                <w:bCs/>
                <w:color w:val="000000"/>
                <w:kern w:val="0"/>
                <w:sz w:val="21"/>
                <w:szCs w:val="21"/>
                <w:highlight w:val="none"/>
              </w:rPr>
              <w:t>结合风险等级及地块利用类型，制定针对性、可操作的源头管控、过程拦截、应急处置及长效监测措施</w:t>
            </w:r>
          </w:p>
        </w:tc>
        <w:tc>
          <w:tcPr>
            <w:tcW w:w="330" w:type="pct"/>
            <w:vMerge w:val="continue"/>
            <w:tcBorders>
              <w:left w:val="single" w:color="auto" w:sz="4" w:space="0"/>
              <w:right w:val="single" w:color="auto" w:sz="4" w:space="0"/>
            </w:tcBorders>
            <w:noWrap w:val="0"/>
            <w:vAlign w:val="center"/>
          </w:tcPr>
          <w:p w14:paraId="6A7BD019">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3DCE5438">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4ED8E00B">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366CE936">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33FF1E21">
            <w:pPr>
              <w:widowControl/>
              <w:adjustRightInd w:val="0"/>
              <w:snapToGrid w:val="0"/>
              <w:spacing w:line="240" w:lineRule="auto"/>
              <w:rPr>
                <w:rFonts w:cs="Times New Roman"/>
                <w:color w:val="000000"/>
                <w:sz w:val="21"/>
                <w:szCs w:val="21"/>
                <w:highlight w:val="none"/>
              </w:rPr>
            </w:pPr>
          </w:p>
        </w:tc>
      </w:tr>
      <w:tr w14:paraId="02DF74A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1D2E6C4B">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2" w:space="0"/>
              <w:right w:val="single" w:color="auto" w:sz="2" w:space="0"/>
            </w:tcBorders>
            <w:noWrap w:val="0"/>
            <w:vAlign w:val="center"/>
          </w:tcPr>
          <w:p w14:paraId="37CE7A51">
            <w:pPr>
              <w:adjustRightInd w:val="0"/>
              <w:snapToGrid w:val="0"/>
              <w:spacing w:line="240" w:lineRule="auto"/>
              <w:jc w:val="center"/>
              <w:rPr>
                <w:rFonts w:cs="Times New Roman"/>
                <w:color w:val="00000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28FABE7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风险分析报告编制，</w:t>
            </w:r>
            <w:r>
              <w:rPr>
                <w:rFonts w:hint="eastAsia" w:cs="Times New Roman"/>
                <w:bCs/>
                <w:color w:val="000000"/>
                <w:kern w:val="0"/>
                <w:sz w:val="21"/>
                <w:szCs w:val="21"/>
                <w:highlight w:val="none"/>
              </w:rPr>
              <w:t>编制入江风险分析报告，作为地块开发利用及监管的依据</w:t>
            </w:r>
          </w:p>
        </w:tc>
        <w:tc>
          <w:tcPr>
            <w:tcW w:w="330" w:type="pct"/>
            <w:vMerge w:val="continue"/>
            <w:tcBorders>
              <w:left w:val="single" w:color="auto" w:sz="4" w:space="0"/>
              <w:bottom w:val="single" w:color="auto" w:sz="4" w:space="0"/>
              <w:right w:val="single" w:color="auto" w:sz="4" w:space="0"/>
            </w:tcBorders>
            <w:noWrap w:val="0"/>
            <w:vAlign w:val="center"/>
          </w:tcPr>
          <w:p w14:paraId="3C668CBB">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bottom w:val="single" w:color="auto" w:sz="4" w:space="0"/>
              <w:right w:val="single" w:color="auto" w:sz="4" w:space="0"/>
            </w:tcBorders>
            <w:noWrap w:val="0"/>
            <w:vAlign w:val="center"/>
          </w:tcPr>
          <w:p w14:paraId="51B4263F">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bottom w:val="single" w:color="auto" w:sz="4" w:space="0"/>
              <w:right w:val="single" w:color="auto" w:sz="4" w:space="0"/>
            </w:tcBorders>
            <w:noWrap w:val="0"/>
            <w:vAlign w:val="center"/>
          </w:tcPr>
          <w:p w14:paraId="0AB98622">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bottom w:val="single" w:color="auto" w:sz="4" w:space="0"/>
              <w:right w:val="single" w:color="auto" w:sz="4" w:space="0"/>
            </w:tcBorders>
            <w:noWrap w:val="0"/>
            <w:vAlign w:val="center"/>
          </w:tcPr>
          <w:p w14:paraId="16863FAA">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7C17D5ED">
            <w:pPr>
              <w:widowControl/>
              <w:adjustRightInd w:val="0"/>
              <w:snapToGrid w:val="0"/>
              <w:spacing w:line="240" w:lineRule="auto"/>
              <w:rPr>
                <w:rFonts w:cs="Times New Roman"/>
                <w:color w:val="000000"/>
                <w:sz w:val="21"/>
                <w:szCs w:val="21"/>
                <w:highlight w:val="none"/>
              </w:rPr>
            </w:pPr>
          </w:p>
        </w:tc>
      </w:tr>
      <w:tr w14:paraId="09EC180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3D36731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8</w:t>
            </w:r>
          </w:p>
        </w:tc>
        <w:tc>
          <w:tcPr>
            <w:tcW w:w="353" w:type="pct"/>
            <w:vMerge w:val="restart"/>
            <w:tcBorders>
              <w:top w:val="single" w:color="auto" w:sz="2" w:space="0"/>
              <w:left w:val="single" w:color="auto" w:sz="2" w:space="0"/>
              <w:right w:val="single" w:color="auto" w:sz="2" w:space="0"/>
            </w:tcBorders>
            <w:noWrap w:val="0"/>
            <w:vAlign w:val="center"/>
          </w:tcPr>
          <w:p w14:paraId="6A01BA5E">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风险评估报告编制</w:t>
            </w:r>
          </w:p>
        </w:tc>
        <w:tc>
          <w:tcPr>
            <w:tcW w:w="2189" w:type="pct"/>
            <w:tcBorders>
              <w:top w:val="single" w:color="auto" w:sz="2" w:space="0"/>
              <w:left w:val="single" w:color="auto" w:sz="2" w:space="0"/>
              <w:bottom w:val="single" w:color="auto" w:sz="2" w:space="0"/>
              <w:right w:val="single" w:color="auto" w:sz="2" w:space="0"/>
            </w:tcBorders>
            <w:noWrap w:val="0"/>
            <w:vAlign w:val="center"/>
          </w:tcPr>
          <w:p w14:paraId="6CEB6CA3">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开展危害识别，收集土壤污染状况调查阶段获得的相关资料和数据，掌握地块土壤和地下水中关注污染物的浓度分布，明确规划土地利用方式，分析可能的敏感受体，如儿童、成人、地下水体等。</w:t>
            </w:r>
          </w:p>
        </w:tc>
        <w:tc>
          <w:tcPr>
            <w:tcW w:w="330" w:type="pct"/>
            <w:vMerge w:val="restart"/>
            <w:tcBorders>
              <w:top w:val="single" w:color="auto" w:sz="4" w:space="0"/>
              <w:left w:val="single" w:color="auto" w:sz="4" w:space="0"/>
              <w:right w:val="single" w:color="auto" w:sz="4" w:space="0"/>
            </w:tcBorders>
            <w:noWrap w:val="0"/>
            <w:vAlign w:val="center"/>
          </w:tcPr>
          <w:p w14:paraId="0A8BBA83">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vMerge w:val="restart"/>
            <w:tcBorders>
              <w:top w:val="single" w:color="auto" w:sz="4" w:space="0"/>
              <w:left w:val="single" w:color="auto" w:sz="4" w:space="0"/>
              <w:right w:val="single" w:color="auto" w:sz="4" w:space="0"/>
            </w:tcBorders>
            <w:noWrap w:val="0"/>
            <w:vAlign w:val="center"/>
          </w:tcPr>
          <w:p w14:paraId="4C04A0BA">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vMerge w:val="restart"/>
            <w:tcBorders>
              <w:top w:val="single" w:color="auto" w:sz="4" w:space="0"/>
              <w:left w:val="single" w:color="auto" w:sz="4" w:space="0"/>
              <w:right w:val="single" w:color="auto" w:sz="4" w:space="0"/>
            </w:tcBorders>
            <w:noWrap w:val="0"/>
            <w:vAlign w:val="center"/>
          </w:tcPr>
          <w:p w14:paraId="4F640D21">
            <w:pPr>
              <w:widowControl/>
              <w:adjustRightInd w:val="0"/>
              <w:snapToGrid w:val="0"/>
              <w:spacing w:line="240" w:lineRule="auto"/>
              <w:jc w:val="center"/>
              <w:rPr>
                <w:rFonts w:cs="Times New Roman"/>
                <w:color w:val="000000"/>
                <w:sz w:val="21"/>
                <w:szCs w:val="21"/>
                <w:highlight w:val="none"/>
              </w:rPr>
            </w:pPr>
          </w:p>
        </w:tc>
        <w:tc>
          <w:tcPr>
            <w:tcW w:w="588" w:type="pct"/>
            <w:vMerge w:val="restart"/>
            <w:tcBorders>
              <w:top w:val="single" w:color="auto" w:sz="4" w:space="0"/>
              <w:left w:val="single" w:color="auto" w:sz="4" w:space="0"/>
              <w:right w:val="single" w:color="auto" w:sz="4" w:space="0"/>
            </w:tcBorders>
            <w:noWrap w:val="0"/>
            <w:vAlign w:val="center"/>
          </w:tcPr>
          <w:p w14:paraId="2D8DC543">
            <w:pPr>
              <w:widowControl/>
              <w:adjustRightInd w:val="0"/>
              <w:snapToGrid w:val="0"/>
              <w:spacing w:line="240" w:lineRule="auto"/>
              <w:jc w:val="center"/>
              <w:rPr>
                <w:rFonts w:cs="Times New Roman"/>
                <w:color w:val="000000"/>
                <w:sz w:val="21"/>
                <w:szCs w:val="21"/>
                <w:highlight w:val="none"/>
              </w:rPr>
            </w:pPr>
          </w:p>
        </w:tc>
        <w:tc>
          <w:tcPr>
            <w:tcW w:w="497" w:type="pct"/>
            <w:vMerge w:val="restart"/>
            <w:tcBorders>
              <w:left w:val="single" w:color="auto" w:sz="4" w:space="0"/>
              <w:right w:val="single" w:color="auto" w:sz="4" w:space="0"/>
            </w:tcBorders>
            <w:noWrap w:val="0"/>
            <w:vAlign w:val="center"/>
          </w:tcPr>
          <w:p w14:paraId="22529985">
            <w:pPr>
              <w:widowControl/>
              <w:adjustRightInd w:val="0"/>
              <w:snapToGrid w:val="0"/>
              <w:spacing w:line="240" w:lineRule="auto"/>
              <w:rPr>
                <w:rFonts w:cs="Times New Roman"/>
                <w:color w:val="000000"/>
                <w:sz w:val="21"/>
                <w:szCs w:val="21"/>
                <w:highlight w:val="none"/>
              </w:rPr>
            </w:pPr>
          </w:p>
        </w:tc>
      </w:tr>
      <w:tr w14:paraId="0313A0E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1B88DD91">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0330B4D5">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1783EC7C">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暴露评估，在危害识别的基础上，分析地块内关注污染物迁移和危害敏感受体的可能性，确定地块地下水污染物的主要暴露途径和暴露评估模型，确定评估模型参数取值，计算敏感人群对地下水中污染物的暴露量。</w:t>
            </w:r>
          </w:p>
        </w:tc>
        <w:tc>
          <w:tcPr>
            <w:tcW w:w="330" w:type="pct"/>
            <w:vMerge w:val="continue"/>
            <w:tcBorders>
              <w:left w:val="single" w:color="auto" w:sz="4" w:space="0"/>
              <w:right w:val="single" w:color="auto" w:sz="4" w:space="0"/>
            </w:tcBorders>
            <w:noWrap w:val="0"/>
            <w:vAlign w:val="center"/>
          </w:tcPr>
          <w:p w14:paraId="65F8C5BC">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6BE4FCCB">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172E5EF7">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23D5E347">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02D4AFA7">
            <w:pPr>
              <w:widowControl/>
              <w:adjustRightInd w:val="0"/>
              <w:snapToGrid w:val="0"/>
              <w:spacing w:line="240" w:lineRule="auto"/>
              <w:rPr>
                <w:rFonts w:cs="Times New Roman"/>
                <w:color w:val="000000"/>
                <w:sz w:val="21"/>
                <w:szCs w:val="21"/>
                <w:highlight w:val="none"/>
              </w:rPr>
            </w:pPr>
          </w:p>
        </w:tc>
      </w:tr>
      <w:tr w14:paraId="429114C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553AAF86">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649BC228">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62290918">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开展毒性评估，在危害识别的基础上，分析关注污染物对人体健康的危害效应，包括致癌效应和非致癌效应，确定与关注污染物相关的参数，包括参考剂量、参考浓度、致癌斜率因子和呼吸吸入单位致癌因子等。</w:t>
            </w:r>
          </w:p>
        </w:tc>
        <w:tc>
          <w:tcPr>
            <w:tcW w:w="330" w:type="pct"/>
            <w:vMerge w:val="continue"/>
            <w:tcBorders>
              <w:left w:val="single" w:color="auto" w:sz="4" w:space="0"/>
              <w:right w:val="single" w:color="auto" w:sz="4" w:space="0"/>
            </w:tcBorders>
            <w:noWrap w:val="0"/>
            <w:vAlign w:val="center"/>
          </w:tcPr>
          <w:p w14:paraId="34F99E30">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7F778F7A">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662FEBBE">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44C98C06">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00B12418">
            <w:pPr>
              <w:widowControl/>
              <w:adjustRightInd w:val="0"/>
              <w:snapToGrid w:val="0"/>
              <w:spacing w:line="240" w:lineRule="auto"/>
              <w:rPr>
                <w:rFonts w:cs="Times New Roman"/>
                <w:color w:val="000000"/>
                <w:sz w:val="21"/>
                <w:szCs w:val="21"/>
                <w:highlight w:val="none"/>
              </w:rPr>
            </w:pPr>
          </w:p>
        </w:tc>
      </w:tr>
      <w:tr w14:paraId="5661F04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78827305">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2D83E5B9">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0E94FEF8">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开展风险表征，在暴露评估和毒性评估的基础上，采用风险评估模型计算土壤和地下水中单一污染物经单一途径的致癌风险和危害商，计算单一污染物的总致癌风险和危害商，进行不确定性分析。</w:t>
            </w:r>
          </w:p>
        </w:tc>
        <w:tc>
          <w:tcPr>
            <w:tcW w:w="330" w:type="pct"/>
            <w:vMerge w:val="continue"/>
            <w:tcBorders>
              <w:left w:val="single" w:color="auto" w:sz="4" w:space="0"/>
              <w:right w:val="single" w:color="auto" w:sz="4" w:space="0"/>
            </w:tcBorders>
            <w:noWrap w:val="0"/>
            <w:vAlign w:val="center"/>
          </w:tcPr>
          <w:p w14:paraId="33DC2F3A">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60C94508">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0D397416">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520690C6">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4C18A5EC">
            <w:pPr>
              <w:widowControl/>
              <w:adjustRightInd w:val="0"/>
              <w:snapToGrid w:val="0"/>
              <w:spacing w:line="240" w:lineRule="auto"/>
              <w:rPr>
                <w:rFonts w:cs="Times New Roman"/>
                <w:color w:val="000000"/>
                <w:sz w:val="21"/>
                <w:szCs w:val="21"/>
                <w:highlight w:val="none"/>
              </w:rPr>
            </w:pPr>
          </w:p>
        </w:tc>
      </w:tr>
      <w:tr w14:paraId="33B0251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330EA8F9">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2" w:space="0"/>
              <w:right w:val="single" w:color="auto" w:sz="2" w:space="0"/>
            </w:tcBorders>
            <w:noWrap w:val="0"/>
            <w:vAlign w:val="center"/>
          </w:tcPr>
          <w:p w14:paraId="21485CA5">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39C96B9B">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p>
        </w:tc>
        <w:tc>
          <w:tcPr>
            <w:tcW w:w="330" w:type="pct"/>
            <w:vMerge w:val="continue"/>
            <w:tcBorders>
              <w:left w:val="single" w:color="auto" w:sz="4" w:space="0"/>
              <w:bottom w:val="single" w:color="auto" w:sz="4" w:space="0"/>
              <w:right w:val="single" w:color="auto" w:sz="4" w:space="0"/>
            </w:tcBorders>
            <w:noWrap w:val="0"/>
            <w:vAlign w:val="center"/>
          </w:tcPr>
          <w:p w14:paraId="5354F927">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bottom w:val="single" w:color="auto" w:sz="4" w:space="0"/>
              <w:right w:val="single" w:color="auto" w:sz="4" w:space="0"/>
            </w:tcBorders>
            <w:noWrap w:val="0"/>
            <w:vAlign w:val="center"/>
          </w:tcPr>
          <w:p w14:paraId="353D5589">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bottom w:val="single" w:color="auto" w:sz="4" w:space="0"/>
              <w:right w:val="single" w:color="auto" w:sz="4" w:space="0"/>
            </w:tcBorders>
            <w:noWrap w:val="0"/>
            <w:vAlign w:val="center"/>
          </w:tcPr>
          <w:p w14:paraId="07AF91FD">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bottom w:val="single" w:color="auto" w:sz="4" w:space="0"/>
              <w:right w:val="single" w:color="auto" w:sz="4" w:space="0"/>
            </w:tcBorders>
            <w:noWrap w:val="0"/>
            <w:vAlign w:val="center"/>
          </w:tcPr>
          <w:p w14:paraId="43911393">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bottom w:val="single" w:color="auto" w:sz="4" w:space="0"/>
              <w:right w:val="single" w:color="auto" w:sz="4" w:space="0"/>
            </w:tcBorders>
            <w:noWrap w:val="0"/>
            <w:vAlign w:val="center"/>
          </w:tcPr>
          <w:p w14:paraId="00697B8B">
            <w:pPr>
              <w:widowControl/>
              <w:adjustRightInd w:val="0"/>
              <w:snapToGrid w:val="0"/>
              <w:spacing w:line="240" w:lineRule="auto"/>
              <w:rPr>
                <w:rFonts w:cs="Times New Roman"/>
                <w:color w:val="000000"/>
                <w:sz w:val="21"/>
                <w:szCs w:val="21"/>
                <w:highlight w:val="none"/>
              </w:rPr>
            </w:pPr>
          </w:p>
        </w:tc>
      </w:tr>
      <w:tr w14:paraId="1DF0B80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4" w:space="0"/>
            </w:tcBorders>
            <w:noWrap w:val="0"/>
            <w:vAlign w:val="center"/>
          </w:tcPr>
          <w:p w14:paraId="3A8C745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9</w:t>
            </w:r>
          </w:p>
        </w:tc>
        <w:tc>
          <w:tcPr>
            <w:tcW w:w="353" w:type="pct"/>
            <w:vMerge w:val="restart"/>
            <w:tcBorders>
              <w:top w:val="single" w:color="auto" w:sz="4" w:space="0"/>
              <w:left w:val="single" w:color="auto" w:sz="4" w:space="0"/>
              <w:right w:val="single" w:color="auto" w:sz="4" w:space="0"/>
            </w:tcBorders>
            <w:noWrap w:val="0"/>
            <w:vAlign w:val="center"/>
          </w:tcPr>
          <w:p w14:paraId="36512D68">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风险评估报告专家费、会务费、</w:t>
            </w:r>
            <w:r>
              <w:rPr>
                <w:rFonts w:hint="eastAsia" w:eastAsia="宋体" w:cs="Times New Roman"/>
                <w:bCs/>
                <w:color w:val="000000"/>
                <w:kern w:val="0"/>
                <w:sz w:val="21"/>
                <w:szCs w:val="21"/>
                <w:highlight w:val="none"/>
                <w:lang w:val="en-US" w:eastAsia="zh-CN"/>
              </w:rPr>
              <w:t>彩色</w:t>
            </w:r>
            <w:r>
              <w:rPr>
                <w:rFonts w:cs="Times New Roman"/>
                <w:bCs/>
                <w:color w:val="000000"/>
                <w:kern w:val="0"/>
                <w:sz w:val="21"/>
                <w:szCs w:val="21"/>
                <w:highlight w:val="none"/>
              </w:rPr>
              <w:t>打印费等</w:t>
            </w:r>
          </w:p>
        </w:tc>
        <w:tc>
          <w:tcPr>
            <w:tcW w:w="2189" w:type="pct"/>
            <w:tcBorders>
              <w:top w:val="single" w:color="auto" w:sz="2" w:space="0"/>
              <w:left w:val="single" w:color="auto" w:sz="4" w:space="0"/>
              <w:bottom w:val="single" w:color="auto" w:sz="4" w:space="0"/>
              <w:right w:val="single" w:color="auto" w:sz="4" w:space="0"/>
            </w:tcBorders>
            <w:noWrap w:val="0"/>
            <w:vAlign w:val="center"/>
          </w:tcPr>
          <w:p w14:paraId="6FB5C26F">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0E4E620F">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61A4E27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B377A69">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66266993">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128CE7B2">
            <w:pPr>
              <w:widowControl/>
              <w:adjustRightInd w:val="0"/>
              <w:snapToGrid w:val="0"/>
              <w:spacing w:line="240" w:lineRule="auto"/>
              <w:rPr>
                <w:rFonts w:cs="Times New Roman"/>
                <w:color w:val="000000"/>
                <w:sz w:val="21"/>
                <w:szCs w:val="21"/>
                <w:highlight w:val="none"/>
              </w:rPr>
            </w:pPr>
          </w:p>
        </w:tc>
      </w:tr>
      <w:tr w14:paraId="0F021A5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4" w:space="0"/>
            </w:tcBorders>
            <w:noWrap w:val="0"/>
            <w:vAlign w:val="center"/>
          </w:tcPr>
          <w:p w14:paraId="12BE4CA6">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4" w:space="0"/>
              <w:bottom w:val="single" w:color="auto" w:sz="4" w:space="0"/>
              <w:right w:val="single" w:color="auto" w:sz="4" w:space="0"/>
            </w:tcBorders>
            <w:noWrap w:val="0"/>
            <w:vAlign w:val="center"/>
          </w:tcPr>
          <w:p w14:paraId="1FF65AC3">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4" w:space="0"/>
              <w:bottom w:val="single" w:color="auto" w:sz="4" w:space="0"/>
              <w:right w:val="single" w:color="auto" w:sz="4" w:space="0"/>
            </w:tcBorders>
            <w:noWrap w:val="0"/>
            <w:vAlign w:val="center"/>
          </w:tcPr>
          <w:p w14:paraId="64981CAE">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省生态环境厅至少邀请5名业内专家及相关部门领导，组织召开专家评审会</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71B9C5D5">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2B6B152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4EAD6E3F">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33397DD0">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1126F395">
            <w:pPr>
              <w:widowControl/>
              <w:adjustRightInd w:val="0"/>
              <w:snapToGrid w:val="0"/>
              <w:spacing w:line="240" w:lineRule="auto"/>
              <w:rPr>
                <w:rFonts w:cs="Times New Roman"/>
                <w:color w:val="000000"/>
                <w:sz w:val="21"/>
                <w:szCs w:val="21"/>
                <w:highlight w:val="none"/>
              </w:rPr>
            </w:pPr>
          </w:p>
        </w:tc>
      </w:tr>
      <w:tr w14:paraId="26846E5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1187" w:hRule="atLeast"/>
          <w:jc w:val="center"/>
        </w:trPr>
        <w:tc>
          <w:tcPr>
            <w:tcW w:w="3914" w:type="pct"/>
            <w:gridSpan w:val="6"/>
            <w:tcBorders>
              <w:top w:val="single" w:color="auto" w:sz="2" w:space="0"/>
              <w:left w:val="single" w:color="auto" w:sz="2" w:space="0"/>
              <w:bottom w:val="single" w:color="auto" w:sz="4" w:space="0"/>
              <w:right w:val="single" w:color="auto" w:sz="4" w:space="0"/>
            </w:tcBorders>
            <w:noWrap w:val="0"/>
            <w:vAlign w:val="center"/>
          </w:tcPr>
          <w:p w14:paraId="7ECE518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合计</w:t>
            </w:r>
          </w:p>
        </w:tc>
        <w:tc>
          <w:tcPr>
            <w:tcW w:w="588" w:type="pct"/>
            <w:tcBorders>
              <w:top w:val="single" w:color="auto" w:sz="4" w:space="0"/>
              <w:left w:val="single" w:color="auto" w:sz="4" w:space="0"/>
              <w:bottom w:val="single" w:color="auto" w:sz="4" w:space="0"/>
              <w:right w:val="single" w:color="auto" w:sz="4" w:space="0"/>
            </w:tcBorders>
            <w:noWrap w:val="0"/>
            <w:vAlign w:val="center"/>
          </w:tcPr>
          <w:p w14:paraId="740AB98D">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25ACD140">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w:t>
            </w:r>
          </w:p>
        </w:tc>
      </w:tr>
    </w:tbl>
    <w:p w14:paraId="6102E97F">
      <w:pPr>
        <w:spacing w:line="360" w:lineRule="auto"/>
        <w:jc w:val="center"/>
        <w:outlineLvl w:val="0"/>
        <w:rPr>
          <w:rFonts w:hint="eastAsia" w:ascii="宋体" w:hAnsi="宋体" w:eastAsia="宋体" w:cs="宋体"/>
          <w:sz w:val="36"/>
          <w:szCs w:val="36"/>
          <w:highlight w:val="none"/>
          <w:lang w:val="zh-CN"/>
        </w:rPr>
      </w:pPr>
    </w:p>
    <w:p w14:paraId="4700C7BF">
      <w:pPr>
        <w:spacing w:line="360" w:lineRule="auto"/>
        <w:jc w:val="center"/>
        <w:outlineLvl w:val="0"/>
        <w:rPr>
          <w:rFonts w:hint="eastAsia" w:ascii="宋体" w:hAnsi="宋体" w:eastAsia="宋体" w:cs="宋体"/>
          <w:sz w:val="36"/>
          <w:szCs w:val="36"/>
          <w:highlight w:val="none"/>
          <w:lang w:val="zh-CN"/>
        </w:rPr>
      </w:pPr>
    </w:p>
    <w:p w14:paraId="46210C0D">
      <w:pPr>
        <w:spacing w:line="360" w:lineRule="auto"/>
        <w:jc w:val="center"/>
        <w:outlineLvl w:val="0"/>
        <w:rPr>
          <w:rFonts w:hint="eastAsia" w:ascii="宋体" w:hAnsi="宋体" w:eastAsia="宋体" w:cs="宋体"/>
          <w:sz w:val="36"/>
          <w:szCs w:val="36"/>
          <w:highlight w:val="none"/>
          <w:lang w:val="zh-CN"/>
        </w:rPr>
      </w:pPr>
    </w:p>
    <w:p w14:paraId="45558D40">
      <w:pPr>
        <w:spacing w:line="360" w:lineRule="auto"/>
        <w:jc w:val="center"/>
        <w:outlineLvl w:val="0"/>
        <w:rPr>
          <w:rFonts w:hint="eastAsia" w:ascii="宋体" w:hAnsi="宋体" w:eastAsia="宋体" w:cs="宋体"/>
          <w:sz w:val="36"/>
          <w:szCs w:val="36"/>
          <w:highlight w:val="none"/>
          <w:lang w:val="zh-CN"/>
        </w:rPr>
        <w:sectPr>
          <w:pgSz w:w="16838" w:h="11911" w:orient="landscape"/>
          <w:pgMar w:top="1531" w:right="1417" w:bottom="1531" w:left="1417" w:header="879" w:footer="1196" w:gutter="0"/>
          <w:cols w:space="720" w:num="1"/>
          <w:docGrid w:linePitch="290" w:charSpace="0"/>
        </w:sectPr>
      </w:pPr>
    </w:p>
    <w:p w14:paraId="097AAEDE">
      <w:pPr>
        <w:rPr>
          <w:rFonts w:hint="eastAsia" w:eastAsia="宋体"/>
          <w:color w:val="000000"/>
          <w:spacing w:val="0"/>
          <w:w w:val="100"/>
          <w:position w:val="0"/>
          <w:highlight w:val="none"/>
          <w:shd w:val="clear" w:color="auto" w:fill="auto"/>
          <w:lang w:val="en-US" w:eastAsia="zh-CN"/>
        </w:rPr>
      </w:pPr>
      <w:r>
        <w:rPr>
          <w:rFonts w:hint="eastAsia" w:ascii="宋体" w:hAnsi="宋体" w:eastAsia="宋体" w:cs="宋体"/>
          <w:sz w:val="24"/>
          <w:szCs w:val="24"/>
          <w:highlight w:val="none"/>
          <w:lang w:val="en-US" w:eastAsia="zh-CN"/>
        </w:rPr>
        <w:t>7、</w:t>
      </w:r>
      <w:r>
        <w:rPr>
          <w:rFonts w:hint="eastAsia" w:ascii="宋体" w:hAnsi="宋体" w:cs="宋体"/>
          <w:b/>
          <w:bCs/>
          <w:szCs w:val="21"/>
          <w:highlight w:val="none"/>
        </w:rPr>
        <w:t>考核标准</w:t>
      </w:r>
    </w:p>
    <w:tbl>
      <w:tblPr>
        <w:tblStyle w:val="51"/>
        <w:tblW w:w="5302" w:type="pct"/>
        <w:tblInd w:w="-1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39"/>
        <w:gridCol w:w="1439"/>
        <w:gridCol w:w="5650"/>
        <w:gridCol w:w="638"/>
        <w:gridCol w:w="647"/>
      </w:tblGrid>
      <w:tr w14:paraId="391CE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644" w:type="pct"/>
            <w:tcBorders>
              <w:top w:val="single" w:color="000000" w:sz="4" w:space="0"/>
              <w:left w:val="single" w:color="000000" w:sz="4" w:space="0"/>
              <w:bottom w:val="single" w:color="000000" w:sz="4" w:space="0"/>
              <w:right w:val="single" w:color="000000" w:sz="4" w:space="0"/>
            </w:tcBorders>
            <w:noWrap/>
            <w:vAlign w:val="center"/>
          </w:tcPr>
          <w:p w14:paraId="1AC194CE">
            <w:pPr>
              <w:pStyle w:val="484"/>
              <w:ind w:firstLine="0" w:firstLineChars="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4355" w:type="pct"/>
            <w:gridSpan w:val="4"/>
            <w:tcBorders>
              <w:top w:val="single" w:color="000000" w:sz="4" w:space="0"/>
              <w:left w:val="single" w:color="000000" w:sz="4" w:space="0"/>
              <w:bottom w:val="single" w:color="000000" w:sz="4" w:space="0"/>
              <w:right w:val="single" w:color="000000" w:sz="4" w:space="0"/>
            </w:tcBorders>
            <w:noWrap/>
            <w:vAlign w:val="center"/>
          </w:tcPr>
          <w:p w14:paraId="12F9736F">
            <w:pPr>
              <w:widowControl/>
              <w:spacing w:line="500" w:lineRule="exact"/>
              <w:jc w:val="center"/>
              <w:rPr>
                <w:rFonts w:hint="eastAsia" w:ascii="方正仿宋简体" w:hAnsi="方正仿宋简体" w:eastAsia="方正仿宋简体" w:cs="方正仿宋简体"/>
                <w:color w:val="000000"/>
                <w:kern w:val="0"/>
                <w:sz w:val="21"/>
                <w:szCs w:val="21"/>
                <w:highlight w:val="none"/>
                <w:lang w:val="en-US" w:eastAsia="zh-CN" w:bidi="ar"/>
              </w:rPr>
            </w:pPr>
          </w:p>
        </w:tc>
      </w:tr>
      <w:tr w14:paraId="3B6AF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644" w:type="pct"/>
            <w:tcBorders>
              <w:top w:val="single" w:color="000000" w:sz="4" w:space="0"/>
              <w:left w:val="single" w:color="000000" w:sz="4" w:space="0"/>
              <w:bottom w:val="single" w:color="000000" w:sz="4" w:space="0"/>
              <w:right w:val="single" w:color="000000" w:sz="4" w:space="0"/>
            </w:tcBorders>
            <w:noWrap/>
            <w:vAlign w:val="center"/>
          </w:tcPr>
          <w:p w14:paraId="0A7637BD">
            <w:pPr>
              <w:pStyle w:val="484"/>
              <w:ind w:firstLine="0" w:firstLineChars="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采购单位</w:t>
            </w:r>
          </w:p>
        </w:tc>
        <w:tc>
          <w:tcPr>
            <w:tcW w:w="4355" w:type="pct"/>
            <w:gridSpan w:val="4"/>
            <w:tcBorders>
              <w:top w:val="single" w:color="000000" w:sz="4" w:space="0"/>
              <w:left w:val="single" w:color="000000" w:sz="4" w:space="0"/>
              <w:bottom w:val="single" w:color="000000" w:sz="4" w:space="0"/>
              <w:right w:val="single" w:color="000000" w:sz="4" w:space="0"/>
            </w:tcBorders>
            <w:noWrap/>
            <w:vAlign w:val="center"/>
          </w:tcPr>
          <w:p w14:paraId="5894FD63">
            <w:pPr>
              <w:widowControl/>
              <w:spacing w:line="500" w:lineRule="exact"/>
              <w:jc w:val="center"/>
              <w:rPr>
                <w:rFonts w:hint="eastAsia" w:ascii="方正仿宋简体" w:hAnsi="方正仿宋简体" w:eastAsia="方正仿宋简体" w:cs="方正仿宋简体"/>
                <w:color w:val="000000"/>
                <w:kern w:val="0"/>
                <w:sz w:val="21"/>
                <w:szCs w:val="21"/>
                <w:highlight w:val="none"/>
                <w:lang w:val="en-US" w:eastAsia="zh-CN" w:bidi="ar"/>
              </w:rPr>
            </w:pPr>
          </w:p>
        </w:tc>
      </w:tr>
      <w:tr w14:paraId="79EF0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644" w:type="pct"/>
            <w:tcBorders>
              <w:top w:val="single" w:color="000000" w:sz="4" w:space="0"/>
              <w:left w:val="single" w:color="000000" w:sz="4" w:space="0"/>
              <w:bottom w:val="single" w:color="000000" w:sz="4" w:space="0"/>
              <w:right w:val="single" w:color="000000" w:sz="4" w:space="0"/>
            </w:tcBorders>
            <w:noWrap/>
            <w:vAlign w:val="center"/>
          </w:tcPr>
          <w:p w14:paraId="5FB970B6">
            <w:pPr>
              <w:pStyle w:val="484"/>
              <w:ind w:firstLine="0" w:firstLineChars="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供应商</w:t>
            </w:r>
          </w:p>
        </w:tc>
        <w:tc>
          <w:tcPr>
            <w:tcW w:w="4355" w:type="pct"/>
            <w:gridSpan w:val="4"/>
            <w:tcBorders>
              <w:top w:val="single" w:color="000000" w:sz="4" w:space="0"/>
              <w:left w:val="single" w:color="000000" w:sz="4" w:space="0"/>
              <w:bottom w:val="single" w:color="000000" w:sz="4" w:space="0"/>
              <w:right w:val="single" w:color="000000" w:sz="4" w:space="0"/>
            </w:tcBorders>
            <w:noWrap/>
            <w:vAlign w:val="center"/>
          </w:tcPr>
          <w:p w14:paraId="76A74023">
            <w:pPr>
              <w:widowControl/>
              <w:spacing w:line="500" w:lineRule="exact"/>
              <w:jc w:val="center"/>
              <w:rPr>
                <w:rFonts w:hint="eastAsia" w:ascii="方正仿宋简体" w:hAnsi="方正仿宋简体" w:eastAsia="方正仿宋简体" w:cs="方正仿宋简体"/>
                <w:color w:val="000000"/>
                <w:kern w:val="0"/>
                <w:sz w:val="21"/>
                <w:szCs w:val="21"/>
                <w:highlight w:val="none"/>
                <w:lang w:val="en-US" w:eastAsia="zh-CN" w:bidi="ar"/>
              </w:rPr>
            </w:pPr>
          </w:p>
        </w:tc>
      </w:tr>
      <w:tr w14:paraId="42680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644" w:type="pct"/>
            <w:vMerge w:val="restart"/>
            <w:tcBorders>
              <w:top w:val="single" w:color="000000" w:sz="4" w:space="0"/>
              <w:left w:val="single" w:color="000000" w:sz="4" w:space="0"/>
              <w:right w:val="single" w:color="000000" w:sz="4" w:space="0"/>
            </w:tcBorders>
            <w:noWrap/>
            <w:vAlign w:val="center"/>
          </w:tcPr>
          <w:p w14:paraId="04AF17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考核项目</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7BB9B1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指标类别</w:t>
            </w: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1506CA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考核具体内容和标准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E78E0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分值</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33C8B5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得分</w:t>
            </w:r>
          </w:p>
        </w:tc>
      </w:tr>
      <w:tr w14:paraId="71CC1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44" w:type="pct"/>
            <w:vMerge w:val="continue"/>
            <w:tcBorders>
              <w:left w:val="single" w:color="000000" w:sz="4" w:space="0"/>
              <w:right w:val="single" w:color="000000" w:sz="4" w:space="0"/>
            </w:tcBorders>
            <w:noWrap/>
            <w:vAlign w:val="center"/>
          </w:tcPr>
          <w:p w14:paraId="0FF48841">
            <w:pPr>
              <w:jc w:val="center"/>
              <w:rPr>
                <w:rFonts w:hint="eastAsia" w:ascii="宋体" w:hAnsi="宋体" w:eastAsia="宋体" w:cs="宋体"/>
                <w:i w:val="0"/>
                <w:iCs w:val="0"/>
                <w:color w:val="000000"/>
                <w:sz w:val="21"/>
                <w:szCs w:val="21"/>
                <w:highlight w:val="none"/>
                <w:u w:val="none"/>
              </w:rPr>
            </w:pPr>
          </w:p>
        </w:tc>
        <w:tc>
          <w:tcPr>
            <w:tcW w:w="748" w:type="pct"/>
            <w:vMerge w:val="restart"/>
            <w:tcBorders>
              <w:top w:val="single" w:color="000000" w:sz="4" w:space="0"/>
              <w:left w:val="single" w:color="000000" w:sz="4" w:space="0"/>
              <w:right w:val="single" w:color="000000" w:sz="4" w:space="0"/>
            </w:tcBorders>
            <w:noWrap/>
            <w:vAlign w:val="center"/>
          </w:tcPr>
          <w:p w14:paraId="0A150BB3">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服务质量</w:t>
            </w: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22D8F5F2">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szCs w:val="21"/>
                <w:highlight w:val="none"/>
                <w:lang w:val="en-US" w:eastAsia="zh-CN"/>
              </w:rPr>
              <w:t>是否</w:t>
            </w:r>
            <w:r>
              <w:rPr>
                <w:rFonts w:hint="eastAsia" w:ascii="宋体" w:hAnsi="宋体" w:eastAsia="宋体" w:cs="宋体"/>
                <w:szCs w:val="21"/>
                <w:highlight w:val="none"/>
              </w:rPr>
              <w:t>根据</w:t>
            </w:r>
            <w:r>
              <w:rPr>
                <w:rFonts w:hint="eastAsia" w:ascii="宋体" w:hAnsi="宋体" w:cs="宋体"/>
                <w:szCs w:val="21"/>
                <w:highlight w:val="none"/>
                <w:lang w:val="en-US" w:eastAsia="zh-CN"/>
              </w:rPr>
              <w:t>相关主管部门要求</w:t>
            </w:r>
            <w:r>
              <w:rPr>
                <w:rFonts w:hint="eastAsia" w:ascii="宋体" w:hAnsi="宋体" w:eastAsia="宋体" w:cs="宋体"/>
                <w:szCs w:val="21"/>
                <w:highlight w:val="none"/>
              </w:rPr>
              <w:t>，形成</w:t>
            </w:r>
            <w:r>
              <w:rPr>
                <w:rFonts w:hint="eastAsia" w:ascii="宋体" w:hAnsi="宋体" w:cs="宋体"/>
                <w:szCs w:val="21"/>
                <w:highlight w:val="none"/>
                <w:lang w:val="en-US" w:eastAsia="zh-CN"/>
              </w:rPr>
              <w:t>最终</w:t>
            </w:r>
            <w:r>
              <w:rPr>
                <w:rFonts w:hint="eastAsia" w:ascii="宋体" w:hAnsi="宋体" w:eastAsia="宋体" w:cs="宋体"/>
                <w:szCs w:val="21"/>
                <w:highlight w:val="none"/>
              </w:rPr>
              <w:t>成果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A92FF80">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1</w:t>
            </w:r>
            <w:r>
              <w:rPr>
                <w:rFonts w:hint="eastAsia" w:ascii="宋体" w:hAnsi="宋体" w:eastAsia="宋体" w:cs="宋体"/>
                <w:i w:val="0"/>
                <w:iCs w:val="0"/>
                <w:color w:val="000000"/>
                <w:sz w:val="21"/>
                <w:szCs w:val="21"/>
                <w:highlight w:val="none"/>
                <w:u w:val="none"/>
                <w:lang w:val="en-US" w:eastAsia="zh-CN"/>
              </w:rPr>
              <w:t>5</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11EAE587">
            <w:pPr>
              <w:jc w:val="center"/>
              <w:rPr>
                <w:rFonts w:hint="eastAsia" w:ascii="宋体" w:hAnsi="宋体" w:eastAsia="宋体" w:cs="宋体"/>
                <w:i w:val="0"/>
                <w:iCs w:val="0"/>
                <w:color w:val="000000"/>
                <w:sz w:val="21"/>
                <w:szCs w:val="21"/>
                <w:highlight w:val="none"/>
                <w:u w:val="none"/>
              </w:rPr>
            </w:pPr>
          </w:p>
        </w:tc>
      </w:tr>
      <w:tr w14:paraId="16C28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644" w:type="pct"/>
            <w:vMerge w:val="continue"/>
            <w:tcBorders>
              <w:left w:val="single" w:color="000000" w:sz="4" w:space="0"/>
              <w:right w:val="single" w:color="000000" w:sz="4" w:space="0"/>
            </w:tcBorders>
            <w:noWrap/>
            <w:vAlign w:val="center"/>
          </w:tcPr>
          <w:p w14:paraId="2E999A78">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000000" w:sz="4" w:space="0"/>
              <w:right w:val="single" w:color="000000" w:sz="4" w:space="0"/>
            </w:tcBorders>
            <w:noWrap/>
            <w:vAlign w:val="center"/>
          </w:tcPr>
          <w:p w14:paraId="3F66DE6A">
            <w:pPr>
              <w:jc w:val="center"/>
              <w:rPr>
                <w:rFonts w:hint="eastAsia" w:ascii="宋体" w:hAnsi="宋体" w:eastAsia="宋体" w:cs="宋体"/>
                <w:i w:val="0"/>
                <w:iCs w:val="0"/>
                <w:color w:val="000000"/>
                <w:sz w:val="21"/>
                <w:szCs w:val="21"/>
                <w:highlight w:val="none"/>
                <w:u w:val="none"/>
              </w:rPr>
            </w:pP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50F626F0">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成果报告完成后</w:t>
            </w:r>
            <w:r>
              <w:rPr>
                <w:rFonts w:hint="eastAsia" w:ascii="宋体" w:hAnsi="宋体" w:cs="宋体"/>
                <w:b w:val="0"/>
                <w:bCs w:val="0"/>
                <w:color w:val="000000"/>
                <w:kern w:val="2"/>
                <w:sz w:val="21"/>
                <w:szCs w:val="21"/>
                <w:highlight w:val="none"/>
                <w:lang w:val="en-US" w:eastAsia="zh-CN" w:bidi="ar-SA"/>
              </w:rPr>
              <w:t>相关主管部门组织开会</w:t>
            </w:r>
            <w:r>
              <w:rPr>
                <w:rFonts w:hint="eastAsia" w:ascii="宋体" w:hAnsi="宋体" w:eastAsia="宋体" w:cs="宋体"/>
                <w:b w:val="0"/>
                <w:bCs w:val="0"/>
                <w:color w:val="000000"/>
                <w:kern w:val="2"/>
                <w:sz w:val="21"/>
                <w:szCs w:val="21"/>
                <w:highlight w:val="none"/>
                <w:lang w:val="en-US" w:eastAsia="zh-CN" w:bidi="ar-SA"/>
              </w:rPr>
              <w:t>一次性通过得20分，第二次通过得15分，第三次通过不得分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C822B1C">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1DFDB844">
            <w:pPr>
              <w:jc w:val="center"/>
              <w:rPr>
                <w:rFonts w:hint="eastAsia" w:ascii="宋体" w:hAnsi="宋体" w:eastAsia="宋体" w:cs="宋体"/>
                <w:i w:val="0"/>
                <w:iCs w:val="0"/>
                <w:color w:val="000000"/>
                <w:sz w:val="21"/>
                <w:szCs w:val="21"/>
                <w:highlight w:val="none"/>
                <w:u w:val="none"/>
              </w:rPr>
            </w:pPr>
          </w:p>
        </w:tc>
      </w:tr>
      <w:tr w14:paraId="55831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44" w:type="pct"/>
            <w:vMerge w:val="continue"/>
            <w:tcBorders>
              <w:left w:val="single" w:color="000000" w:sz="4" w:space="0"/>
              <w:right w:val="single" w:color="000000" w:sz="4" w:space="0"/>
            </w:tcBorders>
            <w:noWrap/>
            <w:vAlign w:val="center"/>
          </w:tcPr>
          <w:p w14:paraId="51AA47B6">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000000" w:sz="4" w:space="0"/>
              <w:right w:val="single" w:color="000000" w:sz="4" w:space="0"/>
            </w:tcBorders>
            <w:noWrap/>
            <w:vAlign w:val="center"/>
          </w:tcPr>
          <w:p w14:paraId="435281AB">
            <w:pPr>
              <w:jc w:val="center"/>
              <w:rPr>
                <w:rFonts w:hint="eastAsia" w:ascii="宋体" w:hAnsi="宋体" w:eastAsia="宋体" w:cs="宋体"/>
                <w:i w:val="0"/>
                <w:iCs w:val="0"/>
                <w:color w:val="000000"/>
                <w:sz w:val="21"/>
                <w:szCs w:val="21"/>
                <w:highlight w:val="none"/>
                <w:u w:val="none"/>
              </w:rPr>
            </w:pP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2717FA7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规定时间内是否正常完成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D6D8798">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15</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33C9E7A3">
            <w:pPr>
              <w:jc w:val="center"/>
              <w:rPr>
                <w:rFonts w:hint="eastAsia" w:ascii="宋体" w:hAnsi="宋体" w:eastAsia="宋体" w:cs="宋体"/>
                <w:i w:val="0"/>
                <w:iCs w:val="0"/>
                <w:color w:val="000000"/>
                <w:sz w:val="21"/>
                <w:szCs w:val="21"/>
                <w:highlight w:val="none"/>
                <w:u w:val="none"/>
              </w:rPr>
            </w:pPr>
          </w:p>
        </w:tc>
      </w:tr>
      <w:tr w14:paraId="36537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644" w:type="pct"/>
            <w:vMerge w:val="continue"/>
            <w:tcBorders>
              <w:left w:val="single" w:color="000000" w:sz="4" w:space="0"/>
              <w:right w:val="single" w:color="000000" w:sz="4" w:space="0"/>
            </w:tcBorders>
            <w:noWrap/>
            <w:vAlign w:val="center"/>
          </w:tcPr>
          <w:p w14:paraId="0E959C66">
            <w:pPr>
              <w:jc w:val="center"/>
              <w:rPr>
                <w:rFonts w:hint="eastAsia" w:ascii="宋体" w:hAnsi="宋体" w:eastAsia="宋体" w:cs="宋体"/>
                <w:i w:val="0"/>
                <w:iCs w:val="0"/>
                <w:color w:val="000000"/>
                <w:sz w:val="21"/>
                <w:szCs w:val="21"/>
                <w:highlight w:val="none"/>
                <w:u w:val="none"/>
              </w:rPr>
            </w:pPr>
          </w:p>
        </w:tc>
        <w:tc>
          <w:tcPr>
            <w:tcW w:w="748" w:type="pct"/>
            <w:vMerge w:val="restart"/>
            <w:tcBorders>
              <w:top w:val="single" w:color="auto" w:sz="4" w:space="0"/>
              <w:left w:val="single" w:color="auto" w:sz="4" w:space="0"/>
              <w:right w:val="single" w:color="auto" w:sz="4" w:space="0"/>
            </w:tcBorders>
            <w:noWrap/>
            <w:vAlign w:val="center"/>
          </w:tcPr>
          <w:p w14:paraId="492A404C">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技术要求</w:t>
            </w:r>
          </w:p>
        </w:tc>
        <w:tc>
          <w:tcPr>
            <w:tcW w:w="2938" w:type="pct"/>
            <w:tcBorders>
              <w:top w:val="single" w:color="000000" w:sz="4" w:space="0"/>
              <w:left w:val="single" w:color="auto" w:sz="4" w:space="0"/>
              <w:bottom w:val="single" w:color="000000" w:sz="4" w:space="0"/>
              <w:right w:val="single" w:color="000000" w:sz="4" w:space="0"/>
            </w:tcBorders>
            <w:noWrap/>
            <w:vAlign w:val="center"/>
          </w:tcPr>
          <w:p w14:paraId="237DC92A">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是否满足相关技术规范要求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737B3E9">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5E4062B7">
            <w:pPr>
              <w:jc w:val="center"/>
              <w:rPr>
                <w:rFonts w:hint="eastAsia" w:ascii="宋体" w:hAnsi="宋体" w:eastAsia="宋体" w:cs="宋体"/>
                <w:i w:val="0"/>
                <w:iCs w:val="0"/>
                <w:color w:val="000000"/>
                <w:sz w:val="21"/>
                <w:szCs w:val="21"/>
                <w:highlight w:val="none"/>
                <w:u w:val="none"/>
              </w:rPr>
            </w:pPr>
          </w:p>
        </w:tc>
      </w:tr>
      <w:tr w14:paraId="025A8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trPr>
        <w:tc>
          <w:tcPr>
            <w:tcW w:w="644" w:type="pct"/>
            <w:vMerge w:val="continue"/>
            <w:tcBorders>
              <w:left w:val="single" w:color="000000" w:sz="4" w:space="0"/>
              <w:right w:val="single" w:color="000000" w:sz="4" w:space="0"/>
            </w:tcBorders>
            <w:noWrap/>
            <w:vAlign w:val="center"/>
          </w:tcPr>
          <w:p w14:paraId="1B75526C">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auto" w:sz="4" w:space="0"/>
              <w:right w:val="single" w:color="auto" w:sz="4" w:space="0"/>
            </w:tcBorders>
            <w:noWrap/>
            <w:vAlign w:val="center"/>
          </w:tcPr>
          <w:p w14:paraId="7A7B4A2D">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938" w:type="pct"/>
            <w:tcBorders>
              <w:top w:val="single" w:color="000000" w:sz="4" w:space="0"/>
              <w:left w:val="single" w:color="auto" w:sz="4" w:space="0"/>
              <w:bottom w:val="single" w:color="000000" w:sz="4" w:space="0"/>
              <w:right w:val="single" w:color="000000" w:sz="4" w:space="0"/>
            </w:tcBorders>
            <w:noWrap/>
            <w:vAlign w:val="center"/>
          </w:tcPr>
          <w:p w14:paraId="33E2FF0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项目负责人是否具备3年及以上从业经验</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4BF5AF5">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621AF020">
            <w:pPr>
              <w:jc w:val="center"/>
              <w:rPr>
                <w:rFonts w:hint="eastAsia" w:ascii="宋体" w:hAnsi="宋体" w:eastAsia="宋体" w:cs="宋体"/>
                <w:i w:val="0"/>
                <w:iCs w:val="0"/>
                <w:color w:val="000000"/>
                <w:sz w:val="21"/>
                <w:szCs w:val="21"/>
                <w:highlight w:val="none"/>
                <w:u w:val="none"/>
              </w:rPr>
            </w:pPr>
          </w:p>
        </w:tc>
      </w:tr>
      <w:tr w14:paraId="4269A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644" w:type="pct"/>
            <w:vMerge w:val="continue"/>
            <w:tcBorders>
              <w:left w:val="single" w:color="000000" w:sz="4" w:space="0"/>
              <w:right w:val="single" w:color="000000" w:sz="4" w:space="0"/>
            </w:tcBorders>
            <w:noWrap/>
            <w:vAlign w:val="center"/>
          </w:tcPr>
          <w:p w14:paraId="28F06AD4">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auto" w:sz="4" w:space="0"/>
              <w:right w:val="single" w:color="auto" w:sz="4" w:space="0"/>
            </w:tcBorders>
            <w:noWrap/>
            <w:vAlign w:val="center"/>
          </w:tcPr>
          <w:p w14:paraId="7861AECA">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938" w:type="pct"/>
            <w:tcBorders>
              <w:top w:val="single" w:color="000000" w:sz="4" w:space="0"/>
              <w:left w:val="single" w:color="auto" w:sz="4" w:space="0"/>
              <w:bottom w:val="single" w:color="000000" w:sz="4" w:space="0"/>
              <w:right w:val="single" w:color="000000" w:sz="4" w:space="0"/>
            </w:tcBorders>
            <w:noWrap/>
            <w:vAlign w:val="center"/>
          </w:tcPr>
          <w:p w14:paraId="76915A8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项目组织管理措施完善，项目组成人员及分工明确，质量管理、技术保证、安全及劳动保证、项目售后服务内容及服务落实保证等措施健全</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8ADF83F">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204E74B4">
            <w:pPr>
              <w:jc w:val="center"/>
              <w:rPr>
                <w:rFonts w:hint="eastAsia" w:ascii="宋体" w:hAnsi="宋体" w:eastAsia="宋体" w:cs="宋体"/>
                <w:i w:val="0"/>
                <w:iCs w:val="0"/>
                <w:color w:val="000000"/>
                <w:sz w:val="21"/>
                <w:szCs w:val="21"/>
                <w:highlight w:val="none"/>
                <w:u w:val="none"/>
              </w:rPr>
            </w:pPr>
          </w:p>
        </w:tc>
      </w:tr>
      <w:tr w14:paraId="76277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44" w:type="pct"/>
            <w:vMerge w:val="continue"/>
            <w:tcBorders>
              <w:left w:val="single" w:color="000000" w:sz="4" w:space="0"/>
              <w:right w:val="single" w:color="000000" w:sz="4" w:space="0"/>
            </w:tcBorders>
            <w:noWrap/>
            <w:vAlign w:val="center"/>
          </w:tcPr>
          <w:p w14:paraId="423A654C">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auto" w:sz="4" w:space="0"/>
              <w:bottom w:val="single" w:color="auto" w:sz="4" w:space="0"/>
              <w:right w:val="single" w:color="auto" w:sz="4" w:space="0"/>
            </w:tcBorders>
            <w:noWrap/>
            <w:vAlign w:val="center"/>
          </w:tcPr>
          <w:p w14:paraId="4CDA5824">
            <w:pPr>
              <w:jc w:val="center"/>
              <w:rPr>
                <w:rFonts w:hint="eastAsia" w:ascii="宋体" w:hAnsi="宋体" w:eastAsia="宋体" w:cs="宋体"/>
                <w:i w:val="0"/>
                <w:iCs w:val="0"/>
                <w:color w:val="000000"/>
                <w:sz w:val="21"/>
                <w:szCs w:val="21"/>
                <w:highlight w:val="none"/>
                <w:u w:val="none"/>
              </w:rPr>
            </w:pP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4255D15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是否开展现场</w:t>
            </w:r>
            <w:r>
              <w:rPr>
                <w:rFonts w:hint="eastAsia" w:ascii="宋体" w:hAnsi="宋体" w:eastAsia="宋体" w:cs="宋体"/>
                <w:i w:val="0"/>
                <w:iCs w:val="0"/>
                <w:color w:val="auto"/>
                <w:sz w:val="21"/>
                <w:szCs w:val="21"/>
                <w:highlight w:val="none"/>
                <w:u w:val="none"/>
                <w:lang w:val="en-US" w:eastAsia="zh-CN"/>
              </w:rPr>
              <w:t>踏勘及采样检测</w:t>
            </w:r>
            <w:r>
              <w:rPr>
                <w:rFonts w:hint="eastAsia" w:ascii="宋体" w:hAnsi="宋体" w:eastAsia="宋体" w:cs="宋体"/>
                <w:i w:val="0"/>
                <w:iCs w:val="0"/>
                <w:color w:val="auto"/>
                <w:sz w:val="21"/>
                <w:szCs w:val="21"/>
                <w:highlight w:val="none"/>
                <w:u w:val="none"/>
              </w:rPr>
              <w:t>调查工作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50A53864">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4ADB86F5">
            <w:pPr>
              <w:jc w:val="center"/>
              <w:rPr>
                <w:rFonts w:hint="eastAsia" w:ascii="宋体" w:hAnsi="宋体" w:eastAsia="宋体" w:cs="宋体"/>
                <w:i w:val="0"/>
                <w:iCs w:val="0"/>
                <w:color w:val="000000"/>
                <w:sz w:val="21"/>
                <w:szCs w:val="21"/>
                <w:highlight w:val="none"/>
                <w:u w:val="none"/>
              </w:rPr>
            </w:pPr>
          </w:p>
        </w:tc>
      </w:tr>
      <w:tr w14:paraId="7C6DC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44" w:type="pct"/>
            <w:vMerge w:val="continue"/>
            <w:tcBorders>
              <w:left w:val="single" w:color="000000" w:sz="4" w:space="0"/>
              <w:right w:val="single" w:color="000000" w:sz="4" w:space="0"/>
            </w:tcBorders>
            <w:noWrap/>
            <w:vAlign w:val="center"/>
          </w:tcPr>
          <w:p w14:paraId="7DFFE773">
            <w:pPr>
              <w:jc w:val="center"/>
              <w:rPr>
                <w:rFonts w:hint="eastAsia" w:ascii="宋体" w:hAnsi="宋体" w:eastAsia="宋体" w:cs="宋体"/>
                <w:i w:val="0"/>
                <w:iCs w:val="0"/>
                <w:color w:val="000000"/>
                <w:sz w:val="21"/>
                <w:szCs w:val="21"/>
                <w:highlight w:val="none"/>
                <w:u w:val="none"/>
              </w:rPr>
            </w:pPr>
          </w:p>
        </w:tc>
        <w:tc>
          <w:tcPr>
            <w:tcW w:w="748" w:type="pct"/>
            <w:vMerge w:val="restart"/>
            <w:tcBorders>
              <w:top w:val="single" w:color="auto" w:sz="4" w:space="0"/>
              <w:left w:val="single" w:color="auto" w:sz="4" w:space="0"/>
              <w:right w:val="single" w:color="auto" w:sz="4" w:space="0"/>
            </w:tcBorders>
            <w:noWrap/>
            <w:vAlign w:val="center"/>
          </w:tcPr>
          <w:p w14:paraId="6C42B4AC">
            <w:pPr>
              <w:jc w:val="center"/>
              <w:rPr>
                <w:rFonts w:hint="default" w:ascii="宋体" w:hAnsi="宋体" w:eastAsia="宋体" w:cs="宋体"/>
                <w:i w:val="0"/>
                <w:iCs w:val="0"/>
                <w:color w:val="000000"/>
                <w:sz w:val="21"/>
                <w:szCs w:val="21"/>
                <w:highlight w:val="none"/>
                <w:u w:val="none"/>
                <w:lang w:val="en-US" w:eastAsia="zh-CN"/>
              </w:rPr>
            </w:pPr>
            <w:r>
              <w:rPr>
                <w:rFonts w:hint="eastAsia"/>
                <w:sz w:val="24"/>
                <w:szCs w:val="24"/>
                <w:highlight w:val="none"/>
                <w:lang w:val="en-US" w:eastAsia="zh-CN"/>
              </w:rPr>
              <w:t>安全要求</w:t>
            </w:r>
          </w:p>
        </w:tc>
        <w:tc>
          <w:tcPr>
            <w:tcW w:w="2938" w:type="pct"/>
            <w:tcBorders>
              <w:top w:val="single" w:color="000000" w:sz="4" w:space="0"/>
              <w:left w:val="single" w:color="auto" w:sz="4" w:space="0"/>
              <w:bottom w:val="single" w:color="000000" w:sz="4" w:space="0"/>
              <w:right w:val="single" w:color="000000" w:sz="4" w:space="0"/>
            </w:tcBorders>
            <w:noWrap/>
            <w:vAlign w:val="center"/>
          </w:tcPr>
          <w:p w14:paraId="768654F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是否开展项目组人员安全教育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482C918">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1BD5060E">
            <w:pPr>
              <w:jc w:val="center"/>
              <w:rPr>
                <w:rFonts w:hint="eastAsia" w:ascii="宋体" w:hAnsi="宋体" w:eastAsia="宋体" w:cs="宋体"/>
                <w:i w:val="0"/>
                <w:iCs w:val="0"/>
                <w:color w:val="000000"/>
                <w:sz w:val="21"/>
                <w:szCs w:val="21"/>
                <w:highlight w:val="none"/>
                <w:u w:val="none"/>
              </w:rPr>
            </w:pPr>
          </w:p>
        </w:tc>
      </w:tr>
      <w:tr w14:paraId="6A80B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644" w:type="pct"/>
            <w:vMerge w:val="continue"/>
            <w:tcBorders>
              <w:left w:val="single" w:color="000000" w:sz="4" w:space="0"/>
              <w:right w:val="single" w:color="000000" w:sz="4" w:space="0"/>
            </w:tcBorders>
            <w:noWrap/>
            <w:vAlign w:val="center"/>
          </w:tcPr>
          <w:p w14:paraId="2005F864">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auto" w:sz="4" w:space="0"/>
              <w:right w:val="single" w:color="auto" w:sz="4" w:space="0"/>
            </w:tcBorders>
            <w:noWrap/>
            <w:vAlign w:val="center"/>
          </w:tcPr>
          <w:p w14:paraId="6943376D">
            <w:pPr>
              <w:jc w:val="center"/>
              <w:rPr>
                <w:rFonts w:hint="eastAsia" w:ascii="宋体" w:hAnsi="宋体" w:eastAsia="宋体" w:cs="宋体"/>
                <w:i w:val="0"/>
                <w:iCs w:val="0"/>
                <w:color w:val="000000"/>
                <w:sz w:val="21"/>
                <w:szCs w:val="21"/>
                <w:highlight w:val="none"/>
                <w:u w:val="none"/>
              </w:rPr>
            </w:pPr>
          </w:p>
        </w:tc>
        <w:tc>
          <w:tcPr>
            <w:tcW w:w="2938" w:type="pct"/>
            <w:tcBorders>
              <w:top w:val="single" w:color="000000" w:sz="4" w:space="0"/>
              <w:left w:val="single" w:color="auto" w:sz="4" w:space="0"/>
              <w:bottom w:val="single" w:color="000000" w:sz="4" w:space="0"/>
              <w:right w:val="single" w:color="000000" w:sz="4" w:space="0"/>
            </w:tcBorders>
            <w:noWrap/>
            <w:vAlign w:val="center"/>
          </w:tcPr>
          <w:p w14:paraId="716BC43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服务中是否发生安全事故</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BA50ADF">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2A287AC1">
            <w:pPr>
              <w:jc w:val="center"/>
              <w:rPr>
                <w:rFonts w:hint="eastAsia" w:ascii="宋体" w:hAnsi="宋体" w:eastAsia="宋体" w:cs="宋体"/>
                <w:i w:val="0"/>
                <w:iCs w:val="0"/>
                <w:color w:val="000000"/>
                <w:sz w:val="21"/>
                <w:szCs w:val="21"/>
                <w:highlight w:val="none"/>
                <w:u w:val="none"/>
              </w:rPr>
            </w:pPr>
          </w:p>
        </w:tc>
      </w:tr>
      <w:tr w14:paraId="0458C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7"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795C9A8D">
            <w:pPr>
              <w:pStyle w:val="486"/>
              <w:numPr>
                <w:ilvl w:val="0"/>
                <w:numId w:val="0"/>
              </w:numPr>
              <w:spacing w:line="360" w:lineRule="auto"/>
              <w:rPr>
                <w:rFonts w:hint="eastAsia" w:ascii="宋体" w:hAnsi="宋体" w:eastAsia="宋体" w:cs="宋体"/>
                <w:color w:val="auto"/>
                <w:spacing w:val="0"/>
                <w:kern w:val="2"/>
                <w:sz w:val="21"/>
                <w:szCs w:val="21"/>
                <w:highlight w:val="none"/>
                <w:u w:val="none" w:color="000000"/>
                <w:lang w:val="en-US" w:eastAsia="zh-CN" w:bidi="ar-SA"/>
              </w:rPr>
            </w:pPr>
            <w:r>
              <w:rPr>
                <w:rFonts w:hint="eastAsia" w:ascii="宋体" w:hAnsi="宋体" w:eastAsia="宋体" w:cs="宋体"/>
                <w:color w:val="auto"/>
                <w:spacing w:val="0"/>
                <w:kern w:val="2"/>
                <w:sz w:val="21"/>
                <w:szCs w:val="21"/>
                <w:highlight w:val="none"/>
                <w:u w:val="none" w:color="000000"/>
                <w:lang w:val="en-US" w:eastAsia="zh-CN" w:bidi="ar-SA"/>
              </w:rPr>
              <w:t>支付费用根据考核得分支付标准：</w:t>
            </w:r>
          </w:p>
          <w:p w14:paraId="6FE2320A">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pacing w:val="0"/>
                <w:kern w:val="2"/>
                <w:sz w:val="21"/>
                <w:szCs w:val="21"/>
                <w:highlight w:val="none"/>
                <w:u w:val="none" w:color="000000"/>
                <w:lang w:val="zh-CN" w:eastAsia="zh-CN" w:bidi="ar-SA"/>
              </w:rPr>
            </w:pPr>
            <w:r>
              <w:rPr>
                <w:rFonts w:hint="eastAsia" w:ascii="宋体" w:hAnsi="宋体" w:eastAsia="宋体" w:cs="宋体"/>
                <w:color w:val="auto"/>
                <w:spacing w:val="0"/>
                <w:kern w:val="2"/>
                <w:sz w:val="21"/>
                <w:szCs w:val="21"/>
                <w:highlight w:val="none"/>
                <w:u w:val="none" w:color="000000"/>
                <w:lang w:val="en-US" w:eastAsia="zh-CN" w:bidi="ar-SA"/>
              </w:rPr>
              <w:t>1</w:t>
            </w:r>
            <w:r>
              <w:rPr>
                <w:rFonts w:hint="default" w:ascii="宋体" w:hAnsi="宋体" w:eastAsia="宋体" w:cs="宋体"/>
                <w:color w:val="auto"/>
                <w:spacing w:val="0"/>
                <w:kern w:val="2"/>
                <w:sz w:val="21"/>
                <w:szCs w:val="21"/>
                <w:highlight w:val="none"/>
                <w:u w:val="none" w:color="000000"/>
                <w:lang w:val="en-US" w:eastAsia="zh-CN" w:bidi="ar-SA"/>
              </w:rPr>
              <w:t>、90分及以上：支付支付已完</w:t>
            </w:r>
            <w:r>
              <w:rPr>
                <w:rFonts w:hint="eastAsia" w:ascii="宋体" w:hAnsi="宋体" w:eastAsia="宋体" w:cs="宋体"/>
                <w:color w:val="auto"/>
                <w:spacing w:val="0"/>
                <w:kern w:val="2"/>
                <w:sz w:val="21"/>
                <w:szCs w:val="21"/>
                <w:highlight w:val="none"/>
                <w:u w:val="none" w:color="000000"/>
                <w:lang w:val="en-US" w:eastAsia="zh-CN" w:bidi="ar-SA"/>
              </w:rPr>
              <w:t>工作</w:t>
            </w:r>
            <w:r>
              <w:rPr>
                <w:rFonts w:hint="default" w:ascii="宋体" w:hAnsi="宋体" w:eastAsia="宋体" w:cs="宋体"/>
                <w:color w:val="auto"/>
                <w:spacing w:val="0"/>
                <w:kern w:val="2"/>
                <w:sz w:val="21"/>
                <w:szCs w:val="21"/>
                <w:highlight w:val="none"/>
                <w:u w:val="none" w:color="000000"/>
                <w:lang w:val="en-US" w:eastAsia="zh-CN" w:bidi="ar-SA"/>
              </w:rPr>
              <w:t>量费用的100%;</w:t>
            </w:r>
          </w:p>
          <w:p w14:paraId="5E11062E">
            <w:pPr>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spacing w:val="0"/>
                <w:kern w:val="2"/>
                <w:sz w:val="21"/>
                <w:szCs w:val="21"/>
                <w:highlight w:val="none"/>
                <w:u w:val="none" w:color="000000"/>
                <w:lang w:val="en-US" w:eastAsia="zh-CN" w:bidi="ar-SA"/>
              </w:rPr>
            </w:pPr>
            <w:r>
              <w:rPr>
                <w:rFonts w:hint="eastAsia" w:ascii="宋体" w:hAnsi="宋体" w:eastAsia="宋体" w:cs="宋体"/>
                <w:color w:val="auto"/>
                <w:spacing w:val="0"/>
                <w:kern w:val="2"/>
                <w:sz w:val="21"/>
                <w:szCs w:val="21"/>
                <w:highlight w:val="none"/>
                <w:u w:val="none" w:color="000000"/>
                <w:lang w:val="en-US" w:eastAsia="zh-CN" w:bidi="ar-SA"/>
              </w:rPr>
              <w:t>2</w:t>
            </w:r>
            <w:r>
              <w:rPr>
                <w:rFonts w:hint="default" w:ascii="宋体" w:hAnsi="宋体" w:eastAsia="宋体" w:cs="宋体"/>
                <w:color w:val="auto"/>
                <w:spacing w:val="0"/>
                <w:kern w:val="2"/>
                <w:sz w:val="21"/>
                <w:szCs w:val="21"/>
                <w:highlight w:val="none"/>
                <w:u w:val="none" w:color="000000"/>
                <w:lang w:val="en-US" w:eastAsia="zh-CN" w:bidi="ar-SA"/>
              </w:rPr>
              <w:t>、85分</w:t>
            </w:r>
            <w:r>
              <w:rPr>
                <w:rFonts w:hint="eastAsia" w:ascii="宋体" w:hAnsi="宋体" w:eastAsia="宋体" w:cs="宋体"/>
                <w:color w:val="auto"/>
                <w:spacing w:val="0"/>
                <w:kern w:val="2"/>
                <w:sz w:val="21"/>
                <w:szCs w:val="21"/>
                <w:highlight w:val="none"/>
                <w:u w:val="none" w:color="000000"/>
                <w:lang w:val="en-US" w:eastAsia="zh-CN" w:bidi="ar-SA"/>
              </w:rPr>
              <w:t>（含85分）</w:t>
            </w:r>
            <w:r>
              <w:rPr>
                <w:rFonts w:hint="default" w:ascii="宋体" w:hAnsi="宋体" w:eastAsia="宋体" w:cs="宋体"/>
                <w:color w:val="auto"/>
                <w:spacing w:val="0"/>
                <w:kern w:val="2"/>
                <w:sz w:val="21"/>
                <w:szCs w:val="21"/>
                <w:highlight w:val="none"/>
                <w:u w:val="none" w:color="000000"/>
                <w:lang w:val="en-US" w:eastAsia="zh-CN" w:bidi="ar-SA"/>
              </w:rPr>
              <w:t>--89分：支付已完</w:t>
            </w:r>
            <w:r>
              <w:rPr>
                <w:rFonts w:hint="eastAsia" w:ascii="宋体" w:hAnsi="宋体" w:eastAsia="宋体" w:cs="宋体"/>
                <w:color w:val="auto"/>
                <w:spacing w:val="0"/>
                <w:kern w:val="2"/>
                <w:sz w:val="21"/>
                <w:szCs w:val="21"/>
                <w:highlight w:val="none"/>
                <w:u w:val="none" w:color="000000"/>
                <w:lang w:val="en-US" w:eastAsia="zh-CN" w:bidi="ar-SA"/>
              </w:rPr>
              <w:t>工作</w:t>
            </w:r>
            <w:r>
              <w:rPr>
                <w:rFonts w:hint="default" w:ascii="宋体" w:hAnsi="宋体" w:eastAsia="宋体" w:cs="宋体"/>
                <w:color w:val="auto"/>
                <w:spacing w:val="0"/>
                <w:kern w:val="2"/>
                <w:sz w:val="21"/>
                <w:szCs w:val="21"/>
                <w:highlight w:val="none"/>
                <w:u w:val="none" w:color="000000"/>
                <w:lang w:val="en-US" w:eastAsia="zh-CN" w:bidi="ar-SA"/>
              </w:rPr>
              <w:t>量费用的90%,扣除的费用不予退还；</w:t>
            </w:r>
          </w:p>
          <w:p w14:paraId="037D6E44">
            <w:pPr>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pPr>
            <w:r>
              <w:rPr>
                <w:rFonts w:hint="eastAsia" w:ascii="宋体" w:hAnsi="宋体" w:eastAsia="宋体" w:cs="宋体"/>
                <w:color w:val="auto"/>
                <w:spacing w:val="0"/>
                <w:kern w:val="2"/>
                <w:sz w:val="21"/>
                <w:szCs w:val="21"/>
                <w:highlight w:val="none"/>
                <w:u w:val="none" w:color="000000"/>
                <w:lang w:val="en-US" w:eastAsia="zh-CN" w:bidi="ar-SA"/>
              </w:rPr>
              <w:t>3</w:t>
            </w:r>
            <w:r>
              <w:rPr>
                <w:rFonts w:hint="default" w:ascii="宋体" w:hAnsi="宋体" w:eastAsia="宋体" w:cs="宋体"/>
                <w:color w:val="auto"/>
                <w:spacing w:val="0"/>
                <w:kern w:val="2"/>
                <w:sz w:val="21"/>
                <w:szCs w:val="21"/>
                <w:highlight w:val="none"/>
                <w:u w:val="none" w:color="000000"/>
                <w:lang w:val="en-US" w:eastAsia="zh-CN" w:bidi="ar-SA"/>
              </w:rPr>
              <w:t>、80分</w:t>
            </w:r>
            <w:r>
              <w:rPr>
                <w:rFonts w:hint="eastAsia" w:ascii="宋体" w:hAnsi="宋体" w:eastAsia="宋体" w:cs="宋体"/>
                <w:color w:val="auto"/>
                <w:spacing w:val="0"/>
                <w:kern w:val="2"/>
                <w:sz w:val="21"/>
                <w:szCs w:val="21"/>
                <w:highlight w:val="none"/>
                <w:u w:val="none" w:color="000000"/>
                <w:lang w:val="en-US" w:eastAsia="zh-CN" w:bidi="ar-SA"/>
              </w:rPr>
              <w:t>（含80</w:t>
            </w:r>
            <w:r>
              <w:rPr>
                <w:rFonts w:hint="eastAsia"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分）</w:t>
            </w:r>
            <w:r>
              <w:rPr>
                <w:rFonts w:hint="default"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—84分：支付已完</w:t>
            </w:r>
            <w:r>
              <w:rPr>
                <w:rFonts w:hint="eastAsia"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工作</w:t>
            </w:r>
            <w:r>
              <w:rPr>
                <w:rFonts w:hint="default"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量费用的80%,扣除的费用不予退还；</w:t>
            </w:r>
          </w:p>
          <w:p w14:paraId="22358239">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4、</w:t>
            </w:r>
            <w:r>
              <w:rPr>
                <w:rFonts w:hint="eastAsia" w:ascii="宋体" w:hAnsi="宋体" w:eastAsia="宋体" w:cs="宋体"/>
                <w:color w:val="000000" w:themeColor="text1"/>
                <w:spacing w:val="0"/>
                <w:kern w:val="2"/>
                <w:sz w:val="21"/>
                <w:szCs w:val="21"/>
                <w:highlight w:val="none"/>
                <w:u w:val="none" w:color="000000"/>
                <w:lang w:val="zh-CN" w:eastAsia="zh-CN" w:bidi="ar-SA"/>
                <w14:textFill>
                  <w14:solidFill>
                    <w14:schemeClr w14:val="tx1"/>
                  </w14:solidFill>
                </w14:textFill>
              </w:rPr>
              <w:t>考核评分表作为考核依据，当分数低于</w:t>
            </w:r>
            <w:r>
              <w:rPr>
                <w:rFonts w:hint="eastAsia"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8</w:t>
            </w:r>
            <w:r>
              <w:rPr>
                <w:rFonts w:hint="eastAsia" w:ascii="宋体" w:hAnsi="宋体" w:eastAsia="宋体" w:cs="宋体"/>
                <w:color w:val="000000" w:themeColor="text1"/>
                <w:spacing w:val="0"/>
                <w:kern w:val="2"/>
                <w:sz w:val="21"/>
                <w:szCs w:val="21"/>
                <w:highlight w:val="none"/>
                <w:u w:val="none" w:color="000000"/>
                <w:lang w:val="zh-CN" w:eastAsia="zh-CN" w:bidi="ar-SA"/>
                <w14:textFill>
                  <w14:solidFill>
                    <w14:schemeClr w14:val="tx1"/>
                  </w14:solidFill>
                </w14:textFill>
              </w:rPr>
              <w:t>0分，</w:t>
            </w:r>
            <w:r>
              <w:rPr>
                <w:rFonts w:hint="eastAsia"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视为未通过考核，</w:t>
            </w:r>
            <w:r>
              <w:rPr>
                <w:rFonts w:hint="eastAsia" w:ascii="宋体" w:hAnsi="宋体" w:eastAsia="宋体" w:cs="宋体"/>
                <w:color w:val="000000" w:themeColor="text1"/>
                <w:spacing w:val="0"/>
                <w:kern w:val="2"/>
                <w:sz w:val="21"/>
                <w:szCs w:val="21"/>
                <w:highlight w:val="none"/>
                <w:u w:val="none" w:color="000000"/>
                <w:lang w:val="zh-CN" w:eastAsia="zh-CN" w:bidi="ar-SA"/>
                <w14:textFill>
                  <w14:solidFill>
                    <w14:schemeClr w14:val="tx1"/>
                  </w14:solidFill>
                </w14:textFill>
              </w:rPr>
              <w:t>甲方有权终止</w:t>
            </w:r>
            <w:r>
              <w:rPr>
                <w:rFonts w:hint="eastAsia" w:ascii="宋体" w:hAnsi="宋体" w:eastAsia="宋体" w:cs="宋体"/>
                <w:color w:val="auto"/>
                <w:spacing w:val="0"/>
                <w:kern w:val="2"/>
                <w:sz w:val="21"/>
                <w:szCs w:val="21"/>
                <w:highlight w:val="none"/>
                <w:u w:val="none" w:color="000000"/>
                <w:lang w:val="zh-CN" w:eastAsia="zh-CN" w:bidi="ar-SA"/>
              </w:rPr>
              <w:t>合同，</w:t>
            </w:r>
            <w:r>
              <w:rPr>
                <w:rFonts w:hint="eastAsia" w:ascii="宋体" w:hAnsi="宋体" w:eastAsia="宋体" w:cs="宋体"/>
                <w:color w:val="auto"/>
                <w:spacing w:val="0"/>
                <w:kern w:val="2"/>
                <w:sz w:val="21"/>
                <w:szCs w:val="21"/>
                <w:highlight w:val="none"/>
                <w:u w:val="none" w:color="000000"/>
                <w:lang w:val="en-US" w:eastAsia="zh-CN" w:bidi="ar-SA"/>
              </w:rPr>
              <w:t>乙方退还</w:t>
            </w:r>
            <w:r>
              <w:rPr>
                <w:rFonts w:hint="eastAsia" w:ascii="宋体" w:hAnsi="宋体" w:cs="宋体"/>
                <w:szCs w:val="21"/>
                <w:highlight w:val="none"/>
              </w:rPr>
              <w:t>所收取的全部费用</w:t>
            </w:r>
            <w:r>
              <w:rPr>
                <w:rFonts w:hint="eastAsia" w:ascii="宋体" w:hAnsi="宋体" w:eastAsia="宋体" w:cs="宋体"/>
                <w:color w:val="auto"/>
                <w:spacing w:val="0"/>
                <w:kern w:val="2"/>
                <w:sz w:val="21"/>
                <w:szCs w:val="21"/>
                <w:highlight w:val="none"/>
                <w:u w:val="none" w:color="000000"/>
                <w:lang w:val="zh-CN" w:eastAsia="zh-CN" w:bidi="ar-SA"/>
              </w:rPr>
              <w:t>。</w:t>
            </w:r>
          </w:p>
        </w:tc>
      </w:tr>
      <w:tr w14:paraId="0F524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644" w:type="pct"/>
            <w:tcBorders>
              <w:top w:val="single" w:color="000000" w:sz="4" w:space="0"/>
              <w:left w:val="single" w:color="000000" w:sz="4" w:space="0"/>
              <w:bottom w:val="single" w:color="000000" w:sz="4" w:space="0"/>
              <w:right w:val="single" w:color="000000" w:sz="4" w:space="0"/>
            </w:tcBorders>
            <w:noWrap w:val="0"/>
            <w:vAlign w:val="center"/>
          </w:tcPr>
          <w:p w14:paraId="4814DD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考核人意见（签字）</w:t>
            </w:r>
          </w:p>
        </w:tc>
        <w:tc>
          <w:tcPr>
            <w:tcW w:w="3687" w:type="pct"/>
            <w:gridSpan w:val="2"/>
            <w:tcBorders>
              <w:top w:val="single" w:color="000000" w:sz="4" w:space="0"/>
              <w:left w:val="single" w:color="000000" w:sz="4" w:space="0"/>
              <w:bottom w:val="single" w:color="000000" w:sz="4" w:space="0"/>
              <w:right w:val="single" w:color="000000" w:sz="4" w:space="0"/>
            </w:tcBorders>
            <w:noWrap/>
            <w:vAlign w:val="center"/>
          </w:tcPr>
          <w:p w14:paraId="36EFD8BB">
            <w:pPr>
              <w:jc w:val="center"/>
              <w:rPr>
                <w:rFonts w:hint="eastAsia" w:ascii="宋体" w:hAnsi="宋体" w:eastAsia="宋体" w:cs="宋体"/>
                <w:i w:val="0"/>
                <w:iCs w:val="0"/>
                <w:color w:val="000000"/>
                <w:sz w:val="21"/>
                <w:szCs w:val="21"/>
                <w:highlight w:val="none"/>
                <w:u w:val="none"/>
              </w:rPr>
            </w:pP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87A30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得分</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3D554521">
            <w:pPr>
              <w:jc w:val="center"/>
              <w:rPr>
                <w:rFonts w:hint="eastAsia" w:ascii="宋体" w:hAnsi="宋体" w:eastAsia="宋体" w:cs="宋体"/>
                <w:i w:val="0"/>
                <w:iCs w:val="0"/>
                <w:color w:val="000000"/>
                <w:sz w:val="21"/>
                <w:szCs w:val="21"/>
                <w:highlight w:val="none"/>
                <w:u w:val="none"/>
              </w:rPr>
            </w:pPr>
          </w:p>
        </w:tc>
      </w:tr>
    </w:tbl>
    <w:p w14:paraId="31363D18">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r>
    </w:p>
    <w:p w14:paraId="28058B47">
      <w:pPr>
        <w:spacing w:line="360" w:lineRule="auto"/>
        <w:jc w:val="center"/>
        <w:outlineLvl w:val="0"/>
        <w:rPr>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t>第五章</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zh-CN" w:eastAsia="zh-CN"/>
          <w14:textFill>
            <w14:solidFill>
              <w14:schemeClr w14:val="tx1"/>
            </w14:solidFill>
          </w14:textFill>
        </w:rPr>
        <w:t>合同草案条款及格式</w:t>
      </w:r>
      <w:bookmarkEnd w:id="138"/>
    </w:p>
    <w:p w14:paraId="021A2EC1">
      <w:pPr>
        <w:ind w:left="118"/>
        <w:jc w:val="center"/>
        <w:rPr>
          <w:rFonts w:ascii="黑体" w:eastAsia="黑体"/>
          <w:color w:val="000000" w:themeColor="text1"/>
          <w:spacing w:val="-3"/>
          <w:sz w:val="52"/>
          <w:highlight w:val="none"/>
          <w:lang w:eastAsia="zh-CN"/>
          <w14:textFill>
            <w14:solidFill>
              <w14:schemeClr w14:val="tx1"/>
            </w14:solidFill>
          </w14:textFill>
        </w:rPr>
      </w:pPr>
      <w:bookmarkStart w:id="140" w:name="_bookmark10"/>
      <w:bookmarkEnd w:id="140"/>
    </w:p>
    <w:p w14:paraId="16C0FBDA">
      <w:pPr>
        <w:pStyle w:val="27"/>
        <w:ind w:left="440"/>
        <w:rPr>
          <w:rFonts w:ascii="黑体" w:hAnsi="宋体" w:eastAsia="黑体"/>
          <w:b/>
          <w:bCs/>
          <w:color w:val="000000" w:themeColor="text1"/>
          <w:sz w:val="44"/>
          <w:szCs w:val="44"/>
          <w:highlight w:val="none"/>
          <w:lang w:eastAsia="zh-CN"/>
          <w14:textFill>
            <w14:solidFill>
              <w14:schemeClr w14:val="tx1"/>
            </w14:solidFill>
          </w14:textFill>
        </w:rPr>
      </w:pPr>
    </w:p>
    <w:p w14:paraId="5762BD56">
      <w:pPr>
        <w:pStyle w:val="27"/>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南京市政府采购合同</w:t>
      </w:r>
    </w:p>
    <w:p w14:paraId="13274854">
      <w:pPr>
        <w:rPr>
          <w:rFonts w:ascii="宋体" w:hAnsi="宋体"/>
          <w:color w:val="000000" w:themeColor="text1"/>
          <w:highlight w:val="none"/>
          <w:lang w:eastAsia="zh-CN"/>
          <w14:textFill>
            <w14:solidFill>
              <w14:schemeClr w14:val="tx1"/>
            </w14:solidFill>
          </w14:textFill>
        </w:rPr>
      </w:pPr>
    </w:p>
    <w:p w14:paraId="549FFD01">
      <w:pPr>
        <w:rPr>
          <w:rFonts w:ascii="宋体" w:hAnsi="宋体"/>
          <w:color w:val="000000" w:themeColor="text1"/>
          <w:highlight w:val="none"/>
          <w:lang w:eastAsia="zh-CN"/>
          <w14:textFill>
            <w14:solidFill>
              <w14:schemeClr w14:val="tx1"/>
            </w14:solidFill>
          </w14:textFill>
        </w:rPr>
      </w:pPr>
    </w:p>
    <w:p w14:paraId="11101DFA">
      <w:pPr>
        <w:rPr>
          <w:rFonts w:ascii="宋体" w:hAnsi="宋体"/>
          <w:color w:val="000000" w:themeColor="text1"/>
          <w:highlight w:val="none"/>
          <w:lang w:eastAsia="zh-CN"/>
          <w14:textFill>
            <w14:solidFill>
              <w14:schemeClr w14:val="tx1"/>
            </w14:solidFill>
          </w14:textFill>
        </w:rPr>
      </w:pPr>
    </w:p>
    <w:p w14:paraId="3F60297C">
      <w:pPr>
        <w:rPr>
          <w:rFonts w:ascii="宋体" w:hAnsi="宋体"/>
          <w:b/>
          <w:color w:val="000000" w:themeColor="text1"/>
          <w:highlight w:val="none"/>
          <w:lang w:eastAsia="zh-CN"/>
          <w14:textFill>
            <w14:solidFill>
              <w14:schemeClr w14:val="tx1"/>
            </w14:solidFill>
          </w14:textFill>
        </w:rPr>
      </w:pPr>
    </w:p>
    <w:p w14:paraId="0E48065F">
      <w:pPr>
        <w:rPr>
          <w:rFonts w:ascii="宋体" w:hAnsi="宋体"/>
          <w:b/>
          <w:color w:val="000000" w:themeColor="text1"/>
          <w:highlight w:val="none"/>
          <w:lang w:eastAsia="zh-CN"/>
          <w14:textFill>
            <w14:solidFill>
              <w14:schemeClr w14:val="tx1"/>
            </w14:solidFill>
          </w14:textFill>
        </w:rPr>
      </w:pPr>
    </w:p>
    <w:p w14:paraId="0AFE2362">
      <w:pPr>
        <w:rPr>
          <w:rFonts w:ascii="宋体" w:hAnsi="宋体"/>
          <w:b/>
          <w:color w:val="000000" w:themeColor="text1"/>
          <w:highlight w:val="none"/>
          <w:lang w:eastAsia="zh-CN"/>
          <w14:textFill>
            <w14:solidFill>
              <w14:schemeClr w14:val="tx1"/>
            </w14:solidFill>
          </w14:textFill>
        </w:rPr>
      </w:pPr>
    </w:p>
    <w:p w14:paraId="065C7A67">
      <w:pPr>
        <w:rPr>
          <w:rFonts w:ascii="宋体" w:hAnsi="宋体"/>
          <w:b/>
          <w:color w:val="000000" w:themeColor="text1"/>
          <w:highlight w:val="none"/>
          <w:lang w:eastAsia="zh-CN"/>
          <w14:textFill>
            <w14:solidFill>
              <w14:schemeClr w14:val="tx1"/>
            </w14:solidFill>
          </w14:textFill>
        </w:rPr>
      </w:pPr>
    </w:p>
    <w:p w14:paraId="5A6A89CA">
      <w:pPr>
        <w:rPr>
          <w:rFonts w:ascii="宋体" w:hAnsi="宋体"/>
          <w:b/>
          <w:color w:val="000000" w:themeColor="text1"/>
          <w:highlight w:val="none"/>
          <w:lang w:eastAsia="zh-CN"/>
          <w14:textFill>
            <w14:solidFill>
              <w14:schemeClr w14:val="tx1"/>
            </w14:solidFill>
          </w14:textFill>
        </w:rPr>
      </w:pPr>
    </w:p>
    <w:p w14:paraId="4E10E81B">
      <w:pPr>
        <w:rPr>
          <w:rFonts w:ascii="宋体" w:hAnsi="宋体"/>
          <w:b/>
          <w:color w:val="000000" w:themeColor="text1"/>
          <w:highlight w:val="none"/>
          <w:lang w:eastAsia="zh-CN"/>
          <w14:textFill>
            <w14:solidFill>
              <w14:schemeClr w14:val="tx1"/>
            </w14:solidFill>
          </w14:textFill>
        </w:rPr>
      </w:pPr>
    </w:p>
    <w:p w14:paraId="1D5E0191">
      <w:pPr>
        <w:rPr>
          <w:rFonts w:ascii="宋体" w:hAnsi="宋体"/>
          <w:b/>
          <w:color w:val="000000" w:themeColor="text1"/>
          <w:highlight w:val="none"/>
          <w:lang w:eastAsia="zh-CN"/>
          <w14:textFill>
            <w14:solidFill>
              <w14:schemeClr w14:val="tx1"/>
            </w14:solidFill>
          </w14:textFill>
        </w:rPr>
      </w:pPr>
    </w:p>
    <w:p w14:paraId="7553BF2F">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18E0197D">
      <w:pPr>
        <w:spacing w:line="900" w:lineRule="exact"/>
        <w:ind w:left="2502" w:hanging="2493" w:hangingChars="890"/>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p>
    <w:p w14:paraId="45939311">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采购单位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516740AF">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成交</w:t>
      </w:r>
      <w:r>
        <w:rPr>
          <w:rFonts w:hint="eastAsia" w:ascii="宋体" w:hAnsi="宋体"/>
          <w:b/>
          <w:color w:val="000000" w:themeColor="text1"/>
          <w:sz w:val="28"/>
          <w:szCs w:val="28"/>
          <w:highlight w:val="none"/>
          <w:lang w:eastAsia="zh-CN"/>
          <w14:textFill>
            <w14:solidFill>
              <w14:schemeClr w14:val="tx1"/>
            </w14:solidFill>
          </w14:textFill>
        </w:rPr>
        <w:t>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14B7E497">
      <w:pPr>
        <w:spacing w:line="900" w:lineRule="exact"/>
        <w:ind w:firstLine="964" w:firstLineChars="344"/>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p>
    <w:p w14:paraId="5FB01695">
      <w:pPr>
        <w:pStyle w:val="66"/>
        <w:rPr>
          <w:rFonts w:eastAsiaTheme="minorEastAsia"/>
          <w:color w:val="000000" w:themeColor="text1"/>
          <w:highlight w:val="none"/>
          <w:lang w:eastAsia="zh-CN"/>
          <w14:textFill>
            <w14:solidFill>
              <w14:schemeClr w14:val="tx1"/>
            </w14:solidFill>
          </w14:textFill>
        </w:rPr>
      </w:pPr>
    </w:p>
    <w:p w14:paraId="7F2771F4">
      <w:pPr>
        <w:pStyle w:val="66"/>
        <w:rPr>
          <w:rFonts w:eastAsiaTheme="minorEastAsia"/>
          <w:color w:val="000000" w:themeColor="text1"/>
          <w:highlight w:val="none"/>
          <w:lang w:eastAsia="zh-CN"/>
          <w14:textFill>
            <w14:solidFill>
              <w14:schemeClr w14:val="tx1"/>
            </w14:solidFill>
          </w14:textFill>
        </w:rPr>
      </w:pPr>
    </w:p>
    <w:p w14:paraId="07CABA94">
      <w:pPr>
        <w:pStyle w:val="66"/>
        <w:rPr>
          <w:rFonts w:eastAsiaTheme="minorEastAsia"/>
          <w:color w:val="000000" w:themeColor="text1"/>
          <w:highlight w:val="none"/>
          <w:lang w:eastAsia="zh-CN"/>
          <w14:textFill>
            <w14:solidFill>
              <w14:schemeClr w14:val="tx1"/>
            </w14:solidFill>
          </w14:textFill>
        </w:rPr>
      </w:pPr>
    </w:p>
    <w:p w14:paraId="61E19851">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r>
    </w:p>
    <w:p w14:paraId="68CD68D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Cs w:val="21"/>
          <w:highlight w:val="none"/>
          <w:u w:val="single"/>
          <w:lang w:val="en-US" w:eastAsia="zh-CN"/>
        </w:rPr>
      </w:pPr>
      <w:r>
        <w:rPr>
          <w:rFonts w:hint="eastAsia" w:ascii="宋体" w:hAnsi="宋体" w:cs="宋体"/>
          <w:szCs w:val="21"/>
          <w:highlight w:val="none"/>
        </w:rPr>
        <w:t>采购人（以下称甲方）：</w:t>
      </w:r>
      <w:r>
        <w:rPr>
          <w:rFonts w:hint="eastAsia" w:ascii="宋体" w:hAnsi="宋体" w:cs="宋体"/>
          <w:szCs w:val="21"/>
          <w:highlight w:val="none"/>
          <w:u w:val="single"/>
          <w:lang w:val="en-US" w:eastAsia="zh-CN"/>
        </w:rPr>
        <w:t xml:space="preserve">                   </w:t>
      </w:r>
    </w:p>
    <w:p w14:paraId="1F3830B7">
      <w:pPr>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地址：</w:t>
      </w:r>
      <w:r>
        <w:rPr>
          <w:rFonts w:hint="eastAsia" w:ascii="宋体" w:hAnsi="宋体" w:cs="宋体"/>
          <w:szCs w:val="21"/>
          <w:highlight w:val="none"/>
          <w:u w:val="single"/>
          <w:lang w:val="en-US" w:eastAsia="zh-CN"/>
        </w:rPr>
        <w:t xml:space="preserve">                                   </w:t>
      </w:r>
    </w:p>
    <w:p w14:paraId="6EE87511">
      <w:pPr>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供应商（以下称乙方）：</w:t>
      </w:r>
      <w:r>
        <w:rPr>
          <w:rFonts w:hint="eastAsia" w:ascii="宋体" w:hAnsi="宋体" w:cs="宋体"/>
          <w:szCs w:val="21"/>
          <w:highlight w:val="none"/>
          <w:u w:val="single"/>
          <w:lang w:val="en-US" w:eastAsia="zh-CN"/>
        </w:rPr>
        <w:t xml:space="preserve">                   </w:t>
      </w:r>
    </w:p>
    <w:p w14:paraId="4A0772F4">
      <w:pPr>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地址：</w:t>
      </w:r>
      <w:r>
        <w:rPr>
          <w:rFonts w:hint="eastAsia" w:ascii="宋体" w:hAnsi="宋体" w:cs="宋体"/>
          <w:szCs w:val="21"/>
          <w:highlight w:val="none"/>
          <w:u w:val="single"/>
          <w:lang w:val="en-US" w:eastAsia="zh-CN"/>
        </w:rPr>
        <w:t xml:space="preserve">                                   </w:t>
      </w:r>
    </w:p>
    <w:p w14:paraId="691BA43D">
      <w:pPr>
        <w:ind w:firstLine="440" w:firstLineChars="200"/>
        <w:jc w:val="left"/>
        <w:rPr>
          <w:rFonts w:hint="eastAsia" w:ascii="宋体" w:hAnsi="宋体" w:cs="宋体"/>
          <w:bCs/>
          <w:color w:val="auto"/>
          <w:szCs w:val="21"/>
          <w:highlight w:val="none"/>
        </w:rPr>
      </w:pPr>
    </w:p>
    <w:p w14:paraId="6E8731A6">
      <w:pPr>
        <w:spacing w:line="360" w:lineRule="auto"/>
        <w:ind w:firstLine="440" w:firstLineChars="200"/>
        <w:jc w:val="left"/>
        <w:rPr>
          <w:rFonts w:hint="eastAsia" w:ascii="宋体" w:hAnsi="宋体" w:cs="宋体"/>
          <w:color w:val="auto"/>
          <w:szCs w:val="21"/>
          <w:highlight w:val="none"/>
        </w:rPr>
      </w:pPr>
      <w:r>
        <w:rPr>
          <w:rFonts w:hint="eastAsia" w:ascii="宋体" w:hAnsi="宋体" w:cs="宋体"/>
          <w:color w:val="auto"/>
          <w:szCs w:val="21"/>
          <w:highlight w:val="none"/>
        </w:rPr>
        <w:t>根据《中华人民共和国政府采购法》、《中华人民共和国</w:t>
      </w:r>
      <w:r>
        <w:rPr>
          <w:rFonts w:hint="eastAsia" w:ascii="宋体" w:hAnsi="宋体" w:cs="宋体"/>
          <w:color w:val="auto"/>
          <w:szCs w:val="21"/>
          <w:highlight w:val="none"/>
          <w:lang w:val="en-US" w:eastAsia="zh-CN"/>
        </w:rPr>
        <w:t>民法典</w:t>
      </w:r>
      <w:r>
        <w:rPr>
          <w:rFonts w:hint="eastAsia" w:ascii="宋体" w:hAnsi="宋体" w:cs="宋体"/>
          <w:color w:val="auto"/>
          <w:szCs w:val="21"/>
          <w:highlight w:val="none"/>
        </w:rPr>
        <w:t>》等法律法规的规定，甲乙双方按照招标代理的采购结果签订本合同。</w:t>
      </w:r>
    </w:p>
    <w:p w14:paraId="2F71DB6A">
      <w:pPr>
        <w:adjustRightInd w:val="0"/>
        <w:snapToGrid w:val="0"/>
        <w:spacing w:line="360" w:lineRule="auto"/>
        <w:ind w:firstLine="440" w:firstLineChars="200"/>
        <w:rPr>
          <w:rFonts w:hint="eastAsia" w:ascii="宋体" w:hAnsi="宋体" w:cs="宋体"/>
          <w:b/>
          <w:color w:val="auto"/>
          <w:szCs w:val="21"/>
          <w:highlight w:val="none"/>
        </w:rPr>
      </w:pPr>
      <w:r>
        <w:rPr>
          <w:rFonts w:hint="eastAsia" w:ascii="宋体" w:hAnsi="宋体" w:cs="宋体"/>
          <w:b/>
          <w:color w:val="auto"/>
          <w:szCs w:val="21"/>
          <w:highlight w:val="none"/>
        </w:rPr>
        <w:t>1.项目概况</w:t>
      </w:r>
    </w:p>
    <w:p w14:paraId="0BD988D9">
      <w:pPr>
        <w:adjustRightInd w:val="0"/>
        <w:snapToGrid w:val="0"/>
        <w:spacing w:line="360" w:lineRule="auto"/>
        <w:ind w:firstLine="440" w:firstLineChars="200"/>
        <w:rPr>
          <w:rFonts w:hint="default" w:ascii="宋体" w:hAnsi="宋体" w:eastAsia="宋体" w:cs="宋体"/>
          <w:color w:val="auto"/>
          <w:highlight w:val="none"/>
          <w:u w:val="single"/>
          <w:lang w:val="en-US" w:eastAsia="zh-CN"/>
        </w:rPr>
      </w:pPr>
      <w:r>
        <w:rPr>
          <w:rFonts w:hint="eastAsia" w:ascii="宋体" w:hAnsi="宋体" w:cs="宋体"/>
          <w:color w:val="auto"/>
          <w:szCs w:val="21"/>
          <w:highlight w:val="none"/>
        </w:rPr>
        <w:t>1.1 项目名称：</w:t>
      </w:r>
      <w:r>
        <w:rPr>
          <w:rFonts w:hint="eastAsia" w:ascii="宋体" w:hAnsi="宋体" w:cs="宋体"/>
          <w:color w:val="auto"/>
          <w:szCs w:val="21"/>
          <w:highlight w:val="none"/>
          <w:u w:val="single"/>
          <w:lang w:val="en-US" w:eastAsia="zh-CN"/>
        </w:rPr>
        <w:t xml:space="preserve">                     </w:t>
      </w:r>
    </w:p>
    <w:p w14:paraId="42B62916">
      <w:pPr>
        <w:adjustRightInd w:val="0"/>
        <w:snapToGrid w:val="0"/>
        <w:spacing w:line="360" w:lineRule="auto"/>
        <w:ind w:firstLine="440" w:firstLineChars="20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1.2 项目地点：</w:t>
      </w:r>
      <w:r>
        <w:rPr>
          <w:rFonts w:hint="eastAsia" w:ascii="宋体" w:hAnsi="宋体" w:cs="宋体"/>
          <w:color w:val="auto"/>
          <w:szCs w:val="21"/>
          <w:highlight w:val="none"/>
          <w:u w:val="single"/>
          <w:lang w:val="en-US" w:eastAsia="zh-CN"/>
        </w:rPr>
        <w:t xml:space="preserve">                     </w:t>
      </w:r>
    </w:p>
    <w:p w14:paraId="2FE7C73F">
      <w:pPr>
        <w:adjustRightInd w:val="0"/>
        <w:snapToGrid w:val="0"/>
        <w:spacing w:line="360" w:lineRule="auto"/>
        <w:ind w:firstLine="440" w:firstLineChars="200"/>
        <w:rPr>
          <w:rFonts w:hint="eastAsia" w:ascii="宋体" w:hAnsi="宋体" w:cs="宋体"/>
          <w:color w:val="auto"/>
          <w:highlight w:val="none"/>
        </w:rPr>
      </w:pPr>
      <w:r>
        <w:rPr>
          <w:rFonts w:hint="eastAsia" w:ascii="宋体" w:hAnsi="宋体" w:cs="宋体"/>
          <w:color w:val="auto"/>
          <w:highlight w:val="none"/>
        </w:rPr>
        <w:t>1.3 项目内容：分别完成4个地块的水文地质勘察、补充调查（含方案制定、现场钻探及采样、样品处理与检测）、污染物入江风险评估</w:t>
      </w:r>
      <w:r>
        <w:rPr>
          <w:rFonts w:hint="eastAsia" w:ascii="宋体" w:hAnsi="宋体" w:cs="宋体"/>
          <w:color w:val="auto"/>
          <w:highlight w:val="none"/>
          <w:lang w:eastAsia="zh-CN"/>
        </w:rPr>
        <w:t>、</w:t>
      </w:r>
      <w:r>
        <w:rPr>
          <w:rFonts w:hint="eastAsia" w:ascii="宋体" w:hAnsi="宋体" w:cs="宋体"/>
          <w:color w:val="auto"/>
          <w:highlight w:val="none"/>
          <w:lang w:val="en-US" w:eastAsia="zh-CN"/>
        </w:rPr>
        <w:t>人体健康风险评估</w:t>
      </w:r>
      <w:r>
        <w:rPr>
          <w:rFonts w:hint="eastAsia" w:ascii="宋体" w:hAnsi="宋体" w:cs="宋体"/>
          <w:color w:val="auto"/>
          <w:highlight w:val="none"/>
        </w:rPr>
        <w:t>、风险评估报告编制、专家评审及修改、备案等内容。</w:t>
      </w:r>
    </w:p>
    <w:p w14:paraId="75C96C67">
      <w:pPr>
        <w:autoSpaceDE w:val="0"/>
        <w:autoSpaceDN w:val="0"/>
        <w:adjustRightInd w:val="0"/>
        <w:snapToGrid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1.4 合同总价：￥</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元（大写：人民币</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元）。</w:t>
      </w:r>
    </w:p>
    <w:p w14:paraId="00F212AD">
      <w:pPr>
        <w:autoSpaceDE w:val="0"/>
        <w:autoSpaceDN w:val="0"/>
        <w:adjustRightInd w:val="0"/>
        <w:snapToGrid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供应商完成（</w:t>
      </w:r>
      <w:r>
        <w:rPr>
          <w:rFonts w:hint="eastAsia" w:ascii="宋体" w:hAnsi="宋体" w:cs="宋体"/>
          <w:color w:val="auto"/>
          <w:szCs w:val="21"/>
          <w:highlight w:val="none"/>
        </w:rPr>
        <w:t>1</w:t>
      </w:r>
      <w:r>
        <w:rPr>
          <w:rFonts w:hint="eastAsia" w:ascii="宋体" w:hAnsi="宋体" w:cs="宋体"/>
          <w:color w:val="auto"/>
          <w:szCs w:val="21"/>
          <w:highlight w:val="none"/>
          <w:lang w:val="zh-CN"/>
        </w:rPr>
        <w:t>）</w:t>
      </w:r>
      <w:r>
        <w:rPr>
          <w:rFonts w:hint="eastAsia" w:ascii="宋体" w:hAnsi="宋体" w:eastAsia="宋体" w:cs="宋体"/>
          <w:color w:val="auto"/>
          <w:szCs w:val="21"/>
          <w:highlight w:val="none"/>
          <w:u w:val="thick"/>
          <w:lang w:val="en-US" w:eastAsia="zh-CN"/>
        </w:rPr>
        <w:t xml:space="preserve"> </w:t>
      </w:r>
      <w:r>
        <w:rPr>
          <w:rFonts w:hint="eastAsia" w:ascii="宋体" w:hAnsi="宋体" w:cs="宋体"/>
          <w:color w:val="auto"/>
          <w:szCs w:val="21"/>
          <w:highlight w:val="none"/>
          <w:u w:val="thick"/>
        </w:rPr>
        <w:t xml:space="preserve">             </w:t>
      </w:r>
      <w:r>
        <w:rPr>
          <w:rFonts w:hint="eastAsia" w:ascii="宋体" w:hAnsi="宋体" w:eastAsia="宋体" w:cs="宋体"/>
          <w:color w:val="auto"/>
          <w:szCs w:val="21"/>
          <w:highlight w:val="none"/>
          <w:u w:val="thick"/>
          <w:lang w:val="en-US" w:eastAsia="zh-CN"/>
        </w:rPr>
        <w:t xml:space="preserve"> </w:t>
      </w:r>
      <w:r>
        <w:rPr>
          <w:rFonts w:hint="eastAsia" w:ascii="宋体" w:hAnsi="宋体" w:cs="宋体"/>
          <w:color w:val="auto"/>
          <w:highlight w:val="none"/>
        </w:rPr>
        <w:t>项目</w:t>
      </w:r>
      <w:r>
        <w:rPr>
          <w:rFonts w:hint="eastAsia" w:ascii="宋体" w:hAnsi="宋体" w:cs="宋体"/>
          <w:color w:val="auto"/>
          <w:szCs w:val="21"/>
          <w:highlight w:val="none"/>
          <w:lang w:val="zh-CN"/>
        </w:rPr>
        <w:t>工作；（2）价格应包括供应商为完成相关服务所承担的全部费用含人员经费、人员保险费等相关费用、以及在服务过程中发生的市场风险等一切费用。不论其在磋商文件中是否有提及。</w:t>
      </w:r>
    </w:p>
    <w:p w14:paraId="5F40E5E8">
      <w:pPr>
        <w:adjustRightInd w:val="0"/>
        <w:snapToGrid w:val="0"/>
        <w:spacing w:line="360" w:lineRule="auto"/>
        <w:ind w:firstLine="440" w:firstLineChars="200"/>
        <w:rPr>
          <w:rFonts w:hint="eastAsia" w:ascii="宋体" w:hAnsi="宋体" w:cs="宋体"/>
          <w:b/>
          <w:color w:val="auto"/>
          <w:szCs w:val="21"/>
          <w:highlight w:val="none"/>
        </w:rPr>
      </w:pPr>
      <w:r>
        <w:rPr>
          <w:rFonts w:hint="eastAsia" w:ascii="宋体" w:hAnsi="宋体" w:cs="宋体"/>
          <w:b/>
          <w:color w:val="auto"/>
          <w:szCs w:val="21"/>
          <w:highlight w:val="none"/>
        </w:rPr>
        <w:t>2．定义</w:t>
      </w:r>
    </w:p>
    <w:p w14:paraId="3C7906FB">
      <w:pPr>
        <w:adjustRightInd w:val="0"/>
        <w:snapToGrid w:val="0"/>
        <w:spacing w:line="360" w:lineRule="auto"/>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2.l“合同”系指甲方和乙方（以下简称合同双方）签署的、合同格式中列明的合同双方所达成的协议，包括所有的附件、附录、磋商文件、磋商响应文件全部内容及对磋商文件书面修正、澄清的内容等以及构成合同的所有文件。</w:t>
      </w:r>
    </w:p>
    <w:p w14:paraId="2D98E288">
      <w:pPr>
        <w:adjustRightInd w:val="0"/>
        <w:snapToGrid w:val="0"/>
        <w:spacing w:line="360" w:lineRule="auto"/>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2.2“合同价格”系指根据合同规定，在乙方全面正确地履行合同义务后甲方应支付给乙方的价格。</w:t>
      </w:r>
    </w:p>
    <w:p w14:paraId="302BD7EA">
      <w:pPr>
        <w:adjustRightInd w:val="0"/>
        <w:snapToGrid w:val="0"/>
        <w:spacing w:line="360" w:lineRule="auto"/>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2.3“甲方”系指采购人。</w:t>
      </w:r>
    </w:p>
    <w:p w14:paraId="5363A0E5">
      <w:pPr>
        <w:adjustRightInd w:val="0"/>
        <w:snapToGrid w:val="0"/>
        <w:spacing w:line="360" w:lineRule="auto"/>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2.4“乙方”系指成交供应商。</w:t>
      </w:r>
    </w:p>
    <w:p w14:paraId="3926F1C5">
      <w:pPr>
        <w:adjustRightInd w:val="0"/>
        <w:snapToGrid w:val="0"/>
        <w:spacing w:line="360" w:lineRule="auto"/>
        <w:ind w:firstLine="440" w:firstLineChars="200"/>
        <w:rPr>
          <w:rFonts w:hint="eastAsia" w:ascii="宋体" w:hAnsi="宋体" w:cs="宋体"/>
          <w:b/>
          <w:color w:val="auto"/>
          <w:szCs w:val="21"/>
          <w:highlight w:val="none"/>
        </w:rPr>
      </w:pPr>
      <w:r>
        <w:rPr>
          <w:rFonts w:hint="eastAsia" w:ascii="宋体" w:hAnsi="宋体" w:cs="宋体"/>
          <w:b/>
          <w:color w:val="auto"/>
          <w:szCs w:val="21"/>
          <w:highlight w:val="none"/>
        </w:rPr>
        <w:t>3．适用范围</w:t>
      </w:r>
    </w:p>
    <w:p w14:paraId="7D12EA1B">
      <w:pPr>
        <w:adjustRightInd w:val="0"/>
        <w:snapToGrid w:val="0"/>
        <w:spacing w:line="360" w:lineRule="auto"/>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3.l本合同条款适用于本次采购项目。</w:t>
      </w:r>
    </w:p>
    <w:p w14:paraId="04DF6419">
      <w:pPr>
        <w:adjustRightInd w:val="0"/>
        <w:snapToGrid w:val="0"/>
        <w:spacing w:line="360" w:lineRule="auto"/>
        <w:ind w:firstLine="440" w:firstLineChars="200"/>
        <w:rPr>
          <w:rFonts w:ascii="宋体" w:hAnsi="宋体" w:cs="宋体"/>
          <w:b/>
          <w:color w:val="auto"/>
          <w:szCs w:val="21"/>
          <w:highlight w:val="none"/>
        </w:rPr>
      </w:pPr>
      <w:r>
        <w:rPr>
          <w:rFonts w:hint="eastAsia" w:ascii="宋体" w:hAnsi="宋体" w:cs="宋体"/>
          <w:b/>
          <w:color w:val="auto"/>
          <w:szCs w:val="21"/>
          <w:highlight w:val="none"/>
        </w:rPr>
        <w:t>4.项目工期及付款周期；</w:t>
      </w:r>
    </w:p>
    <w:p w14:paraId="4C08C533">
      <w:pPr>
        <w:adjustRightInd w:val="0"/>
        <w:snapToGrid w:val="0"/>
        <w:spacing w:line="360" w:lineRule="auto"/>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4.1项目工期</w:t>
      </w:r>
    </w:p>
    <w:p w14:paraId="5BA7F4E5">
      <w:pPr>
        <w:adjustRightInd w:val="0"/>
        <w:snapToGrid w:val="0"/>
        <w:spacing w:line="360" w:lineRule="auto"/>
        <w:ind w:firstLine="440" w:firstLineChars="200"/>
        <w:rPr>
          <w:rFonts w:ascii="宋体" w:hAnsi="宋体" w:cs="宋体"/>
          <w:color w:val="auto"/>
          <w:szCs w:val="21"/>
          <w:highlight w:val="none"/>
        </w:rPr>
      </w:pPr>
      <w:r>
        <w:rPr>
          <w:rFonts w:hint="eastAsia" w:ascii="宋体" w:hAnsi="宋体" w:cs="宋体"/>
          <w:color w:val="auto"/>
          <w:szCs w:val="21"/>
          <w:highlight w:val="none"/>
        </w:rPr>
        <w:t>项目总工期：90天</w:t>
      </w:r>
    </w:p>
    <w:p w14:paraId="47A75ADB">
      <w:pPr>
        <w:adjustRightInd w:val="0"/>
        <w:snapToGrid w:val="0"/>
        <w:spacing w:line="360" w:lineRule="auto"/>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第一阶段：前60天内完成补充调查采样，出具土壤污染风险评估报告；</w:t>
      </w:r>
    </w:p>
    <w:p w14:paraId="65D5CD33">
      <w:pPr>
        <w:adjustRightInd w:val="0"/>
        <w:snapToGrid w:val="0"/>
        <w:spacing w:line="360" w:lineRule="auto"/>
        <w:ind w:firstLine="440" w:firstLineChars="200"/>
        <w:rPr>
          <w:rFonts w:ascii="宋体" w:hAnsi="宋体" w:cs="宋体"/>
          <w:color w:val="auto"/>
          <w:szCs w:val="21"/>
          <w:highlight w:val="none"/>
        </w:rPr>
      </w:pPr>
      <w:r>
        <w:rPr>
          <w:rFonts w:hint="eastAsia" w:ascii="宋体" w:hAnsi="宋体" w:cs="宋体"/>
          <w:color w:val="auto"/>
          <w:szCs w:val="21"/>
          <w:highlight w:val="none"/>
        </w:rPr>
        <w:t>第二阶段：后30天内完成风险评估报告省级评审工作。</w:t>
      </w:r>
    </w:p>
    <w:p w14:paraId="64EC34F4">
      <w:pPr>
        <w:adjustRightInd w:val="0"/>
        <w:snapToGrid w:val="0"/>
        <w:spacing w:line="360" w:lineRule="auto"/>
        <w:ind w:firstLine="440" w:firstLineChars="200"/>
        <w:rPr>
          <w:rFonts w:hint="eastAsia" w:ascii="宋体" w:hAnsi="宋体" w:eastAsia="宋体"/>
          <w:color w:val="auto"/>
          <w:highlight w:val="none"/>
          <w:lang w:eastAsia="zh-CN"/>
        </w:rPr>
      </w:pPr>
      <w:r>
        <w:rPr>
          <w:rFonts w:hint="eastAsia" w:ascii="宋体" w:hAnsi="宋体" w:cs="宋体"/>
          <w:color w:val="auto"/>
          <w:szCs w:val="21"/>
          <w:highlight w:val="none"/>
          <w:lang w:val="en-US" w:eastAsia="zh-CN"/>
        </w:rPr>
        <w:t>4.2</w:t>
      </w:r>
      <w:r>
        <w:rPr>
          <w:rFonts w:hint="eastAsia" w:ascii="宋体" w:hAnsi="宋体"/>
          <w:color w:val="auto"/>
          <w:szCs w:val="21"/>
          <w:highlight w:val="none"/>
        </w:rPr>
        <w:t>本合同项下所有款项均以人民币支付，后期</w:t>
      </w:r>
      <w:r>
        <w:rPr>
          <w:rFonts w:hint="eastAsia" w:ascii="宋体" w:hAnsi="宋体"/>
          <w:color w:val="auto"/>
          <w:highlight w:val="none"/>
        </w:rPr>
        <w:t>结算价款=合同价款-考核扣款</w:t>
      </w:r>
      <w:r>
        <w:rPr>
          <w:rFonts w:hint="eastAsia" w:ascii="宋体" w:hAnsi="宋体"/>
          <w:color w:val="auto"/>
          <w:highlight w:val="none"/>
          <w:lang w:eastAsia="zh-CN"/>
        </w:rPr>
        <w:t>（具体考核标准见附件）</w:t>
      </w:r>
    </w:p>
    <w:p w14:paraId="5E9C6CE2">
      <w:pPr>
        <w:adjustRightInd w:val="0"/>
        <w:snapToGrid w:val="0"/>
        <w:spacing w:line="360" w:lineRule="auto"/>
        <w:ind w:firstLine="440" w:firstLineChars="200"/>
        <w:rPr>
          <w:rFonts w:ascii="宋体" w:hAnsi="宋体" w:cs="宋体"/>
          <w:szCs w:val="21"/>
          <w:highlight w:val="none"/>
        </w:rPr>
      </w:pPr>
      <w:r>
        <w:rPr>
          <w:rFonts w:hint="eastAsia" w:ascii="宋体" w:hAnsi="宋体" w:cs="宋体"/>
          <w:szCs w:val="21"/>
          <w:highlight w:val="none"/>
        </w:rPr>
        <w:t>4.</w:t>
      </w:r>
      <w:r>
        <w:rPr>
          <w:rFonts w:hint="eastAsia" w:ascii="宋体" w:hAnsi="宋体" w:cs="宋体"/>
          <w:szCs w:val="21"/>
          <w:highlight w:val="none"/>
          <w:lang w:val="en-US" w:eastAsia="zh-CN"/>
        </w:rPr>
        <w:t>3</w:t>
      </w:r>
      <w:r>
        <w:rPr>
          <w:rFonts w:hint="eastAsia" w:ascii="宋体" w:hAnsi="宋体" w:cs="宋体"/>
          <w:szCs w:val="21"/>
          <w:highlight w:val="none"/>
        </w:rPr>
        <w:t>付款周期</w:t>
      </w:r>
    </w:p>
    <w:p w14:paraId="650C98E8">
      <w:pPr>
        <w:adjustRightInd w:val="0"/>
        <w:snapToGrid w:val="0"/>
        <w:spacing w:line="360" w:lineRule="auto"/>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第一阶段：签订协议后</w:t>
      </w:r>
      <w:r>
        <w:rPr>
          <w:rFonts w:hint="eastAsia" w:ascii="宋体" w:hAnsi="宋体" w:eastAsia="宋体" w:cs="宋体"/>
          <w:color w:val="auto"/>
          <w:szCs w:val="21"/>
          <w:highlight w:val="none"/>
          <w:lang w:val="en-US" w:eastAsia="zh-CN"/>
        </w:rPr>
        <w:t>30</w:t>
      </w:r>
      <w:r>
        <w:rPr>
          <w:rFonts w:hint="eastAsia" w:ascii="宋体" w:hAnsi="宋体" w:cs="宋体"/>
          <w:color w:val="auto"/>
          <w:szCs w:val="21"/>
          <w:highlight w:val="none"/>
        </w:rPr>
        <w:t>个工作日内，支付首付款，即约定</w:t>
      </w:r>
      <w:r>
        <w:rPr>
          <w:rFonts w:hint="eastAsia" w:ascii="宋体" w:hAnsi="宋体" w:eastAsia="宋体" w:cs="宋体"/>
          <w:color w:val="auto"/>
          <w:szCs w:val="21"/>
          <w:highlight w:val="none"/>
          <w:lang w:val="en-US" w:eastAsia="zh-CN"/>
        </w:rPr>
        <w:t>合同价</w:t>
      </w:r>
      <w:r>
        <w:rPr>
          <w:rFonts w:hint="eastAsia" w:ascii="宋体" w:hAnsi="宋体" w:cs="宋体"/>
          <w:color w:val="auto"/>
          <w:szCs w:val="21"/>
          <w:highlight w:val="none"/>
        </w:rPr>
        <w:t>总额的30%；</w:t>
      </w:r>
    </w:p>
    <w:p w14:paraId="1F394804">
      <w:pPr>
        <w:adjustRightInd w:val="0"/>
        <w:snapToGrid w:val="0"/>
        <w:spacing w:line="360" w:lineRule="auto"/>
        <w:ind w:firstLine="44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第二阶段：完成补充调查、出具土壤污染风险评估调查报告后</w:t>
      </w:r>
      <w:r>
        <w:rPr>
          <w:rFonts w:hint="eastAsia" w:ascii="宋体" w:hAnsi="宋体" w:eastAsia="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个工作日内，支付约定</w:t>
      </w:r>
      <w:r>
        <w:rPr>
          <w:rFonts w:hint="eastAsia" w:ascii="宋体" w:hAnsi="宋体" w:eastAsia="宋体" w:cs="宋体"/>
          <w:color w:val="000000" w:themeColor="text1"/>
          <w:szCs w:val="21"/>
          <w:highlight w:val="none"/>
          <w:lang w:val="en-US" w:eastAsia="zh-CN"/>
          <w14:textFill>
            <w14:solidFill>
              <w14:schemeClr w14:val="tx1"/>
            </w14:solidFill>
          </w14:textFill>
        </w:rPr>
        <w:t>合同价</w:t>
      </w:r>
      <w:r>
        <w:rPr>
          <w:rFonts w:hint="eastAsia" w:ascii="宋体" w:hAnsi="宋体" w:cs="宋体"/>
          <w:color w:val="000000" w:themeColor="text1"/>
          <w:szCs w:val="21"/>
          <w:highlight w:val="none"/>
          <w14:textFill>
            <w14:solidFill>
              <w14:schemeClr w14:val="tx1"/>
            </w14:solidFill>
          </w14:textFill>
        </w:rPr>
        <w:t>总额的30%；</w:t>
      </w:r>
    </w:p>
    <w:p w14:paraId="65444FB0">
      <w:pPr>
        <w:adjustRightInd w:val="0"/>
        <w:snapToGrid w:val="0"/>
        <w:spacing w:line="360" w:lineRule="auto"/>
        <w:ind w:firstLine="44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第三阶段：完成风险评估报告评审后</w:t>
      </w:r>
      <w:r>
        <w:rPr>
          <w:rFonts w:hint="eastAsia" w:ascii="宋体" w:hAnsi="宋体" w:cs="宋体"/>
          <w:color w:val="000000" w:themeColor="text1"/>
          <w:szCs w:val="21"/>
          <w:highlight w:val="none"/>
          <w:lang w:val="en-US" w:eastAsia="zh-CN"/>
          <w14:textFill>
            <w14:solidFill>
              <w14:schemeClr w14:val="tx1"/>
            </w14:solidFill>
          </w14:textFill>
        </w:rPr>
        <w:t>并通过甲方考核后，根据考核成绩按比例支付总价30%，未通过考核乙方返还全部已收费用；</w:t>
      </w:r>
    </w:p>
    <w:p w14:paraId="74FC54EA">
      <w:pPr>
        <w:adjustRightInd w:val="0"/>
        <w:snapToGrid w:val="0"/>
        <w:spacing w:line="360" w:lineRule="auto"/>
        <w:ind w:firstLine="44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第四阶段：质保期结束后支付剩余10%费用。</w:t>
      </w:r>
    </w:p>
    <w:p w14:paraId="25DED977">
      <w:pPr>
        <w:adjustRightInd w:val="0"/>
        <w:snapToGrid w:val="0"/>
        <w:spacing w:line="360" w:lineRule="auto"/>
        <w:ind w:firstLine="440" w:firstLineChars="20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质保期指从完成报告省级评审后1年</w:t>
      </w:r>
      <w:r>
        <w:rPr>
          <w:rFonts w:hint="eastAsia" w:eastAsia="宋体"/>
          <w:color w:val="000000" w:themeColor="text1"/>
          <w:highlight w:val="none"/>
          <w:lang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每次付款前，乙方需向甲方提供相应的增值税发票。</w:t>
      </w:r>
    </w:p>
    <w:p w14:paraId="46A86015">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5．甲方权利义务</w:t>
      </w:r>
    </w:p>
    <w:p w14:paraId="6DB24F3C">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5.1甲方配合提供相应基础资料。</w:t>
      </w:r>
    </w:p>
    <w:p w14:paraId="22862981">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5.2负责与有关部门的联系和协调。</w:t>
      </w:r>
    </w:p>
    <w:p w14:paraId="19BC077D">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5.3及时支付服务费用。</w:t>
      </w:r>
    </w:p>
    <w:p w14:paraId="16E6F19F">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5.4甲方有权将不符合服务要求的人员退给乙方，乙方需及时更换合格人员。</w:t>
      </w:r>
    </w:p>
    <w:p w14:paraId="2459DFD8">
      <w:pPr>
        <w:widowControl/>
        <w:shd w:val="clear" w:color="auto" w:fill="FFFFFF"/>
        <w:spacing w:line="360" w:lineRule="auto"/>
        <w:ind w:firstLine="420"/>
        <w:jc w:val="left"/>
        <w:rPr>
          <w:rFonts w:hint="eastAsia" w:ascii="宋体" w:hAnsi="宋体"/>
          <w:highlight w:val="none"/>
          <w:lang w:val="zh-CN"/>
        </w:rPr>
      </w:pPr>
      <w:r>
        <w:rPr>
          <w:rFonts w:hint="eastAsia" w:ascii="宋体" w:hAnsi="宋体" w:cs="宋体"/>
          <w:szCs w:val="21"/>
          <w:highlight w:val="none"/>
          <w:lang w:val="en-US" w:eastAsia="zh-CN"/>
        </w:rPr>
        <w:t>5.5</w:t>
      </w:r>
      <w:r>
        <w:rPr>
          <w:rFonts w:hint="eastAsia" w:ascii="宋体" w:hAnsi="宋体"/>
          <w:highlight w:val="none"/>
          <w:lang w:val="zh-CN"/>
        </w:rPr>
        <w:t>甲方有权对乙方</w:t>
      </w:r>
      <w:r>
        <w:rPr>
          <w:rFonts w:hint="eastAsia" w:ascii="宋体" w:hAnsi="宋体"/>
          <w:szCs w:val="21"/>
          <w:highlight w:val="none"/>
        </w:rPr>
        <w:t>提供的服务及履行本合同情况</w:t>
      </w:r>
      <w:r>
        <w:rPr>
          <w:rFonts w:hint="eastAsia" w:ascii="宋体" w:hAnsi="宋体"/>
          <w:highlight w:val="none"/>
          <w:lang w:val="zh-CN"/>
        </w:rPr>
        <w:t>等进行监督、检查和考核评定，并有权对乙方违反</w:t>
      </w:r>
      <w:r>
        <w:rPr>
          <w:rFonts w:hint="eastAsia" w:ascii="宋体" w:hAnsi="宋体"/>
          <w:highlight w:val="none"/>
        </w:rPr>
        <w:t>服务</w:t>
      </w:r>
      <w:r>
        <w:rPr>
          <w:rFonts w:hint="eastAsia" w:ascii="宋体" w:hAnsi="宋体"/>
          <w:highlight w:val="none"/>
          <w:lang w:val="zh-CN"/>
        </w:rPr>
        <w:t>考核细则或违反本合同约定的行为进行处罚。</w:t>
      </w:r>
    </w:p>
    <w:p w14:paraId="5B9484BA">
      <w:pPr>
        <w:adjustRightInd w:val="0"/>
        <w:snapToGrid w:val="0"/>
        <w:spacing w:line="360" w:lineRule="auto"/>
        <w:ind w:firstLine="440" w:firstLineChars="200"/>
        <w:rPr>
          <w:rFonts w:hint="default" w:ascii="宋体" w:hAnsi="宋体" w:eastAsia="宋体" w:cs="宋体"/>
          <w:szCs w:val="21"/>
          <w:highlight w:val="none"/>
          <w:lang w:val="en-US" w:eastAsia="zh-CN"/>
        </w:rPr>
      </w:pPr>
    </w:p>
    <w:p w14:paraId="6524A9EF">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6．乙方权利义务</w:t>
      </w:r>
    </w:p>
    <w:p w14:paraId="17894F5F">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6.1</w:t>
      </w:r>
      <w:r>
        <w:rPr>
          <w:rFonts w:hint="eastAsia" w:ascii="宋体" w:hAnsi="宋体" w:cs="宋体"/>
          <w:szCs w:val="21"/>
          <w:highlight w:val="none"/>
        </w:rPr>
        <w:tab/>
      </w:r>
      <w:r>
        <w:rPr>
          <w:rFonts w:hint="eastAsia" w:ascii="宋体" w:hAnsi="宋体" w:cs="宋体"/>
          <w:szCs w:val="21"/>
          <w:highlight w:val="none"/>
        </w:rPr>
        <w:t>按照法规政策及有关行业规范、标准和磋商文件、响应文件及合同约定，提供专业化的服务。</w:t>
      </w:r>
    </w:p>
    <w:p w14:paraId="2C274C53">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6.2</w:t>
      </w:r>
      <w:r>
        <w:rPr>
          <w:rFonts w:hint="eastAsia" w:ascii="宋体" w:hAnsi="宋体" w:cs="宋体"/>
          <w:szCs w:val="21"/>
          <w:highlight w:val="none"/>
        </w:rPr>
        <w:tab/>
      </w:r>
      <w:r>
        <w:rPr>
          <w:rFonts w:hint="eastAsia" w:ascii="宋体" w:hAnsi="宋体" w:cs="宋体"/>
          <w:szCs w:val="21"/>
          <w:highlight w:val="none"/>
        </w:rPr>
        <w:t>制定好检查服务规章制度，抓好员工培训，派遣具有相适应岗位技能的人员，并保证人员队伍的稳定，未经甲方书面同意不得自行撤换。</w:t>
      </w:r>
    </w:p>
    <w:p w14:paraId="5E8A95BF">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6.3 乙方根据甲方提供服务业务的范围和要求督促完成工作任务。</w:t>
      </w:r>
    </w:p>
    <w:p w14:paraId="480BCEF7">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6.4 乙方服务人员必须认证履行职责，遵守各项规章制度；服从甲方管理人员的工作调度和分配，不妨碍甲方工作，严守职业道德，遵纪守法，依职履责。</w:t>
      </w:r>
    </w:p>
    <w:p w14:paraId="4906B28E">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6.5 乙方应接受甲方对不符合要求的人员的调换。</w:t>
      </w:r>
    </w:p>
    <w:p w14:paraId="4F0CF053">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6.6 乙方不得采用转包、转让及其他未经甲方同意的方式转移采购结果。</w:t>
      </w:r>
    </w:p>
    <w:p w14:paraId="7D6D3D54">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6.7 乙方必须做好相关人员的安全管理工作。作业过程中如发生安全事故，一切责任费用均由乙方承担，并按有关规定配合协助有关部门做好事故处理工作。</w:t>
      </w:r>
    </w:p>
    <w:p w14:paraId="00FFD92F">
      <w:pPr>
        <w:adjustRightInd w:val="0"/>
        <w:snapToGrid w:val="0"/>
        <w:spacing w:line="360" w:lineRule="auto"/>
        <w:ind w:firstLine="411"/>
        <w:rPr>
          <w:rFonts w:hint="eastAsia" w:ascii="宋体" w:hAnsi="宋体" w:cs="宋体"/>
          <w:szCs w:val="21"/>
          <w:highlight w:val="none"/>
        </w:rPr>
      </w:pPr>
      <w:r>
        <w:rPr>
          <w:rFonts w:hint="eastAsia" w:ascii="宋体" w:hAnsi="宋体" w:cs="宋体"/>
          <w:szCs w:val="21"/>
          <w:highlight w:val="none"/>
        </w:rPr>
        <w:t>6.8 及时做好调查服务的内、外业资料的记录、收集、整理、保管。</w:t>
      </w:r>
    </w:p>
    <w:p w14:paraId="51A8E770">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szCs w:val="21"/>
          <w:highlight w:val="none"/>
        </w:rPr>
        <w:t>7</w:t>
      </w:r>
      <w:r>
        <w:rPr>
          <w:rFonts w:hint="eastAsia" w:ascii="宋体" w:hAnsi="宋体" w:cs="宋体"/>
          <w:b/>
          <w:szCs w:val="21"/>
          <w:highlight w:val="none"/>
        </w:rPr>
        <w:t>．违约责任</w:t>
      </w:r>
    </w:p>
    <w:p w14:paraId="1136E12B">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7.1 如乙方没有按合同规定交工或提供服务，每延迟一天扣除合同总金额的0.2%的违约金，直至按合同交工或提供服务为止。违约金最高限额为合同总金额的5%。</w:t>
      </w:r>
    </w:p>
    <w:p w14:paraId="78732484">
      <w:pPr>
        <w:autoSpaceDE w:val="0"/>
        <w:autoSpaceDN w:val="0"/>
        <w:adjustRightInd w:val="0"/>
        <w:spacing w:line="360" w:lineRule="auto"/>
        <w:ind w:firstLine="420"/>
        <w:jc w:val="left"/>
        <w:rPr>
          <w:rFonts w:hint="eastAsia"/>
          <w:highlight w:val="none"/>
        </w:rPr>
      </w:pPr>
      <w:r>
        <w:rPr>
          <w:rFonts w:hint="eastAsia" w:ascii="宋体" w:hAnsi="宋体" w:cs="宋体"/>
          <w:szCs w:val="21"/>
          <w:highlight w:val="none"/>
        </w:rPr>
        <w:t>7.2 如乙方逾期交付达25天，甲方有权解除合同，解除合同的通知自到达乙方时生效。乙方逾期交付的，今后参加政府采购信誉将受到影响。</w:t>
      </w:r>
    </w:p>
    <w:p w14:paraId="5E0D2E98">
      <w:pPr>
        <w:autoSpaceDE w:val="0"/>
        <w:autoSpaceDN w:val="0"/>
        <w:adjustRightInd w:val="0"/>
        <w:spacing w:line="360" w:lineRule="auto"/>
        <w:ind w:firstLine="420"/>
        <w:jc w:val="left"/>
        <w:rPr>
          <w:rFonts w:hint="eastAsia" w:ascii="宋体" w:hAnsi="宋体" w:cs="宋体"/>
          <w:szCs w:val="21"/>
          <w:highlight w:val="none"/>
        </w:rPr>
      </w:pPr>
      <w:r>
        <w:rPr>
          <w:rFonts w:hint="eastAsia" w:ascii="宋体" w:hAnsi="宋体" w:cs="宋体"/>
          <w:szCs w:val="21"/>
          <w:highlight w:val="none"/>
        </w:rPr>
        <w:t>7.3 乙方在承担违约责任后，仍应继续履行合同规定的义务（甲方解除合同的除外）。甲方未能及时追究乙方的任何一项违约责任并不表明甲方放弃追究乙方该项或其他违约责任。</w:t>
      </w:r>
    </w:p>
    <w:p w14:paraId="2FB5076B">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8.交付使用和验收</w:t>
      </w:r>
    </w:p>
    <w:p w14:paraId="60115E6C">
      <w:pPr>
        <w:autoSpaceDE w:val="0"/>
        <w:autoSpaceDN w:val="0"/>
        <w:adjustRightInd w:val="0"/>
        <w:spacing w:line="360" w:lineRule="auto"/>
        <w:ind w:firstLine="420"/>
        <w:jc w:val="left"/>
        <w:rPr>
          <w:rFonts w:hint="eastAsia" w:ascii="宋体" w:hAnsi="宋体" w:cs="宋体"/>
          <w:szCs w:val="21"/>
          <w:highlight w:val="none"/>
        </w:rPr>
      </w:pPr>
      <w:r>
        <w:rPr>
          <w:rFonts w:hint="eastAsia" w:ascii="宋体" w:hAnsi="宋体" w:cs="宋体"/>
          <w:szCs w:val="21"/>
          <w:highlight w:val="none"/>
        </w:rPr>
        <w:t>验收标准：按行业通行标准和乙方响应文件的承诺。（</w:t>
      </w:r>
      <w:r>
        <w:rPr>
          <w:rFonts w:hint="eastAsia" w:ascii="宋体" w:hAnsi="宋体" w:cs="宋体"/>
          <w:szCs w:val="21"/>
          <w:highlight w:val="none"/>
          <w:lang w:val="zh-CN"/>
        </w:rPr>
        <w:t>不低于国家相关标准</w:t>
      </w:r>
      <w:r>
        <w:rPr>
          <w:rFonts w:hint="eastAsia" w:ascii="宋体" w:hAnsi="宋体" w:cs="宋体"/>
          <w:szCs w:val="21"/>
          <w:highlight w:val="none"/>
        </w:rPr>
        <w:t>）</w:t>
      </w:r>
    </w:p>
    <w:p w14:paraId="4192D8E8">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9．不可抗力</w:t>
      </w:r>
    </w:p>
    <w:p w14:paraId="5C03EBFC">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9.1签约双方任一方由于受诸如战争、严重火灾、洪水、台风、地震等不可抗力事故的影响而不能执行合同时，履行合同的期限应予以延长，延长的期限应相当于事故所影响的时间。</w:t>
      </w:r>
    </w:p>
    <w:p w14:paraId="738D6634">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9.2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p>
    <w:p w14:paraId="4428BB93">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10．税费</w:t>
      </w:r>
    </w:p>
    <w:p w14:paraId="207D25C9">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10.1与履行本合同有关的一切税费，由乙方承担。</w:t>
      </w:r>
    </w:p>
    <w:p w14:paraId="0015DE46">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11．争议</w:t>
      </w:r>
    </w:p>
    <w:p w14:paraId="34FE4F82">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11.1在执行本合同中发生的或与本合同有关的争端，双方应通过友好协商解决。经协商不能达成协议时，可向</w:t>
      </w:r>
      <w:r>
        <w:rPr>
          <w:rFonts w:hint="eastAsia" w:ascii="宋体" w:hAnsi="宋体" w:cs="宋体"/>
          <w:b/>
          <w:szCs w:val="21"/>
          <w:highlight w:val="none"/>
          <w:u w:val="single"/>
        </w:rPr>
        <w:t>南京市江宁区</w:t>
      </w:r>
      <w:r>
        <w:rPr>
          <w:rFonts w:hint="eastAsia" w:ascii="宋体" w:hAnsi="宋体" w:cs="宋体"/>
          <w:szCs w:val="21"/>
          <w:highlight w:val="none"/>
        </w:rPr>
        <w:t>人民法院提请诉讼。</w:t>
      </w:r>
    </w:p>
    <w:p w14:paraId="126F343D">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11.2诉讼期间，双方应继续履行争议部分以外的合同内容。</w:t>
      </w:r>
    </w:p>
    <w:p w14:paraId="5372C7AC">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12．违约终止合同</w:t>
      </w:r>
    </w:p>
    <w:p w14:paraId="359E64F8">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12.1 因解除而终止</w:t>
      </w:r>
    </w:p>
    <w:p w14:paraId="28DC2B09">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12.1.1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p>
    <w:p w14:paraId="5932E3AD">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12.1.2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643F4689">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12.1.3合同一方依本合同约定行使解除权的，合同自解除通知送达另一方之日起终止。违约方应当按本合同约定支付违约金或赔偿损失。</w:t>
      </w:r>
    </w:p>
    <w:p w14:paraId="3987FA1F">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12.1.4合同终止后，不妨碍守约方向违约方追究违约责任。</w:t>
      </w:r>
    </w:p>
    <w:p w14:paraId="67D5F011">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12.2 有下列情形之一的，合同权利义务终止：</w:t>
      </w:r>
    </w:p>
    <w:p w14:paraId="38D7031F">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12.2.1本合同已按约定履行完毕；</w:t>
      </w:r>
    </w:p>
    <w:p w14:paraId="342FB467">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12.2.2本合同经各方协商一致而终止；</w:t>
      </w:r>
    </w:p>
    <w:p w14:paraId="3BB6C2FA">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12.2.3法律法规规定终止的其他情形。</w:t>
      </w:r>
    </w:p>
    <w:p w14:paraId="4978ACE1">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13．合同修改</w:t>
      </w:r>
    </w:p>
    <w:p w14:paraId="79C07245">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13.1对合同条款作出任何改动或偏离，均须甲乙双方签署书面的合同修改书。</w:t>
      </w:r>
    </w:p>
    <w:p w14:paraId="6DF6C586">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14．适用法律</w:t>
      </w:r>
    </w:p>
    <w:p w14:paraId="581F80E6">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14.l本合同应按中华人民共和国的法律解释。</w:t>
      </w:r>
    </w:p>
    <w:p w14:paraId="485C669F">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15．语言与计量单位</w:t>
      </w:r>
    </w:p>
    <w:p w14:paraId="48CA80F8">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15.1合同书写应用中文。甲乙双方所有的来往函电以及与合同有关的文件均应以中文书写。</w:t>
      </w:r>
    </w:p>
    <w:p w14:paraId="0265B2B0">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15.2除技术规格中另有规定外，计量单位均使用国家法定单位制。</w:t>
      </w:r>
    </w:p>
    <w:p w14:paraId="7099C001">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16．通知</w:t>
      </w:r>
    </w:p>
    <w:p w14:paraId="21C8D017">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16.1本合同任何一方给另一方的通知都应以书面形式发送，而另一方应以书面形式确认并发送到对方明确的地址。</w:t>
      </w:r>
    </w:p>
    <w:p w14:paraId="67572D09">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17．合同生效及其他</w:t>
      </w:r>
    </w:p>
    <w:p w14:paraId="7DBE534D">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17.1除合同中另有说明，本合同经双方法定代表人或其委托代理人签字并加盖公章或合同专用章后，即开始生效。</w:t>
      </w:r>
    </w:p>
    <w:p w14:paraId="5D828D3C">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17.2合同一式肆份，甲方贰份，乙方贰份</w:t>
      </w:r>
      <w:bookmarkStart w:id="141" w:name="EB53f8c4154ce94b9e967cb9583c3f4748"/>
      <w:r>
        <w:rPr>
          <w:rFonts w:hint="eastAsia" w:ascii="宋体" w:hAnsi="宋体" w:cs="宋体"/>
          <w:szCs w:val="21"/>
          <w:highlight w:val="none"/>
        </w:rPr>
        <w:t>。自双方授权代表签字、盖章之日起生效。</w:t>
      </w:r>
      <w:bookmarkEnd w:id="141"/>
    </w:p>
    <w:p w14:paraId="14F6B153">
      <w:pPr>
        <w:adjustRightInd w:val="0"/>
        <w:snapToGrid w:val="0"/>
        <w:spacing w:line="360" w:lineRule="auto"/>
        <w:ind w:firstLine="440" w:firstLineChars="200"/>
        <w:rPr>
          <w:rFonts w:hint="eastAsia" w:ascii="宋体" w:hAnsi="宋体" w:cs="宋体"/>
          <w:b/>
          <w:szCs w:val="21"/>
          <w:highlight w:val="none"/>
        </w:rPr>
      </w:pPr>
      <w:r>
        <w:rPr>
          <w:rFonts w:hint="eastAsia" w:ascii="宋体" w:hAnsi="宋体" w:cs="宋体"/>
          <w:b/>
          <w:szCs w:val="21"/>
          <w:highlight w:val="none"/>
        </w:rPr>
        <w:t>18．合同文件及解释顺序</w:t>
      </w:r>
    </w:p>
    <w:p w14:paraId="7CF139FD">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下列文件均为合同组成文件是本合同不可分割的组成部分，与本合同具有同等法律效力，这些文件包括但不限于：</w:t>
      </w:r>
    </w:p>
    <w:p w14:paraId="3892FAFE">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 xml:space="preserve">18.1成交通知书（包括供应商“回执”） </w:t>
      </w:r>
    </w:p>
    <w:p w14:paraId="0191F6BE">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18.2双方商定的补充协议或合同期内双方签署的备忘录</w:t>
      </w:r>
    </w:p>
    <w:p w14:paraId="53056439">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18.3磋商响应文件（包括修改、澄清）</w:t>
      </w:r>
    </w:p>
    <w:p w14:paraId="2E1056D5">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18.4磋商文件（包括澄清、答疑、修改和补充通知）</w:t>
      </w:r>
    </w:p>
    <w:p w14:paraId="738256F9">
      <w:pPr>
        <w:adjustRightInd w:val="0"/>
        <w:snapToGrid w:val="0"/>
        <w:spacing w:line="360" w:lineRule="auto"/>
        <w:ind w:firstLine="440" w:firstLineChars="200"/>
        <w:rPr>
          <w:rFonts w:hint="eastAsia" w:ascii="宋体" w:hAnsi="宋体" w:cs="宋体"/>
          <w:szCs w:val="21"/>
          <w:highlight w:val="none"/>
        </w:rPr>
      </w:pPr>
      <w:r>
        <w:rPr>
          <w:rFonts w:hint="eastAsia" w:ascii="宋体" w:hAnsi="宋体" w:cs="宋体"/>
          <w:szCs w:val="21"/>
          <w:highlight w:val="none"/>
        </w:rPr>
        <w:t>18.5与本合同有关的其他文件</w:t>
      </w:r>
    </w:p>
    <w:p w14:paraId="10A459E4">
      <w:pPr>
        <w:autoSpaceDE w:val="0"/>
        <w:autoSpaceDN w:val="0"/>
        <w:adjustRightInd w:val="0"/>
        <w:snapToGrid w:val="0"/>
        <w:spacing w:line="360" w:lineRule="auto"/>
        <w:ind w:firstLine="420"/>
        <w:jc w:val="left"/>
        <w:rPr>
          <w:rFonts w:hint="eastAsia" w:ascii="宋体" w:hAnsi="宋体" w:cs="宋体"/>
          <w:b/>
          <w:bCs/>
          <w:szCs w:val="21"/>
          <w:highlight w:val="none"/>
          <w:lang w:val="zh-CN"/>
        </w:rPr>
      </w:pPr>
      <w:r>
        <w:rPr>
          <w:rFonts w:hint="eastAsia" w:ascii="宋体" w:hAnsi="宋体" w:cs="宋体"/>
          <w:b/>
          <w:szCs w:val="21"/>
          <w:highlight w:val="none"/>
        </w:rPr>
        <w:t>19．</w:t>
      </w:r>
      <w:r>
        <w:rPr>
          <w:rFonts w:hint="eastAsia" w:ascii="宋体" w:hAnsi="宋体" w:cs="宋体"/>
          <w:b/>
          <w:bCs/>
          <w:szCs w:val="21"/>
          <w:highlight w:val="none"/>
          <w:lang w:val="zh-CN"/>
        </w:rPr>
        <w:t>合同的变更和终止</w:t>
      </w:r>
    </w:p>
    <w:p w14:paraId="31413562">
      <w:pPr>
        <w:autoSpaceDE w:val="0"/>
        <w:autoSpaceDN w:val="0"/>
        <w:adjustRightInd w:val="0"/>
        <w:snapToGrid w:val="0"/>
        <w:spacing w:line="360" w:lineRule="auto"/>
        <w:ind w:firstLine="440" w:firstLineChars="200"/>
        <w:jc w:val="left"/>
        <w:rPr>
          <w:rFonts w:hint="eastAsia" w:ascii="宋体" w:hAnsi="宋体" w:cs="宋体"/>
          <w:szCs w:val="21"/>
          <w:highlight w:val="none"/>
          <w:lang w:val="zh-CN"/>
        </w:rPr>
      </w:pPr>
      <w:r>
        <w:rPr>
          <w:rFonts w:hint="eastAsia" w:ascii="宋体" w:hAnsi="宋体" w:cs="宋体"/>
          <w:szCs w:val="21"/>
          <w:highlight w:val="none"/>
        </w:rPr>
        <w:t>19</w:t>
      </w:r>
      <w:r>
        <w:rPr>
          <w:rFonts w:hint="eastAsia" w:ascii="宋体" w:hAnsi="宋体" w:cs="宋体"/>
          <w:szCs w:val="21"/>
          <w:highlight w:val="none"/>
          <w:lang w:val="zh-CN"/>
        </w:rPr>
        <w:t>.1 除《政府采购法》第50条第二款规定的情形外，本合同一经签订，甲乙双方不得擅自变更、中止或终止合同。</w:t>
      </w:r>
    </w:p>
    <w:p w14:paraId="3D5C8806">
      <w:pPr>
        <w:adjustRightInd w:val="0"/>
        <w:snapToGrid w:val="0"/>
        <w:spacing w:line="360" w:lineRule="auto"/>
        <w:ind w:firstLine="440" w:firstLineChars="200"/>
        <w:jc w:val="left"/>
        <w:rPr>
          <w:rFonts w:hint="eastAsia" w:ascii="宋体" w:hAnsi="宋体" w:cs="宋体"/>
          <w:szCs w:val="21"/>
          <w:highlight w:val="none"/>
        </w:rPr>
      </w:pPr>
      <w:r>
        <w:rPr>
          <w:rFonts w:hint="eastAsia" w:ascii="宋体" w:hAnsi="宋体" w:cs="宋体"/>
          <w:szCs w:val="21"/>
          <w:highlight w:val="none"/>
        </w:rPr>
        <w:t>19</w:t>
      </w:r>
      <w:r>
        <w:rPr>
          <w:rFonts w:hint="eastAsia" w:ascii="宋体" w:hAnsi="宋体" w:cs="宋体"/>
          <w:szCs w:val="21"/>
          <w:highlight w:val="none"/>
          <w:lang w:val="zh-CN"/>
        </w:rPr>
        <w:t xml:space="preserve">.2 </w:t>
      </w:r>
      <w:r>
        <w:rPr>
          <w:rFonts w:hint="eastAsia" w:ascii="宋体" w:hAnsi="宋体" w:cs="宋体"/>
          <w:szCs w:val="21"/>
          <w:highlight w:val="none"/>
        </w:rPr>
        <w:t>除发生法律规定的不能预见、不能避免并不能克服的客观情况外，甲乙双方不得放弃或拒绝履行合同。乙方放弃或拒绝履行合同，在三年内不得参加南京市江宁</w:t>
      </w:r>
      <w:r>
        <w:rPr>
          <w:rFonts w:hint="eastAsia" w:ascii="宋体" w:hAnsi="宋体" w:cs="宋体"/>
          <w:szCs w:val="21"/>
          <w:highlight w:val="none"/>
          <w:lang w:val="en-US" w:eastAsia="zh-CN"/>
        </w:rPr>
        <w:t>滨江开发区</w:t>
      </w:r>
      <w:r>
        <w:rPr>
          <w:rFonts w:hint="eastAsia" w:ascii="宋体" w:hAnsi="宋体" w:cs="宋体"/>
          <w:szCs w:val="21"/>
          <w:highlight w:val="none"/>
        </w:rPr>
        <w:t>组织的政府采购活动。</w:t>
      </w:r>
    </w:p>
    <w:p w14:paraId="73D11A50">
      <w:pPr>
        <w:adjustRightInd w:val="0"/>
        <w:snapToGrid w:val="0"/>
        <w:spacing w:line="360" w:lineRule="auto"/>
        <w:ind w:firstLine="440" w:firstLineChars="200"/>
        <w:jc w:val="left"/>
        <w:rPr>
          <w:rFonts w:hint="eastAsia" w:ascii="宋体" w:hAnsi="宋体" w:cs="宋体"/>
          <w:b/>
          <w:bCs/>
          <w:szCs w:val="21"/>
          <w:highlight w:val="none"/>
        </w:rPr>
      </w:pPr>
      <w:r>
        <w:rPr>
          <w:rFonts w:hint="eastAsia" w:ascii="宋体" w:hAnsi="宋体" w:cs="宋体"/>
          <w:b/>
          <w:bCs/>
          <w:szCs w:val="21"/>
          <w:highlight w:val="none"/>
        </w:rPr>
        <w:t>20.补充条款</w:t>
      </w:r>
    </w:p>
    <w:p w14:paraId="1C802846">
      <w:pPr>
        <w:adjustRightInd w:val="0"/>
        <w:snapToGrid w:val="0"/>
        <w:spacing w:line="360" w:lineRule="auto"/>
        <w:ind w:firstLine="440" w:firstLineChars="200"/>
        <w:jc w:val="left"/>
        <w:rPr>
          <w:rFonts w:hint="eastAsia" w:ascii="宋体" w:hAnsi="宋体" w:cs="宋体"/>
          <w:szCs w:val="21"/>
          <w:highlight w:val="none"/>
        </w:rPr>
      </w:pPr>
      <w:r>
        <w:rPr>
          <w:rFonts w:hint="eastAsia" w:ascii="宋体" w:hAnsi="宋体" w:cs="宋体"/>
          <w:szCs w:val="21"/>
          <w:highlight w:val="none"/>
        </w:rPr>
        <w:t>20.1乙方提供评估成果及相关资料（加盖单位公章），评估成果电子档壹份。</w:t>
      </w:r>
    </w:p>
    <w:p w14:paraId="048E380F">
      <w:pPr>
        <w:adjustRightInd w:val="0"/>
        <w:snapToGrid w:val="0"/>
        <w:spacing w:line="360" w:lineRule="auto"/>
        <w:ind w:firstLine="440" w:firstLineChars="200"/>
        <w:jc w:val="left"/>
        <w:rPr>
          <w:rFonts w:hint="eastAsia" w:ascii="宋体" w:hAnsi="宋体" w:cs="宋体"/>
          <w:szCs w:val="21"/>
          <w:highlight w:val="none"/>
        </w:rPr>
      </w:pPr>
      <w:r>
        <w:rPr>
          <w:rFonts w:hint="eastAsia" w:ascii="宋体" w:hAnsi="宋体" w:cs="宋体"/>
          <w:szCs w:val="21"/>
          <w:highlight w:val="none"/>
        </w:rPr>
        <w:t>20.2乙方因本合同获取的甲方材料，未经甲方书面同意不得向任意第三方披露。除乙方为完成本合同项下的义务必须知晓甲方提供的材料人员外，乙方不得向本单位其他员工披露相关材料。否则甲方有权要求解除本合同，并要求乙方赔偿全部损失。</w:t>
      </w:r>
    </w:p>
    <w:p w14:paraId="0367FDD7">
      <w:pPr>
        <w:adjustRightInd w:val="0"/>
        <w:snapToGrid w:val="0"/>
        <w:spacing w:line="360" w:lineRule="auto"/>
        <w:ind w:firstLine="440" w:firstLineChars="200"/>
        <w:jc w:val="left"/>
        <w:rPr>
          <w:rFonts w:hint="eastAsia" w:ascii="宋体" w:hAnsi="宋体" w:cs="宋体"/>
          <w:szCs w:val="21"/>
          <w:highlight w:val="none"/>
        </w:rPr>
      </w:pPr>
      <w:r>
        <w:rPr>
          <w:rFonts w:hint="eastAsia" w:ascii="宋体" w:hAnsi="宋体" w:cs="宋体"/>
          <w:szCs w:val="21"/>
          <w:highlight w:val="none"/>
        </w:rPr>
        <w:t>20.3若乙方须前往项目所在地进行勘察，需提前通知甲方。乙方在场地勘察时造成的甲乙双方及第三方人身或财产损失的，由乙方承担赔偿责任。</w:t>
      </w:r>
    </w:p>
    <w:p w14:paraId="2E5749D3">
      <w:pPr>
        <w:adjustRightInd w:val="0"/>
        <w:snapToGrid w:val="0"/>
        <w:spacing w:line="360" w:lineRule="auto"/>
        <w:ind w:firstLine="440" w:firstLineChars="200"/>
        <w:jc w:val="left"/>
        <w:rPr>
          <w:rFonts w:hint="eastAsia" w:ascii="宋体" w:hAnsi="宋体" w:cs="宋体"/>
          <w:szCs w:val="21"/>
          <w:highlight w:val="none"/>
        </w:rPr>
      </w:pPr>
      <w:r>
        <w:rPr>
          <w:rFonts w:hint="eastAsia" w:ascii="宋体" w:hAnsi="宋体" w:cs="宋体"/>
          <w:szCs w:val="21"/>
          <w:highlight w:val="none"/>
        </w:rPr>
        <w:t>20.4乙方应按照合同约定或法律约定向甲方支付违约金的，甲方有权从未付款项直接予以扣除。</w:t>
      </w:r>
    </w:p>
    <w:p w14:paraId="39A32A8F">
      <w:pPr>
        <w:adjustRightInd w:val="0"/>
        <w:snapToGrid w:val="0"/>
        <w:spacing w:line="360" w:lineRule="auto"/>
        <w:ind w:firstLine="440" w:firstLineChars="200"/>
        <w:jc w:val="left"/>
        <w:rPr>
          <w:rFonts w:hint="eastAsia" w:ascii="宋体" w:hAnsi="宋体" w:cs="宋体"/>
          <w:szCs w:val="21"/>
          <w:highlight w:val="none"/>
        </w:rPr>
      </w:pPr>
      <w:r>
        <w:rPr>
          <w:rFonts w:hint="eastAsia" w:ascii="宋体" w:hAnsi="宋体" w:cs="宋体"/>
          <w:szCs w:val="21"/>
          <w:highlight w:val="none"/>
        </w:rPr>
        <w:t>20.5因乙方原因，导致甲方解除合同的，乙方应退还所收取的全部费用。</w:t>
      </w:r>
    </w:p>
    <w:p w14:paraId="0CB4C6DE">
      <w:pPr>
        <w:adjustRightInd w:val="0"/>
        <w:snapToGrid w:val="0"/>
        <w:spacing w:line="360" w:lineRule="auto"/>
        <w:ind w:firstLine="440" w:firstLineChars="200"/>
        <w:jc w:val="left"/>
        <w:rPr>
          <w:rFonts w:hint="eastAsia" w:ascii="宋体" w:hAnsi="宋体" w:cs="宋体"/>
          <w:szCs w:val="21"/>
          <w:highlight w:val="none"/>
        </w:rPr>
      </w:pPr>
    </w:p>
    <w:p w14:paraId="009F9316">
      <w:pPr>
        <w:adjustRightInd w:val="0"/>
        <w:snapToGrid w:val="0"/>
        <w:spacing w:line="280" w:lineRule="exact"/>
        <w:ind w:firstLine="440" w:firstLineChars="200"/>
        <w:jc w:val="left"/>
        <w:rPr>
          <w:rFonts w:hint="eastAsia" w:ascii="宋体" w:hAnsi="宋体" w:cs="宋体"/>
          <w:szCs w:val="21"/>
          <w:highlight w:val="none"/>
        </w:rPr>
      </w:pPr>
      <w:r>
        <w:rPr>
          <w:rFonts w:hint="eastAsia" w:ascii="宋体" w:hAnsi="宋体" w:cs="宋体"/>
          <w:szCs w:val="21"/>
          <w:highlight w:val="none"/>
        </w:rPr>
        <w:t>以下无正文</w:t>
      </w:r>
    </w:p>
    <w:tbl>
      <w:tblPr>
        <w:tblStyle w:val="51"/>
        <w:tblW w:w="10016" w:type="dxa"/>
        <w:tblInd w:w="-365" w:type="dxa"/>
        <w:tblLayout w:type="fixed"/>
        <w:tblCellMar>
          <w:top w:w="0" w:type="dxa"/>
          <w:left w:w="108" w:type="dxa"/>
          <w:bottom w:w="0" w:type="dxa"/>
          <w:right w:w="108" w:type="dxa"/>
        </w:tblCellMar>
      </w:tblPr>
      <w:tblGrid>
        <w:gridCol w:w="5049"/>
        <w:gridCol w:w="4967"/>
      </w:tblGrid>
      <w:tr w14:paraId="04A46EDA">
        <w:tblPrEx>
          <w:tblCellMar>
            <w:top w:w="0" w:type="dxa"/>
            <w:left w:w="108" w:type="dxa"/>
            <w:bottom w:w="0" w:type="dxa"/>
            <w:right w:w="108" w:type="dxa"/>
          </w:tblCellMar>
        </w:tblPrEx>
        <w:trPr>
          <w:trHeight w:val="2343" w:hRule="atLeast"/>
        </w:trPr>
        <w:tc>
          <w:tcPr>
            <w:tcW w:w="5049" w:type="dxa"/>
            <w:noWrap w:val="0"/>
            <w:vAlign w:val="top"/>
          </w:tcPr>
          <w:p w14:paraId="6BC9B348">
            <w:pPr>
              <w:ind w:left="2310" w:hanging="2420" w:hangingChars="1100"/>
              <w:jc w:val="left"/>
              <w:rPr>
                <w:rFonts w:hint="eastAsia" w:ascii="宋体" w:hAnsi="宋体" w:cs="宋体"/>
                <w:bCs/>
                <w:szCs w:val="21"/>
                <w:highlight w:val="none"/>
              </w:rPr>
            </w:pPr>
            <w:r>
              <w:rPr>
                <w:rFonts w:hint="eastAsia" w:ascii="宋体" w:hAnsi="宋体" w:cs="宋体"/>
                <w:bCs/>
                <w:szCs w:val="21"/>
                <w:highlight w:val="none"/>
              </w:rPr>
              <w:t>甲方（采购人）：（盖章）</w:t>
            </w:r>
          </w:p>
          <w:p w14:paraId="3968620D">
            <w:pPr>
              <w:jc w:val="left"/>
              <w:rPr>
                <w:rFonts w:hint="eastAsia" w:ascii="宋体" w:hAnsi="宋体" w:cs="宋体"/>
                <w:bCs/>
                <w:szCs w:val="21"/>
                <w:highlight w:val="none"/>
              </w:rPr>
            </w:pPr>
            <w:r>
              <w:rPr>
                <w:rFonts w:hint="eastAsia" w:ascii="宋体" w:hAnsi="宋体" w:cs="宋体"/>
                <w:bCs/>
                <w:szCs w:val="21"/>
                <w:highlight w:val="none"/>
              </w:rPr>
              <w:t>委托代理人：</w:t>
            </w:r>
          </w:p>
          <w:p w14:paraId="023D542F">
            <w:pPr>
              <w:jc w:val="left"/>
              <w:rPr>
                <w:rFonts w:hint="eastAsia" w:ascii="宋体" w:hAnsi="宋体" w:cs="宋体"/>
                <w:bCs/>
                <w:szCs w:val="21"/>
                <w:highlight w:val="none"/>
              </w:rPr>
            </w:pPr>
          </w:p>
        </w:tc>
        <w:tc>
          <w:tcPr>
            <w:tcW w:w="4967" w:type="dxa"/>
            <w:noWrap w:val="0"/>
            <w:vAlign w:val="top"/>
          </w:tcPr>
          <w:p w14:paraId="1391FC8D">
            <w:pPr>
              <w:ind w:left="2310" w:hanging="2420" w:hangingChars="1100"/>
              <w:jc w:val="left"/>
              <w:rPr>
                <w:rFonts w:hint="eastAsia" w:ascii="宋体" w:hAnsi="宋体" w:cs="宋体"/>
                <w:bCs/>
                <w:szCs w:val="21"/>
                <w:highlight w:val="none"/>
              </w:rPr>
            </w:pPr>
            <w:r>
              <w:rPr>
                <w:rFonts w:hint="eastAsia" w:ascii="宋体" w:hAnsi="宋体" w:cs="宋体"/>
                <w:bCs/>
                <w:szCs w:val="21"/>
                <w:highlight w:val="none"/>
              </w:rPr>
              <w:t>乙方（供应商）：（盖章）</w:t>
            </w:r>
          </w:p>
          <w:p w14:paraId="70BAA5EA">
            <w:pPr>
              <w:jc w:val="left"/>
              <w:rPr>
                <w:rFonts w:hint="eastAsia" w:ascii="宋体" w:hAnsi="宋体" w:cs="宋体"/>
                <w:bCs/>
                <w:szCs w:val="21"/>
                <w:highlight w:val="none"/>
              </w:rPr>
            </w:pPr>
            <w:r>
              <w:rPr>
                <w:rFonts w:hint="eastAsia" w:ascii="宋体" w:hAnsi="宋体" w:cs="宋体"/>
                <w:bCs/>
                <w:szCs w:val="21"/>
                <w:highlight w:val="none"/>
              </w:rPr>
              <w:t>委托代表人：</w:t>
            </w:r>
          </w:p>
          <w:p w14:paraId="7C07D07A">
            <w:pPr>
              <w:jc w:val="left"/>
              <w:rPr>
                <w:rFonts w:hint="eastAsia" w:ascii="宋体" w:hAnsi="宋体" w:cs="宋体"/>
                <w:bCs/>
                <w:szCs w:val="21"/>
                <w:highlight w:val="none"/>
              </w:rPr>
            </w:pPr>
            <w:r>
              <w:rPr>
                <w:rFonts w:hint="eastAsia" w:ascii="宋体" w:hAnsi="宋体" w:cs="宋体"/>
                <w:bCs/>
                <w:szCs w:val="21"/>
                <w:highlight w:val="none"/>
              </w:rPr>
              <w:t>项目负责人：</w:t>
            </w:r>
          </w:p>
          <w:p w14:paraId="261FBF37">
            <w:pPr>
              <w:jc w:val="left"/>
              <w:rPr>
                <w:rFonts w:hint="eastAsia" w:ascii="宋体" w:hAnsi="宋体" w:cs="宋体"/>
                <w:bCs/>
                <w:szCs w:val="21"/>
                <w:highlight w:val="none"/>
              </w:rPr>
            </w:pPr>
            <w:r>
              <w:rPr>
                <w:rFonts w:hint="eastAsia" w:ascii="宋体" w:hAnsi="宋体" w:cs="宋体"/>
                <w:bCs/>
                <w:szCs w:val="21"/>
                <w:highlight w:val="none"/>
              </w:rPr>
              <w:t>电话：</w:t>
            </w:r>
          </w:p>
          <w:p w14:paraId="214E8FD4">
            <w:pPr>
              <w:jc w:val="left"/>
              <w:rPr>
                <w:rFonts w:hint="eastAsia" w:ascii="宋体" w:hAnsi="宋体" w:cs="宋体"/>
                <w:bCs/>
                <w:szCs w:val="21"/>
                <w:highlight w:val="none"/>
              </w:rPr>
            </w:pPr>
            <w:r>
              <w:rPr>
                <w:rFonts w:hint="eastAsia" w:ascii="宋体" w:hAnsi="宋体" w:cs="宋体"/>
                <w:bCs/>
                <w:szCs w:val="21"/>
                <w:highlight w:val="none"/>
              </w:rPr>
              <w:t>开户银行：</w:t>
            </w:r>
          </w:p>
          <w:p w14:paraId="795FC8E7">
            <w:pPr>
              <w:jc w:val="left"/>
              <w:rPr>
                <w:rFonts w:hint="eastAsia" w:ascii="宋体" w:hAnsi="宋体" w:cs="宋体"/>
                <w:bCs/>
                <w:szCs w:val="21"/>
                <w:highlight w:val="none"/>
              </w:rPr>
            </w:pPr>
            <w:r>
              <w:rPr>
                <w:rFonts w:hint="eastAsia" w:ascii="宋体" w:hAnsi="宋体" w:cs="宋体"/>
                <w:bCs/>
                <w:szCs w:val="21"/>
                <w:highlight w:val="none"/>
              </w:rPr>
              <w:t>账号：</w:t>
            </w:r>
          </w:p>
          <w:p w14:paraId="7D121087">
            <w:pPr>
              <w:jc w:val="left"/>
              <w:rPr>
                <w:rFonts w:ascii="宋体" w:hAnsi="宋体" w:cs="宋体"/>
                <w:bCs/>
                <w:szCs w:val="21"/>
                <w:highlight w:val="none"/>
              </w:rPr>
            </w:pPr>
            <w:r>
              <w:rPr>
                <w:rFonts w:hint="eastAsia" w:ascii="宋体" w:hAnsi="宋体" w:cs="宋体"/>
                <w:bCs/>
                <w:szCs w:val="21"/>
                <w:highlight w:val="none"/>
              </w:rPr>
              <w:t>单位地址：</w:t>
            </w:r>
          </w:p>
          <w:p w14:paraId="7C8CF836">
            <w:pPr>
              <w:jc w:val="left"/>
              <w:rPr>
                <w:rFonts w:hint="eastAsia" w:ascii="宋体" w:hAnsi="宋体" w:cs="宋体"/>
                <w:bCs/>
                <w:szCs w:val="21"/>
                <w:highlight w:val="none"/>
              </w:rPr>
            </w:pPr>
            <w:r>
              <w:rPr>
                <w:rFonts w:hint="eastAsia" w:ascii="宋体" w:hAnsi="宋体" w:cs="宋体"/>
                <w:bCs/>
                <w:szCs w:val="21"/>
                <w:highlight w:val="none"/>
              </w:rPr>
              <w:t>日期：</w:t>
            </w:r>
          </w:p>
        </w:tc>
      </w:tr>
    </w:tbl>
    <w:p w14:paraId="1A314A34">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r>
    </w:p>
    <w:p w14:paraId="41D24633">
      <w:pPr>
        <w:rPr>
          <w:rFonts w:hint="eastAsia" w:eastAsia="宋体"/>
          <w:color w:val="000000"/>
          <w:spacing w:val="0"/>
          <w:w w:val="100"/>
          <w:position w:val="0"/>
          <w:highlight w:val="none"/>
          <w:shd w:val="clear" w:color="auto" w:fill="auto"/>
          <w:lang w:val="en-US" w:eastAsia="zh-CN"/>
        </w:rPr>
      </w:pPr>
      <w:r>
        <w:rPr>
          <w:rFonts w:hint="eastAsia" w:ascii="宋体" w:hAnsi="宋体" w:cs="宋体"/>
          <w:b/>
          <w:bCs/>
          <w:szCs w:val="21"/>
          <w:highlight w:val="none"/>
        </w:rPr>
        <w:t>附件：考核标准</w:t>
      </w:r>
    </w:p>
    <w:tbl>
      <w:tblPr>
        <w:tblStyle w:val="51"/>
        <w:tblW w:w="5302" w:type="pct"/>
        <w:tblInd w:w="-1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39"/>
        <w:gridCol w:w="1439"/>
        <w:gridCol w:w="5650"/>
        <w:gridCol w:w="638"/>
        <w:gridCol w:w="647"/>
      </w:tblGrid>
      <w:tr w14:paraId="44B2C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644" w:type="pct"/>
            <w:tcBorders>
              <w:top w:val="single" w:color="000000" w:sz="4" w:space="0"/>
              <w:left w:val="single" w:color="000000" w:sz="4" w:space="0"/>
              <w:bottom w:val="single" w:color="000000" w:sz="4" w:space="0"/>
              <w:right w:val="single" w:color="000000" w:sz="4" w:space="0"/>
            </w:tcBorders>
            <w:noWrap/>
            <w:vAlign w:val="center"/>
          </w:tcPr>
          <w:p w14:paraId="0B5646F5">
            <w:pPr>
              <w:pStyle w:val="484"/>
              <w:ind w:firstLine="0" w:firstLineChars="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4355" w:type="pct"/>
            <w:gridSpan w:val="4"/>
            <w:tcBorders>
              <w:top w:val="single" w:color="000000" w:sz="4" w:space="0"/>
              <w:left w:val="single" w:color="000000" w:sz="4" w:space="0"/>
              <w:bottom w:val="single" w:color="000000" w:sz="4" w:space="0"/>
              <w:right w:val="single" w:color="000000" w:sz="4" w:space="0"/>
            </w:tcBorders>
            <w:noWrap/>
            <w:vAlign w:val="center"/>
          </w:tcPr>
          <w:p w14:paraId="3D1548F7">
            <w:pPr>
              <w:widowControl/>
              <w:spacing w:line="500" w:lineRule="exact"/>
              <w:jc w:val="center"/>
              <w:rPr>
                <w:rFonts w:hint="eastAsia" w:ascii="方正仿宋简体" w:hAnsi="方正仿宋简体" w:eastAsia="方正仿宋简体" w:cs="方正仿宋简体"/>
                <w:color w:val="000000"/>
                <w:kern w:val="0"/>
                <w:sz w:val="21"/>
                <w:szCs w:val="21"/>
                <w:highlight w:val="none"/>
                <w:lang w:val="en-US" w:eastAsia="zh-CN" w:bidi="ar"/>
              </w:rPr>
            </w:pPr>
          </w:p>
        </w:tc>
      </w:tr>
      <w:tr w14:paraId="4657A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644" w:type="pct"/>
            <w:tcBorders>
              <w:top w:val="single" w:color="000000" w:sz="4" w:space="0"/>
              <w:left w:val="single" w:color="000000" w:sz="4" w:space="0"/>
              <w:bottom w:val="single" w:color="000000" w:sz="4" w:space="0"/>
              <w:right w:val="single" w:color="000000" w:sz="4" w:space="0"/>
            </w:tcBorders>
            <w:noWrap/>
            <w:vAlign w:val="center"/>
          </w:tcPr>
          <w:p w14:paraId="723777FC">
            <w:pPr>
              <w:pStyle w:val="484"/>
              <w:ind w:firstLine="0" w:firstLineChars="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采购单位</w:t>
            </w:r>
          </w:p>
        </w:tc>
        <w:tc>
          <w:tcPr>
            <w:tcW w:w="4355" w:type="pct"/>
            <w:gridSpan w:val="4"/>
            <w:tcBorders>
              <w:top w:val="single" w:color="000000" w:sz="4" w:space="0"/>
              <w:left w:val="single" w:color="000000" w:sz="4" w:space="0"/>
              <w:bottom w:val="single" w:color="000000" w:sz="4" w:space="0"/>
              <w:right w:val="single" w:color="000000" w:sz="4" w:space="0"/>
            </w:tcBorders>
            <w:noWrap/>
            <w:vAlign w:val="center"/>
          </w:tcPr>
          <w:p w14:paraId="35FD8C35">
            <w:pPr>
              <w:widowControl/>
              <w:spacing w:line="500" w:lineRule="exact"/>
              <w:jc w:val="center"/>
              <w:rPr>
                <w:rFonts w:hint="eastAsia" w:ascii="方正仿宋简体" w:hAnsi="方正仿宋简体" w:eastAsia="方正仿宋简体" w:cs="方正仿宋简体"/>
                <w:color w:val="000000"/>
                <w:kern w:val="0"/>
                <w:sz w:val="21"/>
                <w:szCs w:val="21"/>
                <w:highlight w:val="none"/>
                <w:lang w:val="en-US" w:eastAsia="zh-CN" w:bidi="ar"/>
              </w:rPr>
            </w:pPr>
          </w:p>
        </w:tc>
      </w:tr>
      <w:tr w14:paraId="06563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644" w:type="pct"/>
            <w:tcBorders>
              <w:top w:val="single" w:color="000000" w:sz="4" w:space="0"/>
              <w:left w:val="single" w:color="000000" w:sz="4" w:space="0"/>
              <w:bottom w:val="single" w:color="000000" w:sz="4" w:space="0"/>
              <w:right w:val="single" w:color="000000" w:sz="4" w:space="0"/>
            </w:tcBorders>
            <w:noWrap/>
            <w:vAlign w:val="center"/>
          </w:tcPr>
          <w:p w14:paraId="6BA4782A">
            <w:pPr>
              <w:pStyle w:val="484"/>
              <w:ind w:firstLine="0" w:firstLineChars="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供应商</w:t>
            </w:r>
          </w:p>
        </w:tc>
        <w:tc>
          <w:tcPr>
            <w:tcW w:w="4355" w:type="pct"/>
            <w:gridSpan w:val="4"/>
            <w:tcBorders>
              <w:top w:val="single" w:color="000000" w:sz="4" w:space="0"/>
              <w:left w:val="single" w:color="000000" w:sz="4" w:space="0"/>
              <w:bottom w:val="single" w:color="000000" w:sz="4" w:space="0"/>
              <w:right w:val="single" w:color="000000" w:sz="4" w:space="0"/>
            </w:tcBorders>
            <w:noWrap/>
            <w:vAlign w:val="center"/>
          </w:tcPr>
          <w:p w14:paraId="6BE2E7A1">
            <w:pPr>
              <w:widowControl/>
              <w:spacing w:line="500" w:lineRule="exact"/>
              <w:jc w:val="center"/>
              <w:rPr>
                <w:rFonts w:hint="eastAsia" w:ascii="方正仿宋简体" w:hAnsi="方正仿宋简体" w:eastAsia="方正仿宋简体" w:cs="方正仿宋简体"/>
                <w:color w:val="000000"/>
                <w:kern w:val="0"/>
                <w:sz w:val="21"/>
                <w:szCs w:val="21"/>
                <w:highlight w:val="none"/>
                <w:lang w:val="en-US" w:eastAsia="zh-CN" w:bidi="ar"/>
              </w:rPr>
            </w:pPr>
          </w:p>
        </w:tc>
      </w:tr>
      <w:tr w14:paraId="1614C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644" w:type="pct"/>
            <w:vMerge w:val="restart"/>
            <w:tcBorders>
              <w:top w:val="single" w:color="000000" w:sz="4" w:space="0"/>
              <w:left w:val="single" w:color="000000" w:sz="4" w:space="0"/>
              <w:right w:val="single" w:color="000000" w:sz="4" w:space="0"/>
            </w:tcBorders>
            <w:noWrap/>
            <w:vAlign w:val="center"/>
          </w:tcPr>
          <w:p w14:paraId="6E1B17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考核项目</w:t>
            </w:r>
          </w:p>
        </w:tc>
        <w:tc>
          <w:tcPr>
            <w:tcW w:w="748" w:type="pct"/>
            <w:tcBorders>
              <w:top w:val="single" w:color="000000" w:sz="4" w:space="0"/>
              <w:left w:val="single" w:color="000000" w:sz="4" w:space="0"/>
              <w:bottom w:val="single" w:color="000000" w:sz="4" w:space="0"/>
              <w:right w:val="single" w:color="000000" w:sz="4" w:space="0"/>
            </w:tcBorders>
            <w:noWrap/>
            <w:vAlign w:val="center"/>
          </w:tcPr>
          <w:p w14:paraId="1BCA6F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指标类别</w:t>
            </w: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5C08C0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考核具体内容和标准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8EA2F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分值</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042A13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得分</w:t>
            </w:r>
          </w:p>
        </w:tc>
      </w:tr>
      <w:tr w14:paraId="63C74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644" w:type="pct"/>
            <w:vMerge w:val="continue"/>
            <w:tcBorders>
              <w:left w:val="single" w:color="000000" w:sz="4" w:space="0"/>
              <w:right w:val="single" w:color="000000" w:sz="4" w:space="0"/>
            </w:tcBorders>
            <w:noWrap/>
            <w:vAlign w:val="center"/>
          </w:tcPr>
          <w:p w14:paraId="27AD688B">
            <w:pPr>
              <w:jc w:val="center"/>
              <w:rPr>
                <w:rFonts w:hint="eastAsia" w:ascii="宋体" w:hAnsi="宋体" w:eastAsia="宋体" w:cs="宋体"/>
                <w:i w:val="0"/>
                <w:iCs w:val="0"/>
                <w:color w:val="000000"/>
                <w:sz w:val="21"/>
                <w:szCs w:val="21"/>
                <w:highlight w:val="none"/>
                <w:u w:val="none"/>
              </w:rPr>
            </w:pPr>
          </w:p>
        </w:tc>
        <w:tc>
          <w:tcPr>
            <w:tcW w:w="748" w:type="pct"/>
            <w:vMerge w:val="restart"/>
            <w:tcBorders>
              <w:top w:val="single" w:color="000000" w:sz="4" w:space="0"/>
              <w:left w:val="single" w:color="000000" w:sz="4" w:space="0"/>
              <w:right w:val="single" w:color="000000" w:sz="4" w:space="0"/>
            </w:tcBorders>
            <w:noWrap/>
            <w:vAlign w:val="center"/>
          </w:tcPr>
          <w:p w14:paraId="1E521686">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服务质量</w:t>
            </w: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06E700C9">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szCs w:val="21"/>
                <w:highlight w:val="none"/>
                <w:lang w:val="en-US" w:eastAsia="zh-CN"/>
              </w:rPr>
              <w:t>是否</w:t>
            </w:r>
            <w:r>
              <w:rPr>
                <w:rFonts w:hint="eastAsia" w:ascii="宋体" w:hAnsi="宋体" w:eastAsia="宋体" w:cs="宋体"/>
                <w:szCs w:val="21"/>
                <w:highlight w:val="none"/>
              </w:rPr>
              <w:t>根据</w:t>
            </w:r>
            <w:r>
              <w:rPr>
                <w:rFonts w:hint="eastAsia" w:ascii="宋体" w:hAnsi="宋体" w:cs="宋体"/>
                <w:szCs w:val="21"/>
                <w:highlight w:val="none"/>
                <w:lang w:val="en-US" w:eastAsia="zh-CN"/>
              </w:rPr>
              <w:t>相关主管部门要求</w:t>
            </w:r>
            <w:r>
              <w:rPr>
                <w:rFonts w:hint="eastAsia" w:ascii="宋体" w:hAnsi="宋体" w:eastAsia="宋体" w:cs="宋体"/>
                <w:szCs w:val="21"/>
                <w:highlight w:val="none"/>
              </w:rPr>
              <w:t>，形成</w:t>
            </w:r>
            <w:r>
              <w:rPr>
                <w:rFonts w:hint="eastAsia" w:ascii="宋体" w:hAnsi="宋体" w:cs="宋体"/>
                <w:szCs w:val="21"/>
                <w:highlight w:val="none"/>
                <w:lang w:val="en-US" w:eastAsia="zh-CN"/>
              </w:rPr>
              <w:t>最终</w:t>
            </w:r>
            <w:r>
              <w:rPr>
                <w:rFonts w:hint="eastAsia" w:ascii="宋体" w:hAnsi="宋体" w:eastAsia="宋体" w:cs="宋体"/>
                <w:szCs w:val="21"/>
                <w:highlight w:val="none"/>
              </w:rPr>
              <w:t>成果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9CFDDBD">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1</w:t>
            </w:r>
            <w:r>
              <w:rPr>
                <w:rFonts w:hint="eastAsia" w:ascii="宋体" w:hAnsi="宋体" w:eastAsia="宋体" w:cs="宋体"/>
                <w:i w:val="0"/>
                <w:iCs w:val="0"/>
                <w:color w:val="000000"/>
                <w:sz w:val="21"/>
                <w:szCs w:val="21"/>
                <w:highlight w:val="none"/>
                <w:u w:val="none"/>
                <w:lang w:val="en-US" w:eastAsia="zh-CN"/>
              </w:rPr>
              <w:t>5</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14F985E2">
            <w:pPr>
              <w:jc w:val="center"/>
              <w:rPr>
                <w:rFonts w:hint="eastAsia" w:ascii="宋体" w:hAnsi="宋体" w:eastAsia="宋体" w:cs="宋体"/>
                <w:i w:val="0"/>
                <w:iCs w:val="0"/>
                <w:color w:val="000000"/>
                <w:sz w:val="21"/>
                <w:szCs w:val="21"/>
                <w:highlight w:val="none"/>
                <w:u w:val="none"/>
              </w:rPr>
            </w:pPr>
          </w:p>
        </w:tc>
      </w:tr>
      <w:tr w14:paraId="0EC5B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644" w:type="pct"/>
            <w:vMerge w:val="continue"/>
            <w:tcBorders>
              <w:left w:val="single" w:color="000000" w:sz="4" w:space="0"/>
              <w:right w:val="single" w:color="000000" w:sz="4" w:space="0"/>
            </w:tcBorders>
            <w:noWrap/>
            <w:vAlign w:val="center"/>
          </w:tcPr>
          <w:p w14:paraId="084F604D">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000000" w:sz="4" w:space="0"/>
              <w:right w:val="single" w:color="000000" w:sz="4" w:space="0"/>
            </w:tcBorders>
            <w:noWrap/>
            <w:vAlign w:val="center"/>
          </w:tcPr>
          <w:p w14:paraId="760DD3FD">
            <w:pPr>
              <w:jc w:val="center"/>
              <w:rPr>
                <w:rFonts w:hint="eastAsia" w:ascii="宋体" w:hAnsi="宋体" w:eastAsia="宋体" w:cs="宋体"/>
                <w:i w:val="0"/>
                <w:iCs w:val="0"/>
                <w:color w:val="000000"/>
                <w:sz w:val="21"/>
                <w:szCs w:val="21"/>
                <w:highlight w:val="none"/>
                <w:u w:val="none"/>
              </w:rPr>
            </w:pP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4293505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成果报告完成后</w:t>
            </w:r>
            <w:r>
              <w:rPr>
                <w:rFonts w:hint="eastAsia" w:ascii="宋体" w:hAnsi="宋体" w:cs="宋体"/>
                <w:b w:val="0"/>
                <w:bCs w:val="0"/>
                <w:color w:val="000000"/>
                <w:kern w:val="2"/>
                <w:sz w:val="21"/>
                <w:szCs w:val="21"/>
                <w:highlight w:val="none"/>
                <w:lang w:val="en-US" w:eastAsia="zh-CN" w:bidi="ar-SA"/>
              </w:rPr>
              <w:t>相关主管部门组织开会</w:t>
            </w:r>
            <w:r>
              <w:rPr>
                <w:rFonts w:hint="eastAsia" w:ascii="宋体" w:hAnsi="宋体" w:eastAsia="宋体" w:cs="宋体"/>
                <w:b w:val="0"/>
                <w:bCs w:val="0"/>
                <w:color w:val="000000"/>
                <w:kern w:val="2"/>
                <w:sz w:val="21"/>
                <w:szCs w:val="21"/>
                <w:highlight w:val="none"/>
                <w:lang w:val="en-US" w:eastAsia="zh-CN" w:bidi="ar-SA"/>
              </w:rPr>
              <w:t>一次性通过得20分，第二次通过得15分，第三次通过不得分</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62BFE3B3">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29F40C05">
            <w:pPr>
              <w:jc w:val="center"/>
              <w:rPr>
                <w:rFonts w:hint="eastAsia" w:ascii="宋体" w:hAnsi="宋体" w:eastAsia="宋体" w:cs="宋体"/>
                <w:i w:val="0"/>
                <w:iCs w:val="0"/>
                <w:color w:val="000000"/>
                <w:sz w:val="21"/>
                <w:szCs w:val="21"/>
                <w:highlight w:val="none"/>
                <w:u w:val="none"/>
              </w:rPr>
            </w:pPr>
          </w:p>
        </w:tc>
      </w:tr>
      <w:tr w14:paraId="54653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44" w:type="pct"/>
            <w:vMerge w:val="continue"/>
            <w:tcBorders>
              <w:left w:val="single" w:color="000000" w:sz="4" w:space="0"/>
              <w:right w:val="single" w:color="000000" w:sz="4" w:space="0"/>
            </w:tcBorders>
            <w:noWrap/>
            <w:vAlign w:val="center"/>
          </w:tcPr>
          <w:p w14:paraId="3909CB2D">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000000" w:sz="4" w:space="0"/>
              <w:right w:val="single" w:color="000000" w:sz="4" w:space="0"/>
            </w:tcBorders>
            <w:noWrap/>
            <w:vAlign w:val="center"/>
          </w:tcPr>
          <w:p w14:paraId="7288C29B">
            <w:pPr>
              <w:jc w:val="center"/>
              <w:rPr>
                <w:rFonts w:hint="eastAsia" w:ascii="宋体" w:hAnsi="宋体" w:eastAsia="宋体" w:cs="宋体"/>
                <w:i w:val="0"/>
                <w:iCs w:val="0"/>
                <w:color w:val="000000"/>
                <w:sz w:val="21"/>
                <w:szCs w:val="21"/>
                <w:highlight w:val="none"/>
                <w:u w:val="none"/>
              </w:rPr>
            </w:pP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6753DB7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规定时间内是否正常完成</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FD547D6">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15</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3E85D3D2">
            <w:pPr>
              <w:jc w:val="center"/>
              <w:rPr>
                <w:rFonts w:hint="eastAsia" w:ascii="宋体" w:hAnsi="宋体" w:eastAsia="宋体" w:cs="宋体"/>
                <w:i w:val="0"/>
                <w:iCs w:val="0"/>
                <w:color w:val="000000"/>
                <w:sz w:val="21"/>
                <w:szCs w:val="21"/>
                <w:highlight w:val="none"/>
                <w:u w:val="none"/>
              </w:rPr>
            </w:pPr>
          </w:p>
        </w:tc>
      </w:tr>
      <w:tr w14:paraId="0A74F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644" w:type="pct"/>
            <w:vMerge w:val="continue"/>
            <w:tcBorders>
              <w:left w:val="single" w:color="000000" w:sz="4" w:space="0"/>
              <w:right w:val="single" w:color="000000" w:sz="4" w:space="0"/>
            </w:tcBorders>
            <w:noWrap/>
            <w:vAlign w:val="center"/>
          </w:tcPr>
          <w:p w14:paraId="127B5805">
            <w:pPr>
              <w:jc w:val="center"/>
              <w:rPr>
                <w:rFonts w:hint="eastAsia" w:ascii="宋体" w:hAnsi="宋体" w:eastAsia="宋体" w:cs="宋体"/>
                <w:i w:val="0"/>
                <w:iCs w:val="0"/>
                <w:color w:val="000000"/>
                <w:sz w:val="21"/>
                <w:szCs w:val="21"/>
                <w:highlight w:val="none"/>
                <w:u w:val="none"/>
              </w:rPr>
            </w:pPr>
          </w:p>
        </w:tc>
        <w:tc>
          <w:tcPr>
            <w:tcW w:w="748" w:type="pct"/>
            <w:vMerge w:val="restart"/>
            <w:tcBorders>
              <w:top w:val="single" w:color="auto" w:sz="4" w:space="0"/>
              <w:left w:val="single" w:color="auto" w:sz="4" w:space="0"/>
              <w:right w:val="single" w:color="auto" w:sz="4" w:space="0"/>
            </w:tcBorders>
            <w:noWrap/>
            <w:vAlign w:val="center"/>
          </w:tcPr>
          <w:p w14:paraId="100C221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技术要求</w:t>
            </w:r>
          </w:p>
        </w:tc>
        <w:tc>
          <w:tcPr>
            <w:tcW w:w="2938" w:type="pct"/>
            <w:tcBorders>
              <w:top w:val="single" w:color="000000" w:sz="4" w:space="0"/>
              <w:left w:val="single" w:color="auto" w:sz="4" w:space="0"/>
              <w:bottom w:val="single" w:color="000000" w:sz="4" w:space="0"/>
              <w:right w:val="single" w:color="000000" w:sz="4" w:space="0"/>
            </w:tcBorders>
            <w:noWrap/>
            <w:vAlign w:val="center"/>
          </w:tcPr>
          <w:p w14:paraId="24BC2B44">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是否满足相关技术规范要求</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7A0C03F4">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6E36ED04">
            <w:pPr>
              <w:jc w:val="center"/>
              <w:rPr>
                <w:rFonts w:hint="eastAsia" w:ascii="宋体" w:hAnsi="宋体" w:eastAsia="宋体" w:cs="宋体"/>
                <w:i w:val="0"/>
                <w:iCs w:val="0"/>
                <w:color w:val="000000"/>
                <w:sz w:val="21"/>
                <w:szCs w:val="21"/>
                <w:highlight w:val="none"/>
                <w:u w:val="none"/>
              </w:rPr>
            </w:pPr>
          </w:p>
        </w:tc>
      </w:tr>
      <w:tr w14:paraId="52C65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trPr>
        <w:tc>
          <w:tcPr>
            <w:tcW w:w="644" w:type="pct"/>
            <w:vMerge w:val="continue"/>
            <w:tcBorders>
              <w:left w:val="single" w:color="000000" w:sz="4" w:space="0"/>
              <w:right w:val="single" w:color="000000" w:sz="4" w:space="0"/>
            </w:tcBorders>
            <w:noWrap/>
            <w:vAlign w:val="center"/>
          </w:tcPr>
          <w:p w14:paraId="23BBBA81">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auto" w:sz="4" w:space="0"/>
              <w:right w:val="single" w:color="auto" w:sz="4" w:space="0"/>
            </w:tcBorders>
            <w:noWrap/>
            <w:vAlign w:val="center"/>
          </w:tcPr>
          <w:p w14:paraId="0BD4B5E8">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938" w:type="pct"/>
            <w:tcBorders>
              <w:top w:val="single" w:color="000000" w:sz="4" w:space="0"/>
              <w:left w:val="single" w:color="auto" w:sz="4" w:space="0"/>
              <w:bottom w:val="single" w:color="000000" w:sz="4" w:space="0"/>
              <w:right w:val="single" w:color="000000" w:sz="4" w:space="0"/>
            </w:tcBorders>
            <w:noWrap/>
            <w:vAlign w:val="center"/>
          </w:tcPr>
          <w:p w14:paraId="676D13F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项目负责人是否具备3年及以上从业经验</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53300CB">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30E48059">
            <w:pPr>
              <w:jc w:val="center"/>
              <w:rPr>
                <w:rFonts w:hint="eastAsia" w:ascii="宋体" w:hAnsi="宋体" w:eastAsia="宋体" w:cs="宋体"/>
                <w:i w:val="0"/>
                <w:iCs w:val="0"/>
                <w:color w:val="000000"/>
                <w:sz w:val="21"/>
                <w:szCs w:val="21"/>
                <w:highlight w:val="none"/>
                <w:u w:val="none"/>
              </w:rPr>
            </w:pPr>
          </w:p>
        </w:tc>
      </w:tr>
      <w:tr w14:paraId="58BBB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644" w:type="pct"/>
            <w:vMerge w:val="continue"/>
            <w:tcBorders>
              <w:left w:val="single" w:color="000000" w:sz="4" w:space="0"/>
              <w:right w:val="single" w:color="000000" w:sz="4" w:space="0"/>
            </w:tcBorders>
            <w:noWrap/>
            <w:vAlign w:val="center"/>
          </w:tcPr>
          <w:p w14:paraId="63553557">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auto" w:sz="4" w:space="0"/>
              <w:right w:val="single" w:color="auto" w:sz="4" w:space="0"/>
            </w:tcBorders>
            <w:noWrap/>
            <w:vAlign w:val="center"/>
          </w:tcPr>
          <w:p w14:paraId="016F26D1">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2938" w:type="pct"/>
            <w:tcBorders>
              <w:top w:val="single" w:color="000000" w:sz="4" w:space="0"/>
              <w:left w:val="single" w:color="auto" w:sz="4" w:space="0"/>
              <w:bottom w:val="single" w:color="000000" w:sz="4" w:space="0"/>
              <w:right w:val="single" w:color="000000" w:sz="4" w:space="0"/>
            </w:tcBorders>
            <w:noWrap/>
            <w:vAlign w:val="center"/>
          </w:tcPr>
          <w:p w14:paraId="00560C3F">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项目组织管理措施完善，项目组成人员及分工明确，质量管理、技术保证、安全及劳动保证、项目售后服务内容及服务落实保证等措施健全</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2AEE2296">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5982D0A3">
            <w:pPr>
              <w:jc w:val="center"/>
              <w:rPr>
                <w:rFonts w:hint="eastAsia" w:ascii="宋体" w:hAnsi="宋体" w:eastAsia="宋体" w:cs="宋体"/>
                <w:i w:val="0"/>
                <w:iCs w:val="0"/>
                <w:color w:val="000000"/>
                <w:sz w:val="21"/>
                <w:szCs w:val="21"/>
                <w:highlight w:val="none"/>
                <w:u w:val="none"/>
              </w:rPr>
            </w:pPr>
          </w:p>
        </w:tc>
      </w:tr>
      <w:tr w14:paraId="5288A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44" w:type="pct"/>
            <w:vMerge w:val="continue"/>
            <w:tcBorders>
              <w:left w:val="single" w:color="000000" w:sz="4" w:space="0"/>
              <w:right w:val="single" w:color="000000" w:sz="4" w:space="0"/>
            </w:tcBorders>
            <w:noWrap/>
            <w:vAlign w:val="center"/>
          </w:tcPr>
          <w:p w14:paraId="0A58CB6C">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auto" w:sz="4" w:space="0"/>
              <w:bottom w:val="single" w:color="auto" w:sz="4" w:space="0"/>
              <w:right w:val="single" w:color="auto" w:sz="4" w:space="0"/>
            </w:tcBorders>
            <w:noWrap/>
            <w:vAlign w:val="center"/>
          </w:tcPr>
          <w:p w14:paraId="0F164CEC">
            <w:pPr>
              <w:jc w:val="center"/>
              <w:rPr>
                <w:rFonts w:hint="eastAsia" w:ascii="宋体" w:hAnsi="宋体" w:eastAsia="宋体" w:cs="宋体"/>
                <w:i w:val="0"/>
                <w:iCs w:val="0"/>
                <w:color w:val="000000"/>
                <w:sz w:val="21"/>
                <w:szCs w:val="21"/>
                <w:highlight w:val="none"/>
                <w:u w:val="none"/>
              </w:rPr>
            </w:pPr>
          </w:p>
        </w:tc>
        <w:tc>
          <w:tcPr>
            <w:tcW w:w="2938" w:type="pct"/>
            <w:tcBorders>
              <w:top w:val="single" w:color="000000" w:sz="4" w:space="0"/>
              <w:left w:val="single" w:color="000000" w:sz="4" w:space="0"/>
              <w:bottom w:val="single" w:color="000000" w:sz="4" w:space="0"/>
              <w:right w:val="single" w:color="000000" w:sz="4" w:space="0"/>
            </w:tcBorders>
            <w:noWrap/>
            <w:vAlign w:val="center"/>
          </w:tcPr>
          <w:p w14:paraId="427B77D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是否开展现场</w:t>
            </w:r>
            <w:r>
              <w:rPr>
                <w:rFonts w:hint="eastAsia" w:ascii="宋体" w:hAnsi="宋体" w:eastAsia="宋体" w:cs="宋体"/>
                <w:i w:val="0"/>
                <w:iCs w:val="0"/>
                <w:color w:val="auto"/>
                <w:sz w:val="21"/>
                <w:szCs w:val="21"/>
                <w:highlight w:val="none"/>
                <w:u w:val="none"/>
                <w:lang w:val="en-US" w:eastAsia="zh-CN"/>
              </w:rPr>
              <w:t>踏勘及采样检测</w:t>
            </w:r>
            <w:r>
              <w:rPr>
                <w:rFonts w:hint="eastAsia" w:ascii="宋体" w:hAnsi="宋体" w:eastAsia="宋体" w:cs="宋体"/>
                <w:i w:val="0"/>
                <w:iCs w:val="0"/>
                <w:color w:val="auto"/>
                <w:sz w:val="21"/>
                <w:szCs w:val="21"/>
                <w:highlight w:val="none"/>
                <w:u w:val="none"/>
              </w:rPr>
              <w:t>调查工作</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390C42F6">
            <w:pPr>
              <w:keepNext w:val="0"/>
              <w:keepLines w:val="0"/>
              <w:widowControl/>
              <w:suppressLineNumbers w:val="0"/>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5FE29586">
            <w:pPr>
              <w:jc w:val="center"/>
              <w:rPr>
                <w:rFonts w:hint="eastAsia" w:ascii="宋体" w:hAnsi="宋体" w:eastAsia="宋体" w:cs="宋体"/>
                <w:i w:val="0"/>
                <w:iCs w:val="0"/>
                <w:color w:val="000000"/>
                <w:sz w:val="21"/>
                <w:szCs w:val="21"/>
                <w:highlight w:val="none"/>
                <w:u w:val="none"/>
              </w:rPr>
            </w:pPr>
          </w:p>
        </w:tc>
      </w:tr>
      <w:tr w14:paraId="6C568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44" w:type="pct"/>
            <w:vMerge w:val="continue"/>
            <w:tcBorders>
              <w:left w:val="single" w:color="000000" w:sz="4" w:space="0"/>
              <w:right w:val="single" w:color="000000" w:sz="4" w:space="0"/>
            </w:tcBorders>
            <w:noWrap/>
            <w:vAlign w:val="center"/>
          </w:tcPr>
          <w:p w14:paraId="1E9BE735">
            <w:pPr>
              <w:jc w:val="center"/>
              <w:rPr>
                <w:rFonts w:hint="eastAsia" w:ascii="宋体" w:hAnsi="宋体" w:eastAsia="宋体" w:cs="宋体"/>
                <w:i w:val="0"/>
                <w:iCs w:val="0"/>
                <w:color w:val="000000"/>
                <w:sz w:val="21"/>
                <w:szCs w:val="21"/>
                <w:highlight w:val="none"/>
                <w:u w:val="none"/>
              </w:rPr>
            </w:pPr>
          </w:p>
        </w:tc>
        <w:tc>
          <w:tcPr>
            <w:tcW w:w="748" w:type="pct"/>
            <w:vMerge w:val="restart"/>
            <w:tcBorders>
              <w:top w:val="single" w:color="auto" w:sz="4" w:space="0"/>
              <w:left w:val="single" w:color="auto" w:sz="4" w:space="0"/>
              <w:right w:val="single" w:color="auto" w:sz="4" w:space="0"/>
            </w:tcBorders>
            <w:noWrap/>
            <w:vAlign w:val="center"/>
          </w:tcPr>
          <w:p w14:paraId="1ACF6FDE">
            <w:pPr>
              <w:jc w:val="center"/>
              <w:rPr>
                <w:rFonts w:hint="default" w:ascii="宋体" w:hAnsi="宋体" w:eastAsia="宋体" w:cs="宋体"/>
                <w:i w:val="0"/>
                <w:iCs w:val="0"/>
                <w:color w:val="000000"/>
                <w:sz w:val="21"/>
                <w:szCs w:val="21"/>
                <w:highlight w:val="none"/>
                <w:u w:val="none"/>
                <w:lang w:val="en-US" w:eastAsia="zh-CN"/>
              </w:rPr>
            </w:pPr>
            <w:r>
              <w:rPr>
                <w:rFonts w:hint="eastAsia"/>
                <w:sz w:val="24"/>
                <w:szCs w:val="24"/>
                <w:highlight w:val="none"/>
                <w:lang w:val="en-US" w:eastAsia="zh-CN"/>
              </w:rPr>
              <w:t>安全要求</w:t>
            </w:r>
          </w:p>
        </w:tc>
        <w:tc>
          <w:tcPr>
            <w:tcW w:w="2938" w:type="pct"/>
            <w:tcBorders>
              <w:top w:val="single" w:color="000000" w:sz="4" w:space="0"/>
              <w:left w:val="single" w:color="auto" w:sz="4" w:space="0"/>
              <w:bottom w:val="single" w:color="000000" w:sz="4" w:space="0"/>
              <w:right w:val="single" w:color="000000" w:sz="4" w:space="0"/>
            </w:tcBorders>
            <w:noWrap/>
            <w:vAlign w:val="center"/>
          </w:tcPr>
          <w:p w14:paraId="0730E0C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是否开展项目组人员安全教育</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486D52F5">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0DA6F888">
            <w:pPr>
              <w:jc w:val="center"/>
              <w:rPr>
                <w:rFonts w:hint="eastAsia" w:ascii="宋体" w:hAnsi="宋体" w:eastAsia="宋体" w:cs="宋体"/>
                <w:i w:val="0"/>
                <w:iCs w:val="0"/>
                <w:color w:val="000000"/>
                <w:sz w:val="21"/>
                <w:szCs w:val="21"/>
                <w:highlight w:val="none"/>
                <w:u w:val="none"/>
              </w:rPr>
            </w:pPr>
          </w:p>
        </w:tc>
      </w:tr>
      <w:tr w14:paraId="722BA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atLeast"/>
        </w:trPr>
        <w:tc>
          <w:tcPr>
            <w:tcW w:w="644" w:type="pct"/>
            <w:vMerge w:val="continue"/>
            <w:tcBorders>
              <w:left w:val="single" w:color="000000" w:sz="4" w:space="0"/>
              <w:right w:val="single" w:color="000000" w:sz="4" w:space="0"/>
            </w:tcBorders>
            <w:noWrap/>
            <w:vAlign w:val="center"/>
          </w:tcPr>
          <w:p w14:paraId="5175B53B">
            <w:pPr>
              <w:jc w:val="center"/>
              <w:rPr>
                <w:rFonts w:hint="eastAsia" w:ascii="宋体" w:hAnsi="宋体" w:eastAsia="宋体" w:cs="宋体"/>
                <w:i w:val="0"/>
                <w:iCs w:val="0"/>
                <w:color w:val="000000"/>
                <w:sz w:val="21"/>
                <w:szCs w:val="21"/>
                <w:highlight w:val="none"/>
                <w:u w:val="none"/>
              </w:rPr>
            </w:pPr>
          </w:p>
        </w:tc>
        <w:tc>
          <w:tcPr>
            <w:tcW w:w="748" w:type="pct"/>
            <w:vMerge w:val="continue"/>
            <w:tcBorders>
              <w:left w:val="single" w:color="auto" w:sz="4" w:space="0"/>
              <w:right w:val="single" w:color="auto" w:sz="4" w:space="0"/>
            </w:tcBorders>
            <w:noWrap/>
            <w:vAlign w:val="center"/>
          </w:tcPr>
          <w:p w14:paraId="0328464B">
            <w:pPr>
              <w:jc w:val="center"/>
              <w:rPr>
                <w:rFonts w:hint="eastAsia" w:ascii="宋体" w:hAnsi="宋体" w:eastAsia="宋体" w:cs="宋体"/>
                <w:i w:val="0"/>
                <w:iCs w:val="0"/>
                <w:color w:val="000000"/>
                <w:sz w:val="21"/>
                <w:szCs w:val="21"/>
                <w:highlight w:val="none"/>
                <w:u w:val="none"/>
              </w:rPr>
            </w:pPr>
          </w:p>
        </w:tc>
        <w:tc>
          <w:tcPr>
            <w:tcW w:w="2938" w:type="pct"/>
            <w:tcBorders>
              <w:top w:val="single" w:color="000000" w:sz="4" w:space="0"/>
              <w:left w:val="single" w:color="auto" w:sz="4" w:space="0"/>
              <w:bottom w:val="single" w:color="000000" w:sz="4" w:space="0"/>
              <w:right w:val="single" w:color="000000" w:sz="4" w:space="0"/>
            </w:tcBorders>
            <w:noWrap/>
            <w:vAlign w:val="center"/>
          </w:tcPr>
          <w:p w14:paraId="2B808C5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服务中是否发生安全事故</w:t>
            </w: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11544056">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44B20964">
            <w:pPr>
              <w:jc w:val="center"/>
              <w:rPr>
                <w:rFonts w:hint="eastAsia" w:ascii="宋体" w:hAnsi="宋体" w:eastAsia="宋体" w:cs="宋体"/>
                <w:i w:val="0"/>
                <w:iCs w:val="0"/>
                <w:color w:val="000000"/>
                <w:sz w:val="21"/>
                <w:szCs w:val="21"/>
                <w:highlight w:val="none"/>
                <w:u w:val="none"/>
              </w:rPr>
            </w:pPr>
          </w:p>
        </w:tc>
      </w:tr>
      <w:tr w14:paraId="59FFE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7" w:hRule="atLeast"/>
        </w:trPr>
        <w:tc>
          <w:tcPr>
            <w:tcW w:w="5000" w:type="pct"/>
            <w:gridSpan w:val="5"/>
            <w:tcBorders>
              <w:top w:val="single" w:color="000000" w:sz="4" w:space="0"/>
              <w:left w:val="single" w:color="000000" w:sz="4" w:space="0"/>
              <w:bottom w:val="single" w:color="000000" w:sz="4" w:space="0"/>
              <w:right w:val="single" w:color="000000" w:sz="4" w:space="0"/>
            </w:tcBorders>
            <w:noWrap/>
            <w:vAlign w:val="center"/>
          </w:tcPr>
          <w:p w14:paraId="58A85F0A">
            <w:pPr>
              <w:pStyle w:val="486"/>
              <w:numPr>
                <w:ilvl w:val="0"/>
                <w:numId w:val="0"/>
              </w:numPr>
              <w:spacing w:line="360" w:lineRule="auto"/>
              <w:rPr>
                <w:rFonts w:hint="eastAsia" w:ascii="宋体" w:hAnsi="宋体" w:eastAsia="宋体" w:cs="宋体"/>
                <w:color w:val="auto"/>
                <w:spacing w:val="0"/>
                <w:kern w:val="2"/>
                <w:sz w:val="21"/>
                <w:szCs w:val="21"/>
                <w:highlight w:val="none"/>
                <w:u w:val="none" w:color="000000"/>
                <w:lang w:val="en-US" w:eastAsia="zh-CN" w:bidi="ar-SA"/>
              </w:rPr>
            </w:pPr>
            <w:r>
              <w:rPr>
                <w:rFonts w:hint="eastAsia" w:ascii="宋体" w:hAnsi="宋体" w:eastAsia="宋体" w:cs="宋体"/>
                <w:color w:val="auto"/>
                <w:spacing w:val="0"/>
                <w:kern w:val="2"/>
                <w:sz w:val="21"/>
                <w:szCs w:val="21"/>
                <w:highlight w:val="none"/>
                <w:u w:val="none" w:color="000000"/>
                <w:lang w:val="en-US" w:eastAsia="zh-CN" w:bidi="ar-SA"/>
              </w:rPr>
              <w:t>支付费用根据考核得分支付标准：</w:t>
            </w:r>
          </w:p>
          <w:p w14:paraId="5F1EECCA">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pacing w:val="0"/>
                <w:kern w:val="2"/>
                <w:sz w:val="21"/>
                <w:szCs w:val="21"/>
                <w:highlight w:val="none"/>
                <w:u w:val="none" w:color="000000"/>
                <w:lang w:val="zh-CN" w:eastAsia="zh-CN" w:bidi="ar-SA"/>
              </w:rPr>
            </w:pPr>
            <w:r>
              <w:rPr>
                <w:rFonts w:hint="eastAsia" w:ascii="宋体" w:hAnsi="宋体" w:eastAsia="宋体" w:cs="宋体"/>
                <w:color w:val="auto"/>
                <w:spacing w:val="0"/>
                <w:kern w:val="2"/>
                <w:sz w:val="21"/>
                <w:szCs w:val="21"/>
                <w:highlight w:val="none"/>
                <w:u w:val="none" w:color="000000"/>
                <w:lang w:val="en-US" w:eastAsia="zh-CN" w:bidi="ar-SA"/>
              </w:rPr>
              <w:t>1</w:t>
            </w:r>
            <w:r>
              <w:rPr>
                <w:rFonts w:hint="default" w:ascii="宋体" w:hAnsi="宋体" w:eastAsia="宋体" w:cs="宋体"/>
                <w:color w:val="auto"/>
                <w:spacing w:val="0"/>
                <w:kern w:val="2"/>
                <w:sz w:val="21"/>
                <w:szCs w:val="21"/>
                <w:highlight w:val="none"/>
                <w:u w:val="none" w:color="000000"/>
                <w:lang w:val="en-US" w:eastAsia="zh-CN" w:bidi="ar-SA"/>
              </w:rPr>
              <w:t>、90分及以上：支付支付已完</w:t>
            </w:r>
            <w:r>
              <w:rPr>
                <w:rFonts w:hint="eastAsia" w:ascii="宋体" w:hAnsi="宋体" w:eastAsia="宋体" w:cs="宋体"/>
                <w:color w:val="auto"/>
                <w:spacing w:val="0"/>
                <w:kern w:val="2"/>
                <w:sz w:val="21"/>
                <w:szCs w:val="21"/>
                <w:highlight w:val="none"/>
                <w:u w:val="none" w:color="000000"/>
                <w:lang w:val="en-US" w:eastAsia="zh-CN" w:bidi="ar-SA"/>
              </w:rPr>
              <w:t>工作</w:t>
            </w:r>
            <w:r>
              <w:rPr>
                <w:rFonts w:hint="default" w:ascii="宋体" w:hAnsi="宋体" w:eastAsia="宋体" w:cs="宋体"/>
                <w:color w:val="auto"/>
                <w:spacing w:val="0"/>
                <w:kern w:val="2"/>
                <w:sz w:val="21"/>
                <w:szCs w:val="21"/>
                <w:highlight w:val="none"/>
                <w:u w:val="none" w:color="000000"/>
                <w:lang w:val="en-US" w:eastAsia="zh-CN" w:bidi="ar-SA"/>
              </w:rPr>
              <w:t>量费用的100%;</w:t>
            </w:r>
          </w:p>
          <w:p w14:paraId="0758A909">
            <w:pPr>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spacing w:val="0"/>
                <w:kern w:val="2"/>
                <w:sz w:val="21"/>
                <w:szCs w:val="21"/>
                <w:highlight w:val="none"/>
                <w:u w:val="none" w:color="000000"/>
                <w:lang w:val="en-US" w:eastAsia="zh-CN" w:bidi="ar-SA"/>
              </w:rPr>
            </w:pPr>
            <w:r>
              <w:rPr>
                <w:rFonts w:hint="eastAsia" w:ascii="宋体" w:hAnsi="宋体" w:eastAsia="宋体" w:cs="宋体"/>
                <w:color w:val="auto"/>
                <w:spacing w:val="0"/>
                <w:kern w:val="2"/>
                <w:sz w:val="21"/>
                <w:szCs w:val="21"/>
                <w:highlight w:val="none"/>
                <w:u w:val="none" w:color="000000"/>
                <w:lang w:val="en-US" w:eastAsia="zh-CN" w:bidi="ar-SA"/>
              </w:rPr>
              <w:t>2</w:t>
            </w:r>
            <w:r>
              <w:rPr>
                <w:rFonts w:hint="default" w:ascii="宋体" w:hAnsi="宋体" w:eastAsia="宋体" w:cs="宋体"/>
                <w:color w:val="auto"/>
                <w:spacing w:val="0"/>
                <w:kern w:val="2"/>
                <w:sz w:val="21"/>
                <w:szCs w:val="21"/>
                <w:highlight w:val="none"/>
                <w:u w:val="none" w:color="000000"/>
                <w:lang w:val="en-US" w:eastAsia="zh-CN" w:bidi="ar-SA"/>
              </w:rPr>
              <w:t>、85分</w:t>
            </w:r>
            <w:r>
              <w:rPr>
                <w:rFonts w:hint="eastAsia" w:ascii="宋体" w:hAnsi="宋体" w:eastAsia="宋体" w:cs="宋体"/>
                <w:color w:val="auto"/>
                <w:spacing w:val="0"/>
                <w:kern w:val="2"/>
                <w:sz w:val="21"/>
                <w:szCs w:val="21"/>
                <w:highlight w:val="none"/>
                <w:u w:val="none" w:color="000000"/>
                <w:lang w:val="en-US" w:eastAsia="zh-CN" w:bidi="ar-SA"/>
              </w:rPr>
              <w:t>（含85分）</w:t>
            </w:r>
            <w:r>
              <w:rPr>
                <w:rFonts w:hint="default" w:ascii="宋体" w:hAnsi="宋体" w:eastAsia="宋体" w:cs="宋体"/>
                <w:color w:val="auto"/>
                <w:spacing w:val="0"/>
                <w:kern w:val="2"/>
                <w:sz w:val="21"/>
                <w:szCs w:val="21"/>
                <w:highlight w:val="none"/>
                <w:u w:val="none" w:color="000000"/>
                <w:lang w:val="en-US" w:eastAsia="zh-CN" w:bidi="ar-SA"/>
              </w:rPr>
              <w:t>--89分：支付已完</w:t>
            </w:r>
            <w:r>
              <w:rPr>
                <w:rFonts w:hint="eastAsia" w:ascii="宋体" w:hAnsi="宋体" w:eastAsia="宋体" w:cs="宋体"/>
                <w:color w:val="auto"/>
                <w:spacing w:val="0"/>
                <w:kern w:val="2"/>
                <w:sz w:val="21"/>
                <w:szCs w:val="21"/>
                <w:highlight w:val="none"/>
                <w:u w:val="none" w:color="000000"/>
                <w:lang w:val="en-US" w:eastAsia="zh-CN" w:bidi="ar-SA"/>
              </w:rPr>
              <w:t>工作</w:t>
            </w:r>
            <w:r>
              <w:rPr>
                <w:rFonts w:hint="default" w:ascii="宋体" w:hAnsi="宋体" w:eastAsia="宋体" w:cs="宋体"/>
                <w:color w:val="auto"/>
                <w:spacing w:val="0"/>
                <w:kern w:val="2"/>
                <w:sz w:val="21"/>
                <w:szCs w:val="21"/>
                <w:highlight w:val="none"/>
                <w:u w:val="none" w:color="000000"/>
                <w:lang w:val="en-US" w:eastAsia="zh-CN" w:bidi="ar-SA"/>
              </w:rPr>
              <w:t>量费用的90%,扣除的费用不予退还；</w:t>
            </w:r>
          </w:p>
          <w:p w14:paraId="4CE08477">
            <w:pPr>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spacing w:val="0"/>
                <w:kern w:val="2"/>
                <w:sz w:val="21"/>
                <w:szCs w:val="21"/>
                <w:highlight w:val="none"/>
                <w:u w:val="none" w:color="000000"/>
                <w:lang w:val="en-US" w:eastAsia="zh-CN" w:bidi="ar-SA"/>
              </w:rPr>
            </w:pPr>
            <w:r>
              <w:rPr>
                <w:rFonts w:hint="eastAsia" w:ascii="宋体" w:hAnsi="宋体" w:eastAsia="宋体" w:cs="宋体"/>
                <w:color w:val="auto"/>
                <w:spacing w:val="0"/>
                <w:kern w:val="2"/>
                <w:sz w:val="21"/>
                <w:szCs w:val="21"/>
                <w:highlight w:val="none"/>
                <w:u w:val="none" w:color="000000"/>
                <w:lang w:val="en-US" w:eastAsia="zh-CN" w:bidi="ar-SA"/>
              </w:rPr>
              <w:t>3</w:t>
            </w:r>
            <w:r>
              <w:rPr>
                <w:rFonts w:hint="default" w:ascii="宋体" w:hAnsi="宋体" w:eastAsia="宋体" w:cs="宋体"/>
                <w:color w:val="auto"/>
                <w:spacing w:val="0"/>
                <w:kern w:val="2"/>
                <w:sz w:val="21"/>
                <w:szCs w:val="21"/>
                <w:highlight w:val="none"/>
                <w:u w:val="none" w:color="000000"/>
                <w:lang w:val="en-US" w:eastAsia="zh-CN" w:bidi="ar-SA"/>
              </w:rPr>
              <w:t>、80分</w:t>
            </w:r>
            <w:r>
              <w:rPr>
                <w:rFonts w:hint="eastAsia" w:ascii="宋体" w:hAnsi="宋体" w:eastAsia="宋体" w:cs="宋体"/>
                <w:color w:val="auto"/>
                <w:spacing w:val="0"/>
                <w:kern w:val="2"/>
                <w:sz w:val="21"/>
                <w:szCs w:val="21"/>
                <w:highlight w:val="none"/>
                <w:u w:val="none" w:color="000000"/>
                <w:lang w:val="en-US" w:eastAsia="zh-CN" w:bidi="ar-SA"/>
              </w:rPr>
              <w:t>（含80分）</w:t>
            </w:r>
            <w:r>
              <w:rPr>
                <w:rFonts w:hint="default" w:ascii="宋体" w:hAnsi="宋体" w:eastAsia="宋体" w:cs="宋体"/>
                <w:color w:val="auto"/>
                <w:spacing w:val="0"/>
                <w:kern w:val="2"/>
                <w:sz w:val="21"/>
                <w:szCs w:val="21"/>
                <w:highlight w:val="none"/>
                <w:u w:val="none" w:color="000000"/>
                <w:lang w:val="en-US" w:eastAsia="zh-CN" w:bidi="ar-SA"/>
              </w:rPr>
              <w:t>—84分：支付已完</w:t>
            </w:r>
            <w:r>
              <w:rPr>
                <w:rFonts w:hint="eastAsia" w:ascii="宋体" w:hAnsi="宋体" w:eastAsia="宋体" w:cs="宋体"/>
                <w:color w:val="auto"/>
                <w:spacing w:val="0"/>
                <w:kern w:val="2"/>
                <w:sz w:val="21"/>
                <w:szCs w:val="21"/>
                <w:highlight w:val="none"/>
                <w:u w:val="none" w:color="000000"/>
                <w:lang w:val="en-US" w:eastAsia="zh-CN" w:bidi="ar-SA"/>
              </w:rPr>
              <w:t>工作</w:t>
            </w:r>
            <w:r>
              <w:rPr>
                <w:rFonts w:hint="default" w:ascii="宋体" w:hAnsi="宋体" w:eastAsia="宋体" w:cs="宋体"/>
                <w:color w:val="auto"/>
                <w:spacing w:val="0"/>
                <w:kern w:val="2"/>
                <w:sz w:val="21"/>
                <w:szCs w:val="21"/>
                <w:highlight w:val="none"/>
                <w:u w:val="none" w:color="000000"/>
                <w:lang w:val="en-US" w:eastAsia="zh-CN" w:bidi="ar-SA"/>
              </w:rPr>
              <w:t>量费用的80%,扣除的费用不予退还；</w:t>
            </w:r>
          </w:p>
          <w:p w14:paraId="3A72B7AB">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color w:val="auto"/>
                <w:spacing w:val="0"/>
                <w:kern w:val="2"/>
                <w:sz w:val="21"/>
                <w:szCs w:val="21"/>
                <w:highlight w:val="none"/>
                <w:u w:val="none" w:color="000000"/>
                <w:lang w:val="en-US" w:eastAsia="zh-CN" w:bidi="ar-SA"/>
              </w:rPr>
              <w:t>4、</w:t>
            </w:r>
            <w:r>
              <w:rPr>
                <w:rFonts w:hint="eastAsia" w:ascii="宋体" w:hAnsi="宋体" w:eastAsia="宋体" w:cs="宋体"/>
                <w:color w:val="auto"/>
                <w:spacing w:val="0"/>
                <w:kern w:val="2"/>
                <w:sz w:val="21"/>
                <w:szCs w:val="21"/>
                <w:highlight w:val="none"/>
                <w:u w:val="none" w:color="000000"/>
                <w:lang w:val="zh-CN" w:eastAsia="zh-CN" w:bidi="ar-SA"/>
              </w:rPr>
              <w:t>考核评分表作为考核依</w:t>
            </w:r>
            <w:r>
              <w:rPr>
                <w:rFonts w:hint="eastAsia" w:ascii="宋体" w:hAnsi="宋体" w:eastAsia="宋体" w:cs="宋体"/>
                <w:color w:val="000000" w:themeColor="text1"/>
                <w:spacing w:val="0"/>
                <w:kern w:val="2"/>
                <w:sz w:val="21"/>
                <w:szCs w:val="21"/>
                <w:highlight w:val="none"/>
                <w:u w:val="none" w:color="000000"/>
                <w:lang w:val="zh-CN" w:eastAsia="zh-CN" w:bidi="ar-SA"/>
                <w14:textFill>
                  <w14:solidFill>
                    <w14:schemeClr w14:val="tx1"/>
                  </w14:solidFill>
                </w14:textFill>
              </w:rPr>
              <w:t>据，当分数低于</w:t>
            </w:r>
            <w:r>
              <w:rPr>
                <w:rFonts w:hint="eastAsia"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8</w:t>
            </w:r>
            <w:r>
              <w:rPr>
                <w:rFonts w:hint="eastAsia" w:ascii="宋体" w:hAnsi="宋体" w:eastAsia="宋体" w:cs="宋体"/>
                <w:color w:val="000000" w:themeColor="text1"/>
                <w:spacing w:val="0"/>
                <w:kern w:val="2"/>
                <w:sz w:val="21"/>
                <w:szCs w:val="21"/>
                <w:highlight w:val="none"/>
                <w:u w:val="none" w:color="000000"/>
                <w:lang w:val="zh-CN" w:eastAsia="zh-CN" w:bidi="ar-SA"/>
                <w14:textFill>
                  <w14:solidFill>
                    <w14:schemeClr w14:val="tx1"/>
                  </w14:solidFill>
                </w14:textFill>
              </w:rPr>
              <w:t>0分，</w:t>
            </w:r>
            <w:r>
              <w:rPr>
                <w:rFonts w:hint="eastAsia"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视为未通过考核，</w:t>
            </w:r>
            <w:r>
              <w:rPr>
                <w:rFonts w:hint="eastAsia" w:ascii="宋体" w:hAnsi="宋体" w:eastAsia="宋体" w:cs="宋体"/>
                <w:color w:val="000000" w:themeColor="text1"/>
                <w:spacing w:val="0"/>
                <w:kern w:val="2"/>
                <w:sz w:val="21"/>
                <w:szCs w:val="21"/>
                <w:highlight w:val="none"/>
                <w:u w:val="none" w:color="000000"/>
                <w:lang w:val="zh-CN" w:eastAsia="zh-CN" w:bidi="ar-SA"/>
                <w14:textFill>
                  <w14:solidFill>
                    <w14:schemeClr w14:val="tx1"/>
                  </w14:solidFill>
                </w14:textFill>
              </w:rPr>
              <w:t>甲方有权终止合同，</w:t>
            </w:r>
            <w:r>
              <w:rPr>
                <w:rFonts w:hint="eastAsia" w:ascii="宋体" w:hAnsi="宋体" w:eastAsia="宋体" w:cs="宋体"/>
                <w:color w:val="000000" w:themeColor="text1"/>
                <w:spacing w:val="0"/>
                <w:kern w:val="2"/>
                <w:sz w:val="21"/>
                <w:szCs w:val="21"/>
                <w:highlight w:val="none"/>
                <w:u w:val="none" w:color="000000"/>
                <w:lang w:val="en-US" w:eastAsia="zh-CN" w:bidi="ar-SA"/>
                <w14:textFill>
                  <w14:solidFill>
                    <w14:schemeClr w14:val="tx1"/>
                  </w14:solidFill>
                </w14:textFill>
              </w:rPr>
              <w:t>乙方退还</w:t>
            </w:r>
            <w:r>
              <w:rPr>
                <w:rFonts w:hint="eastAsia" w:ascii="宋体" w:hAnsi="宋体" w:cs="宋体"/>
                <w:color w:val="000000" w:themeColor="text1"/>
                <w:szCs w:val="21"/>
                <w:highlight w:val="none"/>
                <w14:textFill>
                  <w14:solidFill>
                    <w14:schemeClr w14:val="tx1"/>
                  </w14:solidFill>
                </w14:textFill>
              </w:rPr>
              <w:t>所收取的全部费用</w:t>
            </w:r>
            <w:r>
              <w:rPr>
                <w:rFonts w:hint="eastAsia" w:ascii="宋体" w:hAnsi="宋体" w:eastAsia="宋体" w:cs="宋体"/>
                <w:color w:val="000000" w:themeColor="text1"/>
                <w:spacing w:val="0"/>
                <w:kern w:val="2"/>
                <w:sz w:val="21"/>
                <w:szCs w:val="21"/>
                <w:highlight w:val="none"/>
                <w:u w:val="none" w:color="000000"/>
                <w:lang w:val="zh-CN" w:eastAsia="zh-CN" w:bidi="ar-SA"/>
                <w14:textFill>
                  <w14:solidFill>
                    <w14:schemeClr w14:val="tx1"/>
                  </w14:solidFill>
                </w14:textFill>
              </w:rPr>
              <w:t>。</w:t>
            </w:r>
          </w:p>
        </w:tc>
      </w:tr>
      <w:tr w14:paraId="7F492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0" w:hRule="atLeast"/>
        </w:trPr>
        <w:tc>
          <w:tcPr>
            <w:tcW w:w="644" w:type="pct"/>
            <w:tcBorders>
              <w:top w:val="single" w:color="000000" w:sz="4" w:space="0"/>
              <w:left w:val="single" w:color="000000" w:sz="4" w:space="0"/>
              <w:bottom w:val="single" w:color="000000" w:sz="4" w:space="0"/>
              <w:right w:val="single" w:color="000000" w:sz="4" w:space="0"/>
            </w:tcBorders>
            <w:noWrap w:val="0"/>
            <w:vAlign w:val="center"/>
          </w:tcPr>
          <w:p w14:paraId="220FDD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考核人意见（签字）</w:t>
            </w:r>
          </w:p>
        </w:tc>
        <w:tc>
          <w:tcPr>
            <w:tcW w:w="3687" w:type="pct"/>
            <w:gridSpan w:val="2"/>
            <w:tcBorders>
              <w:top w:val="single" w:color="000000" w:sz="4" w:space="0"/>
              <w:left w:val="single" w:color="000000" w:sz="4" w:space="0"/>
              <w:bottom w:val="single" w:color="000000" w:sz="4" w:space="0"/>
              <w:right w:val="single" w:color="000000" w:sz="4" w:space="0"/>
            </w:tcBorders>
            <w:noWrap/>
            <w:vAlign w:val="center"/>
          </w:tcPr>
          <w:p w14:paraId="7B56DFC9">
            <w:pPr>
              <w:jc w:val="center"/>
              <w:rPr>
                <w:rFonts w:hint="eastAsia" w:ascii="宋体" w:hAnsi="宋体" w:eastAsia="宋体" w:cs="宋体"/>
                <w:i w:val="0"/>
                <w:iCs w:val="0"/>
                <w:color w:val="000000"/>
                <w:sz w:val="21"/>
                <w:szCs w:val="21"/>
                <w:highlight w:val="none"/>
                <w:u w:val="none"/>
              </w:rPr>
            </w:pPr>
          </w:p>
        </w:tc>
        <w:tc>
          <w:tcPr>
            <w:tcW w:w="331" w:type="pct"/>
            <w:tcBorders>
              <w:top w:val="single" w:color="000000" w:sz="4" w:space="0"/>
              <w:left w:val="single" w:color="000000" w:sz="4" w:space="0"/>
              <w:bottom w:val="single" w:color="000000" w:sz="4" w:space="0"/>
              <w:right w:val="single" w:color="000000" w:sz="4" w:space="0"/>
            </w:tcBorders>
            <w:noWrap/>
            <w:vAlign w:val="center"/>
          </w:tcPr>
          <w:p w14:paraId="0F97AF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得分</w:t>
            </w:r>
          </w:p>
        </w:tc>
        <w:tc>
          <w:tcPr>
            <w:tcW w:w="336" w:type="pct"/>
            <w:tcBorders>
              <w:top w:val="single" w:color="000000" w:sz="4" w:space="0"/>
              <w:left w:val="single" w:color="000000" w:sz="4" w:space="0"/>
              <w:bottom w:val="single" w:color="000000" w:sz="4" w:space="0"/>
              <w:right w:val="single" w:color="000000" w:sz="4" w:space="0"/>
            </w:tcBorders>
            <w:noWrap/>
            <w:vAlign w:val="center"/>
          </w:tcPr>
          <w:p w14:paraId="0D265C90">
            <w:pPr>
              <w:jc w:val="center"/>
              <w:rPr>
                <w:rFonts w:hint="eastAsia" w:ascii="宋体" w:hAnsi="宋体" w:eastAsia="宋体" w:cs="宋体"/>
                <w:i w:val="0"/>
                <w:iCs w:val="0"/>
                <w:color w:val="000000"/>
                <w:sz w:val="21"/>
                <w:szCs w:val="21"/>
                <w:highlight w:val="none"/>
                <w:u w:val="none"/>
              </w:rPr>
            </w:pPr>
          </w:p>
        </w:tc>
      </w:tr>
    </w:tbl>
    <w:p w14:paraId="586D27C6">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r>
    </w:p>
    <w:p w14:paraId="30B27569">
      <w:pPr>
        <w:rPr>
          <w:rFonts w:eastAsiaTheme="minorEastAsia"/>
          <w:color w:val="000000" w:themeColor="text1"/>
          <w:highlight w:val="none"/>
          <w:lang w:eastAsia="zh-CN"/>
          <w14:textFill>
            <w14:solidFill>
              <w14:schemeClr w14:val="tx1"/>
            </w14:solidFill>
          </w14:textFill>
        </w:rPr>
      </w:pPr>
    </w:p>
    <w:p w14:paraId="7E1F8175">
      <w:pPr>
        <w:tabs>
          <w:tab w:val="left" w:pos="1279"/>
        </w:tabs>
        <w:ind w:right="177"/>
        <w:jc w:val="center"/>
        <w:outlineLvl w:val="0"/>
        <w:rPr>
          <w:color w:val="000000" w:themeColor="text1"/>
          <w:highlight w:val="none"/>
          <w:lang w:eastAsia="zh-CN"/>
          <w14:textFill>
            <w14:solidFill>
              <w14:schemeClr w14:val="tx1"/>
            </w14:solidFill>
          </w14:textFill>
        </w:rPr>
      </w:pPr>
      <w:bookmarkStart w:id="142" w:name="_Toc183610250"/>
      <w:r>
        <w:rPr>
          <w:rFonts w:hint="eastAsia" w:ascii="宋体" w:hAnsi="宋体" w:eastAsia="宋体" w:cs="宋体"/>
          <w:b/>
          <w:bCs/>
          <w:color w:val="000000" w:themeColor="text1"/>
          <w:sz w:val="28"/>
          <w:szCs w:val="28"/>
          <w:highlight w:val="none"/>
          <w:lang w:eastAsia="zh-CN"/>
          <w14:textFill>
            <w14:solidFill>
              <w14:schemeClr w14:val="tx1"/>
            </w14:solidFill>
          </w14:textFill>
        </w:rPr>
        <w:t>第六章 响应文件格式</w:t>
      </w:r>
      <w:bookmarkEnd w:id="142"/>
    </w:p>
    <w:p w14:paraId="2597D68B">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3EEA75D8">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7F756E79">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4DFFD63C">
      <w:pPr>
        <w:spacing w:line="712" w:lineRule="auto"/>
        <w:jc w:val="righ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正本（副本）</w:t>
      </w:r>
      <w:r>
        <w:rPr>
          <w:color w:val="000000" w:themeColor="text1"/>
          <w:highlight w:val="none"/>
          <w:lang w:eastAsia="zh-CN"/>
          <w14:textFill>
            <w14:solidFill>
              <w14:schemeClr w14:val="tx1"/>
            </w14:solidFill>
          </w14:textFill>
        </w:rPr>
        <w:t xml:space="preserve"> </w:t>
      </w:r>
    </w:p>
    <w:p w14:paraId="0EB5D458">
      <w:pPr>
        <w:spacing w:line="360" w:lineRule="auto"/>
        <w:jc w:val="center"/>
        <w:rPr>
          <w:rFonts w:ascii="宋体" w:hAnsi="宋体" w:eastAsia="宋体" w:cs="宋体"/>
          <w:color w:val="000000" w:themeColor="text1"/>
          <w:sz w:val="44"/>
          <w:szCs w:val="44"/>
          <w:highlight w:val="none"/>
          <w:lang w:eastAsia="zh-CN"/>
          <w14:textFill>
            <w14:solidFill>
              <w14:schemeClr w14:val="tx1"/>
            </w14:solidFill>
          </w14:textFill>
        </w:rPr>
      </w:pPr>
    </w:p>
    <w:p w14:paraId="26DCF5C4">
      <w:pPr>
        <w:spacing w:line="360" w:lineRule="auto"/>
        <w:jc w:val="center"/>
        <w:rPr>
          <w:rFonts w:cs="黑体"/>
          <w:color w:val="000000" w:themeColor="text1"/>
          <w:sz w:val="48"/>
          <w:szCs w:val="48"/>
          <w:highlight w:val="none"/>
          <w:lang w:eastAsia="zh-CN"/>
          <w14:textFill>
            <w14:solidFill>
              <w14:schemeClr w14:val="tx1"/>
            </w14:solidFill>
          </w14:textFill>
        </w:rPr>
      </w:pPr>
      <w:r>
        <w:rPr>
          <w:rFonts w:hint="eastAsia" w:ascii="宋体" w:hAnsi="宋体" w:eastAsia="宋体" w:cs="宋体"/>
          <w:color w:val="000000" w:themeColor="text1"/>
          <w:sz w:val="48"/>
          <w:szCs w:val="48"/>
          <w:highlight w:val="none"/>
          <w:lang w:eastAsia="zh-CN"/>
          <w14:textFill>
            <w14:solidFill>
              <w14:schemeClr w14:val="tx1"/>
            </w14:solidFill>
          </w14:textFill>
        </w:rPr>
        <w:t>原铜井化工园退役场地风险评估项目</w:t>
      </w:r>
    </w:p>
    <w:p w14:paraId="0706D6B5">
      <w:pPr>
        <w:rPr>
          <w:rFonts w:ascii="黑体" w:hAnsi="黑体" w:eastAsia="黑体" w:cs="黑体"/>
          <w:color w:val="000000" w:themeColor="text1"/>
          <w:sz w:val="32"/>
          <w:szCs w:val="32"/>
          <w:highlight w:val="none"/>
          <w:lang w:eastAsia="zh-CN"/>
          <w14:textFill>
            <w14:solidFill>
              <w14:schemeClr w14:val="tx1"/>
            </w14:solidFill>
          </w14:textFill>
        </w:rPr>
      </w:pPr>
    </w:p>
    <w:p w14:paraId="0B0E4744">
      <w:pPr>
        <w:rPr>
          <w:rFonts w:ascii="黑体" w:hAnsi="黑体" w:eastAsia="黑体" w:cs="黑体"/>
          <w:color w:val="000000" w:themeColor="text1"/>
          <w:sz w:val="32"/>
          <w:szCs w:val="32"/>
          <w:highlight w:val="none"/>
          <w:lang w:eastAsia="zh-CN"/>
          <w14:textFill>
            <w14:solidFill>
              <w14:schemeClr w14:val="tx1"/>
            </w14:solidFill>
          </w14:textFill>
        </w:rPr>
      </w:pPr>
    </w:p>
    <w:p w14:paraId="781C9399">
      <w:pPr>
        <w:spacing w:before="8"/>
        <w:rPr>
          <w:rFonts w:ascii="黑体" w:hAnsi="黑体" w:eastAsia="黑体" w:cs="黑体"/>
          <w:color w:val="000000" w:themeColor="text1"/>
          <w:sz w:val="24"/>
          <w:szCs w:val="24"/>
          <w:highlight w:val="none"/>
          <w:lang w:eastAsia="zh-CN"/>
          <w14:textFill>
            <w14:solidFill>
              <w14:schemeClr w14:val="tx1"/>
            </w14:solidFill>
          </w14:textFill>
        </w:rPr>
      </w:pPr>
    </w:p>
    <w:p w14:paraId="77ACF904">
      <w:pPr>
        <w:ind w:right="1"/>
        <w:jc w:val="cente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t>响应文件</w:t>
      </w:r>
    </w:p>
    <w:p w14:paraId="5401970E">
      <w:pPr>
        <w:rPr>
          <w:rFonts w:ascii="黑体" w:hAnsi="黑体" w:eastAsia="黑体" w:cs="黑体"/>
          <w:color w:val="000000" w:themeColor="text1"/>
          <w:sz w:val="72"/>
          <w:szCs w:val="72"/>
          <w:highlight w:val="none"/>
          <w:lang w:eastAsia="zh-CN"/>
          <w14:textFill>
            <w14:solidFill>
              <w14:schemeClr w14:val="tx1"/>
            </w14:solidFill>
          </w14:textFill>
        </w:rPr>
      </w:pPr>
    </w:p>
    <w:p w14:paraId="375D2316">
      <w:pPr>
        <w:rPr>
          <w:rFonts w:ascii="黑体" w:hAnsi="黑体" w:eastAsia="黑体" w:cs="黑体"/>
          <w:color w:val="000000" w:themeColor="text1"/>
          <w:sz w:val="72"/>
          <w:szCs w:val="72"/>
          <w:highlight w:val="none"/>
          <w:lang w:eastAsia="zh-CN"/>
          <w14:textFill>
            <w14:solidFill>
              <w14:schemeClr w14:val="tx1"/>
            </w14:solidFill>
          </w14:textFill>
        </w:rPr>
      </w:pPr>
    </w:p>
    <w:p w14:paraId="56E8F582">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lang w:eastAsia="zh-CN"/>
          <w14:textFill>
            <w14:solidFill>
              <w14:schemeClr w14:val="tx1"/>
            </w14:solidFill>
          </w14:textFill>
        </w:rPr>
        <w:t>项目编号</w:t>
      </w:r>
      <w:r>
        <w:rPr>
          <w:rFonts w:ascii="黑体" w:hAnsi="黑体" w:eastAsia="黑体" w:cs="黑体"/>
          <w:color w:val="000000" w:themeColor="text1"/>
          <w:sz w:val="32"/>
          <w:szCs w:val="32"/>
          <w:highlight w:val="none"/>
          <w:lang w:eastAsia="zh-CN"/>
          <w14:textFill>
            <w14:solidFill>
              <w14:schemeClr w14:val="tx1"/>
            </w14:solidFill>
          </w14:textFill>
        </w:rPr>
        <w:t>：</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p>
    <w:p w14:paraId="36CBB7B7">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供 应 商：</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（单位公章） 联 系</w:t>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 </w:t>
      </w:r>
      <w:r>
        <w:rPr>
          <w:rFonts w:ascii="黑体" w:hAnsi="黑体" w:eastAsia="黑体" w:cs="黑体"/>
          <w:color w:val="000000" w:themeColor="text1"/>
          <w:sz w:val="32"/>
          <w:szCs w:val="32"/>
          <w:highlight w:val="none"/>
          <w:lang w:eastAsia="zh-CN"/>
          <w14:textFill>
            <w14:solidFill>
              <w14:schemeClr w14:val="tx1"/>
            </w14:solidFill>
          </w14:textFill>
        </w:rPr>
        <w:t>人：</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p>
    <w:p w14:paraId="1D32A47E">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联系方式：</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p>
    <w:p w14:paraId="48239715">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单位地址：</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p>
    <w:p w14:paraId="1F8054F5">
      <w:pPr>
        <w:tabs>
          <w:tab w:val="left" w:pos="847"/>
          <w:tab w:val="left" w:pos="1648"/>
          <w:tab w:val="left" w:pos="2448"/>
        </w:tabs>
        <w:spacing w:before="46"/>
        <w:ind w:left="47"/>
        <w:jc w:val="center"/>
        <w:rPr>
          <w:rFonts w:ascii="黑体" w:hAnsi="黑体" w:eastAsia="黑体" w:cs="黑体"/>
          <w:color w:val="000000" w:themeColor="text1"/>
          <w:sz w:val="32"/>
          <w:szCs w:val="32"/>
          <w:highlight w:val="none"/>
          <w:lang w:eastAsia="zh-CN"/>
          <w14:textFill>
            <w14:solidFill>
              <w14:schemeClr w14:val="tx1"/>
            </w14:solidFill>
          </w14:textFill>
        </w:rPr>
      </w:pP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2"/>
          <w:sz w:val="32"/>
          <w:szCs w:val="32"/>
          <w:highlight w:val="none"/>
          <w:lang w:eastAsia="zh-CN"/>
          <w14:textFill>
            <w14:solidFill>
              <w14:schemeClr w14:val="tx1"/>
            </w14:solidFill>
          </w14:textFill>
        </w:rPr>
        <w:t>年</w:t>
      </w:r>
      <w:r>
        <w:rPr>
          <w:rFonts w:eastAsia="Times New Roman"/>
          <w:color w:val="000000" w:themeColor="text1"/>
          <w:spacing w:val="2"/>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1"/>
          <w:sz w:val="32"/>
          <w:szCs w:val="32"/>
          <w:highlight w:val="none"/>
          <w:lang w:eastAsia="zh-CN"/>
          <w14:textFill>
            <w14:solidFill>
              <w14:schemeClr w14:val="tx1"/>
            </w14:solidFill>
          </w14:textFill>
        </w:rPr>
        <w:t>月</w:t>
      </w:r>
      <w:r>
        <w:rPr>
          <w:rFonts w:eastAsia="Times New Roman"/>
          <w:color w:val="000000" w:themeColor="text1"/>
          <w:spacing w:val="-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日</w:t>
      </w:r>
    </w:p>
    <w:p w14:paraId="6E87525E">
      <w:pPr>
        <w:rPr>
          <w:rFonts w:hint="eastAsia" w:ascii="宋体" w:hAnsi="宋体"/>
          <w:b/>
          <w:color w:val="000000" w:themeColor="text1"/>
          <w:sz w:val="24"/>
          <w:szCs w:val="21"/>
          <w:highlight w:val="none"/>
          <w:lang w:eastAsia="zh-CN"/>
          <w14:textFill>
            <w14:solidFill>
              <w14:schemeClr w14:val="tx1"/>
            </w14:solidFill>
          </w14:textFill>
        </w:rPr>
      </w:pPr>
      <w:bookmarkStart w:id="143" w:name="_Toc22659"/>
      <w:bookmarkStart w:id="144" w:name="_Toc11056"/>
      <w:bookmarkStart w:id="145" w:name="_Toc175663950"/>
      <w:r>
        <w:rPr>
          <w:rFonts w:hint="eastAsia" w:ascii="宋体" w:hAnsi="宋体"/>
          <w:b/>
          <w:color w:val="000000" w:themeColor="text1"/>
          <w:sz w:val="24"/>
          <w:szCs w:val="21"/>
          <w:highlight w:val="none"/>
          <w:lang w:eastAsia="zh-CN"/>
          <w14:textFill>
            <w14:solidFill>
              <w14:schemeClr w14:val="tx1"/>
            </w14:solidFill>
          </w14:textFill>
        </w:rPr>
        <w:br w:type="page"/>
      </w:r>
    </w:p>
    <w:p w14:paraId="6FFB98D7">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t>一、磋商申请及声明</w:t>
      </w:r>
      <w:bookmarkEnd w:id="143"/>
      <w:bookmarkEnd w:id="144"/>
      <w:bookmarkEnd w:id="145"/>
    </w:p>
    <w:p w14:paraId="4CDDD98D">
      <w:pPr>
        <w:jc w:val="center"/>
        <w:rPr>
          <w:rFonts w:ascii="宋体" w:hAnsi="宋体" w:cs="宋体"/>
          <w:b/>
          <w:color w:val="000000" w:themeColor="text1"/>
          <w:sz w:val="52"/>
          <w:szCs w:val="44"/>
          <w:highlight w:val="none"/>
          <w:lang w:val="zh-CN" w:eastAsia="zh-CN"/>
          <w14:textFill>
            <w14:solidFill>
              <w14:schemeClr w14:val="tx1"/>
            </w14:solidFill>
          </w14:textFill>
        </w:rPr>
      </w:pPr>
      <w:r>
        <w:rPr>
          <w:rFonts w:hint="eastAsia" w:ascii="宋体" w:hAnsi="宋体" w:cs="宋体"/>
          <w:b/>
          <w:color w:val="000000" w:themeColor="text1"/>
          <w:sz w:val="52"/>
          <w:szCs w:val="44"/>
          <w:highlight w:val="none"/>
          <w:lang w:val="zh-CN" w:eastAsia="zh-CN"/>
          <w14:textFill>
            <w14:solidFill>
              <w14:schemeClr w14:val="tx1"/>
            </w14:solidFill>
          </w14:textFill>
        </w:rPr>
        <w:t>磋商申请及声明</w:t>
      </w:r>
    </w:p>
    <w:p w14:paraId="5BF47799">
      <w:pPr>
        <w:spacing w:line="4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致：</w:t>
      </w:r>
      <w:r>
        <w:rPr>
          <w:rFonts w:hint="eastAsia" w:ascii="宋体" w:hAnsi="宋体" w:eastAsia="宋体" w:cs="宋体"/>
          <w:color w:val="000000" w:themeColor="text1"/>
          <w:sz w:val="24"/>
          <w:szCs w:val="21"/>
          <w:highlight w:val="none"/>
          <w:lang w:eastAsia="zh-CN"/>
          <w14:textFill>
            <w14:solidFill>
              <w14:schemeClr w14:val="tx1"/>
            </w14:solidFill>
          </w14:textFill>
        </w:rPr>
        <w:t>南京江宁滨江经济开发区管理委员会</w:t>
      </w:r>
    </w:p>
    <w:p w14:paraId="3EECF3B3">
      <w:pPr>
        <w:spacing w:line="360" w:lineRule="exact"/>
        <w:ind w:firstLine="420"/>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根据贵方</w:t>
      </w:r>
      <w:r>
        <w:rPr>
          <w:rFonts w:hint="eastAsia" w:ascii="宋体" w:eastAsiaTheme="minorEastAsia"/>
          <w:color w:val="000000" w:themeColor="text1"/>
          <w:sz w:val="24"/>
          <w:szCs w:val="21"/>
          <w:highlight w:val="none"/>
          <w:u w:val="single"/>
          <w:lang w:val="zh-CN" w:eastAsia="zh-CN"/>
          <w14:textFill>
            <w14:solidFill>
              <w14:schemeClr w14:val="tx1"/>
            </w14:solidFill>
          </w14:textFill>
        </w:rPr>
        <w:t xml:space="preserve">   </w:t>
      </w:r>
      <w:r>
        <w:rPr>
          <w:rFonts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号采购文件，正式授权下述签字人</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(姓名和职务)代表</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（供应商名称），提交响应文件并参加磋商。</w:t>
      </w:r>
    </w:p>
    <w:p w14:paraId="0A489B0D">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据此函，签字人兹宣布同意如下：</w:t>
      </w:r>
    </w:p>
    <w:p w14:paraId="0023CE22">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1.</w:t>
      </w:r>
      <w:r>
        <w:rPr>
          <w:rFonts w:hint="eastAsia" w:ascii="宋体" w:hAnsi="宋体"/>
          <w:color w:val="000000" w:themeColor="text1"/>
          <w:sz w:val="24"/>
          <w:szCs w:val="21"/>
          <w:highlight w:val="none"/>
          <w:lang w:eastAsia="zh-CN"/>
          <w14:textFill>
            <w14:solidFill>
              <w14:schemeClr w14:val="tx1"/>
            </w14:solidFill>
          </w14:textFill>
        </w:rPr>
        <w:t>按磋商需求的磋商报价为</w:t>
      </w:r>
      <w:r>
        <w:rPr>
          <w:rFonts w:hint="eastAsia" w:ascii="宋体" w:hAnsi="宋体"/>
          <w:color w:val="000000" w:themeColor="text1"/>
          <w:sz w:val="24"/>
          <w:szCs w:val="21"/>
          <w:highlight w:val="none"/>
          <w:u w:val="single"/>
          <w:lang w:eastAsia="zh-CN"/>
          <w14:textFill>
            <w14:solidFill>
              <w14:schemeClr w14:val="tx1"/>
            </w14:solidFill>
          </w14:textFill>
        </w:rPr>
        <w:t>¥       （大写：      ）</w:t>
      </w:r>
      <w:r>
        <w:rPr>
          <w:rFonts w:hint="eastAsia" w:ascii="宋体" w:hAnsi="宋体"/>
          <w:color w:val="000000" w:themeColor="text1"/>
          <w:sz w:val="24"/>
          <w:szCs w:val="21"/>
          <w:highlight w:val="none"/>
          <w:lang w:eastAsia="zh-CN"/>
          <w14:textFill>
            <w14:solidFill>
              <w14:schemeClr w14:val="tx1"/>
            </w14:solidFill>
          </w14:textFill>
        </w:rPr>
        <w:t>。</w:t>
      </w:r>
    </w:p>
    <w:p w14:paraId="1CD0D9AB">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2.</w:t>
      </w:r>
      <w:r>
        <w:rPr>
          <w:rFonts w:hint="eastAsia" w:ascii="宋体" w:hAnsi="宋体"/>
          <w:color w:val="000000" w:themeColor="text1"/>
          <w:sz w:val="24"/>
          <w:szCs w:val="21"/>
          <w:highlight w:val="none"/>
          <w:lang w:eastAsia="zh-CN"/>
          <w14:textFill>
            <w14:solidFill>
              <w14:schemeClr w14:val="tx1"/>
            </w14:solidFill>
          </w14:textFill>
        </w:rPr>
        <w:t>我们完全理解贵方不一定要接受最低报价的磋商或收到的任何磋商。</w:t>
      </w:r>
    </w:p>
    <w:p w14:paraId="1A9FEAAC">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3.</w:t>
      </w:r>
      <w:r>
        <w:rPr>
          <w:rFonts w:hint="eastAsia" w:ascii="宋体" w:hAnsi="宋体"/>
          <w:color w:val="000000" w:themeColor="text1"/>
          <w:sz w:val="24"/>
          <w:szCs w:val="21"/>
          <w:highlight w:val="none"/>
          <w:lang w:eastAsia="zh-CN"/>
          <w14:textFill>
            <w14:solidFill>
              <w14:schemeClr w14:val="tx1"/>
            </w14:solidFill>
          </w14:textFill>
        </w:rPr>
        <w:t>我们已详细审核全部磋商文件及其有效补充文件，我们知道必须放弃提出含糊不清或误解的问题的权利。</w:t>
      </w:r>
    </w:p>
    <w:p w14:paraId="299E145D">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4.</w:t>
      </w:r>
      <w:r>
        <w:rPr>
          <w:rFonts w:hint="eastAsia" w:ascii="宋体" w:hAnsi="宋体"/>
          <w:color w:val="000000" w:themeColor="text1"/>
          <w:sz w:val="24"/>
          <w:szCs w:val="21"/>
          <w:highlight w:val="none"/>
          <w:lang w:eastAsia="zh-CN"/>
          <w14:textFill>
            <w14:solidFill>
              <w14:schemeClr w14:val="tx1"/>
            </w14:solidFill>
          </w14:textFill>
        </w:rPr>
        <w:t>我们同意从规定的磋商日期起遵循本磋商文件，并在规定的磋商有效期期满之前均具有约束力。</w:t>
      </w:r>
    </w:p>
    <w:p w14:paraId="321CD0C7">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5</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同意向贵方提供贵方可能要求的与磋商有关的任何证据或资料。</w:t>
      </w:r>
    </w:p>
    <w:p w14:paraId="6C0910F3">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6</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一旦我方成交，我方将根据磋商文件的规定，严格履行合同，并保证于承诺的时间完成货物的启动、调试等服务，交付采购人验收、使用。</w:t>
      </w:r>
    </w:p>
    <w:p w14:paraId="695D55DF">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7</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我方将严格遵守《中华人民共和国政府采购法》第七十七条规定，若有下列情形之一的，将被处以采购金额</w:t>
      </w:r>
      <w:r>
        <w:rPr>
          <w:rFonts w:ascii="宋体" w:hAnsi="宋体"/>
          <w:color w:val="000000" w:themeColor="text1"/>
          <w:sz w:val="24"/>
          <w:szCs w:val="21"/>
          <w:highlight w:val="none"/>
          <w:lang w:eastAsia="zh-CN"/>
          <w14:textFill>
            <w14:solidFill>
              <w14:schemeClr w14:val="tx1"/>
            </w14:solidFill>
          </w14:textFill>
        </w:rPr>
        <w:t>5</w:t>
      </w:r>
      <w:r>
        <w:rPr>
          <w:rFonts w:hint="eastAsia" w:ascii="宋体" w:hAnsi="宋体"/>
          <w:color w:val="000000" w:themeColor="text1"/>
          <w:sz w:val="24"/>
          <w:szCs w:val="21"/>
          <w:highlight w:val="none"/>
          <w:lang w:eastAsia="zh-CN"/>
          <w14:textFill>
            <w14:solidFill>
              <w14:schemeClr w14:val="tx1"/>
            </w14:solidFill>
          </w14:textFill>
        </w:rPr>
        <w:t>‰以上</w:t>
      </w:r>
      <w:r>
        <w:rPr>
          <w:rFonts w:ascii="宋体" w:hAnsi="宋体"/>
          <w:color w:val="000000" w:themeColor="text1"/>
          <w:sz w:val="24"/>
          <w:szCs w:val="21"/>
          <w:highlight w:val="none"/>
          <w:lang w:eastAsia="zh-CN"/>
          <w14:textFill>
            <w14:solidFill>
              <w14:schemeClr w14:val="tx1"/>
            </w14:solidFill>
          </w14:textFill>
        </w:rPr>
        <w:t>10</w:t>
      </w:r>
      <w:r>
        <w:rPr>
          <w:rFonts w:hint="eastAsia" w:ascii="宋体" w:hAnsi="宋体"/>
          <w:color w:val="000000" w:themeColor="text1"/>
          <w:sz w:val="24"/>
          <w:szCs w:val="21"/>
          <w:highlight w:val="none"/>
          <w:lang w:eastAsia="zh-CN"/>
          <w14:textFill>
            <w14:solidFill>
              <w14:schemeClr w14:val="tx1"/>
            </w14:solidFill>
          </w14:textFill>
        </w:rPr>
        <w:t>‰以下的罚款，列入不良行为记录名单，在一至三年内禁止参加政府采购活动；有违法所得的，并处没收违法所得；情节严重的，由工商行政管理机关吊销营业执照；构成犯罪的，依法追究刑事责任：</w:t>
      </w:r>
    </w:p>
    <w:p w14:paraId="5C2228DE">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1</w:t>
      </w:r>
      <w:r>
        <w:rPr>
          <w:rFonts w:hint="eastAsia" w:ascii="宋体" w:hAnsi="宋体"/>
          <w:color w:val="000000" w:themeColor="text1"/>
          <w:sz w:val="24"/>
          <w:szCs w:val="21"/>
          <w:highlight w:val="none"/>
          <w:lang w:eastAsia="zh-CN"/>
          <w14:textFill>
            <w14:solidFill>
              <w14:schemeClr w14:val="tx1"/>
            </w14:solidFill>
          </w14:textFill>
        </w:rPr>
        <w:t>）提供虚假材料谋取中标、成交的；</w:t>
      </w:r>
    </w:p>
    <w:p w14:paraId="7DFE7013">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2</w:t>
      </w:r>
      <w:r>
        <w:rPr>
          <w:rFonts w:hint="eastAsia" w:ascii="宋体" w:hAnsi="宋体"/>
          <w:color w:val="000000" w:themeColor="text1"/>
          <w:sz w:val="24"/>
          <w:szCs w:val="21"/>
          <w:highlight w:val="none"/>
          <w:lang w:eastAsia="zh-CN"/>
          <w14:textFill>
            <w14:solidFill>
              <w14:schemeClr w14:val="tx1"/>
            </w14:solidFill>
          </w14:textFill>
        </w:rPr>
        <w:t>）采取不正当手段诋毁、排挤其他供应商的；</w:t>
      </w:r>
    </w:p>
    <w:p w14:paraId="00CE3326">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3</w:t>
      </w:r>
      <w:r>
        <w:rPr>
          <w:rFonts w:hint="eastAsia" w:ascii="宋体" w:hAnsi="宋体"/>
          <w:color w:val="000000" w:themeColor="text1"/>
          <w:sz w:val="24"/>
          <w:szCs w:val="21"/>
          <w:highlight w:val="none"/>
          <w:lang w:eastAsia="zh-CN"/>
          <w14:textFill>
            <w14:solidFill>
              <w14:schemeClr w14:val="tx1"/>
            </w14:solidFill>
          </w14:textFill>
        </w:rPr>
        <w:t>）与采购人、其它供应商或者采购代理机构恶意串通的；</w:t>
      </w:r>
    </w:p>
    <w:p w14:paraId="4C459C04">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4</w:t>
      </w:r>
      <w:r>
        <w:rPr>
          <w:rFonts w:hint="eastAsia" w:ascii="宋体" w:hAnsi="宋体"/>
          <w:color w:val="000000" w:themeColor="text1"/>
          <w:sz w:val="24"/>
          <w:szCs w:val="21"/>
          <w:highlight w:val="none"/>
          <w:lang w:eastAsia="zh-CN"/>
          <w14:textFill>
            <w14:solidFill>
              <w14:schemeClr w14:val="tx1"/>
            </w14:solidFill>
          </w14:textFill>
        </w:rPr>
        <w:t>）向采购人、采购代理机构行贿或者提供其他不正当利益的；</w:t>
      </w:r>
    </w:p>
    <w:p w14:paraId="28EC8E63">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5</w:t>
      </w:r>
      <w:r>
        <w:rPr>
          <w:rFonts w:hint="eastAsia" w:ascii="宋体" w:hAnsi="宋体"/>
          <w:color w:val="000000" w:themeColor="text1"/>
          <w:sz w:val="24"/>
          <w:szCs w:val="21"/>
          <w:highlight w:val="none"/>
          <w:lang w:eastAsia="zh-CN"/>
          <w14:textFill>
            <w14:solidFill>
              <w14:schemeClr w14:val="tx1"/>
            </w14:solidFill>
          </w14:textFill>
        </w:rPr>
        <w:t>）在采购过程中与采购人进行协商磋商的；</w:t>
      </w:r>
    </w:p>
    <w:p w14:paraId="24A0A510">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6</w:t>
      </w:r>
      <w:r>
        <w:rPr>
          <w:rFonts w:hint="eastAsia" w:ascii="宋体" w:hAnsi="宋体"/>
          <w:color w:val="000000" w:themeColor="text1"/>
          <w:sz w:val="24"/>
          <w:szCs w:val="21"/>
          <w:highlight w:val="none"/>
          <w:lang w:eastAsia="zh-CN"/>
          <w14:textFill>
            <w14:solidFill>
              <w14:schemeClr w14:val="tx1"/>
            </w14:solidFill>
          </w14:textFill>
        </w:rPr>
        <w:t>）拒绝有关部门监督检查或提供虚假情况的。</w:t>
      </w:r>
    </w:p>
    <w:p w14:paraId="1A011860">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8</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与本磋商有关的正式通讯地址为：</w:t>
      </w:r>
    </w:p>
    <w:p w14:paraId="10CDBC68">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供应商名称（盖章）：</w:t>
      </w:r>
    </w:p>
    <w:p w14:paraId="39CE3051">
      <w:pPr>
        <w:spacing w:line="400" w:lineRule="exact"/>
        <w:ind w:firstLine="720" w:firstLineChars="300"/>
        <w:rPr>
          <w:rFonts w:asci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地址：</w:t>
      </w:r>
    </w:p>
    <w:p w14:paraId="713C1D25">
      <w:pPr>
        <w:spacing w:line="400" w:lineRule="exact"/>
        <w:ind w:firstLine="720" w:firstLineChars="300"/>
        <w:rPr>
          <w:rFonts w:ascii="宋体" w:hAnsi="宋体"/>
          <w:color w:val="000000" w:themeColor="text1"/>
          <w:sz w:val="24"/>
          <w:highlight w:val="none"/>
          <w:u w:val="singl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联系电话：</w:t>
      </w:r>
    </w:p>
    <w:p w14:paraId="4B82FF05">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法定</w:t>
      </w:r>
      <w:r>
        <w:rPr>
          <w:rFonts w:hint="eastAsia" w:ascii="宋体" w:hAnsi="宋体"/>
          <w:color w:val="000000" w:themeColor="text1"/>
          <w:sz w:val="24"/>
          <w:highlight w:val="none"/>
          <w:lang w:eastAsia="zh-CN"/>
          <w14:textFill>
            <w14:solidFill>
              <w14:schemeClr w14:val="tx1"/>
            </w14:solidFill>
          </w14:textFill>
        </w:rPr>
        <w:t>代表人（签字或盖章）：</w:t>
      </w:r>
    </w:p>
    <w:p w14:paraId="368AADA5">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日期：   年   月   日</w:t>
      </w:r>
    </w:p>
    <w:p w14:paraId="6CFAB657">
      <w:pPr>
        <w:spacing w:line="360" w:lineRule="exact"/>
        <w:ind w:firstLine="720" w:firstLineChars="300"/>
        <w:rPr>
          <w:rFonts w:ascii="宋体" w:hAnsi="宋体"/>
          <w:color w:val="000000" w:themeColor="text1"/>
          <w:sz w:val="24"/>
          <w:highlight w:val="none"/>
          <w:lang w:eastAsia="zh-CN"/>
          <w14:textFill>
            <w14:solidFill>
              <w14:schemeClr w14:val="tx1"/>
            </w14:solidFill>
          </w14:textFill>
        </w:rPr>
      </w:pPr>
    </w:p>
    <w:p w14:paraId="32F6F7A1">
      <w:pPr>
        <w:spacing w:line="360" w:lineRule="exact"/>
        <w:ind w:firstLine="720" w:firstLineChars="300"/>
        <w:rPr>
          <w:rFonts w:ascii="宋体" w:hAnsi="宋体"/>
          <w:color w:val="000000" w:themeColor="text1"/>
          <w:sz w:val="24"/>
          <w:highlight w:val="none"/>
          <w:lang w:eastAsia="zh-CN"/>
          <w14:textFill>
            <w14:solidFill>
              <w14:schemeClr w14:val="tx1"/>
            </w14:solidFill>
          </w14:textFill>
        </w:rPr>
      </w:pPr>
    </w:p>
    <w:p w14:paraId="0233BCD0">
      <w:pPr>
        <w:pStyle w:val="66"/>
        <w:rPr>
          <w:rFonts w:eastAsiaTheme="minorEastAsia"/>
          <w:color w:val="000000" w:themeColor="text1"/>
          <w:highlight w:val="none"/>
          <w:lang w:eastAsia="zh-CN"/>
          <w14:textFill>
            <w14:solidFill>
              <w14:schemeClr w14:val="tx1"/>
            </w14:solidFill>
          </w14:textFill>
        </w:rPr>
      </w:pPr>
      <w:bookmarkStart w:id="146" w:name="_Hlt460314944"/>
      <w:bookmarkEnd w:id="146"/>
      <w:bookmarkStart w:id="147" w:name="_Toc10181"/>
      <w:bookmarkStart w:id="148" w:name="_Toc26050"/>
    </w:p>
    <w:p w14:paraId="543ECEB9">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r>
    </w:p>
    <w:p w14:paraId="31DB1B56">
      <w:pPr>
        <w:outlineLvl w:val="1"/>
        <w:rPr>
          <w:rFonts w:ascii="宋体" w:hAnsi="宋体"/>
          <w:b/>
          <w:color w:val="000000" w:themeColor="text1"/>
          <w:sz w:val="24"/>
          <w:szCs w:val="21"/>
          <w:highlight w:val="none"/>
          <w:lang w:eastAsia="zh-CN"/>
          <w14:textFill>
            <w14:solidFill>
              <w14:schemeClr w14:val="tx1"/>
            </w14:solidFill>
          </w14:textFill>
        </w:rPr>
      </w:pPr>
      <w:bookmarkStart w:id="149" w:name="_Toc175663951"/>
      <w:r>
        <w:rPr>
          <w:rFonts w:hint="eastAsia" w:ascii="宋体" w:hAnsi="宋体"/>
          <w:b/>
          <w:color w:val="000000" w:themeColor="text1"/>
          <w:sz w:val="24"/>
          <w:szCs w:val="21"/>
          <w:highlight w:val="none"/>
          <w:lang w:eastAsia="zh-CN"/>
          <w14:textFill>
            <w14:solidFill>
              <w14:schemeClr w14:val="tx1"/>
            </w14:solidFill>
          </w14:textFill>
        </w:rPr>
        <w:t>二、法定代表人授权委托书</w:t>
      </w:r>
      <w:bookmarkEnd w:id="147"/>
      <w:bookmarkEnd w:id="148"/>
      <w:bookmarkEnd w:id="149"/>
    </w:p>
    <w:p w14:paraId="1B87B30A">
      <w:pPr>
        <w:ind w:firstLine="803" w:firstLineChars="200"/>
        <w:jc w:val="center"/>
        <w:rPr>
          <w:rFonts w:ascii="宋体" w:hAnsi="宋体"/>
          <w:b/>
          <w:bCs/>
          <w:color w:val="000000" w:themeColor="text1"/>
          <w:sz w:val="24"/>
          <w:highlight w:val="none"/>
          <w:lang w:eastAsia="zh-CN"/>
          <w14:textFill>
            <w14:solidFill>
              <w14:schemeClr w14:val="tx1"/>
            </w14:solidFill>
          </w14:textFill>
        </w:rPr>
      </w:pPr>
      <w:r>
        <w:rPr>
          <w:rFonts w:hint="eastAsia" w:ascii="黑体" w:hAnsi="宋体" w:eastAsia="黑体"/>
          <w:b/>
          <w:bCs/>
          <w:color w:val="000000" w:themeColor="text1"/>
          <w:sz w:val="40"/>
          <w:szCs w:val="44"/>
          <w:highlight w:val="none"/>
          <w:lang w:eastAsia="zh-CN"/>
          <w14:textFill>
            <w14:solidFill>
              <w14:schemeClr w14:val="tx1"/>
            </w14:solidFill>
          </w14:textFill>
        </w:rPr>
        <w:t>法定代表人授权委托书</w:t>
      </w:r>
    </w:p>
    <w:p w14:paraId="0D564F3C">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lang w:eastAsia="zh-CN"/>
          <w14:textFill>
            <w14:solidFill>
              <w14:schemeClr w14:val="tx1"/>
            </w14:solidFill>
          </w14:textFill>
        </w:rPr>
        <w:t>南京江宁滨江经济开发区管理委员会</w:t>
      </w:r>
      <w:r>
        <w:rPr>
          <w:rFonts w:hint="eastAsia" w:ascii="宋体" w:hAnsi="宋体"/>
          <w:color w:val="000000" w:themeColor="text1"/>
          <w:sz w:val="24"/>
          <w:szCs w:val="21"/>
          <w:highlight w:val="none"/>
          <w:lang w:eastAsia="zh-CN"/>
          <w14:textFill>
            <w14:solidFill>
              <w14:schemeClr w14:val="tx1"/>
            </w14:solidFill>
          </w14:textFill>
        </w:rPr>
        <w:t xml:space="preserve"> ：</w:t>
      </w:r>
    </w:p>
    <w:p w14:paraId="5873512A">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本授权书声明：注册于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（供应商注册地址）的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（供应商名称）法定代表人</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（法定代表人姓名、职务）代表本公司授权在下面签字的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u w:val="single"/>
          <w:lang w:eastAsia="zh-CN"/>
          <w14:textFill>
            <w14:solidFill>
              <w14:schemeClr w14:val="tx1"/>
            </w14:solidFill>
          </w14:textFill>
        </w:rPr>
        <w:t>号</w:t>
      </w:r>
      <w:r>
        <w:rPr>
          <w:rFonts w:hint="eastAsia" w:ascii="宋体" w:hAnsi="宋体"/>
          <w:color w:val="000000" w:themeColor="text1"/>
          <w:sz w:val="24"/>
          <w:szCs w:val="21"/>
          <w:highlight w:val="none"/>
          <w:lang w:eastAsia="zh-CN"/>
          <w14:textFill>
            <w14:solidFill>
              <w14:schemeClr w14:val="tx1"/>
            </w14:solidFill>
          </w14:textFill>
        </w:rPr>
        <w:t>，项目名称</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，以本公司名义处理一切与之有关的事务。</w:t>
      </w:r>
    </w:p>
    <w:p w14:paraId="3F3E16D1">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本授权书于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年</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月</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日签字生效，特此声明。</w:t>
      </w:r>
    </w:p>
    <w:p w14:paraId="17E6A93B">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附：</w:t>
      </w:r>
      <w:r>
        <w:rPr>
          <w:rFonts w:hint="eastAsia" w:ascii="宋体" w:hAnsi="宋体"/>
          <w:b/>
          <w:color w:val="000000" w:themeColor="text1"/>
          <w:sz w:val="24"/>
          <w:szCs w:val="21"/>
          <w:highlight w:val="none"/>
          <w:lang w:eastAsia="zh-CN"/>
          <w14:textFill>
            <w14:solidFill>
              <w14:schemeClr w14:val="tx1"/>
            </w14:solidFill>
          </w14:textFill>
        </w:rPr>
        <w:t>法人</w:t>
      </w:r>
      <w:r>
        <w:rPr>
          <w:rFonts w:hint="eastAsia" w:ascii="宋体" w:hAnsi="宋体"/>
          <w:color w:val="000000" w:themeColor="text1"/>
          <w:sz w:val="24"/>
          <w:szCs w:val="21"/>
          <w:highlight w:val="none"/>
          <w:lang w:eastAsia="zh-CN"/>
          <w14:textFill>
            <w14:solidFill>
              <w14:schemeClr w14:val="tx1"/>
            </w14:solidFill>
          </w14:textFill>
        </w:rPr>
        <w:t>及授</w:t>
      </w:r>
      <w:r>
        <w:rPr>
          <w:rFonts w:hint="eastAsia" w:ascii="宋体" w:hAnsi="宋体"/>
          <w:b/>
          <w:color w:val="000000" w:themeColor="text1"/>
          <w:sz w:val="24"/>
          <w:szCs w:val="21"/>
          <w:highlight w:val="none"/>
          <w:lang w:eastAsia="zh-CN"/>
          <w14:textFill>
            <w14:solidFill>
              <w14:schemeClr w14:val="tx1"/>
            </w14:solidFill>
          </w14:textFill>
        </w:rPr>
        <w:t>权委托人</w:t>
      </w:r>
      <w:r>
        <w:rPr>
          <w:rFonts w:hint="eastAsia" w:ascii="宋体" w:hAnsi="宋体"/>
          <w:color w:val="000000" w:themeColor="text1"/>
          <w:sz w:val="24"/>
          <w:szCs w:val="21"/>
          <w:highlight w:val="none"/>
          <w:lang w:eastAsia="zh-CN"/>
          <w14:textFill>
            <w14:solidFill>
              <w14:schemeClr w14:val="tx1"/>
            </w14:solidFill>
          </w14:textFill>
        </w:rPr>
        <w:t>身份证加盖公章。</w:t>
      </w:r>
    </w:p>
    <w:p w14:paraId="0DBC82AC">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p>
    <w:p w14:paraId="71F68114">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p>
    <w:p w14:paraId="66323D4A">
      <w:pPr>
        <w:spacing w:line="500" w:lineRule="exact"/>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p>
    <w:p w14:paraId="4FD8001C">
      <w:pPr>
        <w:tabs>
          <w:tab w:val="left" w:pos="1440"/>
        </w:tabs>
        <w:spacing w:line="500" w:lineRule="exact"/>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日    期：       年    月    日</w:t>
      </w:r>
    </w:p>
    <w:p w14:paraId="312D1EDA">
      <w:pPr>
        <w:rPr>
          <w:rFonts w:ascii="宋体" w:hAnsi="宋体"/>
          <w:color w:val="000000" w:themeColor="text1"/>
          <w:sz w:val="24"/>
          <w:highlight w:val="none"/>
          <w:lang w:eastAsia="zh-CN"/>
          <w14:textFill>
            <w14:solidFill>
              <w14:schemeClr w14:val="tx1"/>
            </w14:solidFill>
          </w14:textFill>
        </w:rPr>
      </w:pPr>
    </w:p>
    <w:p w14:paraId="1868AD22">
      <w:pPr>
        <w:rPr>
          <w:rFonts w:ascii="宋体" w:hAnsi="宋体"/>
          <w:color w:val="000000" w:themeColor="text1"/>
          <w:sz w:val="24"/>
          <w:highlight w:val="none"/>
          <w:lang w:eastAsia="zh-CN"/>
          <w14:textFill>
            <w14:solidFill>
              <w14:schemeClr w14:val="tx1"/>
            </w14:solidFill>
          </w14:textFill>
        </w:rPr>
      </w:pPr>
    </w:p>
    <w:p w14:paraId="211981AC">
      <w:pPr>
        <w:rPr>
          <w:rFonts w:ascii="宋体" w:hAnsi="宋体"/>
          <w:color w:val="000000" w:themeColor="text1"/>
          <w:sz w:val="24"/>
          <w:highlight w:val="none"/>
          <w:lang w:eastAsia="zh-CN"/>
          <w14:textFill>
            <w14:solidFill>
              <w14:schemeClr w14:val="tx1"/>
            </w14:solidFill>
          </w14:textFill>
        </w:rPr>
      </w:pPr>
    </w:p>
    <w:p w14:paraId="6187AD8A">
      <w:pPr>
        <w:rPr>
          <w:rFonts w:ascii="宋体" w:hAnsi="宋体"/>
          <w:color w:val="000000" w:themeColor="text1"/>
          <w:sz w:val="24"/>
          <w:highlight w:val="none"/>
          <w:lang w:eastAsia="zh-CN"/>
          <w14:textFill>
            <w14:solidFill>
              <w14:schemeClr w14:val="tx1"/>
            </w14:solidFill>
          </w14:textFill>
        </w:rPr>
      </w:pPr>
    </w:p>
    <w:p w14:paraId="2981D550">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br w:type="page"/>
      </w:r>
    </w:p>
    <w:p w14:paraId="2D520363">
      <w:pPr>
        <w:outlineLvl w:val="1"/>
        <w:rPr>
          <w:rFonts w:ascii="宋体" w:hAnsi="宋体"/>
          <w:b/>
          <w:color w:val="000000" w:themeColor="text1"/>
          <w:sz w:val="24"/>
          <w:szCs w:val="21"/>
          <w:highlight w:val="none"/>
          <w:lang w:eastAsia="zh-CN"/>
          <w14:textFill>
            <w14:solidFill>
              <w14:schemeClr w14:val="tx1"/>
            </w14:solidFill>
          </w14:textFill>
        </w:rPr>
      </w:pPr>
      <w:bookmarkStart w:id="150" w:name="_Toc25188"/>
      <w:bookmarkStart w:id="151" w:name="_Toc8055"/>
      <w:bookmarkStart w:id="152" w:name="_Toc175663952"/>
      <w:bookmarkStart w:id="153" w:name="_Toc354594116"/>
      <w:r>
        <w:rPr>
          <w:rFonts w:hint="eastAsia" w:ascii="宋体" w:hAnsi="宋体"/>
          <w:b/>
          <w:color w:val="000000" w:themeColor="text1"/>
          <w:sz w:val="24"/>
          <w:szCs w:val="21"/>
          <w:highlight w:val="none"/>
          <w:lang w:eastAsia="zh-CN"/>
          <w14:textFill>
            <w14:solidFill>
              <w14:schemeClr w14:val="tx1"/>
            </w14:solidFill>
          </w14:textFill>
        </w:rPr>
        <w:t>三、磋商报价</w:t>
      </w:r>
      <w:bookmarkEnd w:id="150"/>
      <w:bookmarkEnd w:id="151"/>
      <w:bookmarkEnd w:id="152"/>
      <w:bookmarkEnd w:id="153"/>
      <w:r>
        <w:rPr>
          <w:rFonts w:hint="eastAsia" w:asciiTheme="minorEastAsia" w:hAnsiTheme="minorEastAsia" w:eastAsiaTheme="minorEastAsia"/>
          <w:b/>
          <w:color w:val="000000" w:themeColor="text1"/>
          <w:sz w:val="24"/>
          <w:szCs w:val="21"/>
          <w:highlight w:val="none"/>
          <w:lang w:eastAsia="zh-CN"/>
          <w14:textFill>
            <w14:solidFill>
              <w14:schemeClr w14:val="tx1"/>
            </w14:solidFill>
          </w14:textFill>
        </w:rPr>
        <w:t>（第一轮）</w:t>
      </w:r>
    </w:p>
    <w:p w14:paraId="49FABFE9">
      <w:pPr>
        <w:autoSpaceDE w:val="0"/>
        <w:autoSpaceDN w:val="0"/>
        <w:adjustRightInd w:val="0"/>
        <w:spacing w:line="360" w:lineRule="auto"/>
        <w:ind w:firstLine="361" w:firstLineChars="100"/>
        <w:jc w:val="center"/>
        <w:rPr>
          <w:rFonts w:ascii="黑体" w:hAnsi="宋体" w:eastAsia="黑体"/>
          <w:b/>
          <w:color w:val="000000" w:themeColor="text1"/>
          <w:sz w:val="36"/>
          <w:szCs w:val="28"/>
          <w:highlight w:val="none"/>
          <w:lang w:eastAsia="zh-CN"/>
          <w14:textFill>
            <w14:solidFill>
              <w14:schemeClr w14:val="tx1"/>
            </w14:solidFill>
          </w14:textFill>
        </w:rPr>
      </w:pPr>
      <w:r>
        <w:rPr>
          <w:rFonts w:hint="eastAsia" w:ascii="黑体" w:hAnsi="宋体" w:eastAsia="黑体"/>
          <w:b/>
          <w:color w:val="000000" w:themeColor="text1"/>
          <w:sz w:val="36"/>
          <w:szCs w:val="28"/>
          <w:highlight w:val="none"/>
          <w:lang w:eastAsia="zh-CN"/>
          <w14:textFill>
            <w14:solidFill>
              <w14:schemeClr w14:val="tx1"/>
            </w14:solidFill>
          </w14:textFill>
        </w:rPr>
        <w:t>磋商报价（第一轮）</w:t>
      </w:r>
    </w:p>
    <w:p w14:paraId="0C0DF43E">
      <w:pPr>
        <w:autoSpaceDE w:val="0"/>
        <w:autoSpaceDN w:val="0"/>
        <w:adjustRightInd w:val="0"/>
        <w:spacing w:line="360" w:lineRule="auto"/>
        <w:rPr>
          <w:rFonts w:ascii="宋体" w:hAnsi="宋体" w:eastAsiaTheme="minorEastAsia"/>
          <w:bCs/>
          <w:color w:val="000000" w:themeColor="text1"/>
          <w:sz w:val="24"/>
          <w:szCs w:val="21"/>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项目编号：JSZC-320115-NJMT-C2026-0003 </w:t>
      </w:r>
    </w:p>
    <w:p w14:paraId="623EC111">
      <w:pPr>
        <w:autoSpaceDE w:val="0"/>
        <w:autoSpaceDN w:val="0"/>
        <w:adjustRightInd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原铜井化工园退役场地风险评估项目</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3"/>
        <w:gridCol w:w="6452"/>
      </w:tblGrid>
      <w:tr w14:paraId="052A8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2759" w:type="dxa"/>
            <w:vMerge w:val="restart"/>
            <w:vAlign w:val="center"/>
          </w:tcPr>
          <w:p w14:paraId="5EA99A2A">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磋商报价</w:t>
            </w:r>
          </w:p>
        </w:tc>
        <w:tc>
          <w:tcPr>
            <w:tcW w:w="6840" w:type="dxa"/>
            <w:vAlign w:val="center"/>
          </w:tcPr>
          <w:p w14:paraId="3A622CC6">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p>
        </w:tc>
      </w:tr>
      <w:tr w14:paraId="295A5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759" w:type="dxa"/>
            <w:vMerge w:val="continue"/>
            <w:vAlign w:val="center"/>
          </w:tcPr>
          <w:p w14:paraId="6D62129B">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p>
        </w:tc>
        <w:tc>
          <w:tcPr>
            <w:tcW w:w="6840" w:type="dxa"/>
            <w:vAlign w:val="center"/>
          </w:tcPr>
          <w:p w14:paraId="119987D7">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大写：</w:t>
            </w:r>
          </w:p>
        </w:tc>
      </w:tr>
      <w:tr w14:paraId="1A278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759" w:type="dxa"/>
            <w:vAlign w:val="center"/>
          </w:tcPr>
          <w:p w14:paraId="1BD67CBE">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color w:val="000000" w:themeColor="text1"/>
                <w:highlight w:val="none"/>
                <w:lang w:val="en-US"/>
                <w14:textFill>
                  <w14:solidFill>
                    <w14:schemeClr w14:val="tx1"/>
                  </w14:solidFill>
                </w14:textFill>
              </w:rPr>
              <w:t>项目负责人</w:t>
            </w:r>
          </w:p>
        </w:tc>
        <w:tc>
          <w:tcPr>
            <w:tcW w:w="6840" w:type="dxa"/>
            <w:vAlign w:val="center"/>
          </w:tcPr>
          <w:p w14:paraId="5E4D938E">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p>
        </w:tc>
      </w:tr>
      <w:tr w14:paraId="7BAC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759" w:type="dxa"/>
            <w:vAlign w:val="center"/>
          </w:tcPr>
          <w:p w14:paraId="70163990">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服务期</w:t>
            </w:r>
          </w:p>
        </w:tc>
        <w:tc>
          <w:tcPr>
            <w:tcW w:w="6840" w:type="dxa"/>
            <w:vAlign w:val="center"/>
          </w:tcPr>
          <w:p w14:paraId="3C36CD3B">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p>
        </w:tc>
      </w:tr>
      <w:tr w14:paraId="4E7E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2759" w:type="dxa"/>
            <w:vAlign w:val="center"/>
          </w:tcPr>
          <w:p w14:paraId="47A33801">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是否小微企业</w:t>
            </w:r>
          </w:p>
        </w:tc>
        <w:tc>
          <w:tcPr>
            <w:tcW w:w="6840" w:type="dxa"/>
            <w:vAlign w:val="center"/>
          </w:tcPr>
          <w:p w14:paraId="35439BF1">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color w:val="000000" w:themeColor="text1"/>
                <w:highlight w:val="none"/>
                <w:lang w:val="zh-CN"/>
                <w14:textFill>
                  <w14:solidFill>
                    <w14:schemeClr w14:val="tx1"/>
                  </w14:solidFill>
                </w14:textFill>
              </w:rPr>
              <w:t>是</w:t>
            </w:r>
            <w:r>
              <w:rPr>
                <w:rFonts w:hint="eastAsia"/>
                <w:color w:val="000000" w:themeColor="text1"/>
                <w:highlight w:val="none"/>
                <w:lang w:val="zh-CN"/>
                <w14:textFill>
                  <w14:solidFill>
                    <w14:schemeClr w14:val="tx1"/>
                  </w14:solidFill>
                </w14:textFill>
              </w:rPr>
              <w:t xml:space="preserve">       否</w:t>
            </w:r>
          </w:p>
        </w:tc>
      </w:tr>
      <w:tr w14:paraId="64CD9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2759" w:type="dxa"/>
            <w:vAlign w:val="center"/>
          </w:tcPr>
          <w:p w14:paraId="56C5CAAD">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其它</w:t>
            </w:r>
          </w:p>
        </w:tc>
        <w:tc>
          <w:tcPr>
            <w:tcW w:w="6840" w:type="dxa"/>
            <w:vAlign w:val="center"/>
          </w:tcPr>
          <w:p w14:paraId="35D9F131">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（如有优惠条件须在此注明）</w:t>
            </w:r>
          </w:p>
        </w:tc>
      </w:tr>
    </w:tbl>
    <w:p w14:paraId="1D9C00C1">
      <w:pPr>
        <w:bidi w:val="0"/>
        <w:rPr>
          <w:color w:val="000000" w:themeColor="text1"/>
          <w:highlight w:val="none"/>
          <w:lang w:val="zh-CN" w:eastAsia="zh-CN"/>
          <w14:textFill>
            <w14:solidFill>
              <w14:schemeClr w14:val="tx1"/>
            </w14:solidFill>
          </w14:textFill>
        </w:rPr>
      </w:pPr>
    </w:p>
    <w:p w14:paraId="75A7416D">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p>
    <w:p w14:paraId="315C23B5">
      <w:pPr>
        <w:spacing w:line="500" w:lineRule="exact"/>
        <w:rPr>
          <w:rFonts w:hint="eastAsia" w:ascii="宋体" w:hAnsi="宋体"/>
          <w:color w:val="000000" w:themeColor="text1"/>
          <w:sz w:val="24"/>
          <w:szCs w:val="21"/>
          <w:highlight w:val="none"/>
          <w:lang w:eastAsia="zh-CN"/>
          <w14:textFill>
            <w14:solidFill>
              <w14:schemeClr w14:val="tx1"/>
            </w14:solidFill>
          </w14:textFill>
        </w:rPr>
      </w:pPr>
    </w:p>
    <w:p w14:paraId="2760551E">
      <w:pPr>
        <w:tabs>
          <w:tab w:val="left" w:pos="1440"/>
        </w:tabs>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日    期：       年    月    日</w:t>
      </w:r>
    </w:p>
    <w:p w14:paraId="4D33C5FE">
      <w:pPr>
        <w:autoSpaceDE w:val="0"/>
        <w:autoSpaceDN w:val="0"/>
        <w:adjustRightInd w:val="0"/>
        <w:rPr>
          <w:rFonts w:ascii="宋体" w:hAnsi="宋体" w:cs="宋体"/>
          <w:color w:val="000000" w:themeColor="text1"/>
          <w:sz w:val="24"/>
          <w:szCs w:val="21"/>
          <w:highlight w:val="none"/>
          <w:lang w:eastAsia="zh-CN"/>
          <w14:textFill>
            <w14:solidFill>
              <w14:schemeClr w14:val="tx1"/>
            </w14:solidFill>
          </w14:textFill>
        </w:rPr>
      </w:pPr>
    </w:p>
    <w:p w14:paraId="5E0A90AC">
      <w:pPr>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说明:  </w:t>
      </w:r>
    </w:p>
    <w:p w14:paraId="272532EE">
      <w:pPr>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1、采购人对每一项货物和服务仅接受一个价格，</w:t>
      </w:r>
      <w:r>
        <w:rPr>
          <w:rFonts w:hint="eastAsia" w:ascii="宋体" w:hAnsi="宋体"/>
          <w:color w:val="000000" w:themeColor="text1"/>
          <w:sz w:val="24"/>
          <w:szCs w:val="21"/>
          <w:highlight w:val="none"/>
          <w:shd w:val="pct10" w:color="auto" w:fill="FFFFFF"/>
          <w:lang w:eastAsia="zh-CN"/>
          <w14:textFill>
            <w14:solidFill>
              <w14:schemeClr w14:val="tx1"/>
            </w14:solidFill>
          </w14:textFill>
        </w:rPr>
        <w:t>不得填报有选择性报价方案</w:t>
      </w:r>
      <w:r>
        <w:rPr>
          <w:rFonts w:hint="eastAsia" w:ascii="宋体" w:hAnsi="宋体"/>
          <w:color w:val="000000" w:themeColor="text1"/>
          <w:sz w:val="24"/>
          <w:szCs w:val="21"/>
          <w:highlight w:val="none"/>
          <w:lang w:eastAsia="zh-CN"/>
          <w14:textFill>
            <w14:solidFill>
              <w14:schemeClr w14:val="tx1"/>
            </w14:solidFill>
          </w14:textFill>
        </w:rPr>
        <w:t>。若有优惠条款须注明，但不得影响报价，影响产品整体功能。</w:t>
      </w:r>
    </w:p>
    <w:p w14:paraId="42E53DA2">
      <w:pPr>
        <w:ind w:firstLine="420"/>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54" w:name="_Hlt460314991"/>
      <w:bookmarkEnd w:id="154"/>
      <w:bookmarkStart w:id="155" w:name="_Toc12980"/>
      <w:bookmarkStart w:id="156" w:name="_Toc12002"/>
      <w:bookmarkStart w:id="157" w:name="_Toc479931772"/>
      <w:bookmarkStart w:id="158" w:name="_Toc354594118"/>
      <w:bookmarkStart w:id="159" w:name="_Toc341184785"/>
      <w:r>
        <w:rPr>
          <w:rFonts w:hint="eastAsia" w:ascii="宋体" w:hAnsi="宋体"/>
          <w:color w:val="000000" w:themeColor="text1"/>
          <w:sz w:val="24"/>
          <w:szCs w:val="21"/>
          <w:highlight w:val="none"/>
          <w:lang w:eastAsia="zh-CN"/>
          <w14:textFill>
            <w14:solidFill>
              <w14:schemeClr w14:val="tx1"/>
            </w14:solidFill>
          </w14:textFill>
        </w:rPr>
        <w:t>。</w:t>
      </w:r>
      <w:bookmarkEnd w:id="155"/>
      <w:bookmarkEnd w:id="156"/>
      <w:bookmarkEnd w:id="157"/>
      <w:bookmarkStart w:id="160" w:name="_Toc12860"/>
      <w:bookmarkStart w:id="161" w:name="_Toc27011"/>
      <w:bookmarkStart w:id="162" w:name="_Toc459109593"/>
      <w:bookmarkStart w:id="163" w:name="_Toc175663953"/>
    </w:p>
    <w:p w14:paraId="321FC8E1">
      <w:pPr>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br w:type="page"/>
      </w:r>
    </w:p>
    <w:p w14:paraId="51F99BCC">
      <w:pPr>
        <w:adjustRightInd w:val="0"/>
        <w:spacing w:line="240" w:lineRule="atLeast"/>
        <w:jc w:val="center"/>
        <w:rPr>
          <w:rFonts w:hint="eastAsia" w:ascii="宋体" w:hAnsi="宋体" w:cs="宋体"/>
          <w:color w:val="000000"/>
          <w:kern w:val="0"/>
          <w:sz w:val="32"/>
          <w:szCs w:val="32"/>
          <w:highlight w:val="none"/>
          <w:lang w:val="zh-CN"/>
        </w:rPr>
      </w:pPr>
      <w:r>
        <w:rPr>
          <w:rFonts w:hint="eastAsia" w:ascii="宋体" w:hAnsi="宋体" w:cs="宋体"/>
          <w:color w:val="000000"/>
          <w:kern w:val="0"/>
          <w:sz w:val="32"/>
          <w:szCs w:val="32"/>
          <w:highlight w:val="none"/>
          <w:lang w:val="zh-CN"/>
        </w:rPr>
        <w:t>分项报价表</w:t>
      </w:r>
    </w:p>
    <w:tbl>
      <w:tblPr>
        <w:tblStyle w:val="52"/>
        <w:tblW w:w="9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5564"/>
        <w:gridCol w:w="2087"/>
        <w:gridCol w:w="906"/>
      </w:tblGrid>
      <w:tr w14:paraId="5616D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842" w:type="dxa"/>
            <w:noWrap w:val="0"/>
            <w:vAlign w:val="center"/>
          </w:tcPr>
          <w:p w14:paraId="38400C52">
            <w:pPr>
              <w:bidi w:val="0"/>
              <w:jc w:val="center"/>
              <w:rPr>
                <w:rFonts w:hint="default"/>
                <w:b/>
                <w:bCs/>
                <w:sz w:val="24"/>
                <w:szCs w:val="24"/>
                <w:highlight w:val="none"/>
                <w:lang w:val="en-US" w:eastAsia="zh-CN"/>
              </w:rPr>
            </w:pPr>
            <w:r>
              <w:rPr>
                <w:rFonts w:hint="eastAsia"/>
                <w:b/>
                <w:bCs/>
                <w:sz w:val="24"/>
                <w:szCs w:val="24"/>
                <w:highlight w:val="none"/>
                <w:lang w:val="en-US" w:eastAsia="zh-CN"/>
              </w:rPr>
              <w:t>序号</w:t>
            </w:r>
          </w:p>
        </w:tc>
        <w:tc>
          <w:tcPr>
            <w:tcW w:w="5564" w:type="dxa"/>
            <w:noWrap w:val="0"/>
            <w:vAlign w:val="center"/>
          </w:tcPr>
          <w:p w14:paraId="6621AC14">
            <w:pPr>
              <w:bidi w:val="0"/>
              <w:jc w:val="center"/>
              <w:rPr>
                <w:rFonts w:hint="default"/>
                <w:b/>
                <w:bCs/>
                <w:sz w:val="24"/>
                <w:szCs w:val="24"/>
                <w:highlight w:val="none"/>
                <w:lang w:val="en-US" w:eastAsia="zh-CN"/>
              </w:rPr>
            </w:pPr>
            <w:r>
              <w:rPr>
                <w:rFonts w:hint="eastAsia"/>
                <w:b/>
                <w:bCs/>
                <w:sz w:val="24"/>
                <w:szCs w:val="24"/>
                <w:highlight w:val="none"/>
                <w:lang w:val="en-US" w:eastAsia="zh-CN"/>
              </w:rPr>
              <w:t>地块名称</w:t>
            </w:r>
          </w:p>
        </w:tc>
        <w:tc>
          <w:tcPr>
            <w:tcW w:w="2087" w:type="dxa"/>
            <w:noWrap w:val="0"/>
            <w:vAlign w:val="center"/>
          </w:tcPr>
          <w:p w14:paraId="1A748F2F">
            <w:pPr>
              <w:bidi w:val="0"/>
              <w:jc w:val="center"/>
              <w:rPr>
                <w:rFonts w:hint="default"/>
                <w:b/>
                <w:bCs/>
                <w:sz w:val="24"/>
                <w:szCs w:val="24"/>
                <w:highlight w:val="none"/>
                <w:lang w:val="en-US" w:eastAsia="zh-CN"/>
              </w:rPr>
            </w:pPr>
            <w:r>
              <w:rPr>
                <w:rFonts w:hint="eastAsia"/>
                <w:b/>
                <w:bCs/>
                <w:sz w:val="24"/>
                <w:szCs w:val="24"/>
                <w:highlight w:val="none"/>
                <w:lang w:val="en-US" w:eastAsia="zh-CN"/>
              </w:rPr>
              <w:t>费用</w:t>
            </w:r>
          </w:p>
        </w:tc>
        <w:tc>
          <w:tcPr>
            <w:tcW w:w="906" w:type="dxa"/>
            <w:noWrap w:val="0"/>
            <w:vAlign w:val="center"/>
          </w:tcPr>
          <w:p w14:paraId="61D58A14">
            <w:pPr>
              <w:bidi w:val="0"/>
              <w:jc w:val="center"/>
              <w:rPr>
                <w:rFonts w:hint="default"/>
                <w:b/>
                <w:bCs/>
                <w:sz w:val="24"/>
                <w:szCs w:val="24"/>
                <w:highlight w:val="none"/>
                <w:lang w:val="en-US" w:eastAsia="zh-CN"/>
              </w:rPr>
            </w:pPr>
            <w:r>
              <w:rPr>
                <w:rFonts w:hint="eastAsia"/>
                <w:b/>
                <w:bCs/>
                <w:sz w:val="24"/>
                <w:szCs w:val="24"/>
                <w:highlight w:val="none"/>
                <w:lang w:val="en-US" w:eastAsia="zh-CN"/>
              </w:rPr>
              <w:t>备注</w:t>
            </w:r>
          </w:p>
        </w:tc>
      </w:tr>
      <w:tr w14:paraId="1700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842" w:type="dxa"/>
            <w:noWrap w:val="0"/>
            <w:vAlign w:val="center"/>
          </w:tcPr>
          <w:p w14:paraId="76FA34FD">
            <w:pPr>
              <w:bidi w:val="0"/>
              <w:jc w:val="center"/>
              <w:rPr>
                <w:rFonts w:hint="default"/>
                <w:sz w:val="24"/>
                <w:szCs w:val="24"/>
                <w:highlight w:val="none"/>
                <w:lang w:val="en-US" w:eastAsia="zh-CN"/>
              </w:rPr>
            </w:pPr>
            <w:r>
              <w:rPr>
                <w:rFonts w:hint="eastAsia"/>
                <w:sz w:val="24"/>
                <w:szCs w:val="24"/>
                <w:highlight w:val="none"/>
                <w:lang w:val="en-US" w:eastAsia="zh-CN"/>
              </w:rPr>
              <w:t>1</w:t>
            </w:r>
          </w:p>
        </w:tc>
        <w:tc>
          <w:tcPr>
            <w:tcW w:w="5564" w:type="dxa"/>
            <w:noWrap w:val="0"/>
            <w:vAlign w:val="center"/>
          </w:tcPr>
          <w:p w14:paraId="4B7453CB">
            <w:pPr>
              <w:bidi w:val="0"/>
              <w:jc w:val="center"/>
              <w:rPr>
                <w:rFonts w:hint="eastAsia"/>
                <w:sz w:val="24"/>
                <w:szCs w:val="24"/>
                <w:highlight w:val="none"/>
                <w:lang w:val="en-US" w:eastAsia="zh-CN"/>
              </w:rPr>
            </w:pPr>
            <w:r>
              <w:rPr>
                <w:sz w:val="24"/>
                <w:szCs w:val="24"/>
                <w:highlight w:val="none"/>
              </w:rPr>
              <w:t>原南京申宁化工有限责任公司地块风险评估项目费用</w:t>
            </w:r>
          </w:p>
        </w:tc>
        <w:tc>
          <w:tcPr>
            <w:tcW w:w="2087" w:type="dxa"/>
            <w:noWrap w:val="0"/>
            <w:vAlign w:val="center"/>
          </w:tcPr>
          <w:p w14:paraId="3651BC13">
            <w:pPr>
              <w:bidi w:val="0"/>
              <w:jc w:val="center"/>
              <w:rPr>
                <w:rFonts w:hint="eastAsia"/>
                <w:sz w:val="24"/>
                <w:szCs w:val="24"/>
                <w:highlight w:val="none"/>
                <w:lang w:val="en-US" w:eastAsia="zh-CN"/>
              </w:rPr>
            </w:pPr>
          </w:p>
        </w:tc>
        <w:tc>
          <w:tcPr>
            <w:tcW w:w="906" w:type="dxa"/>
            <w:noWrap w:val="0"/>
            <w:vAlign w:val="center"/>
          </w:tcPr>
          <w:p w14:paraId="0B395ACD">
            <w:pPr>
              <w:bidi w:val="0"/>
              <w:jc w:val="center"/>
              <w:rPr>
                <w:rFonts w:hint="eastAsia"/>
                <w:sz w:val="24"/>
                <w:szCs w:val="24"/>
                <w:highlight w:val="none"/>
                <w:lang w:val="en-US" w:eastAsia="zh-CN"/>
              </w:rPr>
            </w:pPr>
          </w:p>
        </w:tc>
      </w:tr>
      <w:tr w14:paraId="0D91C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842" w:type="dxa"/>
            <w:noWrap w:val="0"/>
            <w:vAlign w:val="center"/>
          </w:tcPr>
          <w:p w14:paraId="42936F75">
            <w:pPr>
              <w:bidi w:val="0"/>
              <w:jc w:val="center"/>
              <w:rPr>
                <w:rFonts w:hint="default"/>
                <w:sz w:val="24"/>
                <w:szCs w:val="24"/>
                <w:highlight w:val="none"/>
                <w:lang w:val="en-US" w:eastAsia="zh-CN"/>
              </w:rPr>
            </w:pPr>
            <w:r>
              <w:rPr>
                <w:rFonts w:hint="eastAsia"/>
                <w:sz w:val="24"/>
                <w:szCs w:val="24"/>
                <w:highlight w:val="none"/>
                <w:lang w:val="en-US" w:eastAsia="zh-CN"/>
              </w:rPr>
              <w:t>2</w:t>
            </w:r>
          </w:p>
        </w:tc>
        <w:tc>
          <w:tcPr>
            <w:tcW w:w="5564" w:type="dxa"/>
            <w:noWrap w:val="0"/>
            <w:vAlign w:val="center"/>
          </w:tcPr>
          <w:p w14:paraId="010D1568">
            <w:pPr>
              <w:bidi w:val="0"/>
              <w:jc w:val="center"/>
              <w:rPr>
                <w:rFonts w:hint="eastAsia"/>
                <w:sz w:val="24"/>
                <w:szCs w:val="24"/>
                <w:highlight w:val="none"/>
                <w:lang w:val="en-US" w:eastAsia="zh-CN"/>
              </w:rPr>
            </w:pPr>
            <w:r>
              <w:rPr>
                <w:sz w:val="24"/>
                <w:szCs w:val="24"/>
                <w:highlight w:val="none"/>
              </w:rPr>
              <w:t>原南京祥宇农药有限公司地块风险评估项目费用</w:t>
            </w:r>
          </w:p>
        </w:tc>
        <w:tc>
          <w:tcPr>
            <w:tcW w:w="2087" w:type="dxa"/>
            <w:noWrap w:val="0"/>
            <w:vAlign w:val="center"/>
          </w:tcPr>
          <w:p w14:paraId="32F8F54B">
            <w:pPr>
              <w:bidi w:val="0"/>
              <w:jc w:val="center"/>
              <w:rPr>
                <w:rFonts w:hint="eastAsia"/>
                <w:sz w:val="24"/>
                <w:szCs w:val="24"/>
                <w:highlight w:val="none"/>
                <w:lang w:val="en-US" w:eastAsia="zh-CN"/>
              </w:rPr>
            </w:pPr>
          </w:p>
        </w:tc>
        <w:tc>
          <w:tcPr>
            <w:tcW w:w="906" w:type="dxa"/>
            <w:noWrap w:val="0"/>
            <w:vAlign w:val="center"/>
          </w:tcPr>
          <w:p w14:paraId="4E612DE9">
            <w:pPr>
              <w:bidi w:val="0"/>
              <w:jc w:val="center"/>
              <w:rPr>
                <w:rFonts w:hint="eastAsia"/>
                <w:sz w:val="24"/>
                <w:szCs w:val="24"/>
                <w:highlight w:val="none"/>
                <w:lang w:val="en-US" w:eastAsia="zh-CN"/>
              </w:rPr>
            </w:pPr>
          </w:p>
        </w:tc>
      </w:tr>
      <w:tr w14:paraId="2764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842" w:type="dxa"/>
            <w:noWrap w:val="0"/>
            <w:vAlign w:val="center"/>
          </w:tcPr>
          <w:p w14:paraId="35D805BC">
            <w:pPr>
              <w:bidi w:val="0"/>
              <w:jc w:val="center"/>
              <w:rPr>
                <w:rFonts w:hint="default"/>
                <w:sz w:val="24"/>
                <w:szCs w:val="24"/>
                <w:highlight w:val="none"/>
                <w:lang w:val="en-US" w:eastAsia="zh-CN"/>
              </w:rPr>
            </w:pPr>
            <w:r>
              <w:rPr>
                <w:rFonts w:hint="eastAsia"/>
                <w:sz w:val="24"/>
                <w:szCs w:val="24"/>
                <w:highlight w:val="none"/>
                <w:lang w:val="en-US" w:eastAsia="zh-CN"/>
              </w:rPr>
              <w:t>3</w:t>
            </w:r>
          </w:p>
        </w:tc>
        <w:tc>
          <w:tcPr>
            <w:tcW w:w="5564" w:type="dxa"/>
            <w:noWrap w:val="0"/>
            <w:vAlign w:val="center"/>
          </w:tcPr>
          <w:p w14:paraId="590744EC">
            <w:pPr>
              <w:bidi w:val="0"/>
              <w:jc w:val="center"/>
              <w:rPr>
                <w:rFonts w:hint="eastAsia"/>
                <w:sz w:val="24"/>
                <w:szCs w:val="24"/>
                <w:highlight w:val="none"/>
                <w:lang w:val="en-US" w:eastAsia="zh-CN"/>
              </w:rPr>
            </w:pPr>
            <w:r>
              <w:rPr>
                <w:sz w:val="24"/>
                <w:szCs w:val="24"/>
                <w:highlight w:val="none"/>
              </w:rPr>
              <w:t>原南京科思化学有限公司地块风险评估项目费用</w:t>
            </w:r>
          </w:p>
        </w:tc>
        <w:tc>
          <w:tcPr>
            <w:tcW w:w="2087" w:type="dxa"/>
            <w:noWrap w:val="0"/>
            <w:vAlign w:val="center"/>
          </w:tcPr>
          <w:p w14:paraId="3DF27616">
            <w:pPr>
              <w:bidi w:val="0"/>
              <w:jc w:val="center"/>
              <w:rPr>
                <w:rFonts w:hint="eastAsia"/>
                <w:sz w:val="24"/>
                <w:szCs w:val="24"/>
                <w:highlight w:val="none"/>
                <w:lang w:val="en-US" w:eastAsia="zh-CN"/>
              </w:rPr>
            </w:pPr>
          </w:p>
        </w:tc>
        <w:tc>
          <w:tcPr>
            <w:tcW w:w="906" w:type="dxa"/>
            <w:noWrap w:val="0"/>
            <w:vAlign w:val="center"/>
          </w:tcPr>
          <w:p w14:paraId="6BFBDD65">
            <w:pPr>
              <w:bidi w:val="0"/>
              <w:jc w:val="center"/>
              <w:rPr>
                <w:rFonts w:hint="eastAsia"/>
                <w:sz w:val="24"/>
                <w:szCs w:val="24"/>
                <w:highlight w:val="none"/>
                <w:lang w:val="en-US" w:eastAsia="zh-CN"/>
              </w:rPr>
            </w:pPr>
          </w:p>
        </w:tc>
      </w:tr>
      <w:tr w14:paraId="0CF12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42" w:type="dxa"/>
            <w:noWrap w:val="0"/>
            <w:vAlign w:val="center"/>
          </w:tcPr>
          <w:p w14:paraId="279B5807">
            <w:pPr>
              <w:bidi w:val="0"/>
              <w:jc w:val="center"/>
              <w:rPr>
                <w:rFonts w:hint="default"/>
                <w:sz w:val="24"/>
                <w:szCs w:val="24"/>
                <w:highlight w:val="none"/>
                <w:lang w:val="en-US" w:eastAsia="zh-CN"/>
              </w:rPr>
            </w:pPr>
            <w:r>
              <w:rPr>
                <w:rFonts w:hint="eastAsia"/>
                <w:sz w:val="24"/>
                <w:szCs w:val="24"/>
                <w:highlight w:val="none"/>
                <w:lang w:val="en-US" w:eastAsia="zh-CN"/>
              </w:rPr>
              <w:t>4</w:t>
            </w:r>
          </w:p>
        </w:tc>
        <w:tc>
          <w:tcPr>
            <w:tcW w:w="5564" w:type="dxa"/>
            <w:noWrap w:val="0"/>
            <w:vAlign w:val="center"/>
          </w:tcPr>
          <w:p w14:paraId="3FE48CDE">
            <w:pPr>
              <w:bidi w:val="0"/>
              <w:jc w:val="center"/>
              <w:rPr>
                <w:rFonts w:hint="eastAsia"/>
                <w:sz w:val="24"/>
                <w:szCs w:val="24"/>
                <w:highlight w:val="none"/>
                <w:lang w:val="en-US" w:eastAsia="zh-CN"/>
              </w:rPr>
            </w:pPr>
            <w:r>
              <w:rPr>
                <w:sz w:val="24"/>
                <w:szCs w:val="24"/>
                <w:highlight w:val="none"/>
              </w:rPr>
              <w:t>原南京宝恒化工有限公司地块风险评估项目费用</w:t>
            </w:r>
          </w:p>
        </w:tc>
        <w:tc>
          <w:tcPr>
            <w:tcW w:w="2087" w:type="dxa"/>
            <w:noWrap w:val="0"/>
            <w:vAlign w:val="center"/>
          </w:tcPr>
          <w:p w14:paraId="210EA464">
            <w:pPr>
              <w:bidi w:val="0"/>
              <w:jc w:val="center"/>
              <w:rPr>
                <w:rFonts w:hint="eastAsia"/>
                <w:sz w:val="24"/>
                <w:szCs w:val="24"/>
                <w:highlight w:val="none"/>
                <w:lang w:val="en-US" w:eastAsia="zh-CN"/>
              </w:rPr>
            </w:pPr>
          </w:p>
        </w:tc>
        <w:tc>
          <w:tcPr>
            <w:tcW w:w="906" w:type="dxa"/>
            <w:noWrap w:val="0"/>
            <w:vAlign w:val="center"/>
          </w:tcPr>
          <w:p w14:paraId="73E2B5AC">
            <w:pPr>
              <w:bidi w:val="0"/>
              <w:jc w:val="center"/>
              <w:rPr>
                <w:rFonts w:hint="eastAsia"/>
                <w:sz w:val="24"/>
                <w:szCs w:val="24"/>
                <w:highlight w:val="none"/>
                <w:lang w:val="en-US" w:eastAsia="zh-CN"/>
              </w:rPr>
            </w:pPr>
          </w:p>
        </w:tc>
      </w:tr>
      <w:tr w14:paraId="23F6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406" w:type="dxa"/>
            <w:gridSpan w:val="2"/>
            <w:noWrap w:val="0"/>
            <w:vAlign w:val="center"/>
          </w:tcPr>
          <w:p w14:paraId="01805D39">
            <w:pPr>
              <w:bidi w:val="0"/>
              <w:jc w:val="center"/>
              <w:rPr>
                <w:rFonts w:hint="default"/>
                <w:sz w:val="24"/>
                <w:szCs w:val="24"/>
                <w:highlight w:val="none"/>
                <w:lang w:val="en-US" w:eastAsia="zh-CN"/>
              </w:rPr>
            </w:pPr>
            <w:r>
              <w:rPr>
                <w:rFonts w:hint="eastAsia"/>
                <w:sz w:val="24"/>
                <w:szCs w:val="24"/>
                <w:highlight w:val="none"/>
                <w:lang w:val="en-US" w:eastAsia="zh-CN"/>
              </w:rPr>
              <w:t>总计（万元）</w:t>
            </w:r>
          </w:p>
        </w:tc>
        <w:tc>
          <w:tcPr>
            <w:tcW w:w="2087" w:type="dxa"/>
            <w:noWrap w:val="0"/>
            <w:vAlign w:val="center"/>
          </w:tcPr>
          <w:p w14:paraId="50B20DDE">
            <w:pPr>
              <w:bidi w:val="0"/>
              <w:jc w:val="center"/>
              <w:rPr>
                <w:rFonts w:hint="eastAsia"/>
                <w:sz w:val="24"/>
                <w:szCs w:val="24"/>
                <w:highlight w:val="none"/>
                <w:lang w:val="en-US" w:eastAsia="zh-CN"/>
              </w:rPr>
            </w:pPr>
          </w:p>
        </w:tc>
        <w:tc>
          <w:tcPr>
            <w:tcW w:w="906" w:type="dxa"/>
            <w:noWrap w:val="0"/>
            <w:vAlign w:val="center"/>
          </w:tcPr>
          <w:p w14:paraId="6B4E1EE8">
            <w:pPr>
              <w:bidi w:val="0"/>
              <w:jc w:val="center"/>
              <w:rPr>
                <w:rFonts w:hint="eastAsia"/>
                <w:sz w:val="24"/>
                <w:szCs w:val="24"/>
                <w:highlight w:val="none"/>
                <w:lang w:val="en-US" w:eastAsia="zh-CN"/>
              </w:rPr>
            </w:pPr>
          </w:p>
        </w:tc>
      </w:tr>
    </w:tbl>
    <w:p w14:paraId="0923B0B1">
      <w:pPr>
        <w:adjustRightInd w:val="0"/>
        <w:spacing w:line="360" w:lineRule="auto"/>
        <w:rPr>
          <w:rFonts w:hint="eastAsia" w:ascii="宋体" w:hAnsi="宋体" w:cs="宋体"/>
          <w:color w:val="000000"/>
          <w:kern w:val="0"/>
          <w:szCs w:val="21"/>
          <w:highlight w:val="none"/>
        </w:rPr>
      </w:pPr>
      <w:r>
        <w:rPr>
          <w:rFonts w:hint="eastAsia" w:ascii="宋体" w:hAnsi="宋体" w:cs="宋体"/>
          <w:color w:val="000000"/>
          <w:kern w:val="0"/>
          <w:szCs w:val="21"/>
          <w:highlight w:val="none"/>
        </w:rPr>
        <w:t>备注：1、具体工作内容见招标文件。</w:t>
      </w:r>
    </w:p>
    <w:p w14:paraId="4F5294EB">
      <w:pPr>
        <w:adjustRightInd w:val="0"/>
        <w:spacing w:line="360" w:lineRule="auto"/>
        <w:ind w:firstLine="660" w:firstLineChars="300"/>
        <w:rPr>
          <w:rFonts w:hint="eastAsia" w:ascii="宋体" w:hAnsi="宋体" w:cs="宋体"/>
          <w:color w:val="000000"/>
          <w:kern w:val="0"/>
          <w:szCs w:val="21"/>
          <w:highlight w:val="none"/>
        </w:rPr>
      </w:pPr>
      <w:r>
        <w:rPr>
          <w:rFonts w:hint="eastAsia" w:ascii="宋体" w:hAnsi="宋体" w:cs="宋体"/>
          <w:color w:val="000000"/>
          <w:kern w:val="0"/>
          <w:szCs w:val="21"/>
          <w:highlight w:val="none"/>
        </w:rPr>
        <w:t>2、除合同另有规定外，</w:t>
      </w:r>
      <w:r>
        <w:rPr>
          <w:rFonts w:hint="eastAsia" w:ascii="宋体" w:hAnsi="宋体" w:eastAsia="宋体" w:cs="宋体"/>
          <w:color w:val="000000"/>
          <w:kern w:val="0"/>
          <w:szCs w:val="21"/>
          <w:highlight w:val="none"/>
          <w:lang w:val="en-US" w:eastAsia="zh-CN"/>
        </w:rPr>
        <w:t>采购</w:t>
      </w:r>
      <w:r>
        <w:rPr>
          <w:rFonts w:hint="eastAsia" w:ascii="宋体" w:hAnsi="宋体" w:cs="宋体"/>
          <w:color w:val="000000"/>
          <w:kern w:val="0"/>
          <w:szCs w:val="21"/>
          <w:highlight w:val="none"/>
        </w:rPr>
        <w:t>清单已包含了本次招标项目的所有工作，以及为完成各分项工程所有明示或隐含的工作内容，投标人均应考虑在其所填报的综合单价；</w:t>
      </w:r>
      <w:r>
        <w:rPr>
          <w:rFonts w:hint="eastAsia" w:ascii="宋体" w:hAnsi="宋体" w:eastAsia="宋体" w:cs="宋体"/>
          <w:color w:val="000000"/>
          <w:kern w:val="0"/>
          <w:szCs w:val="21"/>
          <w:highlight w:val="none"/>
          <w:lang w:val="en-US" w:eastAsia="zh-CN"/>
        </w:rPr>
        <w:t>采购</w:t>
      </w:r>
      <w:r>
        <w:rPr>
          <w:rFonts w:hint="eastAsia" w:ascii="宋体" w:hAnsi="宋体" w:cs="宋体"/>
          <w:color w:val="000000"/>
          <w:kern w:val="0"/>
          <w:szCs w:val="21"/>
          <w:highlight w:val="none"/>
        </w:rPr>
        <w:t>清单中的单价和合价包括由承包人承担的直接费、间接费、其他费用、措施费用、税金等全部费用和要求获得的利润以及应由承包人承担的义务、责任和风险所发生的一切费用。</w:t>
      </w:r>
    </w:p>
    <w:p w14:paraId="1F27C2EF">
      <w:pPr>
        <w:widowControl/>
        <w:shd w:val="clear" w:color="auto" w:fill="FFFFFF"/>
        <w:spacing w:line="360" w:lineRule="auto"/>
        <w:jc w:val="left"/>
        <w:rPr>
          <w:rFonts w:hint="eastAsia" w:ascii="宋体" w:hAnsi="宋体"/>
          <w:kern w:val="0"/>
          <w:sz w:val="24"/>
          <w:highlight w:val="none"/>
        </w:rPr>
      </w:pPr>
    </w:p>
    <w:p w14:paraId="22500027">
      <w:pPr>
        <w:widowControl/>
        <w:shd w:val="clear" w:color="auto" w:fill="FFFFFF"/>
        <w:spacing w:line="360" w:lineRule="auto"/>
        <w:jc w:val="left"/>
        <w:rPr>
          <w:rFonts w:hint="eastAsia" w:ascii="宋体" w:hAnsi="宋体"/>
          <w:kern w:val="0"/>
          <w:sz w:val="24"/>
          <w:highlight w:val="none"/>
        </w:rPr>
      </w:pPr>
    </w:p>
    <w:p w14:paraId="57BDEE9D">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p>
    <w:p w14:paraId="47328EA0">
      <w:pPr>
        <w:spacing w:line="500" w:lineRule="exact"/>
        <w:rPr>
          <w:rFonts w:hint="eastAsia" w:ascii="宋体" w:hAnsi="宋体"/>
          <w:color w:val="000000" w:themeColor="text1"/>
          <w:sz w:val="24"/>
          <w:szCs w:val="21"/>
          <w:highlight w:val="none"/>
          <w:lang w:eastAsia="zh-CN"/>
          <w14:textFill>
            <w14:solidFill>
              <w14:schemeClr w14:val="tx1"/>
            </w14:solidFill>
          </w14:textFill>
        </w:rPr>
      </w:pPr>
    </w:p>
    <w:p w14:paraId="3CDAC821">
      <w:pPr>
        <w:tabs>
          <w:tab w:val="left" w:pos="1440"/>
        </w:tabs>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日    期：       年    月    日</w:t>
      </w:r>
    </w:p>
    <w:p w14:paraId="72F6F699">
      <w:pPr>
        <w:spacing w:line="360" w:lineRule="auto"/>
        <w:ind w:firstLine="420" w:firstLineChars="200"/>
        <w:outlineLvl w:val="0"/>
        <w:rPr>
          <w:rFonts w:hint="eastAsia" w:ascii="宋体" w:hAnsi="宋体" w:eastAsia="宋体" w:cs="宋体"/>
          <w:sz w:val="21"/>
          <w:szCs w:val="21"/>
          <w:highlight w:val="none"/>
          <w:lang w:val="en-US" w:eastAsia="zh-CN"/>
        </w:rPr>
      </w:pPr>
    </w:p>
    <w:p w14:paraId="74896CF4">
      <w:pPr>
        <w:spacing w:line="360" w:lineRule="auto"/>
        <w:jc w:val="center"/>
        <w:outlineLvl w:val="0"/>
        <w:rPr>
          <w:rFonts w:hint="eastAsia" w:ascii="宋体" w:hAnsi="宋体" w:eastAsia="宋体" w:cs="宋体"/>
          <w:sz w:val="36"/>
          <w:szCs w:val="36"/>
          <w:highlight w:val="none"/>
          <w:lang w:val="zh-CN"/>
        </w:rPr>
      </w:pPr>
    </w:p>
    <w:p w14:paraId="62D21D24">
      <w:pPr>
        <w:spacing w:line="360" w:lineRule="auto"/>
        <w:jc w:val="center"/>
        <w:outlineLvl w:val="0"/>
        <w:rPr>
          <w:rFonts w:hint="eastAsia" w:ascii="宋体" w:hAnsi="宋体" w:eastAsia="宋体" w:cs="宋体"/>
          <w:sz w:val="36"/>
          <w:szCs w:val="36"/>
          <w:highlight w:val="none"/>
          <w:lang w:val="zh-CN"/>
        </w:rPr>
        <w:sectPr>
          <w:headerReference r:id="rId5" w:type="default"/>
          <w:footerReference r:id="rId6" w:type="default"/>
          <w:pgSz w:w="11911" w:h="16838"/>
          <w:pgMar w:top="1417" w:right="1531" w:bottom="1417" w:left="1531" w:header="879" w:footer="1196" w:gutter="0"/>
          <w:cols w:space="720" w:num="1"/>
          <w:docGrid w:linePitch="290" w:charSpace="0"/>
        </w:sectPr>
      </w:pPr>
    </w:p>
    <w:p w14:paraId="66490A7A">
      <w:pPr>
        <w:jc w:val="center"/>
        <w:rPr>
          <w:rFonts w:cs="Times New Roman"/>
          <w:b/>
          <w:bCs/>
          <w:color w:val="000000"/>
          <w:kern w:val="0"/>
          <w:highlight w:val="none"/>
        </w:rPr>
      </w:pPr>
      <w:r>
        <w:rPr>
          <w:rFonts w:cs="Times New Roman"/>
          <w:b/>
          <w:bCs/>
          <w:color w:val="000000"/>
          <w:kern w:val="0"/>
          <w:highlight w:val="none"/>
        </w:rPr>
        <w:t>表1  原南京申宁化工有限责任公司地块风险评估项目费用报价明细表</w:t>
      </w:r>
    </w:p>
    <w:tbl>
      <w:tblPr>
        <w:tblStyle w:val="51"/>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0" w:type="dxa"/>
          <w:bottom w:w="0" w:type="dxa"/>
          <w:right w:w="0" w:type="dxa"/>
        </w:tblCellMar>
      </w:tblPr>
      <w:tblGrid>
        <w:gridCol w:w="573"/>
        <w:gridCol w:w="1003"/>
        <w:gridCol w:w="6054"/>
        <w:gridCol w:w="910"/>
        <w:gridCol w:w="949"/>
        <w:gridCol w:w="1480"/>
        <w:gridCol w:w="1593"/>
        <w:gridCol w:w="1560"/>
      </w:tblGrid>
      <w:tr w14:paraId="296E3A7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tcBorders>
              <w:top w:val="single" w:color="auto" w:sz="8" w:space="0"/>
              <w:left w:val="single" w:color="auto" w:sz="8" w:space="0"/>
              <w:bottom w:val="single" w:color="auto" w:sz="2" w:space="0"/>
              <w:right w:val="single" w:color="auto" w:sz="2" w:space="0"/>
            </w:tcBorders>
            <w:noWrap w:val="0"/>
            <w:vAlign w:val="center"/>
          </w:tcPr>
          <w:p w14:paraId="1B1DC5E3">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序号</w:t>
            </w:r>
          </w:p>
        </w:tc>
        <w:tc>
          <w:tcPr>
            <w:tcW w:w="355" w:type="pct"/>
            <w:tcBorders>
              <w:top w:val="single" w:color="auto" w:sz="8" w:space="0"/>
              <w:left w:val="single" w:color="auto" w:sz="2" w:space="0"/>
              <w:bottom w:val="single" w:color="auto" w:sz="2" w:space="0"/>
              <w:right w:val="single" w:color="auto" w:sz="2" w:space="0"/>
            </w:tcBorders>
            <w:noWrap w:val="0"/>
            <w:vAlign w:val="center"/>
          </w:tcPr>
          <w:p w14:paraId="213D1E0C">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w:t>
            </w:r>
            <w:r>
              <w:rPr>
                <w:rFonts w:hint="eastAsia" w:cs="Times New Roman"/>
                <w:b/>
                <w:color w:val="000000"/>
                <w:sz w:val="21"/>
                <w:szCs w:val="21"/>
                <w:highlight w:val="none"/>
              </w:rPr>
              <w:t>分类</w:t>
            </w:r>
          </w:p>
        </w:tc>
        <w:tc>
          <w:tcPr>
            <w:tcW w:w="2143" w:type="pct"/>
            <w:tcBorders>
              <w:top w:val="single" w:color="auto" w:sz="8" w:space="0"/>
              <w:left w:val="single" w:color="auto" w:sz="2" w:space="0"/>
              <w:bottom w:val="single" w:color="auto" w:sz="2" w:space="0"/>
              <w:right w:val="single" w:color="auto" w:sz="2" w:space="0"/>
            </w:tcBorders>
            <w:noWrap w:val="0"/>
            <w:vAlign w:val="center"/>
          </w:tcPr>
          <w:p w14:paraId="4E0986DC">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工作内容</w:t>
            </w:r>
          </w:p>
        </w:tc>
        <w:tc>
          <w:tcPr>
            <w:tcW w:w="322" w:type="pct"/>
            <w:tcBorders>
              <w:top w:val="single" w:color="auto" w:sz="8" w:space="0"/>
              <w:left w:val="single" w:color="auto" w:sz="2" w:space="0"/>
              <w:bottom w:val="single" w:color="auto" w:sz="4" w:space="0"/>
              <w:right w:val="single" w:color="auto" w:sz="2" w:space="0"/>
            </w:tcBorders>
            <w:noWrap w:val="0"/>
            <w:vAlign w:val="center"/>
          </w:tcPr>
          <w:p w14:paraId="3E567CD9">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计量</w:t>
            </w:r>
          </w:p>
          <w:p w14:paraId="455217F2">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单位</w:t>
            </w:r>
          </w:p>
        </w:tc>
        <w:tc>
          <w:tcPr>
            <w:tcW w:w="336" w:type="pct"/>
            <w:tcBorders>
              <w:top w:val="single" w:color="auto" w:sz="8" w:space="0"/>
              <w:left w:val="single" w:color="auto" w:sz="2" w:space="0"/>
              <w:bottom w:val="single" w:color="auto" w:sz="4" w:space="0"/>
              <w:right w:val="single" w:color="auto" w:sz="2" w:space="0"/>
            </w:tcBorders>
            <w:noWrap w:val="0"/>
            <w:vAlign w:val="center"/>
          </w:tcPr>
          <w:p w14:paraId="7DF4D41C">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数量</w:t>
            </w:r>
          </w:p>
        </w:tc>
        <w:tc>
          <w:tcPr>
            <w:tcW w:w="522" w:type="pct"/>
            <w:tcBorders>
              <w:top w:val="single" w:color="auto" w:sz="8" w:space="0"/>
              <w:left w:val="single" w:color="auto" w:sz="2" w:space="0"/>
              <w:bottom w:val="single" w:color="auto" w:sz="4" w:space="0"/>
              <w:right w:val="single" w:color="auto" w:sz="2" w:space="0"/>
            </w:tcBorders>
            <w:noWrap w:val="0"/>
            <w:vAlign w:val="center"/>
          </w:tcPr>
          <w:p w14:paraId="1A136656">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单价</w:t>
            </w:r>
          </w:p>
          <w:p w14:paraId="4F5253EB">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64" w:type="pct"/>
            <w:tcBorders>
              <w:top w:val="single" w:color="auto" w:sz="8" w:space="0"/>
              <w:left w:val="single" w:color="auto" w:sz="2" w:space="0"/>
              <w:bottom w:val="single" w:color="auto" w:sz="4" w:space="0"/>
              <w:right w:val="single" w:color="auto" w:sz="8" w:space="0"/>
            </w:tcBorders>
            <w:noWrap w:val="0"/>
            <w:vAlign w:val="center"/>
          </w:tcPr>
          <w:p w14:paraId="7B142104">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小计</w:t>
            </w:r>
          </w:p>
          <w:p w14:paraId="3BADAAE9">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52" w:type="pct"/>
            <w:tcBorders>
              <w:top w:val="single" w:color="auto" w:sz="8" w:space="0"/>
              <w:left w:val="single" w:color="auto" w:sz="2" w:space="0"/>
              <w:bottom w:val="single" w:color="auto" w:sz="4" w:space="0"/>
              <w:right w:val="single" w:color="auto" w:sz="8" w:space="0"/>
            </w:tcBorders>
            <w:noWrap w:val="0"/>
            <w:vAlign w:val="center"/>
          </w:tcPr>
          <w:p w14:paraId="18BA1755">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备注</w:t>
            </w:r>
          </w:p>
        </w:tc>
      </w:tr>
      <w:tr w14:paraId="53E5C6F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7161A37B">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1</w:t>
            </w:r>
          </w:p>
        </w:tc>
        <w:tc>
          <w:tcPr>
            <w:tcW w:w="355" w:type="pct"/>
            <w:vMerge w:val="restart"/>
            <w:tcBorders>
              <w:top w:val="single" w:color="auto" w:sz="4" w:space="0"/>
              <w:left w:val="single" w:color="auto" w:sz="2" w:space="0"/>
              <w:right w:val="single" w:color="auto" w:sz="2" w:space="0"/>
            </w:tcBorders>
            <w:noWrap w:val="0"/>
            <w:vAlign w:val="center"/>
          </w:tcPr>
          <w:p w14:paraId="1D37A1A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水文地质勘察</w:t>
            </w:r>
          </w:p>
        </w:tc>
        <w:tc>
          <w:tcPr>
            <w:tcW w:w="2143" w:type="pct"/>
            <w:tcBorders>
              <w:top w:val="single" w:color="auto" w:sz="4" w:space="0"/>
              <w:left w:val="single" w:color="auto" w:sz="2" w:space="0"/>
              <w:bottom w:val="single" w:color="auto" w:sz="4" w:space="0"/>
              <w:right w:val="single" w:color="auto" w:sz="4" w:space="0"/>
            </w:tcBorders>
            <w:noWrap w:val="0"/>
            <w:vAlign w:val="center"/>
          </w:tcPr>
          <w:p w14:paraId="519D80F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钻探，布设4个钻孔点位，单个点位钻孔深度达到40m，需钻探至中风化层</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3B2D137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0F350507">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550F4CC2">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5CDD6E41">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right w:val="single" w:color="auto" w:sz="4" w:space="0"/>
            </w:tcBorders>
            <w:noWrap w:val="0"/>
            <w:vAlign w:val="center"/>
          </w:tcPr>
          <w:p w14:paraId="5DC9C3C8">
            <w:pPr>
              <w:widowControl/>
              <w:adjustRightInd w:val="0"/>
              <w:snapToGrid w:val="0"/>
              <w:spacing w:line="240" w:lineRule="auto"/>
              <w:rPr>
                <w:rFonts w:cs="Times New Roman"/>
                <w:color w:val="000000"/>
                <w:sz w:val="21"/>
                <w:szCs w:val="21"/>
                <w:highlight w:val="none"/>
              </w:rPr>
            </w:pPr>
          </w:p>
        </w:tc>
      </w:tr>
      <w:tr w14:paraId="68EADC9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top w:val="single" w:color="auto" w:sz="4" w:space="0"/>
              <w:left w:val="single" w:color="auto" w:sz="8" w:space="0"/>
              <w:right w:val="single" w:color="auto" w:sz="2" w:space="0"/>
            </w:tcBorders>
            <w:noWrap w:val="0"/>
            <w:vAlign w:val="center"/>
          </w:tcPr>
          <w:p w14:paraId="0F529D99">
            <w:pPr>
              <w:adjustRightInd w:val="0"/>
              <w:snapToGrid w:val="0"/>
              <w:spacing w:line="240" w:lineRule="auto"/>
              <w:jc w:val="center"/>
              <w:rPr>
                <w:rFonts w:cs="Times New Roman"/>
                <w:bCs/>
                <w:color w:val="000000"/>
                <w:kern w:val="0"/>
                <w:sz w:val="21"/>
                <w:szCs w:val="21"/>
                <w:highlight w:val="none"/>
              </w:rPr>
            </w:pPr>
          </w:p>
        </w:tc>
        <w:tc>
          <w:tcPr>
            <w:tcW w:w="355" w:type="pct"/>
            <w:vMerge w:val="continue"/>
            <w:tcBorders>
              <w:top w:val="single" w:color="auto" w:sz="4" w:space="0"/>
              <w:left w:val="single" w:color="auto" w:sz="2" w:space="0"/>
              <w:right w:val="single" w:color="auto" w:sz="2" w:space="0"/>
            </w:tcBorders>
            <w:noWrap w:val="0"/>
            <w:vAlign w:val="center"/>
          </w:tcPr>
          <w:p w14:paraId="6BFB54E3">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0FDD7DF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建设地下水井，用于抽水试验及流场确定等，布设4个钻孔点位，单个点位建井深度达到40m，需钻探至中风化层</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0C785A76">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1F2186B9">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41772189">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2B15DFFD">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right w:val="single" w:color="auto" w:sz="4" w:space="0"/>
            </w:tcBorders>
            <w:noWrap w:val="0"/>
            <w:vAlign w:val="center"/>
          </w:tcPr>
          <w:p w14:paraId="5090462D">
            <w:pPr>
              <w:widowControl/>
              <w:adjustRightInd w:val="0"/>
              <w:snapToGrid w:val="0"/>
              <w:spacing w:line="240" w:lineRule="auto"/>
              <w:rPr>
                <w:rFonts w:cs="Times New Roman"/>
                <w:color w:val="000000"/>
                <w:sz w:val="21"/>
                <w:szCs w:val="21"/>
                <w:highlight w:val="none"/>
              </w:rPr>
            </w:pPr>
          </w:p>
        </w:tc>
      </w:tr>
      <w:tr w14:paraId="7B3CC59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top w:val="single" w:color="auto" w:sz="4" w:space="0"/>
              <w:left w:val="single" w:color="auto" w:sz="8" w:space="0"/>
              <w:right w:val="single" w:color="auto" w:sz="2" w:space="0"/>
            </w:tcBorders>
            <w:noWrap w:val="0"/>
            <w:vAlign w:val="center"/>
          </w:tcPr>
          <w:p w14:paraId="31F54F73">
            <w:pPr>
              <w:adjustRightInd w:val="0"/>
              <w:snapToGrid w:val="0"/>
              <w:spacing w:line="240" w:lineRule="auto"/>
              <w:jc w:val="center"/>
              <w:rPr>
                <w:rFonts w:cs="Times New Roman"/>
                <w:bCs/>
                <w:color w:val="000000"/>
                <w:kern w:val="0"/>
                <w:sz w:val="21"/>
                <w:szCs w:val="21"/>
                <w:highlight w:val="none"/>
              </w:rPr>
            </w:pPr>
          </w:p>
        </w:tc>
        <w:tc>
          <w:tcPr>
            <w:tcW w:w="355" w:type="pct"/>
            <w:vMerge w:val="continue"/>
            <w:tcBorders>
              <w:top w:val="single" w:color="auto" w:sz="4" w:space="0"/>
              <w:left w:val="single" w:color="auto" w:sz="2" w:space="0"/>
              <w:right w:val="single" w:color="auto" w:sz="2" w:space="0"/>
            </w:tcBorders>
            <w:noWrap w:val="0"/>
            <w:vAlign w:val="center"/>
          </w:tcPr>
          <w:p w14:paraId="1E55BA28">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1FCE901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土工试验，包括土壤有机质含量、含水率、孔隙度、渗透系数、土壤颗粒密度、土壤容重等参数的测定，每个点位采集</w:t>
            </w:r>
            <w:r>
              <w:rPr>
                <w:rFonts w:hint="eastAsia" w:cs="Times New Roman"/>
                <w:color w:val="000000"/>
                <w:sz w:val="21"/>
                <w:szCs w:val="21"/>
                <w:highlight w:val="none"/>
              </w:rPr>
              <w:t>4个土工试验样品，共需送检16个土工试验样品</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460E0AFE">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EE1D40B">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6BB84270">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76F41389">
            <w:pPr>
              <w:widowControl/>
              <w:adjustRightInd w:val="0"/>
              <w:snapToGrid w:val="0"/>
              <w:spacing w:line="240" w:lineRule="auto"/>
              <w:jc w:val="center"/>
              <w:rPr>
                <w:rFonts w:cs="Times New Roman"/>
                <w:color w:val="000000"/>
                <w:sz w:val="21"/>
                <w:szCs w:val="21"/>
                <w:highlight w:val="none"/>
              </w:rPr>
            </w:pPr>
          </w:p>
        </w:tc>
        <w:tc>
          <w:tcPr>
            <w:tcW w:w="552" w:type="pct"/>
            <w:tcBorders>
              <w:left w:val="single" w:color="auto" w:sz="4" w:space="0"/>
              <w:right w:val="single" w:color="auto" w:sz="4" w:space="0"/>
            </w:tcBorders>
            <w:noWrap w:val="0"/>
            <w:vAlign w:val="center"/>
          </w:tcPr>
          <w:p w14:paraId="556EAF05">
            <w:pPr>
              <w:widowControl/>
              <w:adjustRightInd w:val="0"/>
              <w:snapToGrid w:val="0"/>
              <w:spacing w:line="240" w:lineRule="auto"/>
              <w:rPr>
                <w:rFonts w:cs="Times New Roman"/>
                <w:color w:val="000000"/>
                <w:sz w:val="21"/>
                <w:szCs w:val="21"/>
                <w:highlight w:val="none"/>
              </w:rPr>
            </w:pPr>
          </w:p>
        </w:tc>
      </w:tr>
      <w:tr w14:paraId="70E10F4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7BDFCAAF">
            <w:pPr>
              <w:adjustRightInd w:val="0"/>
              <w:snapToGrid w:val="0"/>
              <w:spacing w:line="240" w:lineRule="auto"/>
              <w:jc w:val="center"/>
              <w:rPr>
                <w:rFonts w:cs="Times New Roman"/>
                <w:bCs/>
                <w:color w:val="000000"/>
                <w:kern w:val="0"/>
                <w:sz w:val="21"/>
                <w:szCs w:val="21"/>
                <w:highlight w:val="none"/>
              </w:rPr>
            </w:pPr>
          </w:p>
        </w:tc>
        <w:tc>
          <w:tcPr>
            <w:tcW w:w="355" w:type="pct"/>
            <w:vMerge w:val="continue"/>
            <w:tcBorders>
              <w:left w:val="single" w:color="auto" w:sz="2" w:space="0"/>
              <w:right w:val="single" w:color="auto" w:sz="2" w:space="0"/>
            </w:tcBorders>
            <w:noWrap w:val="0"/>
            <w:vAlign w:val="center"/>
          </w:tcPr>
          <w:p w14:paraId="1289738B">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40732D7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抽水试验，需要</w:t>
            </w:r>
            <w:r>
              <w:rPr>
                <w:rFonts w:hint="eastAsia" w:cs="Times New Roman"/>
                <w:color w:val="000000"/>
                <w:sz w:val="21"/>
                <w:szCs w:val="21"/>
                <w:highlight w:val="none"/>
              </w:rPr>
              <w:t>2个台班</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4E6545B6">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台班</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449C1E8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18771E14">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48D91C6C">
            <w:pPr>
              <w:widowControl/>
              <w:adjustRightInd w:val="0"/>
              <w:snapToGrid w:val="0"/>
              <w:spacing w:line="240" w:lineRule="auto"/>
              <w:jc w:val="center"/>
              <w:rPr>
                <w:rFonts w:cs="Times New Roman"/>
                <w:color w:val="000000"/>
                <w:sz w:val="21"/>
                <w:szCs w:val="21"/>
                <w:highlight w:val="none"/>
              </w:rPr>
            </w:pPr>
          </w:p>
        </w:tc>
        <w:tc>
          <w:tcPr>
            <w:tcW w:w="552" w:type="pct"/>
            <w:tcBorders>
              <w:left w:val="single" w:color="auto" w:sz="4" w:space="0"/>
              <w:right w:val="single" w:color="auto" w:sz="4" w:space="0"/>
            </w:tcBorders>
            <w:noWrap w:val="0"/>
            <w:vAlign w:val="center"/>
          </w:tcPr>
          <w:p w14:paraId="0118E89E">
            <w:pPr>
              <w:widowControl/>
              <w:adjustRightInd w:val="0"/>
              <w:snapToGrid w:val="0"/>
              <w:spacing w:line="240" w:lineRule="auto"/>
              <w:rPr>
                <w:rFonts w:cs="Times New Roman"/>
                <w:color w:val="000000"/>
                <w:sz w:val="21"/>
                <w:szCs w:val="21"/>
                <w:highlight w:val="none"/>
              </w:rPr>
            </w:pPr>
          </w:p>
        </w:tc>
      </w:tr>
      <w:tr w14:paraId="7452B43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1D863A9F">
            <w:pPr>
              <w:adjustRightInd w:val="0"/>
              <w:snapToGrid w:val="0"/>
              <w:spacing w:line="240" w:lineRule="auto"/>
              <w:jc w:val="center"/>
              <w:rPr>
                <w:rFonts w:cs="Times New Roman"/>
                <w:bCs/>
                <w:color w:val="000000"/>
                <w:kern w:val="0"/>
                <w:sz w:val="21"/>
                <w:szCs w:val="21"/>
                <w:highlight w:val="none"/>
              </w:rPr>
            </w:pPr>
          </w:p>
        </w:tc>
        <w:tc>
          <w:tcPr>
            <w:tcW w:w="355" w:type="pct"/>
            <w:vMerge w:val="continue"/>
            <w:tcBorders>
              <w:left w:val="single" w:color="auto" w:sz="2" w:space="0"/>
              <w:bottom w:val="single" w:color="auto" w:sz="4" w:space="0"/>
              <w:right w:val="single" w:color="auto" w:sz="2" w:space="0"/>
            </w:tcBorders>
            <w:noWrap w:val="0"/>
            <w:vAlign w:val="center"/>
          </w:tcPr>
          <w:p w14:paraId="274C7B38">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1F49EF3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完成水文地质勘察报告（明确地层结构、地下水特征、地下水与长江水力联系、区域地下水补给、径流、排泄规律，以及对应长江河段的水质现状，水文特征等）</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69858E0B">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537A58BD">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19AEB1D0">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2675B998">
            <w:pPr>
              <w:widowControl/>
              <w:adjustRightInd w:val="0"/>
              <w:snapToGrid w:val="0"/>
              <w:spacing w:line="240" w:lineRule="auto"/>
              <w:jc w:val="center"/>
              <w:rPr>
                <w:rFonts w:cs="Times New Roman"/>
                <w:color w:val="000000"/>
                <w:sz w:val="21"/>
                <w:szCs w:val="21"/>
                <w:highlight w:val="none"/>
              </w:rPr>
            </w:pPr>
          </w:p>
        </w:tc>
        <w:tc>
          <w:tcPr>
            <w:tcW w:w="552" w:type="pct"/>
            <w:tcBorders>
              <w:left w:val="single" w:color="auto" w:sz="4" w:space="0"/>
              <w:bottom w:val="single" w:color="auto" w:sz="4" w:space="0"/>
              <w:right w:val="single" w:color="auto" w:sz="4" w:space="0"/>
            </w:tcBorders>
            <w:noWrap w:val="0"/>
            <w:vAlign w:val="center"/>
          </w:tcPr>
          <w:p w14:paraId="0C7F466F">
            <w:pPr>
              <w:widowControl/>
              <w:adjustRightInd w:val="0"/>
              <w:snapToGrid w:val="0"/>
              <w:spacing w:line="240" w:lineRule="auto"/>
              <w:rPr>
                <w:rFonts w:cs="Times New Roman"/>
                <w:color w:val="000000"/>
                <w:sz w:val="21"/>
                <w:szCs w:val="21"/>
                <w:highlight w:val="none"/>
              </w:rPr>
            </w:pPr>
          </w:p>
        </w:tc>
      </w:tr>
      <w:tr w14:paraId="48B6640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tcBorders>
              <w:top w:val="single" w:color="auto" w:sz="4" w:space="0"/>
              <w:left w:val="single" w:color="auto" w:sz="8" w:space="0"/>
              <w:bottom w:val="single" w:color="auto" w:sz="4" w:space="0"/>
              <w:right w:val="single" w:color="auto" w:sz="2" w:space="0"/>
            </w:tcBorders>
            <w:noWrap w:val="0"/>
            <w:vAlign w:val="center"/>
          </w:tcPr>
          <w:p w14:paraId="396371BC">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2</w:t>
            </w:r>
          </w:p>
        </w:tc>
        <w:tc>
          <w:tcPr>
            <w:tcW w:w="355" w:type="pct"/>
            <w:tcBorders>
              <w:top w:val="single" w:color="auto" w:sz="4" w:space="0"/>
              <w:left w:val="single" w:color="auto" w:sz="2" w:space="0"/>
              <w:bottom w:val="single" w:color="auto" w:sz="4" w:space="0"/>
              <w:right w:val="single" w:color="auto" w:sz="2" w:space="0"/>
            </w:tcBorders>
            <w:noWrap w:val="0"/>
            <w:vAlign w:val="center"/>
          </w:tcPr>
          <w:p w14:paraId="2F6833F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补充调查方案制定</w:t>
            </w:r>
          </w:p>
        </w:tc>
        <w:tc>
          <w:tcPr>
            <w:tcW w:w="2143" w:type="pct"/>
            <w:tcBorders>
              <w:top w:val="single" w:color="auto" w:sz="4" w:space="0"/>
              <w:left w:val="single" w:color="auto" w:sz="2" w:space="0"/>
              <w:bottom w:val="single" w:color="auto" w:sz="4" w:space="0"/>
              <w:right w:val="single" w:color="auto" w:sz="4" w:space="0"/>
            </w:tcBorders>
            <w:noWrap w:val="0"/>
            <w:vAlign w:val="center"/>
          </w:tcPr>
          <w:p w14:paraId="6D15C1F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根据申宁化工地块的资料分析结果，制定申宁化工地块的补充调查方案</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3F299217">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1370390E">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59E6C2C3">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5C550CBE">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1CAB029E">
            <w:pPr>
              <w:widowControl/>
              <w:adjustRightInd w:val="0"/>
              <w:snapToGrid w:val="0"/>
              <w:spacing w:line="240" w:lineRule="auto"/>
              <w:rPr>
                <w:rFonts w:cs="Times New Roman"/>
                <w:color w:val="000000"/>
                <w:sz w:val="21"/>
                <w:szCs w:val="21"/>
                <w:highlight w:val="none"/>
              </w:rPr>
            </w:pPr>
          </w:p>
        </w:tc>
      </w:tr>
      <w:tr w14:paraId="51D4910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7A85262C">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3</w:t>
            </w:r>
          </w:p>
        </w:tc>
        <w:tc>
          <w:tcPr>
            <w:tcW w:w="355" w:type="pct"/>
            <w:vMerge w:val="restart"/>
            <w:tcBorders>
              <w:top w:val="single" w:color="auto" w:sz="4" w:space="0"/>
              <w:left w:val="single" w:color="auto" w:sz="2" w:space="0"/>
              <w:right w:val="single" w:color="auto" w:sz="2" w:space="0"/>
            </w:tcBorders>
            <w:noWrap w:val="0"/>
            <w:vAlign w:val="center"/>
          </w:tcPr>
          <w:p w14:paraId="5A6EAD3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现场钻探及采样费用</w:t>
            </w:r>
          </w:p>
        </w:tc>
        <w:tc>
          <w:tcPr>
            <w:tcW w:w="2143" w:type="pct"/>
            <w:tcBorders>
              <w:top w:val="single" w:color="auto" w:sz="4" w:space="0"/>
              <w:left w:val="single" w:color="auto" w:sz="2" w:space="0"/>
              <w:bottom w:val="single" w:color="auto" w:sz="4" w:space="0"/>
              <w:right w:val="single" w:color="auto" w:sz="4" w:space="0"/>
            </w:tcBorders>
            <w:noWrap w:val="0"/>
            <w:vAlign w:val="center"/>
          </w:tcPr>
          <w:p w14:paraId="2E4D3F9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申宁化工地块补充调查的钻探及采样工作，包括土壤钻探以及土壤样品采集（钻探深度至少为</w:t>
            </w:r>
            <w:r>
              <w:rPr>
                <w:rFonts w:hint="eastAsia" w:cs="Times New Roman"/>
                <w:color w:val="000000"/>
                <w:sz w:val="21"/>
                <w:szCs w:val="21"/>
                <w:highlight w:val="none"/>
              </w:rPr>
              <w:t>6m，部分点位需要钻探15m、30m</w:t>
            </w:r>
            <w:r>
              <w:rPr>
                <w:rFonts w:cs="Times New Roman"/>
                <w:color w:val="000000"/>
                <w:sz w:val="21"/>
                <w:szCs w:val="21"/>
                <w:highlight w:val="none"/>
              </w:rPr>
              <w:t>），土壤总钻探深度约</w:t>
            </w:r>
            <w:r>
              <w:rPr>
                <w:rFonts w:hint="eastAsia" w:cs="Times New Roman"/>
                <w:color w:val="000000"/>
                <w:sz w:val="21"/>
                <w:szCs w:val="21"/>
                <w:highlight w:val="none"/>
              </w:rPr>
              <w:t>150m</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5847ADB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42BEAE2D">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150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349A7702">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501A4695">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112EEF7B">
            <w:pPr>
              <w:adjustRightInd w:val="0"/>
              <w:snapToGrid w:val="0"/>
              <w:spacing w:line="240" w:lineRule="auto"/>
              <w:rPr>
                <w:rFonts w:cs="Times New Roman"/>
                <w:color w:val="000000"/>
                <w:sz w:val="21"/>
                <w:szCs w:val="21"/>
                <w:highlight w:val="none"/>
              </w:rPr>
            </w:pPr>
          </w:p>
        </w:tc>
      </w:tr>
      <w:tr w14:paraId="7296B50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0BF19B5E">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bottom w:val="single" w:color="auto" w:sz="4" w:space="0"/>
              <w:right w:val="single" w:color="auto" w:sz="2" w:space="0"/>
            </w:tcBorders>
            <w:noWrap w:val="0"/>
            <w:vAlign w:val="center"/>
          </w:tcPr>
          <w:p w14:paraId="27677BCA">
            <w:pPr>
              <w:adjustRightInd w:val="0"/>
              <w:snapToGrid w:val="0"/>
              <w:spacing w:line="240" w:lineRule="auto"/>
              <w:jc w:val="center"/>
              <w:rPr>
                <w:rFonts w:cs="Times New Roman"/>
                <w:color w:val="00000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193859E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申宁化工地块补充调查的钻探及采样工作，包括地下水建井以及地下水样品采集（建井深度至少为</w:t>
            </w:r>
            <w:r>
              <w:rPr>
                <w:rFonts w:hint="eastAsia" w:cs="Times New Roman"/>
                <w:color w:val="000000"/>
                <w:sz w:val="21"/>
                <w:szCs w:val="21"/>
                <w:highlight w:val="none"/>
              </w:rPr>
              <w:t>6m，部分点位建井深度需要达到15m、30m</w:t>
            </w:r>
            <w:r>
              <w:rPr>
                <w:rFonts w:cs="Times New Roman"/>
                <w:color w:val="000000"/>
                <w:sz w:val="21"/>
                <w:szCs w:val="21"/>
                <w:highlight w:val="none"/>
              </w:rPr>
              <w:t>），地下水总建井深度约</w:t>
            </w:r>
            <w:r>
              <w:rPr>
                <w:rFonts w:hint="eastAsia" w:cs="Times New Roman"/>
                <w:color w:val="000000"/>
                <w:sz w:val="21"/>
                <w:szCs w:val="21"/>
                <w:highlight w:val="none"/>
              </w:rPr>
              <w:t>200m</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1BB0F38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43B381E2">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200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0C2B6AC6">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794EF167">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16E2E3B0">
            <w:pPr>
              <w:adjustRightInd w:val="0"/>
              <w:snapToGrid w:val="0"/>
              <w:spacing w:line="240" w:lineRule="auto"/>
              <w:rPr>
                <w:rFonts w:cs="Times New Roman"/>
                <w:color w:val="000000"/>
                <w:sz w:val="21"/>
                <w:szCs w:val="21"/>
                <w:highlight w:val="none"/>
              </w:rPr>
            </w:pPr>
          </w:p>
        </w:tc>
      </w:tr>
      <w:tr w14:paraId="138D0D3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2FF66017">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4</w:t>
            </w:r>
          </w:p>
        </w:tc>
        <w:tc>
          <w:tcPr>
            <w:tcW w:w="355" w:type="pct"/>
            <w:vMerge w:val="restart"/>
            <w:tcBorders>
              <w:top w:val="single" w:color="auto" w:sz="4" w:space="0"/>
              <w:left w:val="single" w:color="auto" w:sz="2" w:space="0"/>
              <w:right w:val="single" w:color="auto" w:sz="2" w:space="0"/>
            </w:tcBorders>
            <w:noWrap w:val="0"/>
            <w:vAlign w:val="center"/>
          </w:tcPr>
          <w:p w14:paraId="0D3E9210">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样品处理与检测费</w:t>
            </w:r>
          </w:p>
        </w:tc>
        <w:tc>
          <w:tcPr>
            <w:tcW w:w="2143" w:type="pct"/>
            <w:tcBorders>
              <w:top w:val="single" w:color="auto" w:sz="4" w:space="0"/>
              <w:left w:val="single" w:color="auto" w:sz="2" w:space="0"/>
              <w:bottom w:val="single" w:color="auto" w:sz="4" w:space="0"/>
              <w:right w:val="single" w:color="auto" w:sz="4" w:space="0"/>
            </w:tcBorders>
            <w:noWrap w:val="0"/>
            <w:vAlign w:val="center"/>
          </w:tcPr>
          <w:p w14:paraId="0C52CE0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土壤的检测因子需包括pH、重金属</w:t>
            </w:r>
            <w:r>
              <w:rPr>
                <w:rFonts w:hint="eastAsia" w:cs="Times New Roman"/>
                <w:color w:val="000000"/>
                <w:sz w:val="21"/>
                <w:szCs w:val="21"/>
                <w:highlight w:val="none"/>
              </w:rPr>
              <w:t>7项、挥发性有机污染物65项、半挥发性有机污染物64项、特征污染物17项（需要包括：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）、丙酮、四氢呋喃、乙酸乙酯、对苯二酚、乙醚、正丁醇、苯乙酮、均三甲苯、甲氰菊酯、氯氰菊酯、锌、硒、钒、氟化物、苯甲醚和2-萘乙酮</w:t>
            </w:r>
            <w:r>
              <w:rPr>
                <w:rFonts w:hint="eastAsia" w:cs="Times New Roman"/>
                <w:color w:val="000000"/>
                <w:sz w:val="21"/>
                <w:szCs w:val="21"/>
                <w:highlight w:val="none"/>
              </w:rPr>
              <w:t>等）</w:t>
            </w:r>
            <w:r>
              <w:rPr>
                <w:rFonts w:cs="Times New Roman"/>
                <w:color w:val="000000"/>
                <w:sz w:val="21"/>
                <w:szCs w:val="21"/>
                <w:highlight w:val="none"/>
              </w:rPr>
              <w:t>，土壤样品约</w:t>
            </w:r>
            <w:r>
              <w:rPr>
                <w:rFonts w:hint="eastAsia" w:cs="Times New Roman"/>
                <w:color w:val="000000"/>
                <w:sz w:val="21"/>
                <w:szCs w:val="21"/>
                <w:highlight w:val="none"/>
              </w:rPr>
              <w:t>100个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009F304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260C6668">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100</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6CDAE362">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22AE4E92">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5261363F">
            <w:pPr>
              <w:adjustRightInd w:val="0"/>
              <w:snapToGrid w:val="0"/>
              <w:spacing w:line="240" w:lineRule="auto"/>
              <w:rPr>
                <w:rFonts w:cs="Times New Roman"/>
                <w:color w:val="000000"/>
                <w:sz w:val="21"/>
                <w:szCs w:val="21"/>
                <w:highlight w:val="none"/>
              </w:rPr>
            </w:pPr>
          </w:p>
        </w:tc>
      </w:tr>
      <w:tr w14:paraId="42E2BE2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top w:val="single" w:color="auto" w:sz="4" w:space="0"/>
              <w:left w:val="single" w:color="auto" w:sz="8" w:space="0"/>
              <w:right w:val="single" w:color="auto" w:sz="2" w:space="0"/>
            </w:tcBorders>
            <w:noWrap w:val="0"/>
            <w:vAlign w:val="center"/>
          </w:tcPr>
          <w:p w14:paraId="6FC45296">
            <w:pPr>
              <w:adjustRightInd w:val="0"/>
              <w:snapToGrid w:val="0"/>
              <w:spacing w:line="240" w:lineRule="auto"/>
              <w:jc w:val="center"/>
              <w:rPr>
                <w:rFonts w:cs="Times New Roman"/>
                <w:color w:val="000000"/>
                <w:sz w:val="21"/>
                <w:szCs w:val="21"/>
                <w:highlight w:val="none"/>
              </w:rPr>
            </w:pPr>
          </w:p>
        </w:tc>
        <w:tc>
          <w:tcPr>
            <w:tcW w:w="355" w:type="pct"/>
            <w:vMerge w:val="continue"/>
            <w:tcBorders>
              <w:top w:val="single" w:color="auto" w:sz="4" w:space="0"/>
              <w:left w:val="single" w:color="auto" w:sz="2" w:space="0"/>
              <w:right w:val="single" w:color="auto" w:sz="2" w:space="0"/>
            </w:tcBorders>
            <w:noWrap w:val="0"/>
            <w:vAlign w:val="center"/>
          </w:tcPr>
          <w:p w14:paraId="3A54B249">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3D35BF0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周边地表水体的底泥，样品处理与检测费，</w:t>
            </w:r>
            <w:r>
              <w:rPr>
                <w:rFonts w:hint="eastAsia" w:cs="Times New Roman"/>
                <w:color w:val="000000"/>
                <w:sz w:val="21"/>
                <w:szCs w:val="21"/>
                <w:highlight w:val="none"/>
              </w:rPr>
              <w:t>底泥</w:t>
            </w:r>
            <w:r>
              <w:rPr>
                <w:rFonts w:cs="Times New Roman"/>
                <w:color w:val="000000"/>
                <w:sz w:val="21"/>
                <w:szCs w:val="21"/>
                <w:highlight w:val="none"/>
              </w:rPr>
              <w:t>的检测因子</w:t>
            </w:r>
            <w:r>
              <w:rPr>
                <w:rFonts w:hint="eastAsia" w:cs="Times New Roman"/>
                <w:color w:val="000000"/>
                <w:sz w:val="21"/>
                <w:szCs w:val="21"/>
                <w:highlight w:val="none"/>
              </w:rPr>
              <w:t>与</w:t>
            </w:r>
            <w:r>
              <w:rPr>
                <w:rFonts w:cs="Times New Roman"/>
                <w:color w:val="000000"/>
                <w:sz w:val="21"/>
                <w:szCs w:val="21"/>
                <w:highlight w:val="none"/>
              </w:rPr>
              <w:t>土壤的检测因子一致，</w:t>
            </w:r>
            <w:r>
              <w:rPr>
                <w:rFonts w:hint="eastAsia" w:cs="Times New Roman"/>
                <w:color w:val="000000"/>
                <w:sz w:val="21"/>
                <w:szCs w:val="21"/>
                <w:highlight w:val="none"/>
              </w:rPr>
              <w:t>底泥</w:t>
            </w:r>
            <w:r>
              <w:rPr>
                <w:rFonts w:cs="Times New Roman"/>
                <w:color w:val="000000"/>
                <w:sz w:val="21"/>
                <w:szCs w:val="21"/>
                <w:highlight w:val="none"/>
              </w:rPr>
              <w:t>样品约</w:t>
            </w:r>
            <w:r>
              <w:rPr>
                <w:rFonts w:hint="eastAsia" w:cs="Times New Roman"/>
                <w:color w:val="000000"/>
                <w:sz w:val="21"/>
                <w:szCs w:val="21"/>
                <w:highlight w:val="none"/>
              </w:rPr>
              <w:t>4个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1C196D6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27F7E29E">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4</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0A23FBE6">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4C484939">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5F535896">
            <w:pPr>
              <w:adjustRightInd w:val="0"/>
              <w:snapToGrid w:val="0"/>
              <w:spacing w:line="240" w:lineRule="auto"/>
              <w:rPr>
                <w:rFonts w:cs="Times New Roman"/>
                <w:color w:val="000000"/>
                <w:sz w:val="21"/>
                <w:szCs w:val="21"/>
                <w:highlight w:val="none"/>
              </w:rPr>
            </w:pPr>
          </w:p>
        </w:tc>
      </w:tr>
      <w:tr w14:paraId="0255680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top w:val="single" w:color="auto" w:sz="4" w:space="0"/>
              <w:left w:val="single" w:color="auto" w:sz="8" w:space="0"/>
              <w:right w:val="single" w:color="auto" w:sz="2" w:space="0"/>
            </w:tcBorders>
            <w:noWrap w:val="0"/>
            <w:vAlign w:val="center"/>
          </w:tcPr>
          <w:p w14:paraId="7347896E">
            <w:pPr>
              <w:adjustRightInd w:val="0"/>
              <w:snapToGrid w:val="0"/>
              <w:spacing w:line="240" w:lineRule="auto"/>
              <w:jc w:val="center"/>
              <w:rPr>
                <w:rFonts w:cs="Times New Roman"/>
                <w:color w:val="000000"/>
                <w:sz w:val="21"/>
                <w:szCs w:val="21"/>
                <w:highlight w:val="none"/>
              </w:rPr>
            </w:pPr>
          </w:p>
        </w:tc>
        <w:tc>
          <w:tcPr>
            <w:tcW w:w="355" w:type="pct"/>
            <w:vMerge w:val="continue"/>
            <w:tcBorders>
              <w:top w:val="single" w:color="auto" w:sz="4" w:space="0"/>
              <w:left w:val="single" w:color="auto" w:sz="2" w:space="0"/>
              <w:right w:val="single" w:color="auto" w:sz="2" w:space="0"/>
            </w:tcBorders>
            <w:noWrap w:val="0"/>
            <w:vAlign w:val="center"/>
          </w:tcPr>
          <w:p w14:paraId="2D71A17A">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529DD763">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地下水</w:t>
            </w:r>
            <w:r>
              <w:rPr>
                <w:rFonts w:cs="Times New Roman"/>
                <w:color w:val="000000"/>
                <w:sz w:val="21"/>
                <w:szCs w:val="21"/>
                <w:highlight w:val="none"/>
              </w:rPr>
              <w:t>的检测因子需包括pH、重金属</w:t>
            </w:r>
            <w:r>
              <w:rPr>
                <w:rFonts w:hint="eastAsia" w:cs="Times New Roman"/>
                <w:color w:val="000000"/>
                <w:sz w:val="21"/>
                <w:szCs w:val="21"/>
                <w:highlight w:val="none"/>
              </w:rPr>
              <w:t>7项、挥发性有机污染物65项、半挥发性有机污染物64项、特征污染物17项（需要包括：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）、丙酮、四氢呋喃、乙酸乙酯、对苯二酚、乙醚、正丁醇、苯乙酮、均三甲苯、甲氰菊酯、氯氰菊酯、锌、硒、钒、氟化物、苯甲醚和2-萘乙酮</w:t>
            </w:r>
            <w:r>
              <w:rPr>
                <w:rFonts w:hint="eastAsia" w:cs="Times New Roman"/>
                <w:color w:val="000000"/>
                <w:sz w:val="21"/>
                <w:szCs w:val="21"/>
                <w:highlight w:val="none"/>
              </w:rPr>
              <w:t>等）、《地下水质量标准》(GBT14848-2017)中的感官性状无机指标等25项等。考虑</w:t>
            </w:r>
            <w:r>
              <w:rPr>
                <w:rFonts w:cs="Times New Roman"/>
                <w:color w:val="000000"/>
                <w:sz w:val="21"/>
                <w:szCs w:val="21"/>
                <w:highlight w:val="none"/>
              </w:rPr>
              <w:t>到地块内涉及</w:t>
            </w:r>
            <w:r>
              <w:rPr>
                <w:rFonts w:hint="eastAsia" w:cs="Times New Roman"/>
                <w:color w:val="000000"/>
                <w:sz w:val="21"/>
                <w:szCs w:val="21"/>
                <w:highlight w:val="none"/>
              </w:rPr>
              <w:t>DNAPL类物质超标，根据技术规范要求需要分别在水位线以下0.5m和井管底部采集地下水样品</w:t>
            </w:r>
            <w:r>
              <w:rPr>
                <w:rFonts w:cs="Times New Roman"/>
                <w:color w:val="000000"/>
                <w:sz w:val="21"/>
                <w:szCs w:val="21"/>
                <w:highlight w:val="none"/>
              </w:rPr>
              <w:t>，地下水样品约</w:t>
            </w:r>
            <w:r>
              <w:rPr>
                <w:rFonts w:hint="eastAsia" w:cs="Times New Roman"/>
                <w:color w:val="000000"/>
                <w:sz w:val="21"/>
                <w:szCs w:val="21"/>
                <w:highlight w:val="none"/>
              </w:rPr>
              <w:t>28个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62BAD58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DD3CBC5">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28</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5F835F5B">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6B83C07E">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4FA9FEC7">
            <w:pPr>
              <w:adjustRightInd w:val="0"/>
              <w:snapToGrid w:val="0"/>
              <w:spacing w:line="240" w:lineRule="auto"/>
              <w:rPr>
                <w:rFonts w:cs="Times New Roman"/>
                <w:color w:val="000000"/>
                <w:sz w:val="21"/>
                <w:szCs w:val="21"/>
                <w:highlight w:val="none"/>
              </w:rPr>
            </w:pPr>
          </w:p>
        </w:tc>
      </w:tr>
      <w:tr w14:paraId="517AE53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0933C2C5">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bottom w:val="single" w:color="auto" w:sz="4" w:space="0"/>
              <w:right w:val="single" w:color="auto" w:sz="2" w:space="0"/>
            </w:tcBorders>
            <w:noWrap w:val="0"/>
            <w:vAlign w:val="center"/>
          </w:tcPr>
          <w:p w14:paraId="3BE2C173">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4" w:space="0"/>
              <w:left w:val="single" w:color="auto" w:sz="2" w:space="0"/>
              <w:bottom w:val="single" w:color="auto" w:sz="4" w:space="0"/>
              <w:right w:val="single" w:color="auto" w:sz="4" w:space="0"/>
            </w:tcBorders>
            <w:noWrap w:val="0"/>
            <w:vAlign w:val="center"/>
          </w:tcPr>
          <w:p w14:paraId="56B2EB4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周边地表水体的地表水，样品处理与检测费，</w:t>
            </w:r>
            <w:r>
              <w:rPr>
                <w:rFonts w:hint="eastAsia" w:cs="Times New Roman"/>
                <w:color w:val="000000"/>
                <w:sz w:val="21"/>
                <w:szCs w:val="21"/>
                <w:highlight w:val="none"/>
              </w:rPr>
              <w:t>地表水</w:t>
            </w:r>
            <w:r>
              <w:rPr>
                <w:rFonts w:cs="Times New Roman"/>
                <w:color w:val="000000"/>
                <w:sz w:val="21"/>
                <w:szCs w:val="21"/>
                <w:highlight w:val="none"/>
              </w:rPr>
              <w:t>的检测因子</w:t>
            </w:r>
            <w:r>
              <w:rPr>
                <w:rFonts w:hint="eastAsia" w:cs="Times New Roman"/>
                <w:color w:val="000000"/>
                <w:sz w:val="21"/>
                <w:szCs w:val="21"/>
                <w:highlight w:val="none"/>
              </w:rPr>
              <w:t>与</w:t>
            </w:r>
            <w:r>
              <w:rPr>
                <w:rFonts w:cs="Times New Roman"/>
                <w:color w:val="000000"/>
                <w:sz w:val="21"/>
                <w:szCs w:val="21"/>
                <w:highlight w:val="none"/>
              </w:rPr>
              <w:t>土壤的检测因子一致，地表水样品约</w:t>
            </w:r>
            <w:r>
              <w:rPr>
                <w:rFonts w:hint="eastAsia" w:cs="Times New Roman"/>
                <w:color w:val="000000"/>
                <w:sz w:val="21"/>
                <w:szCs w:val="21"/>
                <w:highlight w:val="none"/>
              </w:rPr>
              <w:t>4个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5E193C2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058EDF7B">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4</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4440BD3D">
            <w:pPr>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6F81D905">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7E094E01">
            <w:pPr>
              <w:adjustRightInd w:val="0"/>
              <w:snapToGrid w:val="0"/>
              <w:spacing w:line="240" w:lineRule="auto"/>
              <w:rPr>
                <w:rFonts w:cs="Times New Roman"/>
                <w:color w:val="000000"/>
                <w:sz w:val="21"/>
                <w:szCs w:val="21"/>
                <w:highlight w:val="none"/>
              </w:rPr>
            </w:pPr>
          </w:p>
        </w:tc>
      </w:tr>
      <w:tr w14:paraId="3D954FE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0A04EDF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5</w:t>
            </w:r>
          </w:p>
        </w:tc>
        <w:tc>
          <w:tcPr>
            <w:tcW w:w="355" w:type="pct"/>
            <w:vMerge w:val="restart"/>
            <w:tcBorders>
              <w:top w:val="single" w:color="auto" w:sz="2" w:space="0"/>
              <w:left w:val="single" w:color="auto" w:sz="2" w:space="0"/>
              <w:right w:val="single" w:color="auto" w:sz="2" w:space="0"/>
            </w:tcBorders>
            <w:noWrap w:val="0"/>
            <w:vAlign w:val="center"/>
          </w:tcPr>
          <w:p w14:paraId="256F67DF">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污染物入江风险评估</w:t>
            </w:r>
          </w:p>
        </w:tc>
        <w:tc>
          <w:tcPr>
            <w:tcW w:w="2143" w:type="pct"/>
            <w:tcBorders>
              <w:top w:val="single" w:color="auto" w:sz="2" w:space="0"/>
              <w:left w:val="single" w:color="auto" w:sz="2" w:space="0"/>
              <w:bottom w:val="single" w:color="auto" w:sz="2" w:space="0"/>
              <w:right w:val="single" w:color="auto" w:sz="2" w:space="0"/>
            </w:tcBorders>
            <w:noWrap w:val="0"/>
            <w:vAlign w:val="center"/>
          </w:tcPr>
          <w:p w14:paraId="3F7B4A3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入江风险识别与途径分析，</w:t>
            </w:r>
            <w:r>
              <w:rPr>
                <w:rFonts w:hint="eastAsia" w:cs="Times New Roman"/>
                <w:bCs/>
                <w:color w:val="000000"/>
                <w:kern w:val="0"/>
                <w:sz w:val="21"/>
                <w:szCs w:val="21"/>
                <w:highlight w:val="none"/>
              </w:rPr>
              <w:t>结合地块利用类型，识别入江风险因素，分析污染物入江的主要途径及可行性，包括地块污染本身风险、水文水力联系风险、污染物入江途径风险、敏感目标影响风险、暴雨与汛期风险、开发建设新增风险等</w:t>
            </w:r>
          </w:p>
        </w:tc>
        <w:tc>
          <w:tcPr>
            <w:tcW w:w="322" w:type="pct"/>
            <w:vMerge w:val="restart"/>
            <w:tcBorders>
              <w:top w:val="single" w:color="auto" w:sz="4" w:space="0"/>
              <w:left w:val="single" w:color="auto" w:sz="4" w:space="0"/>
              <w:right w:val="single" w:color="auto" w:sz="4" w:space="0"/>
            </w:tcBorders>
            <w:noWrap w:val="0"/>
            <w:vAlign w:val="center"/>
          </w:tcPr>
          <w:p w14:paraId="2BEA6225">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vMerge w:val="restart"/>
            <w:tcBorders>
              <w:top w:val="single" w:color="auto" w:sz="4" w:space="0"/>
              <w:left w:val="single" w:color="auto" w:sz="4" w:space="0"/>
              <w:right w:val="single" w:color="auto" w:sz="4" w:space="0"/>
            </w:tcBorders>
            <w:noWrap w:val="0"/>
            <w:vAlign w:val="center"/>
          </w:tcPr>
          <w:p w14:paraId="2365D4CB">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vMerge w:val="restart"/>
            <w:tcBorders>
              <w:top w:val="single" w:color="auto" w:sz="4" w:space="0"/>
              <w:left w:val="single" w:color="auto" w:sz="4" w:space="0"/>
              <w:right w:val="single" w:color="auto" w:sz="4" w:space="0"/>
            </w:tcBorders>
            <w:noWrap w:val="0"/>
            <w:vAlign w:val="center"/>
          </w:tcPr>
          <w:p w14:paraId="676F64EF">
            <w:pPr>
              <w:widowControl/>
              <w:adjustRightInd w:val="0"/>
              <w:snapToGrid w:val="0"/>
              <w:spacing w:line="240" w:lineRule="auto"/>
              <w:jc w:val="center"/>
              <w:rPr>
                <w:rFonts w:cs="Times New Roman"/>
                <w:color w:val="000000"/>
                <w:sz w:val="21"/>
                <w:szCs w:val="21"/>
                <w:highlight w:val="none"/>
              </w:rPr>
            </w:pPr>
          </w:p>
        </w:tc>
        <w:tc>
          <w:tcPr>
            <w:tcW w:w="564" w:type="pct"/>
            <w:vMerge w:val="restart"/>
            <w:tcBorders>
              <w:top w:val="single" w:color="auto" w:sz="4" w:space="0"/>
              <w:left w:val="single" w:color="auto" w:sz="4" w:space="0"/>
              <w:right w:val="single" w:color="auto" w:sz="4" w:space="0"/>
            </w:tcBorders>
            <w:noWrap w:val="0"/>
            <w:vAlign w:val="center"/>
          </w:tcPr>
          <w:p w14:paraId="6F5D128C">
            <w:pPr>
              <w:widowControl/>
              <w:adjustRightInd w:val="0"/>
              <w:snapToGrid w:val="0"/>
              <w:spacing w:line="240" w:lineRule="auto"/>
              <w:jc w:val="center"/>
              <w:rPr>
                <w:rFonts w:cs="Times New Roman"/>
                <w:color w:val="000000"/>
                <w:sz w:val="21"/>
                <w:szCs w:val="21"/>
                <w:highlight w:val="none"/>
              </w:rPr>
            </w:pPr>
          </w:p>
        </w:tc>
        <w:tc>
          <w:tcPr>
            <w:tcW w:w="552" w:type="pct"/>
            <w:vMerge w:val="restart"/>
            <w:tcBorders>
              <w:top w:val="single" w:color="auto" w:sz="4" w:space="0"/>
              <w:left w:val="single" w:color="auto" w:sz="4" w:space="0"/>
              <w:right w:val="single" w:color="auto" w:sz="4" w:space="0"/>
            </w:tcBorders>
            <w:noWrap w:val="0"/>
            <w:vAlign w:val="center"/>
          </w:tcPr>
          <w:p w14:paraId="59649417">
            <w:pPr>
              <w:widowControl/>
              <w:adjustRightInd w:val="0"/>
              <w:snapToGrid w:val="0"/>
              <w:spacing w:line="240" w:lineRule="auto"/>
              <w:rPr>
                <w:rFonts w:cs="Times New Roman"/>
                <w:color w:val="000000"/>
                <w:sz w:val="21"/>
                <w:szCs w:val="21"/>
                <w:highlight w:val="none"/>
              </w:rPr>
            </w:pPr>
          </w:p>
        </w:tc>
      </w:tr>
      <w:tr w14:paraId="46F2EB9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507B9370">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508F54E6">
            <w:pPr>
              <w:adjustRightInd w:val="0"/>
              <w:snapToGrid w:val="0"/>
              <w:spacing w:line="240" w:lineRule="auto"/>
              <w:jc w:val="center"/>
              <w:rPr>
                <w:rFonts w:cs="Times New Roman"/>
                <w:color w:val="00000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79F5403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hint="eastAsia" w:cs="Times New Roman"/>
                <w:color w:val="000000"/>
                <w:sz w:val="21"/>
                <w:szCs w:val="21"/>
                <w:highlight w:val="none"/>
              </w:rPr>
              <w:t>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p>
        </w:tc>
        <w:tc>
          <w:tcPr>
            <w:tcW w:w="322" w:type="pct"/>
            <w:vMerge w:val="continue"/>
            <w:tcBorders>
              <w:left w:val="single" w:color="auto" w:sz="4" w:space="0"/>
              <w:right w:val="single" w:color="auto" w:sz="4" w:space="0"/>
            </w:tcBorders>
            <w:noWrap w:val="0"/>
            <w:vAlign w:val="center"/>
          </w:tcPr>
          <w:p w14:paraId="27E165B3">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066F640D">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7CA5622E">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4FE41BF2">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3AB9311E">
            <w:pPr>
              <w:widowControl/>
              <w:adjustRightInd w:val="0"/>
              <w:snapToGrid w:val="0"/>
              <w:spacing w:line="240" w:lineRule="auto"/>
              <w:rPr>
                <w:rFonts w:cs="Times New Roman"/>
                <w:color w:val="000000"/>
                <w:sz w:val="21"/>
                <w:szCs w:val="21"/>
                <w:highlight w:val="none"/>
              </w:rPr>
            </w:pPr>
          </w:p>
        </w:tc>
      </w:tr>
      <w:tr w14:paraId="5DFF22D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02075726">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34D102B6">
            <w:pPr>
              <w:adjustRightInd w:val="0"/>
              <w:snapToGrid w:val="0"/>
              <w:spacing w:line="240" w:lineRule="auto"/>
              <w:jc w:val="center"/>
              <w:rPr>
                <w:rFonts w:cs="Times New Roman"/>
                <w:color w:val="00000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7E4A8D9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入江风险防控措施，</w:t>
            </w:r>
            <w:r>
              <w:rPr>
                <w:rFonts w:hint="eastAsia" w:cs="Times New Roman"/>
                <w:bCs/>
                <w:color w:val="000000"/>
                <w:kern w:val="0"/>
                <w:sz w:val="21"/>
                <w:szCs w:val="21"/>
                <w:highlight w:val="none"/>
              </w:rPr>
              <w:t>结合风险等级及地块利用类型，制定针对性、可操作的源头管控、过程拦截、应急处置及长效监测措施</w:t>
            </w:r>
          </w:p>
        </w:tc>
        <w:tc>
          <w:tcPr>
            <w:tcW w:w="322" w:type="pct"/>
            <w:vMerge w:val="continue"/>
            <w:tcBorders>
              <w:left w:val="single" w:color="auto" w:sz="4" w:space="0"/>
              <w:right w:val="single" w:color="auto" w:sz="4" w:space="0"/>
            </w:tcBorders>
            <w:noWrap w:val="0"/>
            <w:vAlign w:val="center"/>
          </w:tcPr>
          <w:p w14:paraId="0DD59FE3">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057B53F7">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2475A45E">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4EB4FAE9">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19FCD5F0">
            <w:pPr>
              <w:widowControl/>
              <w:adjustRightInd w:val="0"/>
              <w:snapToGrid w:val="0"/>
              <w:spacing w:line="240" w:lineRule="auto"/>
              <w:rPr>
                <w:rFonts w:cs="Times New Roman"/>
                <w:color w:val="000000"/>
                <w:sz w:val="21"/>
                <w:szCs w:val="21"/>
                <w:highlight w:val="none"/>
              </w:rPr>
            </w:pPr>
          </w:p>
        </w:tc>
      </w:tr>
      <w:tr w14:paraId="430D84F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6F1D8D67">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bottom w:val="single" w:color="auto" w:sz="2" w:space="0"/>
              <w:right w:val="single" w:color="auto" w:sz="2" w:space="0"/>
            </w:tcBorders>
            <w:noWrap w:val="0"/>
            <w:vAlign w:val="center"/>
          </w:tcPr>
          <w:p w14:paraId="5DED881F">
            <w:pPr>
              <w:adjustRightInd w:val="0"/>
              <w:snapToGrid w:val="0"/>
              <w:spacing w:line="240" w:lineRule="auto"/>
              <w:jc w:val="center"/>
              <w:rPr>
                <w:rFonts w:cs="Times New Roman"/>
                <w:color w:val="00000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08DE2EF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风险分析报告编制，</w:t>
            </w:r>
            <w:r>
              <w:rPr>
                <w:rFonts w:hint="eastAsia" w:cs="Times New Roman"/>
                <w:bCs/>
                <w:color w:val="000000"/>
                <w:kern w:val="0"/>
                <w:sz w:val="21"/>
                <w:szCs w:val="21"/>
                <w:highlight w:val="none"/>
              </w:rPr>
              <w:t>编制入江风险分析报告，作为地块开发利用及监管的依据</w:t>
            </w:r>
          </w:p>
        </w:tc>
        <w:tc>
          <w:tcPr>
            <w:tcW w:w="322" w:type="pct"/>
            <w:vMerge w:val="continue"/>
            <w:tcBorders>
              <w:left w:val="single" w:color="auto" w:sz="4" w:space="0"/>
              <w:bottom w:val="single" w:color="auto" w:sz="4" w:space="0"/>
              <w:right w:val="single" w:color="auto" w:sz="4" w:space="0"/>
            </w:tcBorders>
            <w:noWrap w:val="0"/>
            <w:vAlign w:val="center"/>
          </w:tcPr>
          <w:p w14:paraId="319C61CF">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bottom w:val="single" w:color="auto" w:sz="4" w:space="0"/>
              <w:right w:val="single" w:color="auto" w:sz="4" w:space="0"/>
            </w:tcBorders>
            <w:noWrap w:val="0"/>
            <w:vAlign w:val="center"/>
          </w:tcPr>
          <w:p w14:paraId="27A8CF1B">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bottom w:val="single" w:color="auto" w:sz="4" w:space="0"/>
              <w:right w:val="single" w:color="auto" w:sz="4" w:space="0"/>
            </w:tcBorders>
            <w:noWrap w:val="0"/>
            <w:vAlign w:val="center"/>
          </w:tcPr>
          <w:p w14:paraId="7DBBFC6A">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bottom w:val="single" w:color="auto" w:sz="4" w:space="0"/>
              <w:right w:val="single" w:color="auto" w:sz="4" w:space="0"/>
            </w:tcBorders>
            <w:noWrap w:val="0"/>
            <w:vAlign w:val="center"/>
          </w:tcPr>
          <w:p w14:paraId="17F2CCDE">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bottom w:val="single" w:color="auto" w:sz="4" w:space="0"/>
              <w:right w:val="single" w:color="auto" w:sz="4" w:space="0"/>
            </w:tcBorders>
            <w:noWrap w:val="0"/>
            <w:vAlign w:val="center"/>
          </w:tcPr>
          <w:p w14:paraId="671B473E">
            <w:pPr>
              <w:widowControl/>
              <w:adjustRightInd w:val="0"/>
              <w:snapToGrid w:val="0"/>
              <w:spacing w:line="240" w:lineRule="auto"/>
              <w:rPr>
                <w:rFonts w:cs="Times New Roman"/>
                <w:color w:val="000000"/>
                <w:sz w:val="21"/>
                <w:szCs w:val="21"/>
                <w:highlight w:val="none"/>
              </w:rPr>
            </w:pPr>
          </w:p>
        </w:tc>
      </w:tr>
      <w:tr w14:paraId="5B4D08E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2" w:space="0"/>
            </w:tcBorders>
            <w:noWrap w:val="0"/>
            <w:vAlign w:val="center"/>
          </w:tcPr>
          <w:p w14:paraId="7CD37B1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6</w:t>
            </w:r>
          </w:p>
        </w:tc>
        <w:tc>
          <w:tcPr>
            <w:tcW w:w="355" w:type="pct"/>
            <w:vMerge w:val="restart"/>
            <w:tcBorders>
              <w:top w:val="single" w:color="auto" w:sz="2" w:space="0"/>
              <w:left w:val="single" w:color="auto" w:sz="2" w:space="0"/>
              <w:right w:val="single" w:color="auto" w:sz="2" w:space="0"/>
            </w:tcBorders>
            <w:noWrap w:val="0"/>
            <w:vAlign w:val="center"/>
          </w:tcPr>
          <w:p w14:paraId="50107379">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风险评估报告编制、修改、备案等。</w:t>
            </w:r>
          </w:p>
        </w:tc>
        <w:tc>
          <w:tcPr>
            <w:tcW w:w="2143" w:type="pct"/>
            <w:tcBorders>
              <w:top w:val="single" w:color="auto" w:sz="2" w:space="0"/>
              <w:left w:val="single" w:color="auto" w:sz="2" w:space="0"/>
              <w:bottom w:val="single" w:color="auto" w:sz="2" w:space="0"/>
              <w:right w:val="single" w:color="auto" w:sz="2" w:space="0"/>
            </w:tcBorders>
            <w:noWrap w:val="0"/>
            <w:vAlign w:val="center"/>
          </w:tcPr>
          <w:p w14:paraId="513D9F9A">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开展危害识别，收集土壤污染状况调查阶段获得的相关资料和数据，掌握地块土壤和地下水中关注污染物的浓度分布，明确规划土地利用方式，分析可能的敏感受体，如儿童、成人、地下水体等。</w:t>
            </w:r>
          </w:p>
        </w:tc>
        <w:tc>
          <w:tcPr>
            <w:tcW w:w="322" w:type="pct"/>
            <w:vMerge w:val="restart"/>
            <w:tcBorders>
              <w:top w:val="single" w:color="auto" w:sz="4" w:space="0"/>
              <w:left w:val="single" w:color="auto" w:sz="4" w:space="0"/>
              <w:right w:val="single" w:color="auto" w:sz="4" w:space="0"/>
            </w:tcBorders>
            <w:noWrap w:val="0"/>
            <w:vAlign w:val="center"/>
          </w:tcPr>
          <w:p w14:paraId="6C556EF7">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vMerge w:val="restart"/>
            <w:tcBorders>
              <w:top w:val="single" w:color="auto" w:sz="4" w:space="0"/>
              <w:left w:val="single" w:color="auto" w:sz="4" w:space="0"/>
              <w:right w:val="single" w:color="auto" w:sz="4" w:space="0"/>
            </w:tcBorders>
            <w:noWrap w:val="0"/>
            <w:vAlign w:val="center"/>
          </w:tcPr>
          <w:p w14:paraId="07BB242D">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vMerge w:val="restart"/>
            <w:tcBorders>
              <w:top w:val="single" w:color="auto" w:sz="4" w:space="0"/>
              <w:left w:val="single" w:color="auto" w:sz="4" w:space="0"/>
              <w:right w:val="single" w:color="auto" w:sz="4" w:space="0"/>
            </w:tcBorders>
            <w:noWrap w:val="0"/>
            <w:vAlign w:val="center"/>
          </w:tcPr>
          <w:p w14:paraId="535786E7">
            <w:pPr>
              <w:widowControl/>
              <w:adjustRightInd w:val="0"/>
              <w:snapToGrid w:val="0"/>
              <w:spacing w:line="240" w:lineRule="auto"/>
              <w:jc w:val="center"/>
              <w:rPr>
                <w:rFonts w:cs="Times New Roman"/>
                <w:color w:val="000000"/>
                <w:sz w:val="21"/>
                <w:szCs w:val="21"/>
                <w:highlight w:val="none"/>
              </w:rPr>
            </w:pPr>
          </w:p>
        </w:tc>
        <w:tc>
          <w:tcPr>
            <w:tcW w:w="564" w:type="pct"/>
            <w:vMerge w:val="restart"/>
            <w:tcBorders>
              <w:top w:val="single" w:color="auto" w:sz="4" w:space="0"/>
              <w:left w:val="single" w:color="auto" w:sz="4" w:space="0"/>
              <w:right w:val="single" w:color="auto" w:sz="4" w:space="0"/>
            </w:tcBorders>
            <w:noWrap w:val="0"/>
            <w:vAlign w:val="center"/>
          </w:tcPr>
          <w:p w14:paraId="5F20187A">
            <w:pPr>
              <w:widowControl/>
              <w:adjustRightInd w:val="0"/>
              <w:snapToGrid w:val="0"/>
              <w:spacing w:line="240" w:lineRule="auto"/>
              <w:jc w:val="center"/>
              <w:rPr>
                <w:rFonts w:cs="Times New Roman"/>
                <w:color w:val="000000"/>
                <w:sz w:val="21"/>
                <w:szCs w:val="21"/>
                <w:highlight w:val="none"/>
              </w:rPr>
            </w:pPr>
          </w:p>
        </w:tc>
        <w:tc>
          <w:tcPr>
            <w:tcW w:w="552" w:type="pct"/>
            <w:vMerge w:val="restart"/>
            <w:tcBorders>
              <w:top w:val="single" w:color="auto" w:sz="4" w:space="0"/>
              <w:left w:val="single" w:color="auto" w:sz="4" w:space="0"/>
              <w:right w:val="single" w:color="auto" w:sz="4" w:space="0"/>
            </w:tcBorders>
            <w:noWrap w:val="0"/>
            <w:vAlign w:val="center"/>
          </w:tcPr>
          <w:p w14:paraId="3225FAA8">
            <w:pPr>
              <w:widowControl/>
              <w:adjustRightInd w:val="0"/>
              <w:snapToGrid w:val="0"/>
              <w:spacing w:line="240" w:lineRule="auto"/>
              <w:rPr>
                <w:rFonts w:cs="Times New Roman"/>
                <w:color w:val="000000"/>
                <w:sz w:val="21"/>
                <w:szCs w:val="21"/>
                <w:highlight w:val="none"/>
              </w:rPr>
            </w:pPr>
          </w:p>
        </w:tc>
      </w:tr>
      <w:tr w14:paraId="5C52222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72221BDD">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4E0FAD0A">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51F1EA17">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暴露评估，在危害识别的基础上，分析地块内关注污染物迁移和危害敏感受体的可能性，确定地块地下水污染物的主要暴露途径和暴露评估模型，确定评估模型参数取值，计算敏感人群对地下水中污染物的暴露量。</w:t>
            </w:r>
          </w:p>
        </w:tc>
        <w:tc>
          <w:tcPr>
            <w:tcW w:w="322" w:type="pct"/>
            <w:vMerge w:val="continue"/>
            <w:tcBorders>
              <w:left w:val="single" w:color="auto" w:sz="4" w:space="0"/>
              <w:right w:val="single" w:color="auto" w:sz="4" w:space="0"/>
            </w:tcBorders>
            <w:noWrap w:val="0"/>
            <w:vAlign w:val="center"/>
          </w:tcPr>
          <w:p w14:paraId="1310C329">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7A696C44">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1AF9DED9">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6A5695EE">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1BC33E0A">
            <w:pPr>
              <w:widowControl/>
              <w:adjustRightInd w:val="0"/>
              <w:snapToGrid w:val="0"/>
              <w:spacing w:line="240" w:lineRule="auto"/>
              <w:rPr>
                <w:rFonts w:cs="Times New Roman"/>
                <w:color w:val="000000"/>
                <w:sz w:val="21"/>
                <w:szCs w:val="21"/>
                <w:highlight w:val="none"/>
              </w:rPr>
            </w:pPr>
          </w:p>
        </w:tc>
      </w:tr>
      <w:tr w14:paraId="40040B4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2EB89654">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5780AF73">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0E72ED6B">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开展毒性评估，在危害识别的基础上，分析关注污染物对人体健康的危害效应，包括致癌效应和非致癌效应，确定与关注污染物相关的参数，包括参考剂量、参考浓度、致癌斜率因子和呼吸吸入单位致癌因子等。</w:t>
            </w:r>
          </w:p>
        </w:tc>
        <w:tc>
          <w:tcPr>
            <w:tcW w:w="322" w:type="pct"/>
            <w:vMerge w:val="continue"/>
            <w:tcBorders>
              <w:left w:val="single" w:color="auto" w:sz="4" w:space="0"/>
              <w:right w:val="single" w:color="auto" w:sz="4" w:space="0"/>
            </w:tcBorders>
            <w:noWrap w:val="0"/>
            <w:vAlign w:val="center"/>
          </w:tcPr>
          <w:p w14:paraId="17F03C53">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72040E75">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7B03D5E1">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0C82DB0F">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4472A382">
            <w:pPr>
              <w:widowControl/>
              <w:adjustRightInd w:val="0"/>
              <w:snapToGrid w:val="0"/>
              <w:spacing w:line="240" w:lineRule="auto"/>
              <w:rPr>
                <w:rFonts w:cs="Times New Roman"/>
                <w:color w:val="000000"/>
                <w:sz w:val="21"/>
                <w:szCs w:val="21"/>
                <w:highlight w:val="none"/>
              </w:rPr>
            </w:pPr>
          </w:p>
        </w:tc>
      </w:tr>
      <w:tr w14:paraId="57C914F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right w:val="single" w:color="auto" w:sz="2" w:space="0"/>
            </w:tcBorders>
            <w:noWrap w:val="0"/>
            <w:vAlign w:val="center"/>
          </w:tcPr>
          <w:p w14:paraId="058C1E8F">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right w:val="single" w:color="auto" w:sz="2" w:space="0"/>
            </w:tcBorders>
            <w:noWrap w:val="0"/>
            <w:vAlign w:val="center"/>
          </w:tcPr>
          <w:p w14:paraId="6C70AA2D">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46CCE975">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开展风险表征，在暴露评估和毒性评估的基础上，采用风险评估模型计算土壤和地下水中单一污染物经单一途径的致癌风险和危害商，计算单一污染物的总致癌风险和危害商，进行不确定性分析。</w:t>
            </w:r>
          </w:p>
        </w:tc>
        <w:tc>
          <w:tcPr>
            <w:tcW w:w="322" w:type="pct"/>
            <w:vMerge w:val="continue"/>
            <w:tcBorders>
              <w:left w:val="single" w:color="auto" w:sz="4" w:space="0"/>
              <w:right w:val="single" w:color="auto" w:sz="4" w:space="0"/>
            </w:tcBorders>
            <w:noWrap w:val="0"/>
            <w:vAlign w:val="center"/>
          </w:tcPr>
          <w:p w14:paraId="25E76713">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right w:val="single" w:color="auto" w:sz="4" w:space="0"/>
            </w:tcBorders>
            <w:noWrap w:val="0"/>
            <w:vAlign w:val="center"/>
          </w:tcPr>
          <w:p w14:paraId="33C60110">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right w:val="single" w:color="auto" w:sz="4" w:space="0"/>
            </w:tcBorders>
            <w:noWrap w:val="0"/>
            <w:vAlign w:val="center"/>
          </w:tcPr>
          <w:p w14:paraId="3CFE6F8F">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right w:val="single" w:color="auto" w:sz="4" w:space="0"/>
            </w:tcBorders>
            <w:noWrap w:val="0"/>
            <w:vAlign w:val="center"/>
          </w:tcPr>
          <w:p w14:paraId="1FCAB9A0">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right w:val="single" w:color="auto" w:sz="4" w:space="0"/>
            </w:tcBorders>
            <w:noWrap w:val="0"/>
            <w:vAlign w:val="center"/>
          </w:tcPr>
          <w:p w14:paraId="4D1EF5A2">
            <w:pPr>
              <w:widowControl/>
              <w:adjustRightInd w:val="0"/>
              <w:snapToGrid w:val="0"/>
              <w:spacing w:line="240" w:lineRule="auto"/>
              <w:rPr>
                <w:rFonts w:cs="Times New Roman"/>
                <w:color w:val="000000"/>
                <w:sz w:val="21"/>
                <w:szCs w:val="21"/>
                <w:highlight w:val="none"/>
              </w:rPr>
            </w:pPr>
          </w:p>
        </w:tc>
      </w:tr>
      <w:tr w14:paraId="5A858D9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2" w:space="0"/>
            </w:tcBorders>
            <w:noWrap w:val="0"/>
            <w:vAlign w:val="center"/>
          </w:tcPr>
          <w:p w14:paraId="7E085CFE">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2" w:space="0"/>
              <w:bottom w:val="single" w:color="auto" w:sz="2" w:space="0"/>
              <w:right w:val="single" w:color="auto" w:sz="2" w:space="0"/>
            </w:tcBorders>
            <w:noWrap w:val="0"/>
            <w:vAlign w:val="center"/>
          </w:tcPr>
          <w:p w14:paraId="2CEEC2D1">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2" w:space="0"/>
              <w:bottom w:val="single" w:color="auto" w:sz="2" w:space="0"/>
              <w:right w:val="single" w:color="auto" w:sz="2" w:space="0"/>
            </w:tcBorders>
            <w:noWrap w:val="0"/>
            <w:vAlign w:val="center"/>
          </w:tcPr>
          <w:p w14:paraId="10A0A1DF">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p>
        </w:tc>
        <w:tc>
          <w:tcPr>
            <w:tcW w:w="322" w:type="pct"/>
            <w:vMerge w:val="continue"/>
            <w:tcBorders>
              <w:left w:val="single" w:color="auto" w:sz="4" w:space="0"/>
              <w:bottom w:val="single" w:color="auto" w:sz="4" w:space="0"/>
              <w:right w:val="single" w:color="auto" w:sz="4" w:space="0"/>
            </w:tcBorders>
            <w:noWrap w:val="0"/>
            <w:vAlign w:val="center"/>
          </w:tcPr>
          <w:p w14:paraId="57B7EFE4">
            <w:pPr>
              <w:widowControl/>
              <w:adjustRightInd w:val="0"/>
              <w:snapToGrid w:val="0"/>
              <w:spacing w:line="240" w:lineRule="auto"/>
              <w:jc w:val="center"/>
              <w:rPr>
                <w:rFonts w:cs="Times New Roman"/>
                <w:color w:val="000000"/>
                <w:sz w:val="21"/>
                <w:szCs w:val="21"/>
                <w:highlight w:val="none"/>
              </w:rPr>
            </w:pPr>
          </w:p>
        </w:tc>
        <w:tc>
          <w:tcPr>
            <w:tcW w:w="336" w:type="pct"/>
            <w:vMerge w:val="continue"/>
            <w:tcBorders>
              <w:left w:val="single" w:color="auto" w:sz="4" w:space="0"/>
              <w:bottom w:val="single" w:color="auto" w:sz="4" w:space="0"/>
              <w:right w:val="single" w:color="auto" w:sz="4" w:space="0"/>
            </w:tcBorders>
            <w:noWrap w:val="0"/>
            <w:vAlign w:val="center"/>
          </w:tcPr>
          <w:p w14:paraId="7E77135D">
            <w:pPr>
              <w:widowControl/>
              <w:adjustRightInd w:val="0"/>
              <w:snapToGrid w:val="0"/>
              <w:spacing w:line="240" w:lineRule="auto"/>
              <w:jc w:val="center"/>
              <w:rPr>
                <w:rFonts w:cs="Times New Roman"/>
                <w:color w:val="000000"/>
                <w:sz w:val="21"/>
                <w:szCs w:val="21"/>
                <w:highlight w:val="none"/>
              </w:rPr>
            </w:pPr>
          </w:p>
        </w:tc>
        <w:tc>
          <w:tcPr>
            <w:tcW w:w="522" w:type="pct"/>
            <w:vMerge w:val="continue"/>
            <w:tcBorders>
              <w:left w:val="single" w:color="auto" w:sz="4" w:space="0"/>
              <w:bottom w:val="single" w:color="auto" w:sz="4" w:space="0"/>
              <w:right w:val="single" w:color="auto" w:sz="4" w:space="0"/>
            </w:tcBorders>
            <w:noWrap w:val="0"/>
            <w:vAlign w:val="center"/>
          </w:tcPr>
          <w:p w14:paraId="7A96B432">
            <w:pPr>
              <w:widowControl/>
              <w:adjustRightInd w:val="0"/>
              <w:snapToGrid w:val="0"/>
              <w:spacing w:line="240" w:lineRule="auto"/>
              <w:jc w:val="center"/>
              <w:rPr>
                <w:rFonts w:cs="Times New Roman"/>
                <w:color w:val="000000"/>
                <w:sz w:val="21"/>
                <w:szCs w:val="21"/>
                <w:highlight w:val="none"/>
              </w:rPr>
            </w:pPr>
          </w:p>
        </w:tc>
        <w:tc>
          <w:tcPr>
            <w:tcW w:w="564" w:type="pct"/>
            <w:vMerge w:val="continue"/>
            <w:tcBorders>
              <w:left w:val="single" w:color="auto" w:sz="4" w:space="0"/>
              <w:bottom w:val="single" w:color="auto" w:sz="4" w:space="0"/>
              <w:right w:val="single" w:color="auto" w:sz="4" w:space="0"/>
            </w:tcBorders>
            <w:noWrap w:val="0"/>
            <w:vAlign w:val="center"/>
          </w:tcPr>
          <w:p w14:paraId="59FA2ED9">
            <w:pPr>
              <w:widowControl/>
              <w:adjustRightInd w:val="0"/>
              <w:snapToGrid w:val="0"/>
              <w:spacing w:line="240" w:lineRule="auto"/>
              <w:jc w:val="center"/>
              <w:rPr>
                <w:rFonts w:cs="Times New Roman"/>
                <w:color w:val="000000"/>
                <w:sz w:val="21"/>
                <w:szCs w:val="21"/>
                <w:highlight w:val="none"/>
              </w:rPr>
            </w:pPr>
          </w:p>
        </w:tc>
        <w:tc>
          <w:tcPr>
            <w:tcW w:w="552" w:type="pct"/>
            <w:vMerge w:val="continue"/>
            <w:tcBorders>
              <w:left w:val="single" w:color="auto" w:sz="4" w:space="0"/>
              <w:bottom w:val="single" w:color="auto" w:sz="4" w:space="0"/>
              <w:right w:val="single" w:color="auto" w:sz="4" w:space="0"/>
            </w:tcBorders>
            <w:noWrap w:val="0"/>
            <w:vAlign w:val="center"/>
          </w:tcPr>
          <w:p w14:paraId="162A676C">
            <w:pPr>
              <w:widowControl/>
              <w:adjustRightInd w:val="0"/>
              <w:snapToGrid w:val="0"/>
              <w:spacing w:line="240" w:lineRule="auto"/>
              <w:rPr>
                <w:rFonts w:cs="Times New Roman"/>
                <w:color w:val="000000"/>
                <w:sz w:val="21"/>
                <w:szCs w:val="21"/>
                <w:highlight w:val="none"/>
              </w:rPr>
            </w:pPr>
          </w:p>
        </w:tc>
      </w:tr>
      <w:tr w14:paraId="1F0ECCB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restart"/>
            <w:tcBorders>
              <w:top w:val="single" w:color="auto" w:sz="4" w:space="0"/>
              <w:left w:val="single" w:color="auto" w:sz="8" w:space="0"/>
              <w:right w:val="single" w:color="auto" w:sz="4" w:space="0"/>
            </w:tcBorders>
            <w:noWrap w:val="0"/>
            <w:vAlign w:val="center"/>
          </w:tcPr>
          <w:p w14:paraId="50C6A52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7</w:t>
            </w:r>
          </w:p>
        </w:tc>
        <w:tc>
          <w:tcPr>
            <w:tcW w:w="355" w:type="pct"/>
            <w:vMerge w:val="restart"/>
            <w:tcBorders>
              <w:top w:val="single" w:color="auto" w:sz="4" w:space="0"/>
              <w:left w:val="single" w:color="auto" w:sz="4" w:space="0"/>
              <w:right w:val="single" w:color="auto" w:sz="4" w:space="0"/>
            </w:tcBorders>
            <w:noWrap w:val="0"/>
            <w:vAlign w:val="center"/>
          </w:tcPr>
          <w:p w14:paraId="324F9987">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风险评估报告专家费、会务费、</w:t>
            </w:r>
            <w:r>
              <w:rPr>
                <w:rFonts w:hint="eastAsia" w:eastAsia="宋体" w:cs="Times New Roman"/>
                <w:bCs/>
                <w:color w:val="000000"/>
                <w:kern w:val="0"/>
                <w:sz w:val="21"/>
                <w:szCs w:val="21"/>
                <w:highlight w:val="none"/>
                <w:lang w:val="en-US" w:eastAsia="zh-CN"/>
              </w:rPr>
              <w:t>彩色</w:t>
            </w:r>
            <w:r>
              <w:rPr>
                <w:rFonts w:cs="Times New Roman"/>
                <w:bCs/>
                <w:color w:val="000000"/>
                <w:kern w:val="0"/>
                <w:sz w:val="21"/>
                <w:szCs w:val="21"/>
                <w:highlight w:val="none"/>
              </w:rPr>
              <w:t>打印费等</w:t>
            </w:r>
          </w:p>
        </w:tc>
        <w:tc>
          <w:tcPr>
            <w:tcW w:w="2143" w:type="pct"/>
            <w:tcBorders>
              <w:top w:val="single" w:color="auto" w:sz="2" w:space="0"/>
              <w:left w:val="single" w:color="auto" w:sz="4" w:space="0"/>
              <w:bottom w:val="single" w:color="auto" w:sz="4" w:space="0"/>
              <w:right w:val="single" w:color="auto" w:sz="4" w:space="0"/>
            </w:tcBorders>
            <w:noWrap w:val="0"/>
            <w:vAlign w:val="center"/>
          </w:tcPr>
          <w:p w14:paraId="1EF262F0">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751F9E1D">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A66CC2D">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04D4D848">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0C5A8410">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77A94D44">
            <w:pPr>
              <w:widowControl/>
              <w:adjustRightInd w:val="0"/>
              <w:snapToGrid w:val="0"/>
              <w:spacing w:line="240" w:lineRule="auto"/>
              <w:rPr>
                <w:rFonts w:cs="Times New Roman"/>
                <w:color w:val="000000"/>
                <w:sz w:val="21"/>
                <w:szCs w:val="21"/>
                <w:highlight w:val="none"/>
              </w:rPr>
            </w:pPr>
          </w:p>
        </w:tc>
      </w:tr>
      <w:tr w14:paraId="236B3E0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03" w:type="pct"/>
            <w:vMerge w:val="continue"/>
            <w:tcBorders>
              <w:left w:val="single" w:color="auto" w:sz="8" w:space="0"/>
              <w:bottom w:val="single" w:color="auto" w:sz="4" w:space="0"/>
              <w:right w:val="single" w:color="auto" w:sz="4" w:space="0"/>
            </w:tcBorders>
            <w:noWrap w:val="0"/>
            <w:vAlign w:val="center"/>
          </w:tcPr>
          <w:p w14:paraId="4B40B56C">
            <w:pPr>
              <w:adjustRightInd w:val="0"/>
              <w:snapToGrid w:val="0"/>
              <w:spacing w:line="240" w:lineRule="auto"/>
              <w:jc w:val="center"/>
              <w:rPr>
                <w:rFonts w:cs="Times New Roman"/>
                <w:color w:val="000000"/>
                <w:sz w:val="21"/>
                <w:szCs w:val="21"/>
                <w:highlight w:val="none"/>
              </w:rPr>
            </w:pPr>
          </w:p>
        </w:tc>
        <w:tc>
          <w:tcPr>
            <w:tcW w:w="355" w:type="pct"/>
            <w:vMerge w:val="continue"/>
            <w:tcBorders>
              <w:left w:val="single" w:color="auto" w:sz="4" w:space="0"/>
              <w:bottom w:val="single" w:color="auto" w:sz="4" w:space="0"/>
              <w:right w:val="single" w:color="auto" w:sz="4" w:space="0"/>
            </w:tcBorders>
            <w:noWrap w:val="0"/>
            <w:vAlign w:val="center"/>
          </w:tcPr>
          <w:p w14:paraId="4445D7B7">
            <w:pPr>
              <w:adjustRightInd w:val="0"/>
              <w:snapToGrid w:val="0"/>
              <w:spacing w:line="240" w:lineRule="auto"/>
              <w:jc w:val="center"/>
              <w:rPr>
                <w:rFonts w:cs="Times New Roman"/>
                <w:bCs/>
                <w:color w:val="000000"/>
                <w:kern w:val="0"/>
                <w:sz w:val="21"/>
                <w:szCs w:val="21"/>
                <w:highlight w:val="none"/>
              </w:rPr>
            </w:pPr>
          </w:p>
        </w:tc>
        <w:tc>
          <w:tcPr>
            <w:tcW w:w="2143" w:type="pct"/>
            <w:tcBorders>
              <w:top w:val="single" w:color="auto" w:sz="2" w:space="0"/>
              <w:left w:val="single" w:color="auto" w:sz="4" w:space="0"/>
              <w:bottom w:val="single" w:color="auto" w:sz="4" w:space="0"/>
              <w:right w:val="single" w:color="auto" w:sz="4" w:space="0"/>
            </w:tcBorders>
            <w:noWrap w:val="0"/>
            <w:vAlign w:val="center"/>
          </w:tcPr>
          <w:p w14:paraId="57E2A3A9">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省生态环境厅至少邀请5名业内专家及相关部门领导，组织召开专家评审会</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568F25D5">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6" w:type="pct"/>
            <w:tcBorders>
              <w:top w:val="single" w:color="auto" w:sz="4" w:space="0"/>
              <w:left w:val="single" w:color="auto" w:sz="4" w:space="0"/>
              <w:bottom w:val="single" w:color="auto" w:sz="4" w:space="0"/>
              <w:right w:val="single" w:color="auto" w:sz="4" w:space="0"/>
            </w:tcBorders>
            <w:noWrap w:val="0"/>
            <w:vAlign w:val="center"/>
          </w:tcPr>
          <w:p w14:paraId="3F4D8459">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22" w:type="pct"/>
            <w:tcBorders>
              <w:top w:val="single" w:color="auto" w:sz="4" w:space="0"/>
              <w:left w:val="single" w:color="auto" w:sz="4" w:space="0"/>
              <w:bottom w:val="single" w:color="auto" w:sz="4" w:space="0"/>
              <w:right w:val="single" w:color="auto" w:sz="4" w:space="0"/>
            </w:tcBorders>
            <w:noWrap w:val="0"/>
            <w:vAlign w:val="center"/>
          </w:tcPr>
          <w:p w14:paraId="31E212E8">
            <w:pPr>
              <w:widowControl/>
              <w:adjustRightInd w:val="0"/>
              <w:snapToGrid w:val="0"/>
              <w:spacing w:line="240" w:lineRule="auto"/>
              <w:jc w:val="center"/>
              <w:rPr>
                <w:rFonts w:cs="Times New Roman"/>
                <w:color w:val="000000"/>
                <w:sz w:val="21"/>
                <w:szCs w:val="21"/>
                <w:highlight w:val="non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18C9755C">
            <w:pPr>
              <w:widowControl/>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31B016CC">
            <w:pPr>
              <w:widowControl/>
              <w:adjustRightInd w:val="0"/>
              <w:snapToGrid w:val="0"/>
              <w:spacing w:line="240" w:lineRule="auto"/>
              <w:rPr>
                <w:rFonts w:cs="Times New Roman"/>
                <w:color w:val="000000"/>
                <w:sz w:val="21"/>
                <w:szCs w:val="21"/>
                <w:highlight w:val="none"/>
              </w:rPr>
            </w:pPr>
          </w:p>
        </w:tc>
      </w:tr>
      <w:tr w14:paraId="0447507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917" w:hRule="atLeast"/>
          <w:jc w:val="center"/>
        </w:trPr>
        <w:tc>
          <w:tcPr>
            <w:tcW w:w="3883" w:type="pct"/>
            <w:gridSpan w:val="6"/>
            <w:tcBorders>
              <w:top w:val="single" w:color="auto" w:sz="2" w:space="0"/>
              <w:left w:val="single" w:color="auto" w:sz="2" w:space="0"/>
              <w:bottom w:val="single" w:color="auto" w:sz="4" w:space="0"/>
              <w:right w:val="single" w:color="auto" w:sz="4" w:space="0"/>
            </w:tcBorders>
            <w:noWrap w:val="0"/>
            <w:vAlign w:val="center"/>
          </w:tcPr>
          <w:p w14:paraId="40F33AF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合计</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334E0898">
            <w:pPr>
              <w:adjustRightInd w:val="0"/>
              <w:snapToGrid w:val="0"/>
              <w:spacing w:line="240" w:lineRule="auto"/>
              <w:jc w:val="center"/>
              <w:rPr>
                <w:rFonts w:cs="Times New Roman"/>
                <w:color w:val="000000"/>
                <w:sz w:val="21"/>
                <w:szCs w:val="21"/>
                <w:highlight w:val="none"/>
              </w:rPr>
            </w:pPr>
          </w:p>
        </w:tc>
        <w:tc>
          <w:tcPr>
            <w:tcW w:w="552" w:type="pct"/>
            <w:tcBorders>
              <w:top w:val="single" w:color="auto" w:sz="4" w:space="0"/>
              <w:left w:val="single" w:color="auto" w:sz="4" w:space="0"/>
              <w:bottom w:val="single" w:color="auto" w:sz="4" w:space="0"/>
              <w:right w:val="single" w:color="auto" w:sz="4" w:space="0"/>
            </w:tcBorders>
            <w:noWrap w:val="0"/>
            <w:vAlign w:val="center"/>
          </w:tcPr>
          <w:p w14:paraId="6E90BE0C">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w:t>
            </w:r>
          </w:p>
        </w:tc>
      </w:tr>
    </w:tbl>
    <w:p w14:paraId="2BF70DDF">
      <w:pPr>
        <w:jc w:val="center"/>
        <w:rPr>
          <w:rFonts w:cs="Times New Roman"/>
          <w:b/>
          <w:bCs/>
          <w:color w:val="000000"/>
          <w:kern w:val="0"/>
          <w:highlight w:val="none"/>
        </w:rPr>
      </w:pPr>
      <w:r>
        <w:rPr>
          <w:rFonts w:cs="Times New Roman"/>
          <w:b/>
          <w:bCs/>
          <w:color w:val="000000"/>
          <w:kern w:val="0"/>
          <w:highlight w:val="none"/>
        </w:rPr>
        <w:br w:type="page"/>
      </w:r>
      <w:r>
        <w:rPr>
          <w:rFonts w:cs="Times New Roman"/>
          <w:b/>
          <w:bCs/>
          <w:color w:val="000000"/>
          <w:kern w:val="0"/>
          <w:highlight w:val="none"/>
        </w:rPr>
        <w:t>表2  原南京祥宇农药有限公司地块风险评估项目费用报价明细表</w:t>
      </w:r>
    </w:p>
    <w:tbl>
      <w:tblPr>
        <w:tblStyle w:val="51"/>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0" w:type="dxa"/>
          <w:bottom w:w="0" w:type="dxa"/>
          <w:right w:w="0" w:type="dxa"/>
        </w:tblCellMar>
      </w:tblPr>
      <w:tblGrid>
        <w:gridCol w:w="519"/>
        <w:gridCol w:w="1051"/>
        <w:gridCol w:w="6074"/>
        <w:gridCol w:w="890"/>
        <w:gridCol w:w="966"/>
        <w:gridCol w:w="1506"/>
        <w:gridCol w:w="1613"/>
        <w:gridCol w:w="1503"/>
      </w:tblGrid>
      <w:tr w14:paraId="49CAB2A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tcBorders>
              <w:top w:val="single" w:color="auto" w:sz="8" w:space="0"/>
              <w:left w:val="single" w:color="auto" w:sz="8" w:space="0"/>
              <w:bottom w:val="single" w:color="auto" w:sz="2" w:space="0"/>
              <w:right w:val="single" w:color="auto" w:sz="2" w:space="0"/>
            </w:tcBorders>
            <w:noWrap w:val="0"/>
            <w:vAlign w:val="center"/>
          </w:tcPr>
          <w:p w14:paraId="3C930D8E">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序号</w:t>
            </w:r>
          </w:p>
        </w:tc>
        <w:tc>
          <w:tcPr>
            <w:tcW w:w="372" w:type="pct"/>
            <w:tcBorders>
              <w:top w:val="single" w:color="auto" w:sz="8" w:space="0"/>
              <w:left w:val="single" w:color="auto" w:sz="2" w:space="0"/>
              <w:bottom w:val="single" w:color="auto" w:sz="2" w:space="0"/>
              <w:right w:val="single" w:color="auto" w:sz="2" w:space="0"/>
            </w:tcBorders>
            <w:noWrap w:val="0"/>
            <w:vAlign w:val="center"/>
          </w:tcPr>
          <w:p w14:paraId="14537DA9">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w:t>
            </w:r>
            <w:r>
              <w:rPr>
                <w:rFonts w:hint="eastAsia" w:cs="Times New Roman"/>
                <w:b/>
                <w:color w:val="000000"/>
                <w:sz w:val="21"/>
                <w:szCs w:val="21"/>
                <w:highlight w:val="none"/>
              </w:rPr>
              <w:t>分类</w:t>
            </w:r>
          </w:p>
        </w:tc>
        <w:tc>
          <w:tcPr>
            <w:tcW w:w="2150" w:type="pct"/>
            <w:tcBorders>
              <w:top w:val="single" w:color="auto" w:sz="8" w:space="0"/>
              <w:left w:val="single" w:color="auto" w:sz="2" w:space="0"/>
              <w:bottom w:val="single" w:color="auto" w:sz="2" w:space="0"/>
              <w:right w:val="single" w:color="auto" w:sz="2" w:space="0"/>
            </w:tcBorders>
            <w:noWrap w:val="0"/>
            <w:vAlign w:val="center"/>
          </w:tcPr>
          <w:p w14:paraId="3748CACE">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工作内容</w:t>
            </w:r>
          </w:p>
        </w:tc>
        <w:tc>
          <w:tcPr>
            <w:tcW w:w="315" w:type="pct"/>
            <w:tcBorders>
              <w:top w:val="single" w:color="auto" w:sz="8" w:space="0"/>
              <w:left w:val="single" w:color="auto" w:sz="2" w:space="0"/>
              <w:bottom w:val="single" w:color="auto" w:sz="4" w:space="0"/>
              <w:right w:val="single" w:color="auto" w:sz="2" w:space="0"/>
            </w:tcBorders>
            <w:noWrap w:val="0"/>
            <w:vAlign w:val="center"/>
          </w:tcPr>
          <w:p w14:paraId="29C7C291">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计量</w:t>
            </w:r>
          </w:p>
          <w:p w14:paraId="6C262FB7">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单位</w:t>
            </w:r>
          </w:p>
        </w:tc>
        <w:tc>
          <w:tcPr>
            <w:tcW w:w="342" w:type="pct"/>
            <w:tcBorders>
              <w:top w:val="single" w:color="auto" w:sz="8" w:space="0"/>
              <w:left w:val="single" w:color="auto" w:sz="2" w:space="0"/>
              <w:bottom w:val="single" w:color="auto" w:sz="4" w:space="0"/>
              <w:right w:val="single" w:color="auto" w:sz="2" w:space="0"/>
            </w:tcBorders>
            <w:noWrap w:val="0"/>
            <w:vAlign w:val="center"/>
          </w:tcPr>
          <w:p w14:paraId="325A0623">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数量</w:t>
            </w:r>
          </w:p>
        </w:tc>
        <w:tc>
          <w:tcPr>
            <w:tcW w:w="532" w:type="pct"/>
            <w:tcBorders>
              <w:top w:val="single" w:color="auto" w:sz="8" w:space="0"/>
              <w:left w:val="single" w:color="auto" w:sz="2" w:space="0"/>
              <w:bottom w:val="single" w:color="auto" w:sz="4" w:space="0"/>
              <w:right w:val="single" w:color="auto" w:sz="2" w:space="0"/>
            </w:tcBorders>
            <w:noWrap w:val="0"/>
            <w:vAlign w:val="center"/>
          </w:tcPr>
          <w:p w14:paraId="670AA4A0">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单价</w:t>
            </w:r>
          </w:p>
          <w:p w14:paraId="2DE993B6">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71" w:type="pct"/>
            <w:tcBorders>
              <w:top w:val="single" w:color="auto" w:sz="8" w:space="0"/>
              <w:left w:val="single" w:color="auto" w:sz="2" w:space="0"/>
              <w:bottom w:val="single" w:color="auto" w:sz="4" w:space="0"/>
              <w:right w:val="single" w:color="auto" w:sz="8" w:space="0"/>
            </w:tcBorders>
            <w:noWrap w:val="0"/>
            <w:vAlign w:val="center"/>
          </w:tcPr>
          <w:p w14:paraId="0C59038E">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小计</w:t>
            </w:r>
          </w:p>
          <w:p w14:paraId="725971F9">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32" w:type="pct"/>
            <w:tcBorders>
              <w:top w:val="single" w:color="auto" w:sz="8" w:space="0"/>
              <w:left w:val="single" w:color="auto" w:sz="2" w:space="0"/>
              <w:bottom w:val="single" w:color="auto" w:sz="4" w:space="0"/>
              <w:right w:val="single" w:color="auto" w:sz="8" w:space="0"/>
            </w:tcBorders>
            <w:noWrap w:val="0"/>
            <w:vAlign w:val="center"/>
          </w:tcPr>
          <w:p w14:paraId="70C0CF82">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备注</w:t>
            </w:r>
          </w:p>
        </w:tc>
      </w:tr>
      <w:tr w14:paraId="153D921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3B2972CB">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1</w:t>
            </w:r>
          </w:p>
        </w:tc>
        <w:tc>
          <w:tcPr>
            <w:tcW w:w="372" w:type="pct"/>
            <w:vMerge w:val="restart"/>
            <w:tcBorders>
              <w:top w:val="single" w:color="auto" w:sz="4" w:space="0"/>
              <w:left w:val="single" w:color="auto" w:sz="2" w:space="0"/>
              <w:right w:val="single" w:color="auto" w:sz="2" w:space="0"/>
            </w:tcBorders>
            <w:noWrap w:val="0"/>
            <w:vAlign w:val="center"/>
          </w:tcPr>
          <w:p w14:paraId="028ED0E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水文地质勘察</w:t>
            </w:r>
          </w:p>
        </w:tc>
        <w:tc>
          <w:tcPr>
            <w:tcW w:w="2150" w:type="pct"/>
            <w:tcBorders>
              <w:top w:val="single" w:color="auto" w:sz="4" w:space="0"/>
              <w:left w:val="single" w:color="auto" w:sz="2" w:space="0"/>
              <w:bottom w:val="single" w:color="auto" w:sz="4" w:space="0"/>
              <w:right w:val="single" w:color="auto" w:sz="4" w:space="0"/>
            </w:tcBorders>
            <w:noWrap w:val="0"/>
            <w:vAlign w:val="center"/>
          </w:tcPr>
          <w:p w14:paraId="6A9FA01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钻探，布设4个钻孔点位，单个点位钻孔深度达到40m，需钻探至中风化层</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692354CC">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6A16EEEA">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693349D1">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1A7DB63C">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57BB4BA1">
            <w:pPr>
              <w:widowControl/>
              <w:adjustRightInd w:val="0"/>
              <w:snapToGrid w:val="0"/>
              <w:spacing w:line="240" w:lineRule="auto"/>
              <w:rPr>
                <w:rFonts w:cs="Times New Roman"/>
                <w:color w:val="000000"/>
                <w:sz w:val="21"/>
                <w:szCs w:val="21"/>
                <w:highlight w:val="none"/>
              </w:rPr>
            </w:pPr>
          </w:p>
        </w:tc>
      </w:tr>
      <w:tr w14:paraId="3A79F67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08C723E5">
            <w:pPr>
              <w:adjustRightInd w:val="0"/>
              <w:snapToGrid w:val="0"/>
              <w:spacing w:line="240" w:lineRule="auto"/>
              <w:jc w:val="center"/>
              <w:rPr>
                <w:rFonts w:cs="Times New Roman"/>
                <w:bCs/>
                <w:color w:val="000000"/>
                <w:kern w:val="0"/>
                <w:sz w:val="21"/>
                <w:szCs w:val="21"/>
                <w:highlight w:val="none"/>
              </w:rPr>
            </w:pPr>
          </w:p>
        </w:tc>
        <w:tc>
          <w:tcPr>
            <w:tcW w:w="372" w:type="pct"/>
            <w:vMerge w:val="continue"/>
            <w:tcBorders>
              <w:left w:val="single" w:color="auto" w:sz="2" w:space="0"/>
              <w:right w:val="single" w:color="auto" w:sz="2" w:space="0"/>
            </w:tcBorders>
            <w:noWrap w:val="0"/>
            <w:vAlign w:val="center"/>
          </w:tcPr>
          <w:p w14:paraId="45073FB8">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6B2F0E9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建设地下水井，用于抽水试验及流场确定等，布设4个钻孔点位，单个点位建井深度达到40m，需钻探至中风化层</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54039BB6">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78286548">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0188FF7A">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712EB2C1">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14BD937F">
            <w:pPr>
              <w:widowControl/>
              <w:adjustRightInd w:val="0"/>
              <w:snapToGrid w:val="0"/>
              <w:spacing w:line="240" w:lineRule="auto"/>
              <w:rPr>
                <w:rFonts w:cs="Times New Roman"/>
                <w:color w:val="000000"/>
                <w:sz w:val="21"/>
                <w:szCs w:val="21"/>
                <w:highlight w:val="none"/>
              </w:rPr>
            </w:pPr>
          </w:p>
        </w:tc>
      </w:tr>
      <w:tr w14:paraId="1250969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26FF8486">
            <w:pPr>
              <w:adjustRightInd w:val="0"/>
              <w:snapToGrid w:val="0"/>
              <w:spacing w:line="240" w:lineRule="auto"/>
              <w:jc w:val="center"/>
              <w:rPr>
                <w:rFonts w:cs="Times New Roman"/>
                <w:bCs/>
                <w:color w:val="000000"/>
                <w:kern w:val="0"/>
                <w:sz w:val="21"/>
                <w:szCs w:val="21"/>
                <w:highlight w:val="none"/>
              </w:rPr>
            </w:pPr>
          </w:p>
        </w:tc>
        <w:tc>
          <w:tcPr>
            <w:tcW w:w="372" w:type="pct"/>
            <w:vMerge w:val="continue"/>
            <w:tcBorders>
              <w:left w:val="single" w:color="auto" w:sz="2" w:space="0"/>
              <w:right w:val="single" w:color="auto" w:sz="2" w:space="0"/>
            </w:tcBorders>
            <w:noWrap w:val="0"/>
            <w:vAlign w:val="center"/>
          </w:tcPr>
          <w:p w14:paraId="39B38F95">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43E01C8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土工试验，包括土壤有机质含量、含水率、孔隙度、渗透系数、土壤颗粒密度、土壤容重等参数的测定，每个点位采集</w:t>
            </w:r>
            <w:r>
              <w:rPr>
                <w:rFonts w:hint="eastAsia" w:cs="Times New Roman"/>
                <w:color w:val="000000"/>
                <w:sz w:val="21"/>
                <w:szCs w:val="21"/>
                <w:highlight w:val="none"/>
              </w:rPr>
              <w:t>4个土工试验样品，共需送检16个土工试验样品</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4B0D6CC4">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6720F4FE">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2E4A5951">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53D5D3AB">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6F7769C5">
            <w:pPr>
              <w:widowControl/>
              <w:adjustRightInd w:val="0"/>
              <w:snapToGrid w:val="0"/>
              <w:spacing w:line="240" w:lineRule="auto"/>
              <w:rPr>
                <w:rFonts w:cs="Times New Roman"/>
                <w:color w:val="000000"/>
                <w:sz w:val="21"/>
                <w:szCs w:val="21"/>
                <w:highlight w:val="none"/>
              </w:rPr>
            </w:pPr>
          </w:p>
        </w:tc>
      </w:tr>
      <w:tr w14:paraId="41E82DA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13254871">
            <w:pPr>
              <w:adjustRightInd w:val="0"/>
              <w:snapToGrid w:val="0"/>
              <w:spacing w:line="240" w:lineRule="auto"/>
              <w:jc w:val="center"/>
              <w:rPr>
                <w:rFonts w:cs="Times New Roman"/>
                <w:bCs/>
                <w:color w:val="000000"/>
                <w:kern w:val="0"/>
                <w:sz w:val="21"/>
                <w:szCs w:val="21"/>
                <w:highlight w:val="none"/>
              </w:rPr>
            </w:pPr>
          </w:p>
        </w:tc>
        <w:tc>
          <w:tcPr>
            <w:tcW w:w="372" w:type="pct"/>
            <w:vMerge w:val="continue"/>
            <w:tcBorders>
              <w:left w:val="single" w:color="auto" w:sz="2" w:space="0"/>
              <w:right w:val="single" w:color="auto" w:sz="2" w:space="0"/>
            </w:tcBorders>
            <w:noWrap w:val="0"/>
            <w:vAlign w:val="center"/>
          </w:tcPr>
          <w:p w14:paraId="406AC4D8">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74EDEF6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抽水试验，需要</w:t>
            </w:r>
            <w:r>
              <w:rPr>
                <w:rFonts w:hint="eastAsia" w:cs="Times New Roman"/>
                <w:color w:val="000000"/>
                <w:sz w:val="21"/>
                <w:szCs w:val="21"/>
                <w:highlight w:val="none"/>
              </w:rPr>
              <w:t>2个台班</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0A397D73">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台班</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2A211B45">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62CD76C2">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616CB760">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19E31BFA">
            <w:pPr>
              <w:widowControl/>
              <w:adjustRightInd w:val="0"/>
              <w:snapToGrid w:val="0"/>
              <w:spacing w:line="240" w:lineRule="auto"/>
              <w:rPr>
                <w:rFonts w:cs="Times New Roman"/>
                <w:color w:val="000000"/>
                <w:sz w:val="21"/>
                <w:szCs w:val="21"/>
                <w:highlight w:val="none"/>
              </w:rPr>
            </w:pPr>
          </w:p>
        </w:tc>
      </w:tr>
      <w:tr w14:paraId="0A8392E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5F9845E6">
            <w:pPr>
              <w:adjustRightInd w:val="0"/>
              <w:snapToGrid w:val="0"/>
              <w:spacing w:line="240" w:lineRule="auto"/>
              <w:jc w:val="center"/>
              <w:rPr>
                <w:rFonts w:cs="Times New Roman"/>
                <w:bCs/>
                <w:color w:val="000000"/>
                <w:kern w:val="0"/>
                <w:sz w:val="21"/>
                <w:szCs w:val="21"/>
                <w:highlight w:val="none"/>
              </w:rPr>
            </w:pPr>
          </w:p>
        </w:tc>
        <w:tc>
          <w:tcPr>
            <w:tcW w:w="372" w:type="pct"/>
            <w:vMerge w:val="continue"/>
            <w:tcBorders>
              <w:left w:val="single" w:color="auto" w:sz="2" w:space="0"/>
              <w:bottom w:val="single" w:color="auto" w:sz="4" w:space="0"/>
              <w:right w:val="single" w:color="auto" w:sz="2" w:space="0"/>
            </w:tcBorders>
            <w:noWrap w:val="0"/>
            <w:vAlign w:val="center"/>
          </w:tcPr>
          <w:p w14:paraId="7A8DC350">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7039B8B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完成水文地质勘察报告（明确地层结构、地下水特征、地下水与长江水力联系、区域地下水补给、径流、排泄规律，以及对应长江河段的水质现状，水文特征等）</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18412C9F">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67F808B7">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4FD1118B">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451CBDD5">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7047F984">
            <w:pPr>
              <w:widowControl/>
              <w:adjustRightInd w:val="0"/>
              <w:snapToGrid w:val="0"/>
              <w:spacing w:line="240" w:lineRule="auto"/>
              <w:rPr>
                <w:rFonts w:cs="Times New Roman"/>
                <w:color w:val="000000"/>
                <w:sz w:val="21"/>
                <w:szCs w:val="21"/>
                <w:highlight w:val="none"/>
              </w:rPr>
            </w:pPr>
          </w:p>
        </w:tc>
      </w:tr>
      <w:tr w14:paraId="324EAEA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tcBorders>
              <w:top w:val="single" w:color="auto" w:sz="4" w:space="0"/>
              <w:left w:val="single" w:color="auto" w:sz="8" w:space="0"/>
              <w:bottom w:val="single" w:color="auto" w:sz="4" w:space="0"/>
              <w:right w:val="single" w:color="auto" w:sz="2" w:space="0"/>
            </w:tcBorders>
            <w:noWrap w:val="0"/>
            <w:vAlign w:val="center"/>
          </w:tcPr>
          <w:p w14:paraId="7AE4A890">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2</w:t>
            </w:r>
          </w:p>
        </w:tc>
        <w:tc>
          <w:tcPr>
            <w:tcW w:w="372" w:type="pct"/>
            <w:tcBorders>
              <w:top w:val="single" w:color="auto" w:sz="4" w:space="0"/>
              <w:left w:val="single" w:color="auto" w:sz="2" w:space="0"/>
              <w:bottom w:val="single" w:color="auto" w:sz="4" w:space="0"/>
              <w:right w:val="single" w:color="auto" w:sz="2" w:space="0"/>
            </w:tcBorders>
            <w:noWrap w:val="0"/>
            <w:vAlign w:val="center"/>
          </w:tcPr>
          <w:p w14:paraId="4F5E119B">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补充调查方案制定</w:t>
            </w:r>
          </w:p>
        </w:tc>
        <w:tc>
          <w:tcPr>
            <w:tcW w:w="2150" w:type="pct"/>
            <w:tcBorders>
              <w:top w:val="single" w:color="auto" w:sz="4" w:space="0"/>
              <w:left w:val="single" w:color="auto" w:sz="2" w:space="0"/>
              <w:bottom w:val="single" w:color="auto" w:sz="4" w:space="0"/>
              <w:right w:val="single" w:color="auto" w:sz="4" w:space="0"/>
            </w:tcBorders>
            <w:noWrap w:val="0"/>
            <w:vAlign w:val="center"/>
          </w:tcPr>
          <w:p w14:paraId="632BBDDB">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根据祥宇农药地块的资料分析结果，制定祥宇农药地块的补充调查方案</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70262352">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2CFA50A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6E1E1CC5">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48173C86">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6A2EBFB9">
            <w:pPr>
              <w:widowControl/>
              <w:adjustRightInd w:val="0"/>
              <w:snapToGrid w:val="0"/>
              <w:spacing w:line="240" w:lineRule="auto"/>
              <w:rPr>
                <w:rFonts w:cs="Times New Roman"/>
                <w:color w:val="000000"/>
                <w:sz w:val="21"/>
                <w:szCs w:val="21"/>
                <w:highlight w:val="none"/>
              </w:rPr>
            </w:pPr>
          </w:p>
        </w:tc>
      </w:tr>
      <w:tr w14:paraId="32CD4BF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4F3E18D2">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3</w:t>
            </w:r>
          </w:p>
        </w:tc>
        <w:tc>
          <w:tcPr>
            <w:tcW w:w="372" w:type="pct"/>
            <w:vMerge w:val="restart"/>
            <w:tcBorders>
              <w:top w:val="single" w:color="auto" w:sz="4" w:space="0"/>
              <w:left w:val="single" w:color="auto" w:sz="2" w:space="0"/>
              <w:right w:val="single" w:color="auto" w:sz="2" w:space="0"/>
            </w:tcBorders>
            <w:noWrap w:val="0"/>
            <w:vAlign w:val="center"/>
          </w:tcPr>
          <w:p w14:paraId="6DF1156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现场钻探及采样费用</w:t>
            </w:r>
          </w:p>
        </w:tc>
        <w:tc>
          <w:tcPr>
            <w:tcW w:w="2150" w:type="pct"/>
            <w:tcBorders>
              <w:top w:val="single" w:color="auto" w:sz="4" w:space="0"/>
              <w:left w:val="single" w:color="auto" w:sz="2" w:space="0"/>
              <w:bottom w:val="single" w:color="auto" w:sz="4" w:space="0"/>
              <w:right w:val="single" w:color="auto" w:sz="4" w:space="0"/>
            </w:tcBorders>
            <w:noWrap w:val="0"/>
            <w:vAlign w:val="center"/>
          </w:tcPr>
          <w:p w14:paraId="6A1BDC4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祥宇农药地块补充调查的钻探及采样工作，包括土壤钻探以及土壤样品采集（钻探深度至少为</w:t>
            </w:r>
            <w:r>
              <w:rPr>
                <w:rFonts w:hint="eastAsia" w:cs="Times New Roman"/>
                <w:color w:val="000000"/>
                <w:sz w:val="21"/>
                <w:szCs w:val="21"/>
                <w:highlight w:val="none"/>
              </w:rPr>
              <w:t>6m，部分点位需要钻探至9m、30m</w:t>
            </w:r>
            <w:r>
              <w:rPr>
                <w:rFonts w:cs="Times New Roman"/>
                <w:color w:val="000000"/>
                <w:sz w:val="21"/>
                <w:szCs w:val="21"/>
                <w:highlight w:val="none"/>
              </w:rPr>
              <w:t>），土壤总钻探深度约</w:t>
            </w:r>
            <w:r>
              <w:rPr>
                <w:rFonts w:hint="eastAsia" w:cs="Times New Roman"/>
                <w:color w:val="000000"/>
                <w:sz w:val="21"/>
                <w:szCs w:val="21"/>
                <w:highlight w:val="none"/>
              </w:rPr>
              <w:t>150m</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7B1DFB4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5E430B1B">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150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4F7AFF9C">
            <w:pPr>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58A0F17B">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218FF964">
            <w:pPr>
              <w:adjustRightInd w:val="0"/>
              <w:snapToGrid w:val="0"/>
              <w:spacing w:line="240" w:lineRule="auto"/>
              <w:rPr>
                <w:rFonts w:cs="Times New Roman"/>
                <w:color w:val="000000"/>
                <w:sz w:val="21"/>
                <w:szCs w:val="21"/>
                <w:highlight w:val="none"/>
              </w:rPr>
            </w:pPr>
          </w:p>
        </w:tc>
      </w:tr>
      <w:tr w14:paraId="29E47F5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015B2149">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bottom w:val="single" w:color="auto" w:sz="4" w:space="0"/>
              <w:right w:val="single" w:color="auto" w:sz="2" w:space="0"/>
            </w:tcBorders>
            <w:noWrap w:val="0"/>
            <w:vAlign w:val="center"/>
          </w:tcPr>
          <w:p w14:paraId="27CB910F">
            <w:pPr>
              <w:adjustRightInd w:val="0"/>
              <w:snapToGrid w:val="0"/>
              <w:spacing w:line="240" w:lineRule="auto"/>
              <w:jc w:val="center"/>
              <w:rPr>
                <w:rFonts w:cs="Times New Roman"/>
                <w:color w:val="00000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38176B2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祥宇农药地块补充调查的钻探及采样工作，包括地下水建井以及地下水样品采集（建井深度至少为</w:t>
            </w:r>
            <w:r>
              <w:rPr>
                <w:rFonts w:hint="eastAsia" w:cs="Times New Roman"/>
                <w:color w:val="000000"/>
                <w:sz w:val="21"/>
                <w:szCs w:val="21"/>
                <w:highlight w:val="none"/>
              </w:rPr>
              <w:t>6m，部分点位建井深度需要达到9m、30m</w:t>
            </w:r>
            <w:r>
              <w:rPr>
                <w:rFonts w:cs="Times New Roman"/>
                <w:color w:val="000000"/>
                <w:sz w:val="21"/>
                <w:szCs w:val="21"/>
                <w:highlight w:val="none"/>
              </w:rPr>
              <w:t>），地下水总建井深度约</w:t>
            </w:r>
            <w:r>
              <w:rPr>
                <w:rFonts w:hint="eastAsia" w:cs="Times New Roman"/>
                <w:color w:val="000000"/>
                <w:sz w:val="21"/>
                <w:szCs w:val="21"/>
                <w:highlight w:val="none"/>
              </w:rPr>
              <w:t>180m</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730E8D6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257A5106">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180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350C6968">
            <w:pPr>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2F1A2C62">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00B5D289">
            <w:pPr>
              <w:adjustRightInd w:val="0"/>
              <w:snapToGrid w:val="0"/>
              <w:spacing w:line="240" w:lineRule="auto"/>
              <w:rPr>
                <w:rFonts w:cs="Times New Roman"/>
                <w:color w:val="000000"/>
                <w:sz w:val="21"/>
                <w:szCs w:val="21"/>
                <w:highlight w:val="none"/>
              </w:rPr>
            </w:pPr>
          </w:p>
        </w:tc>
      </w:tr>
      <w:tr w14:paraId="3B39A7F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0F16C9B1">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4</w:t>
            </w:r>
          </w:p>
        </w:tc>
        <w:tc>
          <w:tcPr>
            <w:tcW w:w="372" w:type="pct"/>
            <w:vMerge w:val="restart"/>
            <w:tcBorders>
              <w:top w:val="single" w:color="auto" w:sz="4" w:space="0"/>
              <w:left w:val="single" w:color="auto" w:sz="2" w:space="0"/>
              <w:right w:val="single" w:color="auto" w:sz="2" w:space="0"/>
            </w:tcBorders>
            <w:noWrap w:val="0"/>
            <w:vAlign w:val="center"/>
          </w:tcPr>
          <w:p w14:paraId="776545DE">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样品处理与检测费</w:t>
            </w:r>
          </w:p>
        </w:tc>
        <w:tc>
          <w:tcPr>
            <w:tcW w:w="2150" w:type="pct"/>
            <w:tcBorders>
              <w:top w:val="single" w:color="auto" w:sz="4" w:space="0"/>
              <w:left w:val="single" w:color="auto" w:sz="2" w:space="0"/>
              <w:bottom w:val="single" w:color="auto" w:sz="4" w:space="0"/>
              <w:right w:val="single" w:color="auto" w:sz="4" w:space="0"/>
            </w:tcBorders>
            <w:noWrap w:val="0"/>
            <w:vAlign w:val="center"/>
          </w:tcPr>
          <w:p w14:paraId="213AAE0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土壤检测因子需包括pH、重金属</w:t>
            </w:r>
            <w:r>
              <w:rPr>
                <w:rFonts w:hint="eastAsia" w:cs="Times New Roman"/>
                <w:color w:val="000000"/>
                <w:sz w:val="21"/>
                <w:szCs w:val="21"/>
                <w:highlight w:val="none"/>
              </w:rPr>
              <w:t>7项、挥发性有机污染物65项、半挥发性有机污染物64项、特征污染物18项（需要包括：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）、苯乙酮、1,3,5-三甲基苯、锌、铝、硒、银、氟化物、丙酮、对苯二酚、乙醚、正丁醇、甲氰菊酯、氯氰菊酯、四氢呋喃、乙酸乙酯、噻吩磺隆、烟嘧磺隆</w:t>
            </w:r>
            <w:r>
              <w:rPr>
                <w:rFonts w:hint="eastAsia" w:cs="Times New Roman"/>
                <w:color w:val="000000"/>
                <w:sz w:val="21"/>
                <w:szCs w:val="21"/>
                <w:highlight w:val="none"/>
              </w:rPr>
              <w:t>等）</w:t>
            </w:r>
            <w:r>
              <w:rPr>
                <w:rFonts w:cs="Times New Roman"/>
                <w:color w:val="000000"/>
                <w:sz w:val="21"/>
                <w:szCs w:val="21"/>
                <w:highlight w:val="none"/>
              </w:rPr>
              <w:t>，土壤样品约</w:t>
            </w:r>
            <w:r>
              <w:rPr>
                <w:rFonts w:hint="eastAsia" w:cs="Times New Roman"/>
                <w:color w:val="000000"/>
                <w:sz w:val="21"/>
                <w:szCs w:val="21"/>
                <w:highlight w:val="none"/>
              </w:rPr>
              <w:t>90个</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71A5891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42096D64">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90</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3E67A56A">
            <w:pPr>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1F001012">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2D1D0B18">
            <w:pPr>
              <w:adjustRightInd w:val="0"/>
              <w:snapToGrid w:val="0"/>
              <w:spacing w:line="240" w:lineRule="auto"/>
              <w:rPr>
                <w:rFonts w:cs="Times New Roman"/>
                <w:color w:val="000000"/>
                <w:sz w:val="21"/>
                <w:szCs w:val="21"/>
                <w:highlight w:val="none"/>
              </w:rPr>
            </w:pPr>
          </w:p>
        </w:tc>
      </w:tr>
      <w:tr w14:paraId="5AAA48D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1D0BF912">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bottom w:val="single" w:color="auto" w:sz="4" w:space="0"/>
              <w:right w:val="single" w:color="auto" w:sz="2" w:space="0"/>
            </w:tcBorders>
            <w:noWrap w:val="0"/>
            <w:vAlign w:val="center"/>
          </w:tcPr>
          <w:p w14:paraId="5068ED33">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4" w:space="0"/>
              <w:left w:val="single" w:color="auto" w:sz="2" w:space="0"/>
              <w:bottom w:val="single" w:color="auto" w:sz="4" w:space="0"/>
              <w:right w:val="single" w:color="auto" w:sz="4" w:space="0"/>
            </w:tcBorders>
            <w:noWrap w:val="0"/>
            <w:vAlign w:val="center"/>
          </w:tcPr>
          <w:p w14:paraId="40C69B33">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地下水</w:t>
            </w:r>
            <w:r>
              <w:rPr>
                <w:rFonts w:cs="Times New Roman"/>
                <w:color w:val="000000"/>
                <w:sz w:val="21"/>
                <w:szCs w:val="21"/>
                <w:highlight w:val="none"/>
              </w:rPr>
              <w:t>的检测因子需包括pH、重金属</w:t>
            </w:r>
            <w:r>
              <w:rPr>
                <w:rFonts w:hint="eastAsia" w:cs="Times New Roman"/>
                <w:color w:val="000000"/>
                <w:sz w:val="21"/>
                <w:szCs w:val="21"/>
                <w:highlight w:val="none"/>
              </w:rPr>
              <w:t>7项、挥发性有机污染物65项、半挥发性有机污染物64项、特征污染物18项（需要包括：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）、苯乙酮、1,3,5-三甲基苯、锌、铝、硒、银、氟化物、丙酮、对苯二酚、乙醚、正丁醇、甲氰菊酯、氯氰菊酯、四氢呋喃、乙酸乙酯、噻吩磺隆、烟嘧磺隆</w:t>
            </w:r>
            <w:r>
              <w:rPr>
                <w:rFonts w:hint="eastAsia" w:cs="Times New Roman"/>
                <w:color w:val="000000"/>
                <w:sz w:val="21"/>
                <w:szCs w:val="21"/>
                <w:highlight w:val="none"/>
              </w:rPr>
              <w:t>等）、《地下水质量标准》(GBT14848-2017)中的感官性状无机指标等25项等。考虑</w:t>
            </w:r>
            <w:r>
              <w:rPr>
                <w:rFonts w:cs="Times New Roman"/>
                <w:color w:val="000000"/>
                <w:sz w:val="21"/>
                <w:szCs w:val="21"/>
                <w:highlight w:val="none"/>
              </w:rPr>
              <w:t>到地块内涉及</w:t>
            </w:r>
            <w:r>
              <w:rPr>
                <w:rFonts w:hint="eastAsia" w:cs="Times New Roman"/>
                <w:color w:val="000000"/>
                <w:sz w:val="21"/>
                <w:szCs w:val="21"/>
                <w:highlight w:val="none"/>
              </w:rPr>
              <w:t>DNAPL类物质超标，根据技术规范要求需要分别在水位线以下0.5m和井管底部采集地下水样品</w:t>
            </w:r>
            <w:r>
              <w:rPr>
                <w:rFonts w:cs="Times New Roman"/>
                <w:color w:val="000000"/>
                <w:sz w:val="21"/>
                <w:szCs w:val="21"/>
                <w:highlight w:val="none"/>
              </w:rPr>
              <w:t>，地下水样品约</w:t>
            </w:r>
            <w:r>
              <w:rPr>
                <w:rFonts w:hint="eastAsia" w:cs="Times New Roman"/>
                <w:color w:val="000000"/>
                <w:sz w:val="21"/>
                <w:szCs w:val="21"/>
                <w:highlight w:val="none"/>
              </w:rPr>
              <w:t>28个</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6973576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5DEEC6DB">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28</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655F3821">
            <w:pPr>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7A679DB7">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21B5740B">
            <w:pPr>
              <w:adjustRightInd w:val="0"/>
              <w:snapToGrid w:val="0"/>
              <w:spacing w:line="240" w:lineRule="auto"/>
              <w:rPr>
                <w:rFonts w:cs="Times New Roman"/>
                <w:color w:val="000000"/>
                <w:sz w:val="21"/>
                <w:szCs w:val="21"/>
                <w:highlight w:val="none"/>
              </w:rPr>
            </w:pPr>
          </w:p>
        </w:tc>
      </w:tr>
      <w:tr w14:paraId="73BECC3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4D7552A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5</w:t>
            </w:r>
          </w:p>
        </w:tc>
        <w:tc>
          <w:tcPr>
            <w:tcW w:w="372" w:type="pct"/>
            <w:vMerge w:val="restart"/>
            <w:tcBorders>
              <w:top w:val="single" w:color="auto" w:sz="2" w:space="0"/>
              <w:left w:val="single" w:color="auto" w:sz="2" w:space="0"/>
              <w:right w:val="single" w:color="auto" w:sz="2" w:space="0"/>
            </w:tcBorders>
            <w:noWrap w:val="0"/>
            <w:vAlign w:val="center"/>
          </w:tcPr>
          <w:p w14:paraId="53B34FBF">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污染物入江风险评估</w:t>
            </w:r>
          </w:p>
        </w:tc>
        <w:tc>
          <w:tcPr>
            <w:tcW w:w="2150" w:type="pct"/>
            <w:tcBorders>
              <w:top w:val="single" w:color="auto" w:sz="2" w:space="0"/>
              <w:left w:val="single" w:color="auto" w:sz="2" w:space="0"/>
              <w:bottom w:val="single" w:color="auto" w:sz="2" w:space="0"/>
              <w:right w:val="single" w:color="auto" w:sz="2" w:space="0"/>
            </w:tcBorders>
            <w:noWrap w:val="0"/>
            <w:vAlign w:val="center"/>
          </w:tcPr>
          <w:p w14:paraId="27CED01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入江风险识别与途径分析，</w:t>
            </w:r>
            <w:r>
              <w:rPr>
                <w:rFonts w:hint="eastAsia" w:cs="Times New Roman"/>
                <w:bCs/>
                <w:color w:val="000000"/>
                <w:kern w:val="0"/>
                <w:sz w:val="21"/>
                <w:szCs w:val="21"/>
                <w:highlight w:val="none"/>
              </w:rPr>
              <w:t>结合地块利用类型，识别入江风险因素，分析污染物入江的主要途径及可行性，包括地块污染本身风险、水文水力联系风险、污染物入江途径风险、敏感目标影响风险、暴雨与汛期风险、开发建设新增风险等</w:t>
            </w:r>
          </w:p>
        </w:tc>
        <w:tc>
          <w:tcPr>
            <w:tcW w:w="315" w:type="pct"/>
            <w:vMerge w:val="restart"/>
            <w:tcBorders>
              <w:top w:val="single" w:color="auto" w:sz="4" w:space="0"/>
              <w:left w:val="single" w:color="auto" w:sz="4" w:space="0"/>
              <w:right w:val="single" w:color="auto" w:sz="4" w:space="0"/>
            </w:tcBorders>
            <w:noWrap w:val="0"/>
            <w:vAlign w:val="center"/>
          </w:tcPr>
          <w:p w14:paraId="4019BA2A">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vMerge w:val="restart"/>
            <w:tcBorders>
              <w:top w:val="single" w:color="auto" w:sz="4" w:space="0"/>
              <w:left w:val="single" w:color="auto" w:sz="4" w:space="0"/>
              <w:right w:val="single" w:color="auto" w:sz="4" w:space="0"/>
            </w:tcBorders>
            <w:noWrap w:val="0"/>
            <w:vAlign w:val="center"/>
          </w:tcPr>
          <w:p w14:paraId="29CE20C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vMerge w:val="restart"/>
            <w:tcBorders>
              <w:top w:val="single" w:color="auto" w:sz="4" w:space="0"/>
              <w:left w:val="single" w:color="auto" w:sz="4" w:space="0"/>
              <w:right w:val="single" w:color="auto" w:sz="4" w:space="0"/>
            </w:tcBorders>
            <w:noWrap w:val="0"/>
            <w:vAlign w:val="center"/>
          </w:tcPr>
          <w:p w14:paraId="0DD7AB02">
            <w:pPr>
              <w:widowControl/>
              <w:adjustRightInd w:val="0"/>
              <w:snapToGrid w:val="0"/>
              <w:spacing w:line="240" w:lineRule="auto"/>
              <w:jc w:val="center"/>
              <w:rPr>
                <w:rFonts w:cs="Times New Roman"/>
                <w:color w:val="000000"/>
                <w:sz w:val="21"/>
                <w:szCs w:val="21"/>
                <w:highlight w:val="none"/>
              </w:rPr>
            </w:pPr>
          </w:p>
        </w:tc>
        <w:tc>
          <w:tcPr>
            <w:tcW w:w="571" w:type="pct"/>
            <w:vMerge w:val="restart"/>
            <w:tcBorders>
              <w:top w:val="single" w:color="auto" w:sz="4" w:space="0"/>
              <w:left w:val="single" w:color="auto" w:sz="4" w:space="0"/>
              <w:right w:val="single" w:color="auto" w:sz="4" w:space="0"/>
            </w:tcBorders>
            <w:noWrap w:val="0"/>
            <w:vAlign w:val="center"/>
          </w:tcPr>
          <w:p w14:paraId="0591A18A">
            <w:pPr>
              <w:widowControl/>
              <w:adjustRightInd w:val="0"/>
              <w:snapToGrid w:val="0"/>
              <w:spacing w:line="240" w:lineRule="auto"/>
              <w:jc w:val="center"/>
              <w:rPr>
                <w:rFonts w:cs="Times New Roman"/>
                <w:color w:val="000000"/>
                <w:sz w:val="21"/>
                <w:szCs w:val="21"/>
                <w:highlight w:val="none"/>
              </w:rPr>
            </w:pPr>
          </w:p>
        </w:tc>
        <w:tc>
          <w:tcPr>
            <w:tcW w:w="532" w:type="pct"/>
            <w:vMerge w:val="restart"/>
            <w:tcBorders>
              <w:top w:val="single" w:color="auto" w:sz="4" w:space="0"/>
              <w:left w:val="single" w:color="auto" w:sz="4" w:space="0"/>
              <w:right w:val="single" w:color="auto" w:sz="4" w:space="0"/>
            </w:tcBorders>
            <w:noWrap w:val="0"/>
            <w:vAlign w:val="center"/>
          </w:tcPr>
          <w:p w14:paraId="044F54B8">
            <w:pPr>
              <w:widowControl/>
              <w:adjustRightInd w:val="0"/>
              <w:snapToGrid w:val="0"/>
              <w:spacing w:line="240" w:lineRule="auto"/>
              <w:rPr>
                <w:rFonts w:cs="Times New Roman"/>
                <w:color w:val="000000"/>
                <w:sz w:val="21"/>
                <w:szCs w:val="21"/>
                <w:highlight w:val="none"/>
              </w:rPr>
            </w:pPr>
          </w:p>
        </w:tc>
      </w:tr>
      <w:tr w14:paraId="4F87267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219F01FF">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33FF71F4">
            <w:pPr>
              <w:adjustRightInd w:val="0"/>
              <w:snapToGrid w:val="0"/>
              <w:spacing w:line="240" w:lineRule="auto"/>
              <w:jc w:val="center"/>
              <w:rPr>
                <w:rFonts w:cs="Times New Roman"/>
                <w:color w:val="00000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0C3E940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hint="eastAsia" w:cs="Times New Roman"/>
                <w:color w:val="000000"/>
                <w:sz w:val="21"/>
                <w:szCs w:val="21"/>
                <w:highlight w:val="none"/>
              </w:rPr>
              <w:t>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p>
        </w:tc>
        <w:tc>
          <w:tcPr>
            <w:tcW w:w="315" w:type="pct"/>
            <w:vMerge w:val="continue"/>
            <w:tcBorders>
              <w:left w:val="single" w:color="auto" w:sz="4" w:space="0"/>
              <w:right w:val="single" w:color="auto" w:sz="4" w:space="0"/>
            </w:tcBorders>
            <w:noWrap w:val="0"/>
            <w:vAlign w:val="center"/>
          </w:tcPr>
          <w:p w14:paraId="52096EF0">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26A9BE58">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4C700BB0">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366F88C7">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69AE993E">
            <w:pPr>
              <w:widowControl/>
              <w:adjustRightInd w:val="0"/>
              <w:snapToGrid w:val="0"/>
              <w:spacing w:line="240" w:lineRule="auto"/>
              <w:rPr>
                <w:rFonts w:cs="Times New Roman"/>
                <w:color w:val="000000"/>
                <w:sz w:val="21"/>
                <w:szCs w:val="21"/>
                <w:highlight w:val="none"/>
              </w:rPr>
            </w:pPr>
          </w:p>
        </w:tc>
      </w:tr>
      <w:tr w14:paraId="5B5545B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6FCDE7FB">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36BFAF33">
            <w:pPr>
              <w:adjustRightInd w:val="0"/>
              <w:snapToGrid w:val="0"/>
              <w:spacing w:line="240" w:lineRule="auto"/>
              <w:jc w:val="center"/>
              <w:rPr>
                <w:rFonts w:cs="Times New Roman"/>
                <w:color w:val="00000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6F3839B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入江风险防控措施，</w:t>
            </w:r>
            <w:r>
              <w:rPr>
                <w:rFonts w:hint="eastAsia" w:cs="Times New Roman"/>
                <w:bCs/>
                <w:color w:val="000000"/>
                <w:kern w:val="0"/>
                <w:sz w:val="21"/>
                <w:szCs w:val="21"/>
                <w:highlight w:val="none"/>
              </w:rPr>
              <w:t>结合风险等级及地块利用类型，制定针对性、可操作的源头管控、过程拦截、应急处置及长效监测措施</w:t>
            </w:r>
          </w:p>
        </w:tc>
        <w:tc>
          <w:tcPr>
            <w:tcW w:w="315" w:type="pct"/>
            <w:vMerge w:val="continue"/>
            <w:tcBorders>
              <w:left w:val="single" w:color="auto" w:sz="4" w:space="0"/>
              <w:right w:val="single" w:color="auto" w:sz="4" w:space="0"/>
            </w:tcBorders>
            <w:noWrap w:val="0"/>
            <w:vAlign w:val="center"/>
          </w:tcPr>
          <w:p w14:paraId="77B114E1">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4AE8DE47">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3E866C72">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4C993380">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27D2362C">
            <w:pPr>
              <w:widowControl/>
              <w:adjustRightInd w:val="0"/>
              <w:snapToGrid w:val="0"/>
              <w:spacing w:line="240" w:lineRule="auto"/>
              <w:rPr>
                <w:rFonts w:cs="Times New Roman"/>
                <w:color w:val="000000"/>
                <w:sz w:val="21"/>
                <w:szCs w:val="21"/>
                <w:highlight w:val="none"/>
              </w:rPr>
            </w:pPr>
          </w:p>
        </w:tc>
      </w:tr>
      <w:tr w14:paraId="577BF38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020E8FB9">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bottom w:val="single" w:color="auto" w:sz="2" w:space="0"/>
              <w:right w:val="single" w:color="auto" w:sz="2" w:space="0"/>
            </w:tcBorders>
            <w:noWrap w:val="0"/>
            <w:vAlign w:val="center"/>
          </w:tcPr>
          <w:p w14:paraId="406B3553">
            <w:pPr>
              <w:adjustRightInd w:val="0"/>
              <w:snapToGrid w:val="0"/>
              <w:spacing w:line="240" w:lineRule="auto"/>
              <w:jc w:val="center"/>
              <w:rPr>
                <w:rFonts w:cs="Times New Roman"/>
                <w:color w:val="00000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55D4A89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风险分析报告编制，</w:t>
            </w:r>
            <w:r>
              <w:rPr>
                <w:rFonts w:hint="eastAsia" w:cs="Times New Roman"/>
                <w:bCs/>
                <w:color w:val="000000"/>
                <w:kern w:val="0"/>
                <w:sz w:val="21"/>
                <w:szCs w:val="21"/>
                <w:highlight w:val="none"/>
              </w:rPr>
              <w:t>编制入江风险分析报告，作为地块开发利用及监管的依据</w:t>
            </w:r>
          </w:p>
        </w:tc>
        <w:tc>
          <w:tcPr>
            <w:tcW w:w="315" w:type="pct"/>
            <w:vMerge w:val="continue"/>
            <w:tcBorders>
              <w:left w:val="single" w:color="auto" w:sz="4" w:space="0"/>
              <w:bottom w:val="single" w:color="auto" w:sz="4" w:space="0"/>
              <w:right w:val="single" w:color="auto" w:sz="4" w:space="0"/>
            </w:tcBorders>
            <w:noWrap w:val="0"/>
            <w:vAlign w:val="center"/>
          </w:tcPr>
          <w:p w14:paraId="35A3D413">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bottom w:val="single" w:color="auto" w:sz="4" w:space="0"/>
              <w:right w:val="single" w:color="auto" w:sz="4" w:space="0"/>
            </w:tcBorders>
            <w:noWrap w:val="0"/>
            <w:vAlign w:val="center"/>
          </w:tcPr>
          <w:p w14:paraId="4C36F5EB">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bottom w:val="single" w:color="auto" w:sz="4" w:space="0"/>
              <w:right w:val="single" w:color="auto" w:sz="4" w:space="0"/>
            </w:tcBorders>
            <w:noWrap w:val="0"/>
            <w:vAlign w:val="center"/>
          </w:tcPr>
          <w:p w14:paraId="3E97DB1A">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bottom w:val="single" w:color="auto" w:sz="4" w:space="0"/>
              <w:right w:val="single" w:color="auto" w:sz="4" w:space="0"/>
            </w:tcBorders>
            <w:noWrap w:val="0"/>
            <w:vAlign w:val="center"/>
          </w:tcPr>
          <w:p w14:paraId="72BF5D2E">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bottom w:val="single" w:color="auto" w:sz="4" w:space="0"/>
              <w:right w:val="single" w:color="auto" w:sz="4" w:space="0"/>
            </w:tcBorders>
            <w:noWrap w:val="0"/>
            <w:vAlign w:val="center"/>
          </w:tcPr>
          <w:p w14:paraId="70CAFB1B">
            <w:pPr>
              <w:widowControl/>
              <w:adjustRightInd w:val="0"/>
              <w:snapToGrid w:val="0"/>
              <w:spacing w:line="240" w:lineRule="auto"/>
              <w:rPr>
                <w:rFonts w:cs="Times New Roman"/>
                <w:color w:val="000000"/>
                <w:sz w:val="21"/>
                <w:szCs w:val="21"/>
                <w:highlight w:val="none"/>
              </w:rPr>
            </w:pPr>
          </w:p>
        </w:tc>
      </w:tr>
      <w:tr w14:paraId="5A1A1E6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4E058A3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6</w:t>
            </w:r>
          </w:p>
        </w:tc>
        <w:tc>
          <w:tcPr>
            <w:tcW w:w="372" w:type="pct"/>
            <w:vMerge w:val="restart"/>
            <w:tcBorders>
              <w:top w:val="single" w:color="auto" w:sz="2" w:space="0"/>
              <w:left w:val="single" w:color="auto" w:sz="2" w:space="0"/>
              <w:right w:val="single" w:color="auto" w:sz="2" w:space="0"/>
            </w:tcBorders>
            <w:noWrap w:val="0"/>
            <w:vAlign w:val="center"/>
          </w:tcPr>
          <w:p w14:paraId="068FBA48">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风险评估报告编制</w:t>
            </w:r>
          </w:p>
        </w:tc>
        <w:tc>
          <w:tcPr>
            <w:tcW w:w="2150" w:type="pct"/>
            <w:tcBorders>
              <w:top w:val="single" w:color="auto" w:sz="2" w:space="0"/>
              <w:left w:val="single" w:color="auto" w:sz="2" w:space="0"/>
              <w:bottom w:val="single" w:color="auto" w:sz="2" w:space="0"/>
              <w:right w:val="single" w:color="auto" w:sz="2" w:space="0"/>
            </w:tcBorders>
            <w:noWrap w:val="0"/>
            <w:vAlign w:val="center"/>
          </w:tcPr>
          <w:p w14:paraId="4CF8672C">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开展危害识别，收集土壤污染状况调查阶段获得的相关资料和数据，掌握地块土壤和地下水中关注污染物的浓度分布，明确规划土地利用方式，分析可能的敏感受体，如儿童、成人、地下水体等。</w:t>
            </w:r>
          </w:p>
        </w:tc>
        <w:tc>
          <w:tcPr>
            <w:tcW w:w="315" w:type="pct"/>
            <w:vMerge w:val="restart"/>
            <w:tcBorders>
              <w:top w:val="single" w:color="auto" w:sz="4" w:space="0"/>
              <w:left w:val="single" w:color="auto" w:sz="4" w:space="0"/>
              <w:right w:val="single" w:color="auto" w:sz="4" w:space="0"/>
            </w:tcBorders>
            <w:noWrap w:val="0"/>
            <w:vAlign w:val="center"/>
          </w:tcPr>
          <w:p w14:paraId="2C4D6066">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vMerge w:val="restart"/>
            <w:tcBorders>
              <w:top w:val="single" w:color="auto" w:sz="4" w:space="0"/>
              <w:left w:val="single" w:color="auto" w:sz="4" w:space="0"/>
              <w:right w:val="single" w:color="auto" w:sz="4" w:space="0"/>
            </w:tcBorders>
            <w:noWrap w:val="0"/>
            <w:vAlign w:val="center"/>
          </w:tcPr>
          <w:p w14:paraId="56748A4E">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vMerge w:val="restart"/>
            <w:tcBorders>
              <w:top w:val="single" w:color="auto" w:sz="4" w:space="0"/>
              <w:left w:val="single" w:color="auto" w:sz="4" w:space="0"/>
              <w:right w:val="single" w:color="auto" w:sz="4" w:space="0"/>
            </w:tcBorders>
            <w:noWrap w:val="0"/>
            <w:vAlign w:val="center"/>
          </w:tcPr>
          <w:p w14:paraId="54A76AD9">
            <w:pPr>
              <w:widowControl/>
              <w:adjustRightInd w:val="0"/>
              <w:snapToGrid w:val="0"/>
              <w:spacing w:line="240" w:lineRule="auto"/>
              <w:jc w:val="center"/>
              <w:rPr>
                <w:rFonts w:cs="Times New Roman"/>
                <w:color w:val="000000"/>
                <w:sz w:val="21"/>
                <w:szCs w:val="21"/>
                <w:highlight w:val="none"/>
              </w:rPr>
            </w:pPr>
          </w:p>
        </w:tc>
        <w:tc>
          <w:tcPr>
            <w:tcW w:w="571" w:type="pct"/>
            <w:vMerge w:val="restart"/>
            <w:tcBorders>
              <w:top w:val="single" w:color="auto" w:sz="4" w:space="0"/>
              <w:left w:val="single" w:color="auto" w:sz="4" w:space="0"/>
              <w:right w:val="single" w:color="auto" w:sz="4" w:space="0"/>
            </w:tcBorders>
            <w:noWrap w:val="0"/>
            <w:vAlign w:val="center"/>
          </w:tcPr>
          <w:p w14:paraId="0C38CAA7">
            <w:pPr>
              <w:widowControl/>
              <w:adjustRightInd w:val="0"/>
              <w:snapToGrid w:val="0"/>
              <w:spacing w:line="240" w:lineRule="auto"/>
              <w:jc w:val="center"/>
              <w:rPr>
                <w:rFonts w:cs="Times New Roman"/>
                <w:color w:val="000000"/>
                <w:sz w:val="21"/>
                <w:szCs w:val="21"/>
                <w:highlight w:val="none"/>
              </w:rPr>
            </w:pPr>
          </w:p>
        </w:tc>
        <w:tc>
          <w:tcPr>
            <w:tcW w:w="532" w:type="pct"/>
            <w:vMerge w:val="restart"/>
            <w:tcBorders>
              <w:top w:val="single" w:color="auto" w:sz="4" w:space="0"/>
              <w:left w:val="single" w:color="auto" w:sz="4" w:space="0"/>
              <w:right w:val="single" w:color="auto" w:sz="4" w:space="0"/>
            </w:tcBorders>
            <w:noWrap w:val="0"/>
            <w:vAlign w:val="center"/>
          </w:tcPr>
          <w:p w14:paraId="22E1052E">
            <w:pPr>
              <w:widowControl/>
              <w:adjustRightInd w:val="0"/>
              <w:snapToGrid w:val="0"/>
              <w:spacing w:line="240" w:lineRule="auto"/>
              <w:rPr>
                <w:rFonts w:cs="Times New Roman"/>
                <w:color w:val="000000"/>
                <w:sz w:val="21"/>
                <w:szCs w:val="21"/>
                <w:highlight w:val="none"/>
              </w:rPr>
            </w:pPr>
          </w:p>
        </w:tc>
      </w:tr>
      <w:tr w14:paraId="6140D06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34DD5CC0">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2F7137DC">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1AC1B2AF">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暴露评估，在危害识别的基础上，分析地块内关注污染物迁移和危害敏感受体的可能性，确定地块地下水污染物的主要暴露途径和暴露评估模型，确定评估模型参数取值，计算敏感人群对地下水中污染物的暴露量。</w:t>
            </w:r>
          </w:p>
        </w:tc>
        <w:tc>
          <w:tcPr>
            <w:tcW w:w="315" w:type="pct"/>
            <w:vMerge w:val="continue"/>
            <w:tcBorders>
              <w:left w:val="single" w:color="auto" w:sz="4" w:space="0"/>
              <w:right w:val="single" w:color="auto" w:sz="4" w:space="0"/>
            </w:tcBorders>
            <w:noWrap w:val="0"/>
            <w:vAlign w:val="center"/>
          </w:tcPr>
          <w:p w14:paraId="5385ED1C">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7D559E76">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5B617334">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24339A90">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0A671749">
            <w:pPr>
              <w:widowControl/>
              <w:adjustRightInd w:val="0"/>
              <w:snapToGrid w:val="0"/>
              <w:spacing w:line="240" w:lineRule="auto"/>
              <w:rPr>
                <w:rFonts w:cs="Times New Roman"/>
                <w:color w:val="000000"/>
                <w:sz w:val="21"/>
                <w:szCs w:val="21"/>
                <w:highlight w:val="none"/>
              </w:rPr>
            </w:pPr>
          </w:p>
        </w:tc>
      </w:tr>
      <w:tr w14:paraId="3D3C446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271AE8C8">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489ED588">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484BA2FC">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开展毒性评估，在危害识别的基础上，分析关注污染物对人体健康的危害效应，包括致癌效应和非致癌效应，确定与关注污染物相关的参数，包括参考剂量、参考浓度、致癌斜率因子和呼吸吸入单位致癌因子等。</w:t>
            </w:r>
          </w:p>
        </w:tc>
        <w:tc>
          <w:tcPr>
            <w:tcW w:w="315" w:type="pct"/>
            <w:vMerge w:val="continue"/>
            <w:tcBorders>
              <w:left w:val="single" w:color="auto" w:sz="4" w:space="0"/>
              <w:right w:val="single" w:color="auto" w:sz="4" w:space="0"/>
            </w:tcBorders>
            <w:noWrap w:val="0"/>
            <w:vAlign w:val="center"/>
          </w:tcPr>
          <w:p w14:paraId="3773C28F">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00A62C5D">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369ADA34">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2F350F14">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5E245F0F">
            <w:pPr>
              <w:widowControl/>
              <w:adjustRightInd w:val="0"/>
              <w:snapToGrid w:val="0"/>
              <w:spacing w:line="240" w:lineRule="auto"/>
              <w:rPr>
                <w:rFonts w:cs="Times New Roman"/>
                <w:color w:val="000000"/>
                <w:sz w:val="21"/>
                <w:szCs w:val="21"/>
                <w:highlight w:val="none"/>
              </w:rPr>
            </w:pPr>
          </w:p>
        </w:tc>
      </w:tr>
      <w:tr w14:paraId="65168EA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70B331AE">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right w:val="single" w:color="auto" w:sz="2" w:space="0"/>
            </w:tcBorders>
            <w:noWrap w:val="0"/>
            <w:vAlign w:val="center"/>
          </w:tcPr>
          <w:p w14:paraId="1B8AD590">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2F263B4C">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开展风险表征，在暴露评估和毒性评估的基础上，采用风险评估模型计算土壤和地下水中单一污染物经单一途径的致癌风险和危害商，计算单一污染物的总致癌风险和危害商，进行不确定性分析。</w:t>
            </w:r>
          </w:p>
        </w:tc>
        <w:tc>
          <w:tcPr>
            <w:tcW w:w="315" w:type="pct"/>
            <w:vMerge w:val="continue"/>
            <w:tcBorders>
              <w:left w:val="single" w:color="auto" w:sz="4" w:space="0"/>
              <w:right w:val="single" w:color="auto" w:sz="4" w:space="0"/>
            </w:tcBorders>
            <w:noWrap w:val="0"/>
            <w:vAlign w:val="center"/>
          </w:tcPr>
          <w:p w14:paraId="290EE5A1">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right w:val="single" w:color="auto" w:sz="4" w:space="0"/>
            </w:tcBorders>
            <w:noWrap w:val="0"/>
            <w:vAlign w:val="center"/>
          </w:tcPr>
          <w:p w14:paraId="0F50D425">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19DF25F8">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right w:val="single" w:color="auto" w:sz="4" w:space="0"/>
            </w:tcBorders>
            <w:noWrap w:val="0"/>
            <w:vAlign w:val="center"/>
          </w:tcPr>
          <w:p w14:paraId="37FED46D">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right w:val="single" w:color="auto" w:sz="4" w:space="0"/>
            </w:tcBorders>
            <w:noWrap w:val="0"/>
            <w:vAlign w:val="center"/>
          </w:tcPr>
          <w:p w14:paraId="39A46BD0">
            <w:pPr>
              <w:widowControl/>
              <w:adjustRightInd w:val="0"/>
              <w:snapToGrid w:val="0"/>
              <w:spacing w:line="240" w:lineRule="auto"/>
              <w:rPr>
                <w:rFonts w:cs="Times New Roman"/>
                <w:color w:val="000000"/>
                <w:sz w:val="21"/>
                <w:szCs w:val="21"/>
                <w:highlight w:val="none"/>
              </w:rPr>
            </w:pPr>
          </w:p>
        </w:tc>
      </w:tr>
      <w:tr w14:paraId="7D0D705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75"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71FA2D4A">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2" w:space="0"/>
              <w:bottom w:val="single" w:color="auto" w:sz="2" w:space="0"/>
              <w:right w:val="single" w:color="auto" w:sz="2" w:space="0"/>
            </w:tcBorders>
            <w:noWrap w:val="0"/>
            <w:vAlign w:val="center"/>
          </w:tcPr>
          <w:p w14:paraId="6E108C05">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2" w:space="0"/>
              <w:bottom w:val="single" w:color="auto" w:sz="2" w:space="0"/>
              <w:right w:val="single" w:color="auto" w:sz="2" w:space="0"/>
            </w:tcBorders>
            <w:noWrap w:val="0"/>
            <w:vAlign w:val="center"/>
          </w:tcPr>
          <w:p w14:paraId="5E14519C">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p>
        </w:tc>
        <w:tc>
          <w:tcPr>
            <w:tcW w:w="315" w:type="pct"/>
            <w:vMerge w:val="continue"/>
            <w:tcBorders>
              <w:left w:val="single" w:color="auto" w:sz="4" w:space="0"/>
              <w:bottom w:val="single" w:color="auto" w:sz="4" w:space="0"/>
              <w:right w:val="single" w:color="auto" w:sz="4" w:space="0"/>
            </w:tcBorders>
            <w:noWrap w:val="0"/>
            <w:vAlign w:val="center"/>
          </w:tcPr>
          <w:p w14:paraId="1BF2D6A0">
            <w:pPr>
              <w:widowControl/>
              <w:adjustRightInd w:val="0"/>
              <w:snapToGrid w:val="0"/>
              <w:spacing w:line="240" w:lineRule="auto"/>
              <w:jc w:val="center"/>
              <w:rPr>
                <w:rFonts w:cs="Times New Roman"/>
                <w:color w:val="000000"/>
                <w:sz w:val="21"/>
                <w:szCs w:val="21"/>
                <w:highlight w:val="none"/>
              </w:rPr>
            </w:pPr>
          </w:p>
        </w:tc>
        <w:tc>
          <w:tcPr>
            <w:tcW w:w="342" w:type="pct"/>
            <w:vMerge w:val="continue"/>
            <w:tcBorders>
              <w:left w:val="single" w:color="auto" w:sz="4" w:space="0"/>
              <w:bottom w:val="single" w:color="auto" w:sz="4" w:space="0"/>
              <w:right w:val="single" w:color="auto" w:sz="4" w:space="0"/>
            </w:tcBorders>
            <w:noWrap w:val="0"/>
            <w:vAlign w:val="center"/>
          </w:tcPr>
          <w:p w14:paraId="76467049">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bottom w:val="single" w:color="auto" w:sz="4" w:space="0"/>
              <w:right w:val="single" w:color="auto" w:sz="4" w:space="0"/>
            </w:tcBorders>
            <w:noWrap w:val="0"/>
            <w:vAlign w:val="center"/>
          </w:tcPr>
          <w:p w14:paraId="05705CD1">
            <w:pPr>
              <w:widowControl/>
              <w:adjustRightInd w:val="0"/>
              <w:snapToGrid w:val="0"/>
              <w:spacing w:line="240" w:lineRule="auto"/>
              <w:jc w:val="center"/>
              <w:rPr>
                <w:rFonts w:cs="Times New Roman"/>
                <w:color w:val="000000"/>
                <w:sz w:val="21"/>
                <w:szCs w:val="21"/>
                <w:highlight w:val="none"/>
              </w:rPr>
            </w:pPr>
          </w:p>
        </w:tc>
        <w:tc>
          <w:tcPr>
            <w:tcW w:w="571" w:type="pct"/>
            <w:vMerge w:val="continue"/>
            <w:tcBorders>
              <w:left w:val="single" w:color="auto" w:sz="4" w:space="0"/>
              <w:bottom w:val="single" w:color="auto" w:sz="4" w:space="0"/>
              <w:right w:val="single" w:color="auto" w:sz="4" w:space="0"/>
            </w:tcBorders>
            <w:noWrap w:val="0"/>
            <w:vAlign w:val="center"/>
          </w:tcPr>
          <w:p w14:paraId="0CD30501">
            <w:pPr>
              <w:widowControl/>
              <w:adjustRightInd w:val="0"/>
              <w:snapToGrid w:val="0"/>
              <w:spacing w:line="240" w:lineRule="auto"/>
              <w:jc w:val="center"/>
              <w:rPr>
                <w:rFonts w:cs="Times New Roman"/>
                <w:color w:val="000000"/>
                <w:sz w:val="21"/>
                <w:szCs w:val="21"/>
                <w:highlight w:val="none"/>
              </w:rPr>
            </w:pPr>
          </w:p>
        </w:tc>
        <w:tc>
          <w:tcPr>
            <w:tcW w:w="532" w:type="pct"/>
            <w:vMerge w:val="continue"/>
            <w:tcBorders>
              <w:left w:val="single" w:color="auto" w:sz="4" w:space="0"/>
              <w:bottom w:val="single" w:color="auto" w:sz="4" w:space="0"/>
              <w:right w:val="single" w:color="auto" w:sz="4" w:space="0"/>
            </w:tcBorders>
            <w:noWrap w:val="0"/>
            <w:vAlign w:val="center"/>
          </w:tcPr>
          <w:p w14:paraId="730D9E60">
            <w:pPr>
              <w:widowControl/>
              <w:adjustRightInd w:val="0"/>
              <w:snapToGrid w:val="0"/>
              <w:spacing w:line="240" w:lineRule="auto"/>
              <w:rPr>
                <w:rFonts w:cs="Times New Roman"/>
                <w:color w:val="000000"/>
                <w:sz w:val="21"/>
                <w:szCs w:val="21"/>
                <w:highlight w:val="none"/>
              </w:rPr>
            </w:pPr>
          </w:p>
        </w:tc>
      </w:tr>
      <w:tr w14:paraId="09704C2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4" w:space="0"/>
            </w:tcBorders>
            <w:noWrap w:val="0"/>
            <w:vAlign w:val="center"/>
          </w:tcPr>
          <w:p w14:paraId="5D4A724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7</w:t>
            </w:r>
          </w:p>
        </w:tc>
        <w:tc>
          <w:tcPr>
            <w:tcW w:w="372" w:type="pct"/>
            <w:vMerge w:val="restart"/>
            <w:tcBorders>
              <w:top w:val="single" w:color="auto" w:sz="4" w:space="0"/>
              <w:left w:val="single" w:color="auto" w:sz="4" w:space="0"/>
              <w:right w:val="single" w:color="auto" w:sz="4" w:space="0"/>
            </w:tcBorders>
            <w:noWrap w:val="0"/>
            <w:vAlign w:val="center"/>
          </w:tcPr>
          <w:p w14:paraId="3DF5F065">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风险评估报告专家费、会务费、</w:t>
            </w:r>
            <w:r>
              <w:rPr>
                <w:rFonts w:hint="eastAsia" w:eastAsia="宋体" w:cs="Times New Roman"/>
                <w:bCs/>
                <w:color w:val="000000"/>
                <w:kern w:val="0"/>
                <w:sz w:val="21"/>
                <w:szCs w:val="21"/>
                <w:highlight w:val="none"/>
                <w:lang w:val="en-US" w:eastAsia="zh-CN"/>
              </w:rPr>
              <w:t>彩色</w:t>
            </w:r>
            <w:r>
              <w:rPr>
                <w:rFonts w:cs="Times New Roman"/>
                <w:bCs/>
                <w:color w:val="000000"/>
                <w:kern w:val="0"/>
                <w:sz w:val="21"/>
                <w:szCs w:val="21"/>
                <w:highlight w:val="none"/>
              </w:rPr>
              <w:t>打印费等</w:t>
            </w:r>
          </w:p>
        </w:tc>
        <w:tc>
          <w:tcPr>
            <w:tcW w:w="2150" w:type="pct"/>
            <w:tcBorders>
              <w:top w:val="single" w:color="auto" w:sz="2" w:space="0"/>
              <w:left w:val="single" w:color="auto" w:sz="4" w:space="0"/>
              <w:bottom w:val="single" w:color="auto" w:sz="4" w:space="0"/>
              <w:right w:val="single" w:color="auto" w:sz="4" w:space="0"/>
            </w:tcBorders>
            <w:noWrap w:val="0"/>
            <w:vAlign w:val="center"/>
          </w:tcPr>
          <w:p w14:paraId="2CDB94EB">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3D9D726C">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1C94A0B2">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516481BE">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7C420E08">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63C74DBE">
            <w:pPr>
              <w:widowControl/>
              <w:adjustRightInd w:val="0"/>
              <w:snapToGrid w:val="0"/>
              <w:spacing w:line="240" w:lineRule="auto"/>
              <w:rPr>
                <w:rFonts w:cs="Times New Roman"/>
                <w:color w:val="000000"/>
                <w:sz w:val="21"/>
                <w:szCs w:val="21"/>
                <w:highlight w:val="none"/>
              </w:rPr>
            </w:pPr>
          </w:p>
        </w:tc>
      </w:tr>
      <w:tr w14:paraId="1F3B3BC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4" w:space="0"/>
            </w:tcBorders>
            <w:noWrap w:val="0"/>
            <w:vAlign w:val="center"/>
          </w:tcPr>
          <w:p w14:paraId="3EB9BCB6">
            <w:pPr>
              <w:adjustRightInd w:val="0"/>
              <w:snapToGrid w:val="0"/>
              <w:spacing w:line="240" w:lineRule="auto"/>
              <w:jc w:val="center"/>
              <w:rPr>
                <w:rFonts w:cs="Times New Roman"/>
                <w:color w:val="000000"/>
                <w:sz w:val="21"/>
                <w:szCs w:val="21"/>
                <w:highlight w:val="none"/>
              </w:rPr>
            </w:pPr>
          </w:p>
        </w:tc>
        <w:tc>
          <w:tcPr>
            <w:tcW w:w="372" w:type="pct"/>
            <w:vMerge w:val="continue"/>
            <w:tcBorders>
              <w:left w:val="single" w:color="auto" w:sz="4" w:space="0"/>
              <w:bottom w:val="single" w:color="auto" w:sz="4" w:space="0"/>
              <w:right w:val="single" w:color="auto" w:sz="4" w:space="0"/>
            </w:tcBorders>
            <w:noWrap w:val="0"/>
            <w:vAlign w:val="center"/>
          </w:tcPr>
          <w:p w14:paraId="5268E12E">
            <w:pPr>
              <w:adjustRightInd w:val="0"/>
              <w:snapToGrid w:val="0"/>
              <w:spacing w:line="240" w:lineRule="auto"/>
              <w:jc w:val="center"/>
              <w:rPr>
                <w:rFonts w:cs="Times New Roman"/>
                <w:bCs/>
                <w:color w:val="000000"/>
                <w:kern w:val="0"/>
                <w:sz w:val="21"/>
                <w:szCs w:val="21"/>
                <w:highlight w:val="none"/>
              </w:rPr>
            </w:pPr>
          </w:p>
        </w:tc>
        <w:tc>
          <w:tcPr>
            <w:tcW w:w="2150" w:type="pct"/>
            <w:tcBorders>
              <w:top w:val="single" w:color="auto" w:sz="2" w:space="0"/>
              <w:left w:val="single" w:color="auto" w:sz="4" w:space="0"/>
              <w:bottom w:val="single" w:color="auto" w:sz="4" w:space="0"/>
              <w:right w:val="single" w:color="auto" w:sz="4" w:space="0"/>
            </w:tcBorders>
            <w:noWrap w:val="0"/>
            <w:vAlign w:val="center"/>
          </w:tcPr>
          <w:p w14:paraId="1251B06F">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省生态环境厅至少邀请5名业内专家及相关部门领导，组织召开专家评审会</w:t>
            </w:r>
          </w:p>
        </w:tc>
        <w:tc>
          <w:tcPr>
            <w:tcW w:w="315" w:type="pct"/>
            <w:tcBorders>
              <w:top w:val="single" w:color="auto" w:sz="4" w:space="0"/>
              <w:left w:val="single" w:color="auto" w:sz="4" w:space="0"/>
              <w:bottom w:val="single" w:color="auto" w:sz="4" w:space="0"/>
              <w:right w:val="single" w:color="auto" w:sz="4" w:space="0"/>
            </w:tcBorders>
            <w:noWrap w:val="0"/>
            <w:vAlign w:val="center"/>
          </w:tcPr>
          <w:p w14:paraId="08A04196">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2" w:type="pct"/>
            <w:tcBorders>
              <w:top w:val="single" w:color="auto" w:sz="4" w:space="0"/>
              <w:left w:val="single" w:color="auto" w:sz="4" w:space="0"/>
              <w:bottom w:val="single" w:color="auto" w:sz="4" w:space="0"/>
              <w:right w:val="single" w:color="auto" w:sz="4" w:space="0"/>
            </w:tcBorders>
            <w:noWrap w:val="0"/>
            <w:vAlign w:val="center"/>
          </w:tcPr>
          <w:p w14:paraId="1BD909D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2" w:type="pct"/>
            <w:tcBorders>
              <w:top w:val="single" w:color="auto" w:sz="4" w:space="0"/>
              <w:left w:val="single" w:color="auto" w:sz="4" w:space="0"/>
              <w:bottom w:val="single" w:color="auto" w:sz="4" w:space="0"/>
              <w:right w:val="single" w:color="auto" w:sz="4" w:space="0"/>
            </w:tcBorders>
            <w:noWrap w:val="0"/>
            <w:vAlign w:val="center"/>
          </w:tcPr>
          <w:p w14:paraId="77E8EF4B">
            <w:pPr>
              <w:widowControl/>
              <w:adjustRightInd w:val="0"/>
              <w:snapToGrid w:val="0"/>
              <w:spacing w:line="240" w:lineRule="auto"/>
              <w:jc w:val="center"/>
              <w:rPr>
                <w:rFonts w:cs="Times New Roman"/>
                <w:color w:val="000000"/>
                <w:sz w:val="21"/>
                <w:szCs w:val="21"/>
                <w:highlight w:val="none"/>
              </w:rPr>
            </w:pPr>
          </w:p>
        </w:tc>
        <w:tc>
          <w:tcPr>
            <w:tcW w:w="571" w:type="pct"/>
            <w:tcBorders>
              <w:top w:val="single" w:color="auto" w:sz="4" w:space="0"/>
              <w:left w:val="single" w:color="auto" w:sz="4" w:space="0"/>
              <w:bottom w:val="single" w:color="auto" w:sz="4" w:space="0"/>
              <w:right w:val="single" w:color="auto" w:sz="4" w:space="0"/>
            </w:tcBorders>
            <w:noWrap w:val="0"/>
            <w:vAlign w:val="center"/>
          </w:tcPr>
          <w:p w14:paraId="0F8CD415">
            <w:pPr>
              <w:widowControl/>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5960858E">
            <w:pPr>
              <w:widowControl/>
              <w:adjustRightInd w:val="0"/>
              <w:snapToGrid w:val="0"/>
              <w:spacing w:line="240" w:lineRule="auto"/>
              <w:rPr>
                <w:rFonts w:cs="Times New Roman"/>
                <w:color w:val="000000"/>
                <w:sz w:val="21"/>
                <w:szCs w:val="21"/>
                <w:highlight w:val="none"/>
              </w:rPr>
            </w:pPr>
          </w:p>
        </w:tc>
      </w:tr>
      <w:tr w14:paraId="3987767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1257" w:hRule="atLeast"/>
          <w:jc w:val="center"/>
        </w:trPr>
        <w:tc>
          <w:tcPr>
            <w:tcW w:w="3896" w:type="pct"/>
            <w:gridSpan w:val="6"/>
            <w:tcBorders>
              <w:top w:val="single" w:color="auto" w:sz="2" w:space="0"/>
              <w:left w:val="single" w:color="auto" w:sz="2" w:space="0"/>
              <w:bottom w:val="single" w:color="auto" w:sz="4" w:space="0"/>
              <w:right w:val="single" w:color="auto" w:sz="4" w:space="0"/>
            </w:tcBorders>
            <w:noWrap w:val="0"/>
            <w:vAlign w:val="center"/>
          </w:tcPr>
          <w:p w14:paraId="73EFAA1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合计</w:t>
            </w:r>
          </w:p>
        </w:tc>
        <w:tc>
          <w:tcPr>
            <w:tcW w:w="571" w:type="pct"/>
            <w:tcBorders>
              <w:top w:val="single" w:color="auto" w:sz="4" w:space="0"/>
              <w:left w:val="single" w:color="auto" w:sz="4" w:space="0"/>
              <w:bottom w:val="single" w:color="auto" w:sz="4" w:space="0"/>
              <w:right w:val="single" w:color="auto" w:sz="4" w:space="0"/>
            </w:tcBorders>
            <w:noWrap w:val="0"/>
            <w:vAlign w:val="center"/>
          </w:tcPr>
          <w:p w14:paraId="558640D3">
            <w:pPr>
              <w:adjustRightInd w:val="0"/>
              <w:snapToGrid w:val="0"/>
              <w:spacing w:line="240" w:lineRule="auto"/>
              <w:jc w:val="center"/>
              <w:rPr>
                <w:rFonts w:cs="Times New Roman"/>
                <w:color w:val="000000"/>
                <w:sz w:val="21"/>
                <w:szCs w:val="21"/>
                <w:highlight w:val="none"/>
              </w:rPr>
            </w:pPr>
          </w:p>
        </w:tc>
        <w:tc>
          <w:tcPr>
            <w:tcW w:w="532" w:type="pct"/>
            <w:tcBorders>
              <w:top w:val="single" w:color="auto" w:sz="4" w:space="0"/>
              <w:left w:val="single" w:color="auto" w:sz="4" w:space="0"/>
              <w:bottom w:val="single" w:color="auto" w:sz="4" w:space="0"/>
              <w:right w:val="single" w:color="auto" w:sz="4" w:space="0"/>
            </w:tcBorders>
            <w:noWrap w:val="0"/>
            <w:vAlign w:val="center"/>
          </w:tcPr>
          <w:p w14:paraId="5AA77C28">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w:t>
            </w:r>
          </w:p>
        </w:tc>
      </w:tr>
    </w:tbl>
    <w:p w14:paraId="44E377CC">
      <w:pPr>
        <w:jc w:val="center"/>
        <w:rPr>
          <w:rFonts w:cs="Times New Roman"/>
          <w:b/>
          <w:bCs/>
          <w:color w:val="000000"/>
          <w:kern w:val="0"/>
          <w:highlight w:val="none"/>
        </w:rPr>
      </w:pPr>
      <w:r>
        <w:rPr>
          <w:rFonts w:cs="Times New Roman"/>
          <w:b/>
          <w:bCs/>
          <w:color w:val="000000"/>
          <w:kern w:val="0"/>
          <w:highlight w:val="none"/>
        </w:rPr>
        <w:br w:type="page"/>
      </w:r>
      <w:r>
        <w:rPr>
          <w:rFonts w:cs="Times New Roman"/>
          <w:b/>
          <w:bCs/>
          <w:color w:val="000000"/>
          <w:kern w:val="0"/>
          <w:highlight w:val="none"/>
        </w:rPr>
        <w:t>表3  原南京科思化学有限公司地块风险评估项目费用报价明细表</w:t>
      </w:r>
    </w:p>
    <w:tbl>
      <w:tblPr>
        <w:tblStyle w:val="51"/>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0" w:type="dxa"/>
          <w:bottom w:w="0" w:type="dxa"/>
          <w:right w:w="0" w:type="dxa"/>
        </w:tblCellMar>
      </w:tblPr>
      <w:tblGrid>
        <w:gridCol w:w="519"/>
        <w:gridCol w:w="915"/>
        <w:gridCol w:w="6198"/>
        <w:gridCol w:w="910"/>
        <w:gridCol w:w="963"/>
        <w:gridCol w:w="1520"/>
        <w:gridCol w:w="1639"/>
        <w:gridCol w:w="1458"/>
      </w:tblGrid>
      <w:tr w14:paraId="0A058B3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tcBorders>
              <w:top w:val="single" w:color="auto" w:sz="8" w:space="0"/>
              <w:left w:val="single" w:color="auto" w:sz="8" w:space="0"/>
              <w:bottom w:val="single" w:color="auto" w:sz="2" w:space="0"/>
              <w:right w:val="single" w:color="auto" w:sz="2" w:space="0"/>
            </w:tcBorders>
            <w:noWrap w:val="0"/>
            <w:vAlign w:val="center"/>
          </w:tcPr>
          <w:p w14:paraId="6868C4A1">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序号</w:t>
            </w:r>
          </w:p>
        </w:tc>
        <w:tc>
          <w:tcPr>
            <w:tcW w:w="324" w:type="pct"/>
            <w:tcBorders>
              <w:top w:val="single" w:color="auto" w:sz="8" w:space="0"/>
              <w:left w:val="single" w:color="auto" w:sz="2" w:space="0"/>
              <w:bottom w:val="single" w:color="auto" w:sz="2" w:space="0"/>
              <w:right w:val="single" w:color="auto" w:sz="2" w:space="0"/>
            </w:tcBorders>
            <w:noWrap w:val="0"/>
            <w:vAlign w:val="center"/>
          </w:tcPr>
          <w:p w14:paraId="1FFF9957">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w:t>
            </w:r>
            <w:r>
              <w:rPr>
                <w:rFonts w:hint="eastAsia" w:cs="Times New Roman"/>
                <w:b/>
                <w:color w:val="000000"/>
                <w:sz w:val="21"/>
                <w:szCs w:val="21"/>
                <w:highlight w:val="none"/>
              </w:rPr>
              <w:t>分类</w:t>
            </w:r>
          </w:p>
        </w:tc>
        <w:tc>
          <w:tcPr>
            <w:tcW w:w="2194" w:type="pct"/>
            <w:tcBorders>
              <w:top w:val="single" w:color="auto" w:sz="8" w:space="0"/>
              <w:left w:val="single" w:color="auto" w:sz="2" w:space="0"/>
              <w:bottom w:val="single" w:color="auto" w:sz="2" w:space="0"/>
              <w:right w:val="single" w:color="auto" w:sz="2" w:space="0"/>
            </w:tcBorders>
            <w:noWrap w:val="0"/>
            <w:vAlign w:val="center"/>
          </w:tcPr>
          <w:p w14:paraId="1299CDD4">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工作内容</w:t>
            </w:r>
          </w:p>
        </w:tc>
        <w:tc>
          <w:tcPr>
            <w:tcW w:w="322" w:type="pct"/>
            <w:tcBorders>
              <w:top w:val="single" w:color="auto" w:sz="8" w:space="0"/>
              <w:left w:val="single" w:color="auto" w:sz="2" w:space="0"/>
              <w:bottom w:val="single" w:color="auto" w:sz="4" w:space="0"/>
              <w:right w:val="single" w:color="auto" w:sz="2" w:space="0"/>
            </w:tcBorders>
            <w:noWrap w:val="0"/>
            <w:vAlign w:val="center"/>
          </w:tcPr>
          <w:p w14:paraId="0ED55BB5">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计量</w:t>
            </w:r>
          </w:p>
          <w:p w14:paraId="35F75A14">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单位</w:t>
            </w:r>
          </w:p>
        </w:tc>
        <w:tc>
          <w:tcPr>
            <w:tcW w:w="341" w:type="pct"/>
            <w:tcBorders>
              <w:top w:val="single" w:color="auto" w:sz="8" w:space="0"/>
              <w:left w:val="single" w:color="auto" w:sz="2" w:space="0"/>
              <w:bottom w:val="single" w:color="auto" w:sz="4" w:space="0"/>
              <w:right w:val="single" w:color="auto" w:sz="2" w:space="0"/>
            </w:tcBorders>
            <w:noWrap w:val="0"/>
            <w:vAlign w:val="center"/>
          </w:tcPr>
          <w:p w14:paraId="6CF67706">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数量</w:t>
            </w:r>
          </w:p>
        </w:tc>
        <w:tc>
          <w:tcPr>
            <w:tcW w:w="537" w:type="pct"/>
            <w:tcBorders>
              <w:top w:val="single" w:color="auto" w:sz="8" w:space="0"/>
              <w:left w:val="single" w:color="auto" w:sz="2" w:space="0"/>
              <w:bottom w:val="single" w:color="auto" w:sz="4" w:space="0"/>
              <w:right w:val="single" w:color="auto" w:sz="2" w:space="0"/>
            </w:tcBorders>
            <w:noWrap w:val="0"/>
            <w:vAlign w:val="center"/>
          </w:tcPr>
          <w:p w14:paraId="64D7E02D">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单价</w:t>
            </w:r>
          </w:p>
          <w:p w14:paraId="109F36B1">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80" w:type="pct"/>
            <w:tcBorders>
              <w:top w:val="single" w:color="auto" w:sz="8" w:space="0"/>
              <w:left w:val="single" w:color="auto" w:sz="2" w:space="0"/>
              <w:bottom w:val="single" w:color="auto" w:sz="4" w:space="0"/>
              <w:right w:val="single" w:color="auto" w:sz="8" w:space="0"/>
            </w:tcBorders>
            <w:noWrap w:val="0"/>
            <w:vAlign w:val="center"/>
          </w:tcPr>
          <w:p w14:paraId="1B5045A8">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小计</w:t>
            </w:r>
          </w:p>
          <w:p w14:paraId="143E16D9">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16" w:type="pct"/>
            <w:tcBorders>
              <w:top w:val="single" w:color="auto" w:sz="8" w:space="0"/>
              <w:left w:val="single" w:color="auto" w:sz="2" w:space="0"/>
              <w:bottom w:val="single" w:color="auto" w:sz="4" w:space="0"/>
              <w:right w:val="single" w:color="auto" w:sz="8" w:space="0"/>
            </w:tcBorders>
            <w:noWrap w:val="0"/>
            <w:vAlign w:val="center"/>
          </w:tcPr>
          <w:p w14:paraId="3EFBC9A1">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备注</w:t>
            </w:r>
          </w:p>
        </w:tc>
      </w:tr>
      <w:tr w14:paraId="47D26E9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2CC32250">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1</w:t>
            </w:r>
          </w:p>
        </w:tc>
        <w:tc>
          <w:tcPr>
            <w:tcW w:w="324" w:type="pct"/>
            <w:vMerge w:val="restart"/>
            <w:tcBorders>
              <w:top w:val="single" w:color="auto" w:sz="4" w:space="0"/>
              <w:left w:val="single" w:color="auto" w:sz="2" w:space="0"/>
              <w:right w:val="single" w:color="auto" w:sz="2" w:space="0"/>
            </w:tcBorders>
            <w:noWrap w:val="0"/>
            <w:vAlign w:val="center"/>
          </w:tcPr>
          <w:p w14:paraId="78EBD76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水文地质勘察</w:t>
            </w:r>
          </w:p>
        </w:tc>
        <w:tc>
          <w:tcPr>
            <w:tcW w:w="2194" w:type="pct"/>
            <w:tcBorders>
              <w:top w:val="single" w:color="auto" w:sz="4" w:space="0"/>
              <w:left w:val="single" w:color="auto" w:sz="2" w:space="0"/>
              <w:bottom w:val="single" w:color="auto" w:sz="4" w:space="0"/>
              <w:right w:val="single" w:color="auto" w:sz="4" w:space="0"/>
            </w:tcBorders>
            <w:noWrap w:val="0"/>
            <w:vAlign w:val="center"/>
          </w:tcPr>
          <w:p w14:paraId="368FBD7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钻探，布设4个钻孔点位，单个点位钻孔深度达到40m，需钻探至中风化层</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3426AF8D">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70B9234D">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1E8EF412">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7DA2CA57">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9D8E787">
            <w:pPr>
              <w:widowControl/>
              <w:adjustRightInd w:val="0"/>
              <w:snapToGrid w:val="0"/>
              <w:spacing w:line="240" w:lineRule="auto"/>
              <w:rPr>
                <w:rFonts w:cs="Times New Roman"/>
                <w:color w:val="000000"/>
                <w:sz w:val="21"/>
                <w:szCs w:val="21"/>
                <w:highlight w:val="none"/>
              </w:rPr>
            </w:pPr>
          </w:p>
        </w:tc>
      </w:tr>
      <w:tr w14:paraId="680A832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63518C26">
            <w:pPr>
              <w:adjustRightInd w:val="0"/>
              <w:snapToGrid w:val="0"/>
              <w:spacing w:line="240" w:lineRule="auto"/>
              <w:jc w:val="center"/>
              <w:rPr>
                <w:rFonts w:cs="Times New Roman"/>
                <w:bCs/>
                <w:color w:val="000000"/>
                <w:kern w:val="0"/>
                <w:sz w:val="21"/>
                <w:szCs w:val="21"/>
                <w:highlight w:val="none"/>
              </w:rPr>
            </w:pPr>
          </w:p>
        </w:tc>
        <w:tc>
          <w:tcPr>
            <w:tcW w:w="324" w:type="pct"/>
            <w:vMerge w:val="continue"/>
            <w:tcBorders>
              <w:left w:val="single" w:color="auto" w:sz="2" w:space="0"/>
              <w:right w:val="single" w:color="auto" w:sz="2" w:space="0"/>
            </w:tcBorders>
            <w:noWrap w:val="0"/>
            <w:vAlign w:val="center"/>
          </w:tcPr>
          <w:p w14:paraId="1D2B76BA">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5C67003F">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建设地下水井，用于抽水试验及流场确定等，布设4个钻孔点位，单个点位建井深度达到40m，需钻探至中风化层</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7F8D21AF">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5E0D4510">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59FB3DB3">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3DE649AC">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648F98D2">
            <w:pPr>
              <w:widowControl/>
              <w:adjustRightInd w:val="0"/>
              <w:snapToGrid w:val="0"/>
              <w:spacing w:line="240" w:lineRule="auto"/>
              <w:rPr>
                <w:rFonts w:cs="Times New Roman"/>
                <w:color w:val="000000"/>
                <w:sz w:val="21"/>
                <w:szCs w:val="21"/>
                <w:highlight w:val="none"/>
              </w:rPr>
            </w:pPr>
          </w:p>
        </w:tc>
      </w:tr>
      <w:tr w14:paraId="2DEEBD5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79552B77">
            <w:pPr>
              <w:adjustRightInd w:val="0"/>
              <w:snapToGrid w:val="0"/>
              <w:spacing w:line="240" w:lineRule="auto"/>
              <w:jc w:val="center"/>
              <w:rPr>
                <w:rFonts w:cs="Times New Roman"/>
                <w:bCs/>
                <w:color w:val="000000"/>
                <w:kern w:val="0"/>
                <w:sz w:val="21"/>
                <w:szCs w:val="21"/>
                <w:highlight w:val="none"/>
              </w:rPr>
            </w:pPr>
          </w:p>
        </w:tc>
        <w:tc>
          <w:tcPr>
            <w:tcW w:w="324" w:type="pct"/>
            <w:vMerge w:val="continue"/>
            <w:tcBorders>
              <w:left w:val="single" w:color="auto" w:sz="2" w:space="0"/>
              <w:right w:val="single" w:color="auto" w:sz="2" w:space="0"/>
            </w:tcBorders>
            <w:noWrap w:val="0"/>
            <w:vAlign w:val="center"/>
          </w:tcPr>
          <w:p w14:paraId="0E018150">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7503030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土工试验，包括土壤有机质含量、含水率、孔隙度、渗透系数、土壤颗粒密度、土壤容重等参数的测定，每个点位采集</w:t>
            </w:r>
            <w:r>
              <w:rPr>
                <w:rFonts w:hint="eastAsia" w:cs="Times New Roman"/>
                <w:color w:val="000000"/>
                <w:sz w:val="21"/>
                <w:szCs w:val="21"/>
                <w:highlight w:val="none"/>
              </w:rPr>
              <w:t>4个土工试验样品，共需送检16个土工试验样品</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25F8BA53">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6D820856">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698BDE1E">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7D899024">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71E18CB">
            <w:pPr>
              <w:widowControl/>
              <w:adjustRightInd w:val="0"/>
              <w:snapToGrid w:val="0"/>
              <w:spacing w:line="240" w:lineRule="auto"/>
              <w:rPr>
                <w:rFonts w:cs="Times New Roman"/>
                <w:color w:val="000000"/>
                <w:sz w:val="21"/>
                <w:szCs w:val="21"/>
                <w:highlight w:val="none"/>
              </w:rPr>
            </w:pPr>
          </w:p>
        </w:tc>
      </w:tr>
      <w:tr w14:paraId="6860DEE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571AF895">
            <w:pPr>
              <w:adjustRightInd w:val="0"/>
              <w:snapToGrid w:val="0"/>
              <w:spacing w:line="240" w:lineRule="auto"/>
              <w:jc w:val="center"/>
              <w:rPr>
                <w:rFonts w:cs="Times New Roman"/>
                <w:bCs/>
                <w:color w:val="000000"/>
                <w:kern w:val="0"/>
                <w:sz w:val="21"/>
                <w:szCs w:val="21"/>
                <w:highlight w:val="none"/>
              </w:rPr>
            </w:pPr>
          </w:p>
        </w:tc>
        <w:tc>
          <w:tcPr>
            <w:tcW w:w="324" w:type="pct"/>
            <w:vMerge w:val="continue"/>
            <w:tcBorders>
              <w:left w:val="single" w:color="auto" w:sz="2" w:space="0"/>
              <w:right w:val="single" w:color="auto" w:sz="2" w:space="0"/>
            </w:tcBorders>
            <w:noWrap w:val="0"/>
            <w:vAlign w:val="center"/>
          </w:tcPr>
          <w:p w14:paraId="3F523FFF">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6A3768B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抽水试验，需要</w:t>
            </w:r>
            <w:r>
              <w:rPr>
                <w:rFonts w:hint="eastAsia" w:cs="Times New Roman"/>
                <w:color w:val="000000"/>
                <w:sz w:val="21"/>
                <w:szCs w:val="21"/>
                <w:highlight w:val="none"/>
              </w:rPr>
              <w:t>2个台班</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0836DB51">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台班</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02836820">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5534238A">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75BCD738">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257B5795">
            <w:pPr>
              <w:widowControl/>
              <w:adjustRightInd w:val="0"/>
              <w:snapToGrid w:val="0"/>
              <w:spacing w:line="240" w:lineRule="auto"/>
              <w:rPr>
                <w:rFonts w:cs="Times New Roman"/>
                <w:color w:val="000000"/>
                <w:sz w:val="21"/>
                <w:szCs w:val="21"/>
                <w:highlight w:val="none"/>
              </w:rPr>
            </w:pPr>
          </w:p>
        </w:tc>
      </w:tr>
      <w:tr w14:paraId="310D96D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023E0832">
            <w:pPr>
              <w:adjustRightInd w:val="0"/>
              <w:snapToGrid w:val="0"/>
              <w:spacing w:line="240" w:lineRule="auto"/>
              <w:jc w:val="center"/>
              <w:rPr>
                <w:rFonts w:cs="Times New Roman"/>
                <w:bCs/>
                <w:color w:val="000000"/>
                <w:kern w:val="0"/>
                <w:sz w:val="21"/>
                <w:szCs w:val="21"/>
                <w:highlight w:val="none"/>
              </w:rPr>
            </w:pPr>
          </w:p>
        </w:tc>
        <w:tc>
          <w:tcPr>
            <w:tcW w:w="324" w:type="pct"/>
            <w:vMerge w:val="continue"/>
            <w:tcBorders>
              <w:left w:val="single" w:color="auto" w:sz="2" w:space="0"/>
              <w:bottom w:val="single" w:color="auto" w:sz="4" w:space="0"/>
              <w:right w:val="single" w:color="auto" w:sz="2" w:space="0"/>
            </w:tcBorders>
            <w:noWrap w:val="0"/>
            <w:vAlign w:val="center"/>
          </w:tcPr>
          <w:p w14:paraId="64F65E7B">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5555D15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完成水文地质勘察报告（明确地层结构、地下水特征、地下水与长江水力联系、区域地下水补给、径流、排泄规律，以及对应长江河段的水质现状，水文特征等）</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7844413E">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55C326C6">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20BACE1C">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1EE6A97B">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0F8EBD6D">
            <w:pPr>
              <w:widowControl/>
              <w:adjustRightInd w:val="0"/>
              <w:snapToGrid w:val="0"/>
              <w:spacing w:line="240" w:lineRule="auto"/>
              <w:rPr>
                <w:rFonts w:cs="Times New Roman"/>
                <w:color w:val="000000"/>
                <w:sz w:val="21"/>
                <w:szCs w:val="21"/>
                <w:highlight w:val="none"/>
              </w:rPr>
            </w:pPr>
          </w:p>
        </w:tc>
      </w:tr>
      <w:tr w14:paraId="082D329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tcBorders>
              <w:top w:val="single" w:color="auto" w:sz="4" w:space="0"/>
              <w:left w:val="single" w:color="auto" w:sz="8" w:space="0"/>
              <w:bottom w:val="single" w:color="auto" w:sz="4" w:space="0"/>
              <w:right w:val="single" w:color="auto" w:sz="2" w:space="0"/>
            </w:tcBorders>
            <w:noWrap w:val="0"/>
            <w:vAlign w:val="center"/>
          </w:tcPr>
          <w:p w14:paraId="3A856AF5">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2</w:t>
            </w:r>
          </w:p>
        </w:tc>
        <w:tc>
          <w:tcPr>
            <w:tcW w:w="324" w:type="pct"/>
            <w:tcBorders>
              <w:top w:val="single" w:color="auto" w:sz="4" w:space="0"/>
              <w:left w:val="single" w:color="auto" w:sz="2" w:space="0"/>
              <w:bottom w:val="single" w:color="auto" w:sz="4" w:space="0"/>
              <w:right w:val="single" w:color="auto" w:sz="2" w:space="0"/>
            </w:tcBorders>
            <w:noWrap w:val="0"/>
            <w:vAlign w:val="center"/>
          </w:tcPr>
          <w:p w14:paraId="04AA070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补充调查方案制定</w:t>
            </w:r>
          </w:p>
        </w:tc>
        <w:tc>
          <w:tcPr>
            <w:tcW w:w="2194" w:type="pct"/>
            <w:tcBorders>
              <w:top w:val="single" w:color="auto" w:sz="4" w:space="0"/>
              <w:left w:val="single" w:color="auto" w:sz="2" w:space="0"/>
              <w:bottom w:val="single" w:color="auto" w:sz="4" w:space="0"/>
              <w:right w:val="single" w:color="auto" w:sz="4" w:space="0"/>
            </w:tcBorders>
            <w:noWrap w:val="0"/>
            <w:vAlign w:val="center"/>
          </w:tcPr>
          <w:p w14:paraId="446B8B5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根据科思化学地块的资料分析结果，制定科思化学地块的补充调查方案</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18B17B6E">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435182A8">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09F4ACB8">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111962E4">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2390075">
            <w:pPr>
              <w:widowControl/>
              <w:adjustRightInd w:val="0"/>
              <w:snapToGrid w:val="0"/>
              <w:spacing w:line="240" w:lineRule="auto"/>
              <w:rPr>
                <w:rFonts w:cs="Times New Roman"/>
                <w:color w:val="000000"/>
                <w:sz w:val="21"/>
                <w:szCs w:val="21"/>
                <w:highlight w:val="none"/>
              </w:rPr>
            </w:pPr>
          </w:p>
        </w:tc>
      </w:tr>
      <w:tr w14:paraId="61B6C52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38C98893">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3</w:t>
            </w:r>
          </w:p>
        </w:tc>
        <w:tc>
          <w:tcPr>
            <w:tcW w:w="324" w:type="pct"/>
            <w:vMerge w:val="restart"/>
            <w:tcBorders>
              <w:top w:val="single" w:color="auto" w:sz="4" w:space="0"/>
              <w:left w:val="single" w:color="auto" w:sz="2" w:space="0"/>
              <w:right w:val="single" w:color="auto" w:sz="2" w:space="0"/>
            </w:tcBorders>
            <w:noWrap w:val="0"/>
            <w:vAlign w:val="center"/>
          </w:tcPr>
          <w:p w14:paraId="4BC6543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现场钻探及采样费用</w:t>
            </w:r>
          </w:p>
        </w:tc>
        <w:tc>
          <w:tcPr>
            <w:tcW w:w="2194" w:type="pct"/>
            <w:tcBorders>
              <w:top w:val="single" w:color="auto" w:sz="4" w:space="0"/>
              <w:left w:val="single" w:color="auto" w:sz="2" w:space="0"/>
              <w:bottom w:val="single" w:color="auto" w:sz="4" w:space="0"/>
              <w:right w:val="single" w:color="auto" w:sz="4" w:space="0"/>
            </w:tcBorders>
            <w:noWrap w:val="0"/>
            <w:vAlign w:val="center"/>
          </w:tcPr>
          <w:p w14:paraId="357EAAA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科思化学地块补充调查的钻探及采样工作，包括土壤钻探以及土壤样品采集（钻探深度至少为</w:t>
            </w:r>
            <w:r>
              <w:rPr>
                <w:rFonts w:hint="eastAsia" w:cs="Times New Roman"/>
                <w:color w:val="000000"/>
                <w:sz w:val="21"/>
                <w:szCs w:val="21"/>
                <w:highlight w:val="none"/>
              </w:rPr>
              <w:t>6m，部分点位需要钻探15m、30m</w:t>
            </w:r>
            <w:r>
              <w:rPr>
                <w:rFonts w:cs="Times New Roman"/>
                <w:color w:val="000000"/>
                <w:sz w:val="21"/>
                <w:szCs w:val="21"/>
                <w:highlight w:val="none"/>
              </w:rPr>
              <w:t>），土壤总钻探深度约</w:t>
            </w:r>
            <w:r>
              <w:rPr>
                <w:rFonts w:hint="eastAsia" w:cs="Times New Roman"/>
                <w:color w:val="000000"/>
                <w:sz w:val="21"/>
                <w:szCs w:val="21"/>
                <w:highlight w:val="none"/>
              </w:rPr>
              <w:t>230m</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4D175A8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66D8A8B4">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230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441D35CA">
            <w:pPr>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070FEE19">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5ADA5C91">
            <w:pPr>
              <w:adjustRightInd w:val="0"/>
              <w:snapToGrid w:val="0"/>
              <w:spacing w:line="240" w:lineRule="auto"/>
              <w:rPr>
                <w:rFonts w:cs="Times New Roman"/>
                <w:color w:val="000000"/>
                <w:sz w:val="21"/>
                <w:szCs w:val="21"/>
                <w:highlight w:val="none"/>
              </w:rPr>
            </w:pPr>
          </w:p>
        </w:tc>
      </w:tr>
      <w:tr w14:paraId="7919883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564D3A56">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bottom w:val="single" w:color="auto" w:sz="4" w:space="0"/>
              <w:right w:val="single" w:color="auto" w:sz="2" w:space="0"/>
            </w:tcBorders>
            <w:noWrap w:val="0"/>
            <w:vAlign w:val="center"/>
          </w:tcPr>
          <w:p w14:paraId="0BACC9F6">
            <w:pPr>
              <w:adjustRightInd w:val="0"/>
              <w:snapToGrid w:val="0"/>
              <w:spacing w:line="240" w:lineRule="auto"/>
              <w:jc w:val="center"/>
              <w:rPr>
                <w:rFonts w:cs="Times New Roman"/>
                <w:color w:val="00000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346E499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科思化学地块补充调查的钻探及采样工作，包括地下水建井以及地下水样品采集（建井深度至少为</w:t>
            </w:r>
            <w:r>
              <w:rPr>
                <w:rFonts w:hint="eastAsia" w:cs="Times New Roman"/>
                <w:color w:val="000000"/>
                <w:sz w:val="21"/>
                <w:szCs w:val="21"/>
                <w:highlight w:val="none"/>
              </w:rPr>
              <w:t>6m，部分点位建井深度需要达到15m、30m</w:t>
            </w:r>
            <w:r>
              <w:rPr>
                <w:rFonts w:cs="Times New Roman"/>
                <w:color w:val="000000"/>
                <w:sz w:val="21"/>
                <w:szCs w:val="21"/>
                <w:highlight w:val="none"/>
              </w:rPr>
              <w:t>），地下水总建井深度约</w:t>
            </w:r>
            <w:r>
              <w:rPr>
                <w:rFonts w:hint="eastAsia" w:cs="Times New Roman"/>
                <w:color w:val="000000"/>
                <w:sz w:val="21"/>
                <w:szCs w:val="21"/>
                <w:highlight w:val="none"/>
              </w:rPr>
              <w:t>300m</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6A3A8BC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3BCE3E50">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300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54BE8633">
            <w:pPr>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29743F0C">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3E2B1F3A">
            <w:pPr>
              <w:adjustRightInd w:val="0"/>
              <w:snapToGrid w:val="0"/>
              <w:spacing w:line="240" w:lineRule="auto"/>
              <w:rPr>
                <w:rFonts w:cs="Times New Roman"/>
                <w:color w:val="000000"/>
                <w:sz w:val="21"/>
                <w:szCs w:val="21"/>
                <w:highlight w:val="none"/>
              </w:rPr>
            </w:pPr>
          </w:p>
        </w:tc>
      </w:tr>
      <w:tr w14:paraId="2A7480B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06C4B891">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4</w:t>
            </w:r>
          </w:p>
        </w:tc>
        <w:tc>
          <w:tcPr>
            <w:tcW w:w="324" w:type="pct"/>
            <w:vMerge w:val="restart"/>
            <w:tcBorders>
              <w:top w:val="single" w:color="auto" w:sz="4" w:space="0"/>
              <w:left w:val="single" w:color="auto" w:sz="2" w:space="0"/>
              <w:right w:val="single" w:color="auto" w:sz="2" w:space="0"/>
            </w:tcBorders>
            <w:noWrap w:val="0"/>
            <w:vAlign w:val="center"/>
          </w:tcPr>
          <w:p w14:paraId="369CE9AC">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样品处理与检测费</w:t>
            </w:r>
          </w:p>
        </w:tc>
        <w:tc>
          <w:tcPr>
            <w:tcW w:w="2194" w:type="pct"/>
            <w:tcBorders>
              <w:top w:val="single" w:color="auto" w:sz="4" w:space="0"/>
              <w:left w:val="single" w:color="auto" w:sz="2" w:space="0"/>
              <w:bottom w:val="single" w:color="auto" w:sz="4" w:space="0"/>
              <w:right w:val="single" w:color="auto" w:sz="4" w:space="0"/>
            </w:tcBorders>
            <w:noWrap w:val="0"/>
            <w:vAlign w:val="center"/>
          </w:tcPr>
          <w:p w14:paraId="458A3AC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土壤检测因子包括pH、重金属</w:t>
            </w:r>
            <w:r>
              <w:rPr>
                <w:rFonts w:hint="eastAsia" w:cs="Times New Roman"/>
                <w:color w:val="000000"/>
                <w:sz w:val="21"/>
                <w:szCs w:val="21"/>
                <w:highlight w:val="none"/>
              </w:rPr>
              <w:t>7项、挥发性有机污染物65项、半挥发性有机污染物64项、特征污染物20项（需要包括：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一溴二氯甲烷、溴仿、二溴氯甲烷、1,2-二溴乙烷、六氯环戊二烯、2,4-二硝基甲苯、2,4-二氯酚、2,4,6-三氯酚、2,4-二硝基酚、五氯酚、邻苯二甲酸二(2-乙基己基)酯、邻苯二甲酸丁基苄酯、邻苯二甲酸二正辛酯、3,3’-二氯联苯胺、苯甲醚、甲醇、均三甲苯、苯乙酮、2-萘乙酮</w:t>
            </w:r>
            <w:r>
              <w:rPr>
                <w:rFonts w:hint="eastAsia" w:cs="Times New Roman"/>
                <w:color w:val="000000"/>
                <w:sz w:val="21"/>
                <w:szCs w:val="21"/>
                <w:highlight w:val="none"/>
              </w:rPr>
              <w:t>等）</w:t>
            </w:r>
            <w:r>
              <w:rPr>
                <w:rFonts w:cs="Times New Roman"/>
                <w:color w:val="000000"/>
                <w:sz w:val="21"/>
                <w:szCs w:val="21"/>
                <w:highlight w:val="none"/>
              </w:rPr>
              <w:t>，土壤样品约</w:t>
            </w:r>
            <w:r>
              <w:rPr>
                <w:rFonts w:hint="eastAsia" w:cs="Times New Roman"/>
                <w:color w:val="000000"/>
                <w:sz w:val="21"/>
                <w:szCs w:val="21"/>
                <w:highlight w:val="none"/>
              </w:rPr>
              <w:t>160个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6466E6A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7C725706">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20D23665">
            <w:pPr>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4BFC6523">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492CF467">
            <w:pPr>
              <w:adjustRightInd w:val="0"/>
              <w:snapToGrid w:val="0"/>
              <w:spacing w:line="240" w:lineRule="auto"/>
              <w:rPr>
                <w:rFonts w:cs="Times New Roman"/>
                <w:color w:val="000000"/>
                <w:sz w:val="21"/>
                <w:szCs w:val="21"/>
                <w:highlight w:val="none"/>
              </w:rPr>
            </w:pPr>
          </w:p>
        </w:tc>
      </w:tr>
      <w:tr w14:paraId="43A5D56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17B5A3B1">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bottom w:val="single" w:color="auto" w:sz="4" w:space="0"/>
              <w:right w:val="single" w:color="auto" w:sz="2" w:space="0"/>
            </w:tcBorders>
            <w:noWrap w:val="0"/>
            <w:vAlign w:val="center"/>
          </w:tcPr>
          <w:p w14:paraId="0C5F6F26">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4" w:space="0"/>
              <w:left w:val="single" w:color="auto" w:sz="2" w:space="0"/>
              <w:bottom w:val="single" w:color="auto" w:sz="4" w:space="0"/>
              <w:right w:val="single" w:color="auto" w:sz="4" w:space="0"/>
            </w:tcBorders>
            <w:noWrap w:val="0"/>
            <w:vAlign w:val="center"/>
          </w:tcPr>
          <w:p w14:paraId="49BAACA5">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地下水</w:t>
            </w:r>
            <w:r>
              <w:rPr>
                <w:rFonts w:cs="Times New Roman"/>
                <w:color w:val="000000"/>
                <w:sz w:val="21"/>
                <w:szCs w:val="21"/>
                <w:highlight w:val="none"/>
              </w:rPr>
              <w:t>的检测因子包括pH、重金属</w:t>
            </w:r>
            <w:r>
              <w:rPr>
                <w:rFonts w:hint="eastAsia" w:cs="Times New Roman"/>
                <w:color w:val="000000"/>
                <w:sz w:val="21"/>
                <w:szCs w:val="21"/>
                <w:highlight w:val="none"/>
              </w:rPr>
              <w:t>7项、挥发性有机污染物65项、半挥发性有机污染物64项、特征污染物20项（需要包括：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一溴二氯甲烷、溴仿、二溴氯甲烷、1,2-二溴乙烷、六氯环戊二烯、2,4-二硝基甲苯、2,4-二氯酚、2,4,6-三氯酚、2,4-二硝基酚、五氯酚、邻苯二甲酸二(2-乙基己基)酯、邻苯二甲酸丁基苄酯、邻苯二甲酸二正辛酯、3,3’-二氯联苯胺、苯甲醚、甲醇、均三甲苯、苯乙酮、2-萘乙酮</w:t>
            </w:r>
            <w:r>
              <w:rPr>
                <w:rFonts w:hint="eastAsia" w:cs="Times New Roman"/>
                <w:color w:val="000000"/>
                <w:sz w:val="21"/>
                <w:szCs w:val="21"/>
                <w:highlight w:val="none"/>
              </w:rPr>
              <w:t>等）</w:t>
            </w:r>
            <w:r>
              <w:rPr>
                <w:rFonts w:cs="Times New Roman"/>
                <w:color w:val="000000"/>
                <w:sz w:val="21"/>
                <w:szCs w:val="21"/>
                <w:highlight w:val="none"/>
              </w:rPr>
              <w:t>，</w:t>
            </w:r>
            <w:r>
              <w:rPr>
                <w:rFonts w:hint="eastAsia" w:cs="Times New Roman"/>
                <w:color w:val="000000"/>
                <w:sz w:val="21"/>
                <w:szCs w:val="21"/>
                <w:highlight w:val="none"/>
              </w:rPr>
              <w:t>《地下水质量标准》(GBT14848-2017)中的感官性状无机指标等25项等。考虑</w:t>
            </w:r>
            <w:r>
              <w:rPr>
                <w:rFonts w:cs="Times New Roman"/>
                <w:color w:val="000000"/>
                <w:sz w:val="21"/>
                <w:szCs w:val="21"/>
                <w:highlight w:val="none"/>
              </w:rPr>
              <w:t>到地块内涉及</w:t>
            </w:r>
            <w:r>
              <w:rPr>
                <w:rFonts w:hint="eastAsia" w:cs="Times New Roman"/>
                <w:color w:val="000000"/>
                <w:sz w:val="21"/>
                <w:szCs w:val="21"/>
                <w:highlight w:val="none"/>
              </w:rPr>
              <w:t>DNAPL类物质超标，根据技术规范要求需要分别在水位线以下0.5m和井管底部采集地下水样品</w:t>
            </w:r>
            <w:r>
              <w:rPr>
                <w:rFonts w:cs="Times New Roman"/>
                <w:color w:val="000000"/>
                <w:sz w:val="21"/>
                <w:szCs w:val="21"/>
                <w:highlight w:val="none"/>
              </w:rPr>
              <w:t>，地下水样品约</w:t>
            </w:r>
            <w:r>
              <w:rPr>
                <w:rFonts w:hint="eastAsia" w:cs="Times New Roman"/>
                <w:color w:val="000000"/>
                <w:sz w:val="21"/>
                <w:szCs w:val="21"/>
                <w:highlight w:val="none"/>
              </w:rPr>
              <w:t>52个</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2C6A6AF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01DF664D">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52</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6185768F">
            <w:pPr>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7634F72A">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6717720">
            <w:pPr>
              <w:adjustRightInd w:val="0"/>
              <w:snapToGrid w:val="0"/>
              <w:spacing w:line="240" w:lineRule="auto"/>
              <w:rPr>
                <w:rFonts w:cs="Times New Roman"/>
                <w:color w:val="000000"/>
                <w:sz w:val="21"/>
                <w:szCs w:val="21"/>
                <w:highlight w:val="none"/>
              </w:rPr>
            </w:pPr>
          </w:p>
        </w:tc>
      </w:tr>
      <w:tr w14:paraId="6323652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54F9B42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5</w:t>
            </w:r>
          </w:p>
        </w:tc>
        <w:tc>
          <w:tcPr>
            <w:tcW w:w="324" w:type="pct"/>
            <w:vMerge w:val="restart"/>
            <w:tcBorders>
              <w:top w:val="single" w:color="auto" w:sz="2" w:space="0"/>
              <w:left w:val="single" w:color="auto" w:sz="2" w:space="0"/>
              <w:right w:val="single" w:color="auto" w:sz="2" w:space="0"/>
            </w:tcBorders>
            <w:noWrap w:val="0"/>
            <w:vAlign w:val="center"/>
          </w:tcPr>
          <w:p w14:paraId="694C9C34">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污染物入江风险评估</w:t>
            </w:r>
          </w:p>
        </w:tc>
        <w:tc>
          <w:tcPr>
            <w:tcW w:w="2194" w:type="pct"/>
            <w:tcBorders>
              <w:top w:val="single" w:color="auto" w:sz="2" w:space="0"/>
              <w:left w:val="single" w:color="auto" w:sz="2" w:space="0"/>
              <w:bottom w:val="single" w:color="auto" w:sz="2" w:space="0"/>
              <w:right w:val="single" w:color="auto" w:sz="2" w:space="0"/>
            </w:tcBorders>
            <w:noWrap w:val="0"/>
            <w:vAlign w:val="center"/>
          </w:tcPr>
          <w:p w14:paraId="7B2761F4">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入江风险识别与途径分析，</w:t>
            </w:r>
            <w:r>
              <w:rPr>
                <w:rFonts w:hint="eastAsia" w:cs="Times New Roman"/>
                <w:bCs/>
                <w:color w:val="000000"/>
                <w:kern w:val="0"/>
                <w:sz w:val="21"/>
                <w:szCs w:val="21"/>
                <w:highlight w:val="none"/>
              </w:rPr>
              <w:t>结合地块利用类型，识别入江风险因素，分析污染物入江的主要途径及可行性，包括地块污染本身风险、水文水力联系风险、污染物入江途径风险、敏感目标影响风险、暴雨与汛期风险、开发建设新增风险等</w:t>
            </w:r>
          </w:p>
        </w:tc>
        <w:tc>
          <w:tcPr>
            <w:tcW w:w="322" w:type="pct"/>
            <w:vMerge w:val="restart"/>
            <w:tcBorders>
              <w:top w:val="single" w:color="auto" w:sz="4" w:space="0"/>
              <w:left w:val="single" w:color="auto" w:sz="4" w:space="0"/>
              <w:right w:val="single" w:color="auto" w:sz="4" w:space="0"/>
            </w:tcBorders>
            <w:noWrap w:val="0"/>
            <w:vAlign w:val="center"/>
          </w:tcPr>
          <w:p w14:paraId="169CD6BB">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vMerge w:val="restart"/>
            <w:tcBorders>
              <w:top w:val="single" w:color="auto" w:sz="4" w:space="0"/>
              <w:left w:val="single" w:color="auto" w:sz="4" w:space="0"/>
              <w:right w:val="single" w:color="auto" w:sz="4" w:space="0"/>
            </w:tcBorders>
            <w:noWrap w:val="0"/>
            <w:vAlign w:val="center"/>
          </w:tcPr>
          <w:p w14:paraId="5A5F7E4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vMerge w:val="restart"/>
            <w:tcBorders>
              <w:top w:val="single" w:color="auto" w:sz="4" w:space="0"/>
              <w:left w:val="single" w:color="auto" w:sz="4" w:space="0"/>
              <w:right w:val="single" w:color="auto" w:sz="4" w:space="0"/>
            </w:tcBorders>
            <w:noWrap w:val="0"/>
            <w:vAlign w:val="center"/>
          </w:tcPr>
          <w:p w14:paraId="1AE0F8A6">
            <w:pPr>
              <w:widowControl/>
              <w:adjustRightInd w:val="0"/>
              <w:snapToGrid w:val="0"/>
              <w:spacing w:line="240" w:lineRule="auto"/>
              <w:jc w:val="center"/>
              <w:rPr>
                <w:rFonts w:cs="Times New Roman"/>
                <w:color w:val="000000"/>
                <w:sz w:val="21"/>
                <w:szCs w:val="21"/>
                <w:highlight w:val="none"/>
              </w:rPr>
            </w:pPr>
          </w:p>
        </w:tc>
        <w:tc>
          <w:tcPr>
            <w:tcW w:w="580" w:type="pct"/>
            <w:vMerge w:val="restart"/>
            <w:tcBorders>
              <w:top w:val="single" w:color="auto" w:sz="4" w:space="0"/>
              <w:left w:val="single" w:color="auto" w:sz="4" w:space="0"/>
              <w:right w:val="single" w:color="auto" w:sz="4" w:space="0"/>
            </w:tcBorders>
            <w:noWrap w:val="0"/>
            <w:vAlign w:val="center"/>
          </w:tcPr>
          <w:p w14:paraId="6FF107A4">
            <w:pPr>
              <w:widowControl/>
              <w:adjustRightInd w:val="0"/>
              <w:snapToGrid w:val="0"/>
              <w:spacing w:line="240" w:lineRule="auto"/>
              <w:jc w:val="center"/>
              <w:rPr>
                <w:rFonts w:cs="Times New Roman"/>
                <w:color w:val="000000"/>
                <w:sz w:val="21"/>
                <w:szCs w:val="21"/>
                <w:highlight w:val="none"/>
              </w:rPr>
            </w:pPr>
          </w:p>
        </w:tc>
        <w:tc>
          <w:tcPr>
            <w:tcW w:w="516" w:type="pct"/>
            <w:vMerge w:val="restart"/>
            <w:tcBorders>
              <w:top w:val="single" w:color="auto" w:sz="4" w:space="0"/>
              <w:left w:val="single" w:color="auto" w:sz="4" w:space="0"/>
              <w:right w:val="single" w:color="auto" w:sz="4" w:space="0"/>
            </w:tcBorders>
            <w:noWrap w:val="0"/>
            <w:vAlign w:val="center"/>
          </w:tcPr>
          <w:p w14:paraId="0368E330">
            <w:pPr>
              <w:widowControl/>
              <w:adjustRightInd w:val="0"/>
              <w:snapToGrid w:val="0"/>
              <w:spacing w:line="240" w:lineRule="auto"/>
              <w:rPr>
                <w:rFonts w:cs="Times New Roman"/>
                <w:color w:val="000000"/>
                <w:sz w:val="21"/>
                <w:szCs w:val="21"/>
                <w:highlight w:val="none"/>
              </w:rPr>
            </w:pPr>
          </w:p>
        </w:tc>
      </w:tr>
      <w:tr w14:paraId="40CF73E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4D93D37D">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68CE0A5D">
            <w:pPr>
              <w:adjustRightInd w:val="0"/>
              <w:snapToGrid w:val="0"/>
              <w:spacing w:line="240" w:lineRule="auto"/>
              <w:jc w:val="center"/>
              <w:rPr>
                <w:rFonts w:cs="Times New Roman"/>
                <w:color w:val="00000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579DBA1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hint="eastAsia" w:cs="Times New Roman"/>
                <w:color w:val="000000"/>
                <w:sz w:val="21"/>
                <w:szCs w:val="21"/>
                <w:highlight w:val="none"/>
              </w:rPr>
              <w:t>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p>
        </w:tc>
        <w:tc>
          <w:tcPr>
            <w:tcW w:w="322" w:type="pct"/>
            <w:vMerge w:val="continue"/>
            <w:tcBorders>
              <w:left w:val="single" w:color="auto" w:sz="4" w:space="0"/>
              <w:right w:val="single" w:color="auto" w:sz="4" w:space="0"/>
            </w:tcBorders>
            <w:noWrap w:val="0"/>
            <w:vAlign w:val="center"/>
          </w:tcPr>
          <w:p w14:paraId="23CC2E8C">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22317697">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15E90CFF">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63669B28">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6BA22EE7">
            <w:pPr>
              <w:widowControl/>
              <w:adjustRightInd w:val="0"/>
              <w:snapToGrid w:val="0"/>
              <w:spacing w:line="240" w:lineRule="auto"/>
              <w:rPr>
                <w:rFonts w:cs="Times New Roman"/>
                <w:color w:val="000000"/>
                <w:sz w:val="21"/>
                <w:szCs w:val="21"/>
                <w:highlight w:val="none"/>
              </w:rPr>
            </w:pPr>
          </w:p>
        </w:tc>
      </w:tr>
      <w:tr w14:paraId="1FCA4C7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471F1633">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7962FFDE">
            <w:pPr>
              <w:adjustRightInd w:val="0"/>
              <w:snapToGrid w:val="0"/>
              <w:spacing w:line="240" w:lineRule="auto"/>
              <w:jc w:val="center"/>
              <w:rPr>
                <w:rFonts w:cs="Times New Roman"/>
                <w:color w:val="00000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349C53B1">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入江风险防控措施，</w:t>
            </w:r>
            <w:r>
              <w:rPr>
                <w:rFonts w:hint="eastAsia" w:cs="Times New Roman"/>
                <w:bCs/>
                <w:color w:val="000000"/>
                <w:kern w:val="0"/>
                <w:sz w:val="21"/>
                <w:szCs w:val="21"/>
                <w:highlight w:val="none"/>
              </w:rPr>
              <w:t>结合风险等级及地块利用类型，制定针对性、可操作的源头管控、过程拦截、应急处置及长效监测措施</w:t>
            </w:r>
          </w:p>
        </w:tc>
        <w:tc>
          <w:tcPr>
            <w:tcW w:w="322" w:type="pct"/>
            <w:vMerge w:val="continue"/>
            <w:tcBorders>
              <w:left w:val="single" w:color="auto" w:sz="4" w:space="0"/>
              <w:right w:val="single" w:color="auto" w:sz="4" w:space="0"/>
            </w:tcBorders>
            <w:noWrap w:val="0"/>
            <w:vAlign w:val="center"/>
          </w:tcPr>
          <w:p w14:paraId="1DD8618B">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390DAD36">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551A3F60">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63EA9C18">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57F7D442">
            <w:pPr>
              <w:widowControl/>
              <w:adjustRightInd w:val="0"/>
              <w:snapToGrid w:val="0"/>
              <w:spacing w:line="240" w:lineRule="auto"/>
              <w:rPr>
                <w:rFonts w:cs="Times New Roman"/>
                <w:color w:val="000000"/>
                <w:sz w:val="21"/>
                <w:szCs w:val="21"/>
                <w:highlight w:val="none"/>
              </w:rPr>
            </w:pPr>
          </w:p>
        </w:tc>
      </w:tr>
      <w:tr w14:paraId="347A1FA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453BA3FD">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bottom w:val="single" w:color="auto" w:sz="2" w:space="0"/>
              <w:right w:val="single" w:color="auto" w:sz="2" w:space="0"/>
            </w:tcBorders>
            <w:noWrap w:val="0"/>
            <w:vAlign w:val="center"/>
          </w:tcPr>
          <w:p w14:paraId="004B522D">
            <w:pPr>
              <w:adjustRightInd w:val="0"/>
              <w:snapToGrid w:val="0"/>
              <w:spacing w:line="240" w:lineRule="auto"/>
              <w:jc w:val="center"/>
              <w:rPr>
                <w:rFonts w:cs="Times New Roman"/>
                <w:color w:val="00000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521A2DA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风险分析报告编制，</w:t>
            </w:r>
            <w:r>
              <w:rPr>
                <w:rFonts w:hint="eastAsia" w:cs="Times New Roman"/>
                <w:bCs/>
                <w:color w:val="000000"/>
                <w:kern w:val="0"/>
                <w:sz w:val="21"/>
                <w:szCs w:val="21"/>
                <w:highlight w:val="none"/>
              </w:rPr>
              <w:t>编制入江风险分析报告，作为地块开发利用及监管的依据</w:t>
            </w:r>
          </w:p>
        </w:tc>
        <w:tc>
          <w:tcPr>
            <w:tcW w:w="322" w:type="pct"/>
            <w:vMerge w:val="continue"/>
            <w:tcBorders>
              <w:left w:val="single" w:color="auto" w:sz="4" w:space="0"/>
              <w:bottom w:val="single" w:color="auto" w:sz="4" w:space="0"/>
              <w:right w:val="single" w:color="auto" w:sz="4" w:space="0"/>
            </w:tcBorders>
            <w:noWrap w:val="0"/>
            <w:vAlign w:val="center"/>
          </w:tcPr>
          <w:p w14:paraId="7FD1560D">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bottom w:val="single" w:color="auto" w:sz="4" w:space="0"/>
              <w:right w:val="single" w:color="auto" w:sz="4" w:space="0"/>
            </w:tcBorders>
            <w:noWrap w:val="0"/>
            <w:vAlign w:val="center"/>
          </w:tcPr>
          <w:p w14:paraId="77D75D76">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bottom w:val="single" w:color="auto" w:sz="4" w:space="0"/>
              <w:right w:val="single" w:color="auto" w:sz="4" w:space="0"/>
            </w:tcBorders>
            <w:noWrap w:val="0"/>
            <w:vAlign w:val="center"/>
          </w:tcPr>
          <w:p w14:paraId="1D964715">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bottom w:val="single" w:color="auto" w:sz="4" w:space="0"/>
              <w:right w:val="single" w:color="auto" w:sz="4" w:space="0"/>
            </w:tcBorders>
            <w:noWrap w:val="0"/>
            <w:vAlign w:val="center"/>
          </w:tcPr>
          <w:p w14:paraId="3CDBDA88">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bottom w:val="single" w:color="auto" w:sz="4" w:space="0"/>
              <w:right w:val="single" w:color="auto" w:sz="4" w:space="0"/>
            </w:tcBorders>
            <w:noWrap w:val="0"/>
            <w:vAlign w:val="center"/>
          </w:tcPr>
          <w:p w14:paraId="097C1639">
            <w:pPr>
              <w:widowControl/>
              <w:adjustRightInd w:val="0"/>
              <w:snapToGrid w:val="0"/>
              <w:spacing w:line="240" w:lineRule="auto"/>
              <w:rPr>
                <w:rFonts w:cs="Times New Roman"/>
                <w:color w:val="000000"/>
                <w:sz w:val="21"/>
                <w:szCs w:val="21"/>
                <w:highlight w:val="none"/>
              </w:rPr>
            </w:pPr>
          </w:p>
        </w:tc>
      </w:tr>
      <w:tr w14:paraId="583FEE7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2" w:space="0"/>
            </w:tcBorders>
            <w:noWrap w:val="0"/>
            <w:vAlign w:val="center"/>
          </w:tcPr>
          <w:p w14:paraId="37D48BB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6</w:t>
            </w:r>
          </w:p>
        </w:tc>
        <w:tc>
          <w:tcPr>
            <w:tcW w:w="324" w:type="pct"/>
            <w:vMerge w:val="restart"/>
            <w:tcBorders>
              <w:top w:val="single" w:color="auto" w:sz="2" w:space="0"/>
              <w:left w:val="single" w:color="auto" w:sz="2" w:space="0"/>
              <w:right w:val="single" w:color="auto" w:sz="2" w:space="0"/>
            </w:tcBorders>
            <w:noWrap w:val="0"/>
            <w:vAlign w:val="center"/>
          </w:tcPr>
          <w:p w14:paraId="0AC24A07">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风险评估报告编制</w:t>
            </w:r>
          </w:p>
        </w:tc>
        <w:tc>
          <w:tcPr>
            <w:tcW w:w="2194" w:type="pct"/>
            <w:tcBorders>
              <w:top w:val="single" w:color="auto" w:sz="2" w:space="0"/>
              <w:left w:val="single" w:color="auto" w:sz="2" w:space="0"/>
              <w:bottom w:val="single" w:color="auto" w:sz="2" w:space="0"/>
              <w:right w:val="single" w:color="auto" w:sz="2" w:space="0"/>
            </w:tcBorders>
            <w:noWrap w:val="0"/>
            <w:vAlign w:val="center"/>
          </w:tcPr>
          <w:p w14:paraId="67C5EF64">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开展危害识别，收集土壤污染状况调查阶段获得的相关资料和数据，掌握地块土壤和地下水中关注污染物的浓度分布，明确规划土地利用方式，分析可能的敏感受体，如儿童、成人、地下水体等。</w:t>
            </w:r>
          </w:p>
        </w:tc>
        <w:tc>
          <w:tcPr>
            <w:tcW w:w="322" w:type="pct"/>
            <w:vMerge w:val="restart"/>
            <w:tcBorders>
              <w:top w:val="single" w:color="auto" w:sz="4" w:space="0"/>
              <w:left w:val="single" w:color="auto" w:sz="4" w:space="0"/>
              <w:right w:val="single" w:color="auto" w:sz="4" w:space="0"/>
            </w:tcBorders>
            <w:noWrap w:val="0"/>
            <w:vAlign w:val="center"/>
          </w:tcPr>
          <w:p w14:paraId="22C21DC6">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vMerge w:val="restart"/>
            <w:tcBorders>
              <w:top w:val="single" w:color="auto" w:sz="4" w:space="0"/>
              <w:left w:val="single" w:color="auto" w:sz="4" w:space="0"/>
              <w:right w:val="single" w:color="auto" w:sz="4" w:space="0"/>
            </w:tcBorders>
            <w:noWrap w:val="0"/>
            <w:vAlign w:val="center"/>
          </w:tcPr>
          <w:p w14:paraId="0832E6A8">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vMerge w:val="restart"/>
            <w:tcBorders>
              <w:top w:val="single" w:color="auto" w:sz="4" w:space="0"/>
              <w:left w:val="single" w:color="auto" w:sz="4" w:space="0"/>
              <w:right w:val="single" w:color="auto" w:sz="4" w:space="0"/>
            </w:tcBorders>
            <w:noWrap w:val="0"/>
            <w:vAlign w:val="center"/>
          </w:tcPr>
          <w:p w14:paraId="1FAF8FDF">
            <w:pPr>
              <w:widowControl/>
              <w:adjustRightInd w:val="0"/>
              <w:snapToGrid w:val="0"/>
              <w:spacing w:line="240" w:lineRule="auto"/>
              <w:jc w:val="center"/>
              <w:rPr>
                <w:rFonts w:cs="Times New Roman"/>
                <w:color w:val="000000"/>
                <w:sz w:val="21"/>
                <w:szCs w:val="21"/>
                <w:highlight w:val="none"/>
              </w:rPr>
            </w:pPr>
          </w:p>
        </w:tc>
        <w:tc>
          <w:tcPr>
            <w:tcW w:w="580" w:type="pct"/>
            <w:vMerge w:val="restart"/>
            <w:tcBorders>
              <w:top w:val="single" w:color="auto" w:sz="4" w:space="0"/>
              <w:left w:val="single" w:color="auto" w:sz="4" w:space="0"/>
              <w:right w:val="single" w:color="auto" w:sz="4" w:space="0"/>
            </w:tcBorders>
            <w:noWrap w:val="0"/>
            <w:vAlign w:val="center"/>
          </w:tcPr>
          <w:p w14:paraId="04511360">
            <w:pPr>
              <w:widowControl/>
              <w:adjustRightInd w:val="0"/>
              <w:snapToGrid w:val="0"/>
              <w:spacing w:line="240" w:lineRule="auto"/>
              <w:jc w:val="center"/>
              <w:rPr>
                <w:rFonts w:cs="Times New Roman"/>
                <w:color w:val="000000"/>
                <w:sz w:val="21"/>
                <w:szCs w:val="21"/>
                <w:highlight w:val="none"/>
              </w:rPr>
            </w:pPr>
          </w:p>
        </w:tc>
        <w:tc>
          <w:tcPr>
            <w:tcW w:w="516" w:type="pct"/>
            <w:vMerge w:val="restart"/>
            <w:tcBorders>
              <w:top w:val="single" w:color="auto" w:sz="4" w:space="0"/>
              <w:left w:val="single" w:color="auto" w:sz="4" w:space="0"/>
              <w:right w:val="single" w:color="auto" w:sz="4" w:space="0"/>
            </w:tcBorders>
            <w:noWrap w:val="0"/>
            <w:vAlign w:val="center"/>
          </w:tcPr>
          <w:p w14:paraId="4D835740">
            <w:pPr>
              <w:widowControl/>
              <w:adjustRightInd w:val="0"/>
              <w:snapToGrid w:val="0"/>
              <w:spacing w:line="240" w:lineRule="auto"/>
              <w:rPr>
                <w:rFonts w:cs="Times New Roman"/>
                <w:color w:val="000000"/>
                <w:sz w:val="21"/>
                <w:szCs w:val="21"/>
                <w:highlight w:val="none"/>
              </w:rPr>
            </w:pPr>
          </w:p>
        </w:tc>
      </w:tr>
      <w:tr w14:paraId="4A3EF53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130C615A">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292AF126">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132A0C91">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暴露评估，在危害识别的基础上，分析地块内关注污染物迁移和危害敏感受体的可能性，确定地块地下水污染物的主要暴露途径和暴露评估模型，确定评估模型参数取值，计算敏感人群对地下水中污染物的暴露量。</w:t>
            </w:r>
          </w:p>
        </w:tc>
        <w:tc>
          <w:tcPr>
            <w:tcW w:w="322" w:type="pct"/>
            <w:vMerge w:val="continue"/>
            <w:tcBorders>
              <w:left w:val="single" w:color="auto" w:sz="4" w:space="0"/>
              <w:right w:val="single" w:color="auto" w:sz="4" w:space="0"/>
            </w:tcBorders>
            <w:noWrap w:val="0"/>
            <w:vAlign w:val="center"/>
          </w:tcPr>
          <w:p w14:paraId="32ED18B6">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457F90D6">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45A41D64">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50BF6256">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08ACE97B">
            <w:pPr>
              <w:widowControl/>
              <w:adjustRightInd w:val="0"/>
              <w:snapToGrid w:val="0"/>
              <w:spacing w:line="240" w:lineRule="auto"/>
              <w:rPr>
                <w:rFonts w:cs="Times New Roman"/>
                <w:color w:val="000000"/>
                <w:sz w:val="21"/>
                <w:szCs w:val="21"/>
                <w:highlight w:val="none"/>
              </w:rPr>
            </w:pPr>
          </w:p>
        </w:tc>
      </w:tr>
      <w:tr w14:paraId="0C58ABD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5A56CB84">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1CA24EEF">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3BA1F2CF">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开展毒性评估，在危害识别的基础上，分析关注污染物对人体健康的危害效应，包括致癌效应和非致癌效应，确定与关注污染物相关的参数，包括参考剂量、参考浓度、致癌斜率因子和呼吸吸入单位致癌因子等。</w:t>
            </w:r>
          </w:p>
        </w:tc>
        <w:tc>
          <w:tcPr>
            <w:tcW w:w="322" w:type="pct"/>
            <w:vMerge w:val="continue"/>
            <w:tcBorders>
              <w:left w:val="single" w:color="auto" w:sz="4" w:space="0"/>
              <w:right w:val="single" w:color="auto" w:sz="4" w:space="0"/>
            </w:tcBorders>
            <w:noWrap w:val="0"/>
            <w:vAlign w:val="center"/>
          </w:tcPr>
          <w:p w14:paraId="596A75B6">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3FA825FA">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67773044">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55207976">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6117C771">
            <w:pPr>
              <w:widowControl/>
              <w:adjustRightInd w:val="0"/>
              <w:snapToGrid w:val="0"/>
              <w:spacing w:line="240" w:lineRule="auto"/>
              <w:rPr>
                <w:rFonts w:cs="Times New Roman"/>
                <w:color w:val="000000"/>
                <w:sz w:val="21"/>
                <w:szCs w:val="21"/>
                <w:highlight w:val="none"/>
              </w:rPr>
            </w:pPr>
          </w:p>
        </w:tc>
      </w:tr>
      <w:tr w14:paraId="27EA8F5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right w:val="single" w:color="auto" w:sz="2" w:space="0"/>
            </w:tcBorders>
            <w:noWrap w:val="0"/>
            <w:vAlign w:val="center"/>
          </w:tcPr>
          <w:p w14:paraId="2CCB1D1B">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right w:val="single" w:color="auto" w:sz="2" w:space="0"/>
            </w:tcBorders>
            <w:noWrap w:val="0"/>
            <w:vAlign w:val="center"/>
          </w:tcPr>
          <w:p w14:paraId="4292A4E9">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0A3E6286">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开展风险表征，在暴露评估和毒性评估的基础上，采用风险评估模型计算土壤和地下水中单一污染物经单一途径的致癌风险和危害商，计算单一污染物的总致癌风险和危害商，进行不确定性分析。</w:t>
            </w:r>
          </w:p>
        </w:tc>
        <w:tc>
          <w:tcPr>
            <w:tcW w:w="322" w:type="pct"/>
            <w:vMerge w:val="continue"/>
            <w:tcBorders>
              <w:left w:val="single" w:color="auto" w:sz="4" w:space="0"/>
              <w:right w:val="single" w:color="auto" w:sz="4" w:space="0"/>
            </w:tcBorders>
            <w:noWrap w:val="0"/>
            <w:vAlign w:val="center"/>
          </w:tcPr>
          <w:p w14:paraId="21F4EA5B">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right w:val="single" w:color="auto" w:sz="4" w:space="0"/>
            </w:tcBorders>
            <w:noWrap w:val="0"/>
            <w:vAlign w:val="center"/>
          </w:tcPr>
          <w:p w14:paraId="0263ED02">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right w:val="single" w:color="auto" w:sz="4" w:space="0"/>
            </w:tcBorders>
            <w:noWrap w:val="0"/>
            <w:vAlign w:val="center"/>
          </w:tcPr>
          <w:p w14:paraId="546EE8F8">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right w:val="single" w:color="auto" w:sz="4" w:space="0"/>
            </w:tcBorders>
            <w:noWrap w:val="0"/>
            <w:vAlign w:val="center"/>
          </w:tcPr>
          <w:p w14:paraId="712D50CE">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right w:val="single" w:color="auto" w:sz="4" w:space="0"/>
            </w:tcBorders>
            <w:noWrap w:val="0"/>
            <w:vAlign w:val="center"/>
          </w:tcPr>
          <w:p w14:paraId="6B9F8011">
            <w:pPr>
              <w:widowControl/>
              <w:adjustRightInd w:val="0"/>
              <w:snapToGrid w:val="0"/>
              <w:spacing w:line="240" w:lineRule="auto"/>
              <w:rPr>
                <w:rFonts w:cs="Times New Roman"/>
                <w:color w:val="000000"/>
                <w:sz w:val="21"/>
                <w:szCs w:val="21"/>
                <w:highlight w:val="none"/>
              </w:rPr>
            </w:pPr>
          </w:p>
        </w:tc>
      </w:tr>
      <w:tr w14:paraId="5EC4E4D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2" w:space="0"/>
            </w:tcBorders>
            <w:noWrap w:val="0"/>
            <w:vAlign w:val="center"/>
          </w:tcPr>
          <w:p w14:paraId="6B9B5886">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2" w:space="0"/>
              <w:bottom w:val="single" w:color="auto" w:sz="2" w:space="0"/>
              <w:right w:val="single" w:color="auto" w:sz="2" w:space="0"/>
            </w:tcBorders>
            <w:noWrap w:val="0"/>
            <w:vAlign w:val="center"/>
          </w:tcPr>
          <w:p w14:paraId="2121F1BF">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2" w:space="0"/>
              <w:bottom w:val="single" w:color="auto" w:sz="2" w:space="0"/>
              <w:right w:val="single" w:color="auto" w:sz="2" w:space="0"/>
            </w:tcBorders>
            <w:noWrap w:val="0"/>
            <w:vAlign w:val="center"/>
          </w:tcPr>
          <w:p w14:paraId="1641DEE5">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p>
        </w:tc>
        <w:tc>
          <w:tcPr>
            <w:tcW w:w="322" w:type="pct"/>
            <w:vMerge w:val="continue"/>
            <w:tcBorders>
              <w:left w:val="single" w:color="auto" w:sz="4" w:space="0"/>
              <w:bottom w:val="single" w:color="auto" w:sz="4" w:space="0"/>
              <w:right w:val="single" w:color="auto" w:sz="4" w:space="0"/>
            </w:tcBorders>
            <w:noWrap w:val="0"/>
            <w:vAlign w:val="center"/>
          </w:tcPr>
          <w:p w14:paraId="1926FC44">
            <w:pPr>
              <w:widowControl/>
              <w:adjustRightInd w:val="0"/>
              <w:snapToGrid w:val="0"/>
              <w:spacing w:line="240" w:lineRule="auto"/>
              <w:jc w:val="center"/>
              <w:rPr>
                <w:rFonts w:cs="Times New Roman"/>
                <w:color w:val="000000"/>
                <w:sz w:val="21"/>
                <w:szCs w:val="21"/>
                <w:highlight w:val="none"/>
              </w:rPr>
            </w:pPr>
          </w:p>
        </w:tc>
        <w:tc>
          <w:tcPr>
            <w:tcW w:w="341" w:type="pct"/>
            <w:vMerge w:val="continue"/>
            <w:tcBorders>
              <w:left w:val="single" w:color="auto" w:sz="4" w:space="0"/>
              <w:bottom w:val="single" w:color="auto" w:sz="4" w:space="0"/>
              <w:right w:val="single" w:color="auto" w:sz="4" w:space="0"/>
            </w:tcBorders>
            <w:noWrap w:val="0"/>
            <w:vAlign w:val="center"/>
          </w:tcPr>
          <w:p w14:paraId="52A77225">
            <w:pPr>
              <w:widowControl/>
              <w:adjustRightInd w:val="0"/>
              <w:snapToGrid w:val="0"/>
              <w:spacing w:line="240" w:lineRule="auto"/>
              <w:jc w:val="center"/>
              <w:rPr>
                <w:rFonts w:cs="Times New Roman"/>
                <w:color w:val="000000"/>
                <w:sz w:val="21"/>
                <w:szCs w:val="21"/>
                <w:highlight w:val="none"/>
              </w:rPr>
            </w:pPr>
          </w:p>
        </w:tc>
        <w:tc>
          <w:tcPr>
            <w:tcW w:w="537" w:type="pct"/>
            <w:vMerge w:val="continue"/>
            <w:tcBorders>
              <w:left w:val="single" w:color="auto" w:sz="4" w:space="0"/>
              <w:bottom w:val="single" w:color="auto" w:sz="4" w:space="0"/>
              <w:right w:val="single" w:color="auto" w:sz="4" w:space="0"/>
            </w:tcBorders>
            <w:noWrap w:val="0"/>
            <w:vAlign w:val="center"/>
          </w:tcPr>
          <w:p w14:paraId="3A5DB85E">
            <w:pPr>
              <w:widowControl/>
              <w:adjustRightInd w:val="0"/>
              <w:snapToGrid w:val="0"/>
              <w:spacing w:line="240" w:lineRule="auto"/>
              <w:jc w:val="center"/>
              <w:rPr>
                <w:rFonts w:cs="Times New Roman"/>
                <w:color w:val="000000"/>
                <w:sz w:val="21"/>
                <w:szCs w:val="21"/>
                <w:highlight w:val="none"/>
              </w:rPr>
            </w:pPr>
          </w:p>
        </w:tc>
        <w:tc>
          <w:tcPr>
            <w:tcW w:w="580" w:type="pct"/>
            <w:vMerge w:val="continue"/>
            <w:tcBorders>
              <w:left w:val="single" w:color="auto" w:sz="4" w:space="0"/>
              <w:bottom w:val="single" w:color="auto" w:sz="4" w:space="0"/>
              <w:right w:val="single" w:color="auto" w:sz="4" w:space="0"/>
            </w:tcBorders>
            <w:noWrap w:val="0"/>
            <w:vAlign w:val="center"/>
          </w:tcPr>
          <w:p w14:paraId="0B6A8CD9">
            <w:pPr>
              <w:widowControl/>
              <w:adjustRightInd w:val="0"/>
              <w:snapToGrid w:val="0"/>
              <w:spacing w:line="240" w:lineRule="auto"/>
              <w:jc w:val="center"/>
              <w:rPr>
                <w:rFonts w:cs="Times New Roman"/>
                <w:color w:val="000000"/>
                <w:sz w:val="21"/>
                <w:szCs w:val="21"/>
                <w:highlight w:val="none"/>
              </w:rPr>
            </w:pPr>
          </w:p>
        </w:tc>
        <w:tc>
          <w:tcPr>
            <w:tcW w:w="516" w:type="pct"/>
            <w:vMerge w:val="continue"/>
            <w:tcBorders>
              <w:left w:val="single" w:color="auto" w:sz="4" w:space="0"/>
              <w:bottom w:val="single" w:color="auto" w:sz="4" w:space="0"/>
              <w:right w:val="single" w:color="auto" w:sz="4" w:space="0"/>
            </w:tcBorders>
            <w:noWrap w:val="0"/>
            <w:vAlign w:val="center"/>
          </w:tcPr>
          <w:p w14:paraId="119641A8">
            <w:pPr>
              <w:widowControl/>
              <w:adjustRightInd w:val="0"/>
              <w:snapToGrid w:val="0"/>
              <w:spacing w:line="240" w:lineRule="auto"/>
              <w:rPr>
                <w:rFonts w:cs="Times New Roman"/>
                <w:color w:val="000000"/>
                <w:sz w:val="21"/>
                <w:szCs w:val="21"/>
                <w:highlight w:val="none"/>
              </w:rPr>
            </w:pPr>
          </w:p>
        </w:tc>
      </w:tr>
      <w:tr w14:paraId="23CC9F9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restart"/>
            <w:tcBorders>
              <w:top w:val="single" w:color="auto" w:sz="4" w:space="0"/>
              <w:left w:val="single" w:color="auto" w:sz="8" w:space="0"/>
              <w:right w:val="single" w:color="auto" w:sz="4" w:space="0"/>
            </w:tcBorders>
            <w:noWrap w:val="0"/>
            <w:vAlign w:val="center"/>
          </w:tcPr>
          <w:p w14:paraId="625C8B4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7</w:t>
            </w:r>
          </w:p>
        </w:tc>
        <w:tc>
          <w:tcPr>
            <w:tcW w:w="324" w:type="pct"/>
            <w:vMerge w:val="restart"/>
            <w:tcBorders>
              <w:top w:val="single" w:color="auto" w:sz="4" w:space="0"/>
              <w:left w:val="single" w:color="auto" w:sz="4" w:space="0"/>
              <w:right w:val="single" w:color="auto" w:sz="4" w:space="0"/>
            </w:tcBorders>
            <w:noWrap w:val="0"/>
            <w:vAlign w:val="center"/>
          </w:tcPr>
          <w:p w14:paraId="20F242FB">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风险评估报告专家费、会务费、</w:t>
            </w:r>
            <w:r>
              <w:rPr>
                <w:rFonts w:hint="eastAsia" w:eastAsia="宋体" w:cs="Times New Roman"/>
                <w:bCs/>
                <w:color w:val="000000"/>
                <w:kern w:val="0"/>
                <w:sz w:val="21"/>
                <w:szCs w:val="21"/>
                <w:highlight w:val="none"/>
                <w:lang w:val="en-US" w:eastAsia="zh-CN"/>
              </w:rPr>
              <w:t>彩色</w:t>
            </w:r>
            <w:r>
              <w:rPr>
                <w:rFonts w:cs="Times New Roman"/>
                <w:bCs/>
                <w:color w:val="000000"/>
                <w:kern w:val="0"/>
                <w:sz w:val="21"/>
                <w:szCs w:val="21"/>
                <w:highlight w:val="none"/>
              </w:rPr>
              <w:t>打印费等</w:t>
            </w:r>
          </w:p>
        </w:tc>
        <w:tc>
          <w:tcPr>
            <w:tcW w:w="2194" w:type="pct"/>
            <w:tcBorders>
              <w:top w:val="single" w:color="auto" w:sz="2" w:space="0"/>
              <w:left w:val="single" w:color="auto" w:sz="4" w:space="0"/>
              <w:bottom w:val="single" w:color="auto" w:sz="4" w:space="0"/>
              <w:right w:val="single" w:color="auto" w:sz="4" w:space="0"/>
            </w:tcBorders>
            <w:noWrap w:val="0"/>
            <w:vAlign w:val="center"/>
          </w:tcPr>
          <w:p w14:paraId="403C34C1">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65932308">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074DD953">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5E3CF482">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22E7A4B0">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1C75D10F">
            <w:pPr>
              <w:widowControl/>
              <w:adjustRightInd w:val="0"/>
              <w:snapToGrid w:val="0"/>
              <w:spacing w:line="240" w:lineRule="auto"/>
              <w:rPr>
                <w:rFonts w:cs="Times New Roman"/>
                <w:color w:val="000000"/>
                <w:sz w:val="21"/>
                <w:szCs w:val="21"/>
                <w:highlight w:val="none"/>
              </w:rPr>
            </w:pPr>
          </w:p>
        </w:tc>
      </w:tr>
      <w:tr w14:paraId="1E7E376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84" w:type="pct"/>
            <w:vMerge w:val="continue"/>
            <w:tcBorders>
              <w:left w:val="single" w:color="auto" w:sz="8" w:space="0"/>
              <w:bottom w:val="single" w:color="auto" w:sz="4" w:space="0"/>
              <w:right w:val="single" w:color="auto" w:sz="4" w:space="0"/>
            </w:tcBorders>
            <w:noWrap w:val="0"/>
            <w:vAlign w:val="center"/>
          </w:tcPr>
          <w:p w14:paraId="6CE989E2">
            <w:pPr>
              <w:adjustRightInd w:val="0"/>
              <w:snapToGrid w:val="0"/>
              <w:spacing w:line="240" w:lineRule="auto"/>
              <w:jc w:val="center"/>
              <w:rPr>
                <w:rFonts w:cs="Times New Roman"/>
                <w:color w:val="000000"/>
                <w:sz w:val="21"/>
                <w:szCs w:val="21"/>
                <w:highlight w:val="none"/>
              </w:rPr>
            </w:pPr>
          </w:p>
        </w:tc>
        <w:tc>
          <w:tcPr>
            <w:tcW w:w="324" w:type="pct"/>
            <w:vMerge w:val="continue"/>
            <w:tcBorders>
              <w:left w:val="single" w:color="auto" w:sz="4" w:space="0"/>
              <w:bottom w:val="single" w:color="auto" w:sz="4" w:space="0"/>
              <w:right w:val="single" w:color="auto" w:sz="4" w:space="0"/>
            </w:tcBorders>
            <w:noWrap w:val="0"/>
            <w:vAlign w:val="center"/>
          </w:tcPr>
          <w:p w14:paraId="4A7AD996">
            <w:pPr>
              <w:adjustRightInd w:val="0"/>
              <w:snapToGrid w:val="0"/>
              <w:spacing w:line="240" w:lineRule="auto"/>
              <w:jc w:val="center"/>
              <w:rPr>
                <w:rFonts w:cs="Times New Roman"/>
                <w:bCs/>
                <w:color w:val="000000"/>
                <w:kern w:val="0"/>
                <w:sz w:val="21"/>
                <w:szCs w:val="21"/>
                <w:highlight w:val="none"/>
              </w:rPr>
            </w:pPr>
          </w:p>
        </w:tc>
        <w:tc>
          <w:tcPr>
            <w:tcW w:w="2194" w:type="pct"/>
            <w:tcBorders>
              <w:top w:val="single" w:color="auto" w:sz="2" w:space="0"/>
              <w:left w:val="single" w:color="auto" w:sz="4" w:space="0"/>
              <w:bottom w:val="single" w:color="auto" w:sz="4" w:space="0"/>
              <w:right w:val="single" w:color="auto" w:sz="4" w:space="0"/>
            </w:tcBorders>
            <w:noWrap w:val="0"/>
            <w:vAlign w:val="center"/>
          </w:tcPr>
          <w:p w14:paraId="222AE07A">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省生态环境厅至少邀请5名业内专家及相关部门领导，组织召开专家评审会</w:t>
            </w:r>
          </w:p>
        </w:tc>
        <w:tc>
          <w:tcPr>
            <w:tcW w:w="322" w:type="pct"/>
            <w:tcBorders>
              <w:top w:val="single" w:color="auto" w:sz="4" w:space="0"/>
              <w:left w:val="single" w:color="auto" w:sz="4" w:space="0"/>
              <w:bottom w:val="single" w:color="auto" w:sz="4" w:space="0"/>
              <w:right w:val="single" w:color="auto" w:sz="4" w:space="0"/>
            </w:tcBorders>
            <w:noWrap w:val="0"/>
            <w:vAlign w:val="center"/>
          </w:tcPr>
          <w:p w14:paraId="63DD0E86">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41" w:type="pct"/>
            <w:tcBorders>
              <w:top w:val="single" w:color="auto" w:sz="4" w:space="0"/>
              <w:left w:val="single" w:color="auto" w:sz="4" w:space="0"/>
              <w:bottom w:val="single" w:color="auto" w:sz="4" w:space="0"/>
              <w:right w:val="single" w:color="auto" w:sz="4" w:space="0"/>
            </w:tcBorders>
            <w:noWrap w:val="0"/>
            <w:vAlign w:val="center"/>
          </w:tcPr>
          <w:p w14:paraId="54DBCEA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37" w:type="pct"/>
            <w:tcBorders>
              <w:top w:val="single" w:color="auto" w:sz="4" w:space="0"/>
              <w:left w:val="single" w:color="auto" w:sz="4" w:space="0"/>
              <w:bottom w:val="single" w:color="auto" w:sz="4" w:space="0"/>
              <w:right w:val="single" w:color="auto" w:sz="4" w:space="0"/>
            </w:tcBorders>
            <w:noWrap w:val="0"/>
            <w:vAlign w:val="center"/>
          </w:tcPr>
          <w:p w14:paraId="3F3658F4">
            <w:pPr>
              <w:widowControl/>
              <w:adjustRightInd w:val="0"/>
              <w:snapToGrid w:val="0"/>
              <w:spacing w:line="240" w:lineRule="auto"/>
              <w:jc w:val="center"/>
              <w:rPr>
                <w:rFonts w:cs="Times New Roman"/>
                <w:color w:val="000000"/>
                <w:sz w:val="21"/>
                <w:szCs w:val="21"/>
                <w:highlight w:val="none"/>
              </w:rPr>
            </w:pPr>
          </w:p>
        </w:tc>
        <w:tc>
          <w:tcPr>
            <w:tcW w:w="580" w:type="pct"/>
            <w:tcBorders>
              <w:top w:val="single" w:color="auto" w:sz="4" w:space="0"/>
              <w:left w:val="single" w:color="auto" w:sz="4" w:space="0"/>
              <w:bottom w:val="single" w:color="auto" w:sz="4" w:space="0"/>
              <w:right w:val="single" w:color="auto" w:sz="4" w:space="0"/>
            </w:tcBorders>
            <w:noWrap w:val="0"/>
            <w:vAlign w:val="center"/>
          </w:tcPr>
          <w:p w14:paraId="2C000B6E">
            <w:pPr>
              <w:widowControl/>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center"/>
          </w:tcPr>
          <w:p w14:paraId="77E3F069">
            <w:pPr>
              <w:widowControl/>
              <w:adjustRightInd w:val="0"/>
              <w:snapToGrid w:val="0"/>
              <w:spacing w:line="240" w:lineRule="auto"/>
              <w:rPr>
                <w:rFonts w:cs="Times New Roman"/>
                <w:color w:val="000000"/>
                <w:sz w:val="21"/>
                <w:szCs w:val="21"/>
                <w:highlight w:val="none"/>
              </w:rPr>
            </w:pPr>
          </w:p>
        </w:tc>
      </w:tr>
      <w:tr w14:paraId="2E81AB6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1157" w:hRule="atLeast"/>
          <w:jc w:val="center"/>
        </w:trPr>
        <w:tc>
          <w:tcPr>
            <w:tcW w:w="3903" w:type="pct"/>
            <w:gridSpan w:val="6"/>
            <w:tcBorders>
              <w:top w:val="single" w:color="auto" w:sz="2" w:space="0"/>
              <w:left w:val="single" w:color="auto" w:sz="2" w:space="0"/>
              <w:bottom w:val="single" w:color="auto" w:sz="4" w:space="0"/>
              <w:right w:val="single" w:color="auto" w:sz="4" w:space="0"/>
            </w:tcBorders>
            <w:noWrap w:val="0"/>
            <w:vAlign w:val="center"/>
          </w:tcPr>
          <w:p w14:paraId="299B856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合计</w:t>
            </w:r>
          </w:p>
        </w:tc>
        <w:tc>
          <w:tcPr>
            <w:tcW w:w="580" w:type="pct"/>
            <w:tcBorders>
              <w:top w:val="single" w:color="auto" w:sz="4" w:space="0"/>
              <w:left w:val="single" w:color="auto" w:sz="4" w:space="0"/>
              <w:bottom w:val="single" w:color="auto" w:sz="4" w:space="0"/>
              <w:right w:val="single" w:color="auto" w:sz="4" w:space="0"/>
            </w:tcBorders>
            <w:noWrap w:val="0"/>
            <w:vAlign w:val="center"/>
          </w:tcPr>
          <w:p w14:paraId="3EA57519">
            <w:pPr>
              <w:adjustRightInd w:val="0"/>
              <w:snapToGrid w:val="0"/>
              <w:spacing w:line="240" w:lineRule="auto"/>
              <w:jc w:val="center"/>
              <w:rPr>
                <w:rFonts w:cs="Times New Roman"/>
                <w:color w:val="000000"/>
                <w:sz w:val="21"/>
                <w:szCs w:val="21"/>
                <w:highlight w:val="none"/>
              </w:rPr>
            </w:pPr>
          </w:p>
        </w:tc>
        <w:tc>
          <w:tcPr>
            <w:tcW w:w="516" w:type="pct"/>
            <w:tcBorders>
              <w:top w:val="single" w:color="auto" w:sz="4" w:space="0"/>
              <w:left w:val="single" w:color="auto" w:sz="4" w:space="0"/>
              <w:bottom w:val="single" w:color="auto" w:sz="4" w:space="0"/>
              <w:right w:val="single" w:color="auto" w:sz="4" w:space="0"/>
            </w:tcBorders>
            <w:noWrap w:val="0"/>
            <w:vAlign w:val="top"/>
          </w:tcPr>
          <w:p w14:paraId="13703E8A">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w:t>
            </w:r>
          </w:p>
        </w:tc>
      </w:tr>
    </w:tbl>
    <w:p w14:paraId="424CC049">
      <w:pPr>
        <w:jc w:val="center"/>
        <w:rPr>
          <w:rFonts w:cs="Times New Roman"/>
          <w:b/>
          <w:bCs/>
          <w:color w:val="000000"/>
          <w:kern w:val="0"/>
          <w:highlight w:val="none"/>
        </w:rPr>
      </w:pPr>
    </w:p>
    <w:p w14:paraId="2CDC47AE">
      <w:pPr>
        <w:jc w:val="center"/>
        <w:rPr>
          <w:rFonts w:cs="Times New Roman"/>
          <w:b/>
          <w:bCs/>
          <w:color w:val="000000"/>
          <w:kern w:val="0"/>
          <w:highlight w:val="none"/>
        </w:rPr>
      </w:pPr>
      <w:r>
        <w:rPr>
          <w:rFonts w:cs="Times New Roman"/>
          <w:b/>
          <w:bCs/>
          <w:color w:val="000000"/>
          <w:kern w:val="0"/>
          <w:highlight w:val="none"/>
        </w:rPr>
        <w:br w:type="page"/>
      </w:r>
      <w:r>
        <w:rPr>
          <w:rFonts w:cs="Times New Roman"/>
          <w:b/>
          <w:bCs/>
          <w:color w:val="000000"/>
          <w:kern w:val="0"/>
          <w:highlight w:val="none"/>
        </w:rPr>
        <w:t>表4  原南京宝恒化工有限公司地块风险评估项目费用报价明细表</w:t>
      </w:r>
    </w:p>
    <w:tbl>
      <w:tblPr>
        <w:tblStyle w:val="51"/>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top w:w="0" w:type="dxa"/>
          <w:left w:w="0" w:type="dxa"/>
          <w:bottom w:w="0" w:type="dxa"/>
          <w:right w:w="0" w:type="dxa"/>
        </w:tblCellMar>
      </w:tblPr>
      <w:tblGrid>
        <w:gridCol w:w="429"/>
        <w:gridCol w:w="997"/>
        <w:gridCol w:w="6184"/>
        <w:gridCol w:w="932"/>
        <w:gridCol w:w="941"/>
        <w:gridCol w:w="1574"/>
        <w:gridCol w:w="1661"/>
        <w:gridCol w:w="1404"/>
      </w:tblGrid>
      <w:tr w14:paraId="08B816B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tcBorders>
              <w:top w:val="single" w:color="auto" w:sz="8" w:space="0"/>
              <w:left w:val="single" w:color="auto" w:sz="8" w:space="0"/>
              <w:bottom w:val="single" w:color="auto" w:sz="2" w:space="0"/>
              <w:right w:val="single" w:color="auto" w:sz="2" w:space="0"/>
            </w:tcBorders>
            <w:noWrap w:val="0"/>
            <w:vAlign w:val="center"/>
          </w:tcPr>
          <w:p w14:paraId="1F28A657">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序号</w:t>
            </w:r>
          </w:p>
        </w:tc>
        <w:tc>
          <w:tcPr>
            <w:tcW w:w="353" w:type="pct"/>
            <w:tcBorders>
              <w:top w:val="single" w:color="auto" w:sz="8" w:space="0"/>
              <w:left w:val="single" w:color="auto" w:sz="2" w:space="0"/>
              <w:bottom w:val="single" w:color="auto" w:sz="2" w:space="0"/>
              <w:right w:val="single" w:color="auto" w:sz="2" w:space="0"/>
            </w:tcBorders>
            <w:noWrap w:val="0"/>
            <w:vAlign w:val="center"/>
          </w:tcPr>
          <w:p w14:paraId="1FB8AA82">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w:t>
            </w:r>
            <w:r>
              <w:rPr>
                <w:rFonts w:hint="eastAsia" w:cs="Times New Roman"/>
                <w:b/>
                <w:color w:val="000000"/>
                <w:sz w:val="21"/>
                <w:szCs w:val="21"/>
                <w:highlight w:val="none"/>
              </w:rPr>
              <w:t>分类</w:t>
            </w:r>
          </w:p>
        </w:tc>
        <w:tc>
          <w:tcPr>
            <w:tcW w:w="2189" w:type="pct"/>
            <w:tcBorders>
              <w:top w:val="single" w:color="auto" w:sz="8" w:space="0"/>
              <w:left w:val="single" w:color="auto" w:sz="2" w:space="0"/>
              <w:bottom w:val="single" w:color="auto" w:sz="2" w:space="0"/>
              <w:right w:val="single" w:color="auto" w:sz="2" w:space="0"/>
            </w:tcBorders>
            <w:noWrap w:val="0"/>
            <w:vAlign w:val="center"/>
          </w:tcPr>
          <w:p w14:paraId="3BA6DDB2">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工作内容</w:t>
            </w:r>
          </w:p>
        </w:tc>
        <w:tc>
          <w:tcPr>
            <w:tcW w:w="330" w:type="pct"/>
            <w:tcBorders>
              <w:top w:val="single" w:color="auto" w:sz="8" w:space="0"/>
              <w:left w:val="single" w:color="auto" w:sz="2" w:space="0"/>
              <w:bottom w:val="single" w:color="auto" w:sz="4" w:space="0"/>
              <w:right w:val="single" w:color="auto" w:sz="2" w:space="0"/>
            </w:tcBorders>
            <w:noWrap w:val="0"/>
            <w:vAlign w:val="center"/>
          </w:tcPr>
          <w:p w14:paraId="627A597C">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计量</w:t>
            </w:r>
          </w:p>
          <w:p w14:paraId="6CA23B78">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单位</w:t>
            </w:r>
          </w:p>
        </w:tc>
        <w:tc>
          <w:tcPr>
            <w:tcW w:w="333" w:type="pct"/>
            <w:tcBorders>
              <w:top w:val="single" w:color="auto" w:sz="8" w:space="0"/>
              <w:left w:val="single" w:color="auto" w:sz="2" w:space="0"/>
              <w:bottom w:val="single" w:color="auto" w:sz="4" w:space="0"/>
              <w:right w:val="single" w:color="auto" w:sz="2" w:space="0"/>
            </w:tcBorders>
            <w:noWrap w:val="0"/>
            <w:vAlign w:val="center"/>
          </w:tcPr>
          <w:p w14:paraId="7D29E1AC">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数量</w:t>
            </w:r>
          </w:p>
        </w:tc>
        <w:tc>
          <w:tcPr>
            <w:tcW w:w="555" w:type="pct"/>
            <w:tcBorders>
              <w:top w:val="single" w:color="auto" w:sz="8" w:space="0"/>
              <w:left w:val="single" w:color="auto" w:sz="2" w:space="0"/>
              <w:bottom w:val="single" w:color="auto" w:sz="4" w:space="0"/>
              <w:right w:val="single" w:color="auto" w:sz="2" w:space="0"/>
            </w:tcBorders>
            <w:noWrap w:val="0"/>
            <w:vAlign w:val="center"/>
          </w:tcPr>
          <w:p w14:paraId="73E2522B">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单价</w:t>
            </w:r>
          </w:p>
          <w:p w14:paraId="59E2E937">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588" w:type="pct"/>
            <w:tcBorders>
              <w:top w:val="single" w:color="auto" w:sz="8" w:space="0"/>
              <w:left w:val="single" w:color="auto" w:sz="2" w:space="0"/>
              <w:bottom w:val="single" w:color="auto" w:sz="4" w:space="0"/>
              <w:right w:val="single" w:color="auto" w:sz="8" w:space="0"/>
            </w:tcBorders>
            <w:noWrap w:val="0"/>
            <w:vAlign w:val="center"/>
          </w:tcPr>
          <w:p w14:paraId="796A9648">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小计</w:t>
            </w:r>
          </w:p>
          <w:p w14:paraId="15733EA5">
            <w:pPr>
              <w:adjustRightInd w:val="0"/>
              <w:snapToGrid w:val="0"/>
              <w:spacing w:line="240" w:lineRule="auto"/>
              <w:jc w:val="center"/>
              <w:rPr>
                <w:rFonts w:cs="Times New Roman"/>
                <w:b/>
                <w:color w:val="000000"/>
                <w:sz w:val="21"/>
                <w:szCs w:val="21"/>
                <w:highlight w:val="none"/>
              </w:rPr>
            </w:pPr>
            <w:r>
              <w:rPr>
                <w:rFonts w:cs="Times New Roman"/>
                <w:b/>
                <w:color w:val="000000"/>
                <w:sz w:val="21"/>
                <w:szCs w:val="21"/>
                <w:highlight w:val="none"/>
              </w:rPr>
              <w:t>（万元）</w:t>
            </w:r>
          </w:p>
        </w:tc>
        <w:tc>
          <w:tcPr>
            <w:tcW w:w="497" w:type="pct"/>
            <w:tcBorders>
              <w:top w:val="single" w:color="auto" w:sz="8" w:space="0"/>
              <w:left w:val="single" w:color="auto" w:sz="2" w:space="0"/>
              <w:bottom w:val="single" w:color="auto" w:sz="4" w:space="0"/>
              <w:right w:val="single" w:color="auto" w:sz="8" w:space="0"/>
            </w:tcBorders>
            <w:noWrap w:val="0"/>
            <w:vAlign w:val="center"/>
          </w:tcPr>
          <w:p w14:paraId="3FA4207B">
            <w:pPr>
              <w:adjustRightInd w:val="0"/>
              <w:snapToGrid w:val="0"/>
              <w:spacing w:line="240" w:lineRule="auto"/>
              <w:jc w:val="center"/>
              <w:rPr>
                <w:rFonts w:cs="Times New Roman"/>
                <w:b/>
                <w:color w:val="000000"/>
                <w:sz w:val="21"/>
                <w:szCs w:val="21"/>
                <w:highlight w:val="none"/>
              </w:rPr>
            </w:pPr>
            <w:r>
              <w:rPr>
                <w:rFonts w:hint="eastAsia" w:cs="Times New Roman"/>
                <w:b/>
                <w:color w:val="000000"/>
                <w:sz w:val="21"/>
                <w:szCs w:val="21"/>
                <w:highlight w:val="none"/>
              </w:rPr>
              <w:t>备注</w:t>
            </w:r>
          </w:p>
        </w:tc>
      </w:tr>
      <w:tr w14:paraId="57073BA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061C9EF9">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1</w:t>
            </w:r>
          </w:p>
        </w:tc>
        <w:tc>
          <w:tcPr>
            <w:tcW w:w="353" w:type="pct"/>
            <w:vMerge w:val="restart"/>
            <w:tcBorders>
              <w:top w:val="single" w:color="auto" w:sz="4" w:space="0"/>
              <w:left w:val="single" w:color="auto" w:sz="2" w:space="0"/>
              <w:right w:val="single" w:color="auto" w:sz="2" w:space="0"/>
            </w:tcBorders>
            <w:noWrap w:val="0"/>
            <w:vAlign w:val="center"/>
          </w:tcPr>
          <w:p w14:paraId="72F182A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水文地质勘察</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35BEBD3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钻探，布设4个钻孔点位，单个点位钻孔深度达到40m，需钻探至中风化层</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79E578C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1E00050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4A92222B">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4963A929">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50498B8B">
            <w:pPr>
              <w:widowControl/>
              <w:adjustRightInd w:val="0"/>
              <w:snapToGrid w:val="0"/>
              <w:spacing w:line="240" w:lineRule="auto"/>
              <w:rPr>
                <w:rFonts w:cs="Times New Roman"/>
                <w:color w:val="000000"/>
                <w:sz w:val="21"/>
                <w:szCs w:val="21"/>
                <w:highlight w:val="none"/>
              </w:rPr>
            </w:pPr>
          </w:p>
        </w:tc>
      </w:tr>
      <w:tr w14:paraId="2257C6B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752EA1AE">
            <w:pPr>
              <w:adjustRightInd w:val="0"/>
              <w:snapToGrid w:val="0"/>
              <w:spacing w:line="240" w:lineRule="auto"/>
              <w:jc w:val="center"/>
              <w:rPr>
                <w:rFonts w:cs="Times New Roman"/>
                <w:bCs/>
                <w:color w:val="000000"/>
                <w:kern w:val="0"/>
                <w:sz w:val="21"/>
                <w:szCs w:val="21"/>
                <w:highlight w:val="none"/>
              </w:rPr>
            </w:pPr>
          </w:p>
        </w:tc>
        <w:tc>
          <w:tcPr>
            <w:tcW w:w="353" w:type="pct"/>
            <w:vMerge w:val="continue"/>
            <w:tcBorders>
              <w:left w:val="single" w:color="auto" w:sz="2" w:space="0"/>
              <w:right w:val="single" w:color="auto" w:sz="2" w:space="0"/>
            </w:tcBorders>
            <w:noWrap w:val="0"/>
            <w:vAlign w:val="center"/>
          </w:tcPr>
          <w:p w14:paraId="5A17F57A">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1E9CD73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含水文地质勘察钻孔</w:t>
            </w:r>
            <w:r>
              <w:rPr>
                <w:rFonts w:hint="eastAsia" w:cs="Times New Roman"/>
                <w:color w:val="000000"/>
                <w:sz w:val="21"/>
                <w:szCs w:val="21"/>
                <w:highlight w:val="none"/>
              </w:rPr>
              <w:t>建设地下水井，用于抽水试验及流场确定等，布设4个钻孔点位，单个点位建井深度达到40m，需钻探至中风化层</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52D8E73C">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m</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21382173">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2498F57">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385F7C6D">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311F82EF">
            <w:pPr>
              <w:widowControl/>
              <w:adjustRightInd w:val="0"/>
              <w:snapToGrid w:val="0"/>
              <w:spacing w:line="240" w:lineRule="auto"/>
              <w:rPr>
                <w:rFonts w:cs="Times New Roman"/>
                <w:color w:val="000000"/>
                <w:sz w:val="21"/>
                <w:szCs w:val="21"/>
                <w:highlight w:val="none"/>
              </w:rPr>
            </w:pPr>
          </w:p>
        </w:tc>
      </w:tr>
      <w:tr w14:paraId="2F328E7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1AE6993E">
            <w:pPr>
              <w:adjustRightInd w:val="0"/>
              <w:snapToGrid w:val="0"/>
              <w:spacing w:line="240" w:lineRule="auto"/>
              <w:jc w:val="center"/>
              <w:rPr>
                <w:rFonts w:cs="Times New Roman"/>
                <w:bCs/>
                <w:color w:val="000000"/>
                <w:kern w:val="0"/>
                <w:sz w:val="21"/>
                <w:szCs w:val="21"/>
                <w:highlight w:val="none"/>
              </w:rPr>
            </w:pPr>
          </w:p>
        </w:tc>
        <w:tc>
          <w:tcPr>
            <w:tcW w:w="353" w:type="pct"/>
            <w:vMerge w:val="continue"/>
            <w:tcBorders>
              <w:left w:val="single" w:color="auto" w:sz="2" w:space="0"/>
              <w:right w:val="single" w:color="auto" w:sz="2" w:space="0"/>
            </w:tcBorders>
            <w:noWrap w:val="0"/>
            <w:vAlign w:val="center"/>
          </w:tcPr>
          <w:p w14:paraId="02B14B0B">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2AE93CD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土工试验，包括土壤有机质含量、含水率、孔隙度、渗透系数、土壤颗粒密度、土壤容重等参数的测定，每个点位采集</w:t>
            </w:r>
            <w:r>
              <w:rPr>
                <w:rFonts w:hint="eastAsia" w:cs="Times New Roman"/>
                <w:color w:val="000000"/>
                <w:sz w:val="21"/>
                <w:szCs w:val="21"/>
                <w:highlight w:val="none"/>
              </w:rPr>
              <w:t>4个土工试验样品，共需送检16个土工试验样品</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7F78CEA7">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11B4DD74">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16</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2D75D34">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536916D">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3F9117A8">
            <w:pPr>
              <w:widowControl/>
              <w:adjustRightInd w:val="0"/>
              <w:snapToGrid w:val="0"/>
              <w:spacing w:line="240" w:lineRule="auto"/>
              <w:rPr>
                <w:rFonts w:cs="Times New Roman"/>
                <w:color w:val="000000"/>
                <w:sz w:val="21"/>
                <w:szCs w:val="21"/>
                <w:highlight w:val="none"/>
              </w:rPr>
            </w:pPr>
          </w:p>
        </w:tc>
      </w:tr>
      <w:tr w14:paraId="434725C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2E7A11A1">
            <w:pPr>
              <w:adjustRightInd w:val="0"/>
              <w:snapToGrid w:val="0"/>
              <w:spacing w:line="240" w:lineRule="auto"/>
              <w:jc w:val="center"/>
              <w:rPr>
                <w:rFonts w:cs="Times New Roman"/>
                <w:bCs/>
                <w:color w:val="000000"/>
                <w:kern w:val="0"/>
                <w:sz w:val="21"/>
                <w:szCs w:val="21"/>
                <w:highlight w:val="none"/>
              </w:rPr>
            </w:pPr>
          </w:p>
        </w:tc>
        <w:tc>
          <w:tcPr>
            <w:tcW w:w="353" w:type="pct"/>
            <w:vMerge w:val="continue"/>
            <w:tcBorders>
              <w:left w:val="single" w:color="auto" w:sz="2" w:space="0"/>
              <w:right w:val="single" w:color="auto" w:sz="2" w:space="0"/>
            </w:tcBorders>
            <w:noWrap w:val="0"/>
            <w:vAlign w:val="center"/>
          </w:tcPr>
          <w:p w14:paraId="3E162109">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4315A89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抽水试验，需要</w:t>
            </w:r>
            <w:r>
              <w:rPr>
                <w:rFonts w:hint="eastAsia" w:cs="Times New Roman"/>
                <w:color w:val="000000"/>
                <w:sz w:val="21"/>
                <w:szCs w:val="21"/>
                <w:highlight w:val="none"/>
              </w:rPr>
              <w:t>2个台班</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52495B22">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台班</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69292E93">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34751363">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5739C6DF">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4CB4AB9C">
            <w:pPr>
              <w:widowControl/>
              <w:adjustRightInd w:val="0"/>
              <w:snapToGrid w:val="0"/>
              <w:spacing w:line="240" w:lineRule="auto"/>
              <w:rPr>
                <w:rFonts w:cs="Times New Roman"/>
                <w:color w:val="000000"/>
                <w:sz w:val="21"/>
                <w:szCs w:val="21"/>
                <w:highlight w:val="none"/>
              </w:rPr>
            </w:pPr>
          </w:p>
        </w:tc>
      </w:tr>
      <w:tr w14:paraId="305DCDE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0711F5F8">
            <w:pPr>
              <w:adjustRightInd w:val="0"/>
              <w:snapToGrid w:val="0"/>
              <w:spacing w:line="240" w:lineRule="auto"/>
              <w:jc w:val="center"/>
              <w:rPr>
                <w:rFonts w:cs="Times New Roman"/>
                <w:bCs/>
                <w:color w:val="000000"/>
                <w:kern w:val="0"/>
                <w:sz w:val="21"/>
                <w:szCs w:val="21"/>
                <w:highlight w:val="none"/>
              </w:rPr>
            </w:pPr>
          </w:p>
        </w:tc>
        <w:tc>
          <w:tcPr>
            <w:tcW w:w="353" w:type="pct"/>
            <w:vMerge w:val="continue"/>
            <w:tcBorders>
              <w:left w:val="single" w:color="auto" w:sz="2" w:space="0"/>
              <w:bottom w:val="single" w:color="auto" w:sz="4" w:space="0"/>
              <w:right w:val="single" w:color="auto" w:sz="2" w:space="0"/>
            </w:tcBorders>
            <w:noWrap w:val="0"/>
            <w:vAlign w:val="center"/>
          </w:tcPr>
          <w:p w14:paraId="6DFC54B8">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6242F57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完成水文地质勘察报告（明确地层结构、地下水特征、地下水与长江水力联系、区域地下水补给、径流、排泄规律，以及对应长江河段的水质现状，水文特征等）</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44FECA46">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235E12E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0126FA1B">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44ECEBB6">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105A28C9">
            <w:pPr>
              <w:widowControl/>
              <w:adjustRightInd w:val="0"/>
              <w:snapToGrid w:val="0"/>
              <w:spacing w:line="240" w:lineRule="auto"/>
              <w:rPr>
                <w:rFonts w:cs="Times New Roman"/>
                <w:color w:val="000000"/>
                <w:sz w:val="21"/>
                <w:szCs w:val="21"/>
                <w:highlight w:val="none"/>
              </w:rPr>
            </w:pPr>
          </w:p>
        </w:tc>
      </w:tr>
      <w:tr w14:paraId="7EA8E8A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tcBorders>
              <w:top w:val="single" w:color="auto" w:sz="4" w:space="0"/>
              <w:left w:val="single" w:color="auto" w:sz="8" w:space="0"/>
              <w:bottom w:val="single" w:color="auto" w:sz="4" w:space="0"/>
              <w:right w:val="single" w:color="auto" w:sz="2" w:space="0"/>
            </w:tcBorders>
            <w:noWrap w:val="0"/>
            <w:vAlign w:val="center"/>
          </w:tcPr>
          <w:p w14:paraId="32D28BFE">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2</w:t>
            </w:r>
          </w:p>
        </w:tc>
        <w:tc>
          <w:tcPr>
            <w:tcW w:w="353" w:type="pct"/>
            <w:tcBorders>
              <w:top w:val="single" w:color="auto" w:sz="4" w:space="0"/>
              <w:left w:val="single" w:color="auto" w:sz="2" w:space="0"/>
              <w:bottom w:val="single" w:color="auto" w:sz="4" w:space="0"/>
              <w:right w:val="single" w:color="auto" w:sz="2" w:space="0"/>
            </w:tcBorders>
            <w:noWrap w:val="0"/>
            <w:vAlign w:val="center"/>
          </w:tcPr>
          <w:p w14:paraId="5523F69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补充调查方案制定</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5CACF55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根据宝恒化工地块的资料分析结果，制定宝恒化工地块的补充调查方案（含未调查区域）</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174F600B">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092DA31B">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E739E94">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055DA9EB">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37314384">
            <w:pPr>
              <w:widowControl/>
              <w:adjustRightInd w:val="0"/>
              <w:snapToGrid w:val="0"/>
              <w:spacing w:line="240" w:lineRule="auto"/>
              <w:rPr>
                <w:rFonts w:cs="Times New Roman"/>
                <w:color w:val="000000"/>
                <w:sz w:val="21"/>
                <w:szCs w:val="21"/>
                <w:highlight w:val="none"/>
              </w:rPr>
            </w:pPr>
          </w:p>
        </w:tc>
      </w:tr>
      <w:tr w14:paraId="0C8F2D2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7548EFA0">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3</w:t>
            </w:r>
          </w:p>
        </w:tc>
        <w:tc>
          <w:tcPr>
            <w:tcW w:w="353" w:type="pct"/>
            <w:vMerge w:val="restart"/>
            <w:tcBorders>
              <w:top w:val="single" w:color="auto" w:sz="4" w:space="0"/>
              <w:left w:val="single" w:color="auto" w:sz="2" w:space="0"/>
              <w:right w:val="single" w:color="auto" w:sz="2" w:space="0"/>
            </w:tcBorders>
            <w:noWrap w:val="0"/>
            <w:vAlign w:val="center"/>
          </w:tcPr>
          <w:p w14:paraId="09D0B936">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现场钻探及采样费用</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5EE4934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包括宝恒化工地块未开展调查区域补充调查以及扩散情况调查，包括土壤钻探以及土壤样品采集（钻探深度至少为</w:t>
            </w:r>
            <w:r>
              <w:rPr>
                <w:rFonts w:hint="eastAsia" w:cs="Times New Roman"/>
                <w:color w:val="000000"/>
                <w:sz w:val="21"/>
                <w:szCs w:val="21"/>
                <w:highlight w:val="none"/>
              </w:rPr>
              <w:t>6m，部分点位需要钻探15m、30m</w:t>
            </w:r>
            <w:r>
              <w:rPr>
                <w:rFonts w:cs="Times New Roman"/>
                <w:color w:val="000000"/>
                <w:sz w:val="21"/>
                <w:szCs w:val="21"/>
                <w:highlight w:val="none"/>
              </w:rPr>
              <w:t>），土壤总钻探深度约</w:t>
            </w:r>
            <w:r>
              <w:rPr>
                <w:rFonts w:hint="eastAsia" w:cs="Times New Roman"/>
                <w:color w:val="000000"/>
                <w:sz w:val="21"/>
                <w:szCs w:val="21"/>
                <w:highlight w:val="none"/>
              </w:rPr>
              <w:t>240m</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4AB9EA9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51C7B7A8">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240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18F2BFD7">
            <w:pPr>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32BB2E03">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61BC166A">
            <w:pPr>
              <w:adjustRightInd w:val="0"/>
              <w:snapToGrid w:val="0"/>
              <w:spacing w:line="240" w:lineRule="auto"/>
              <w:rPr>
                <w:rFonts w:cs="Times New Roman"/>
                <w:color w:val="000000"/>
                <w:sz w:val="21"/>
                <w:szCs w:val="21"/>
                <w:highlight w:val="none"/>
              </w:rPr>
            </w:pPr>
          </w:p>
        </w:tc>
      </w:tr>
      <w:tr w14:paraId="34C5374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575B2A7E">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4" w:space="0"/>
              <w:right w:val="single" w:color="auto" w:sz="2" w:space="0"/>
            </w:tcBorders>
            <w:noWrap w:val="0"/>
            <w:vAlign w:val="center"/>
          </w:tcPr>
          <w:p w14:paraId="77AC76BC">
            <w:pPr>
              <w:adjustRightInd w:val="0"/>
              <w:snapToGrid w:val="0"/>
              <w:spacing w:line="240" w:lineRule="auto"/>
              <w:jc w:val="center"/>
              <w:rPr>
                <w:rFonts w:cs="Times New Roman"/>
                <w:color w:val="00000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01EB1E1B">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包括宝恒化工地块未开展调查区域补充调查以及扩散情况调查，包括地下水建井以及地下水样品采集（建井深度至少为</w:t>
            </w:r>
            <w:r>
              <w:rPr>
                <w:rFonts w:hint="eastAsia" w:cs="Times New Roman"/>
                <w:color w:val="000000"/>
                <w:sz w:val="21"/>
                <w:szCs w:val="21"/>
                <w:highlight w:val="none"/>
              </w:rPr>
              <w:t>6m，部分点位建井深度需要达到15m、30m</w:t>
            </w:r>
            <w:r>
              <w:rPr>
                <w:rFonts w:cs="Times New Roman"/>
                <w:color w:val="000000"/>
                <w:sz w:val="21"/>
                <w:szCs w:val="21"/>
                <w:highlight w:val="none"/>
              </w:rPr>
              <w:t>），地下水总建井深度约</w:t>
            </w:r>
            <w:r>
              <w:rPr>
                <w:rFonts w:hint="eastAsia" w:cs="Times New Roman"/>
                <w:color w:val="000000"/>
                <w:sz w:val="21"/>
                <w:szCs w:val="21"/>
                <w:highlight w:val="none"/>
              </w:rPr>
              <w:t>290m</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7ACB83A3">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m</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35253F6F">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290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44D13730">
            <w:pPr>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A27E817">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3E1DBF90">
            <w:pPr>
              <w:adjustRightInd w:val="0"/>
              <w:snapToGrid w:val="0"/>
              <w:spacing w:line="240" w:lineRule="auto"/>
              <w:rPr>
                <w:rFonts w:cs="Times New Roman"/>
                <w:color w:val="000000"/>
                <w:sz w:val="21"/>
                <w:szCs w:val="21"/>
                <w:highlight w:val="none"/>
              </w:rPr>
            </w:pPr>
          </w:p>
        </w:tc>
      </w:tr>
      <w:tr w14:paraId="3F33B1E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538506AD">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4</w:t>
            </w:r>
          </w:p>
        </w:tc>
        <w:tc>
          <w:tcPr>
            <w:tcW w:w="353" w:type="pct"/>
            <w:vMerge w:val="restart"/>
            <w:tcBorders>
              <w:top w:val="single" w:color="auto" w:sz="4" w:space="0"/>
              <w:left w:val="single" w:color="auto" w:sz="2" w:space="0"/>
              <w:right w:val="single" w:color="auto" w:sz="2" w:space="0"/>
            </w:tcBorders>
            <w:noWrap w:val="0"/>
            <w:vAlign w:val="center"/>
          </w:tcPr>
          <w:p w14:paraId="0E3540A4">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样品处理与检测费</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5DF8159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包括宝恒化工地块未开展调查区域补充调查，土壤检测因子包括pH、重金属</w:t>
            </w:r>
            <w:r>
              <w:rPr>
                <w:rFonts w:hint="eastAsia" w:cs="Times New Roman"/>
                <w:color w:val="000000"/>
                <w:sz w:val="21"/>
                <w:szCs w:val="21"/>
                <w:highlight w:val="none"/>
              </w:rPr>
              <w:t>7项、挥发性有机污染物65项、半挥发性有机污染物64项、特征污染物30项（需要包括：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一溴二氯甲烷、溴仿、二溴氯甲烷、1,2-二溴乙烷、六氯环戊二烯、2,4-二硝基甲苯、2,4-二氯酚、2,4,6-三氯酚、2,4-二硝基酚、五氯酚、邻苯二甲酸二(2-乙基己基)酯、邻苯二甲酸丁基苄酯、邻苯二甲酸二正辛酯、3,3’-二氯联苯胺、钒、锌、硒、银、氟化物、丙酮、四氢呋喃、乙酸乙酯、对苯二酚、乙醚、正丁醇、甲氰菊酯、氯氰菊酯、苯乙酮、均三甲苯</w:t>
            </w:r>
            <w:r>
              <w:rPr>
                <w:rFonts w:hint="eastAsia" w:cs="Times New Roman"/>
                <w:color w:val="000000"/>
                <w:sz w:val="21"/>
                <w:szCs w:val="21"/>
                <w:highlight w:val="none"/>
              </w:rPr>
              <w:t>等）</w:t>
            </w:r>
          </w:p>
          <w:p w14:paraId="27391E7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，土壤样品约</w:t>
            </w:r>
            <w:r>
              <w:rPr>
                <w:rFonts w:hint="eastAsia" w:cs="Times New Roman"/>
                <w:color w:val="000000"/>
                <w:sz w:val="21"/>
                <w:szCs w:val="21"/>
                <w:highlight w:val="none"/>
              </w:rPr>
              <w:t>180个</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489F598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662399AD">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180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698C561F">
            <w:pPr>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277D9BD2">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35F80D5E">
            <w:pPr>
              <w:adjustRightInd w:val="0"/>
              <w:snapToGrid w:val="0"/>
              <w:spacing w:line="240" w:lineRule="auto"/>
              <w:rPr>
                <w:rFonts w:cs="Times New Roman"/>
                <w:color w:val="000000"/>
                <w:sz w:val="21"/>
                <w:szCs w:val="21"/>
                <w:highlight w:val="none"/>
              </w:rPr>
            </w:pPr>
          </w:p>
        </w:tc>
      </w:tr>
      <w:tr w14:paraId="32679D1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40879625">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4" w:space="0"/>
              <w:right w:val="single" w:color="auto" w:sz="2" w:space="0"/>
            </w:tcBorders>
            <w:noWrap w:val="0"/>
            <w:vAlign w:val="center"/>
          </w:tcPr>
          <w:p w14:paraId="16901228">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5269BC42">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地下水</w:t>
            </w:r>
            <w:r>
              <w:rPr>
                <w:rFonts w:cs="Times New Roman"/>
                <w:color w:val="000000"/>
                <w:sz w:val="21"/>
                <w:szCs w:val="21"/>
                <w:highlight w:val="none"/>
              </w:rPr>
              <w:t>的检测因子包括pH、重金属</w:t>
            </w:r>
            <w:r>
              <w:rPr>
                <w:rFonts w:hint="eastAsia" w:cs="Times New Roman"/>
                <w:color w:val="000000"/>
                <w:sz w:val="21"/>
                <w:szCs w:val="21"/>
                <w:highlight w:val="none"/>
              </w:rPr>
              <w:t>7项、挥发性有机污染物65项、半挥发性有机污染物64项、特征污染物30项（需要包括：（需要包括：</w:t>
            </w:r>
            <w:r>
              <w:rPr>
                <w:rFonts w:cs="Times New Roman"/>
                <w:color w:val="000000"/>
                <w:sz w:val="21"/>
                <w:szCs w:val="21"/>
                <w:highlight w:val="none"/>
              </w:rPr>
              <w:t>石油烃（C</w:t>
            </w:r>
            <w:r>
              <w:rPr>
                <w:rFonts w:cs="Times New Roman"/>
                <w:color w:val="000000"/>
                <w:sz w:val="21"/>
                <w:szCs w:val="21"/>
                <w:highlight w:val="none"/>
                <w:vertAlign w:val="subscript"/>
              </w:rPr>
              <w:t>10</w:t>
            </w:r>
            <w:r>
              <w:rPr>
                <w:rFonts w:cs="Times New Roman"/>
                <w:color w:val="000000"/>
                <w:sz w:val="21"/>
                <w:szCs w:val="21"/>
                <w:highlight w:val="none"/>
              </w:rPr>
              <w:t>-C</w:t>
            </w:r>
            <w:r>
              <w:rPr>
                <w:rFonts w:cs="Times New Roman"/>
                <w:color w:val="000000"/>
                <w:sz w:val="21"/>
                <w:szCs w:val="21"/>
                <w:highlight w:val="none"/>
                <w:vertAlign w:val="subscript"/>
              </w:rPr>
              <w:t>40</w:t>
            </w:r>
            <w:r>
              <w:rPr>
                <w:rFonts w:cs="Times New Roman"/>
                <w:color w:val="000000"/>
                <w:sz w:val="21"/>
                <w:szCs w:val="21"/>
                <w:highlight w:val="none"/>
              </w:rPr>
              <w:t>）、一溴二氯甲烷、溴仿、二溴氯甲烷、1,2-二溴乙烷、六氯环戊二烯、2,4-二硝基甲苯、2,4-二氯酚、2,4,6-三氯酚、2,4-二硝基酚、五氯酚、邻苯二甲酸二(2-乙基己基)酯、邻苯二甲酸丁基苄酯、邻苯二甲酸二正辛酯、3,3’-二氯联苯胺、钒、锌、硒、银、氟化物、丙酮、四氢呋喃、乙酸乙酯、对苯二酚、乙醚、正丁醇、甲氰菊酯、氯氰菊酯、苯乙酮、均三甲苯</w:t>
            </w:r>
            <w:r>
              <w:rPr>
                <w:rFonts w:hint="eastAsia" w:cs="Times New Roman"/>
                <w:color w:val="000000"/>
                <w:sz w:val="21"/>
                <w:szCs w:val="21"/>
                <w:highlight w:val="none"/>
              </w:rPr>
              <w:t>等）</w:t>
            </w:r>
            <w:r>
              <w:rPr>
                <w:rFonts w:cs="Times New Roman"/>
                <w:color w:val="000000"/>
                <w:sz w:val="21"/>
                <w:szCs w:val="21"/>
                <w:highlight w:val="none"/>
              </w:rPr>
              <w:t>，</w:t>
            </w:r>
            <w:r>
              <w:rPr>
                <w:rFonts w:hint="eastAsia" w:cs="Times New Roman"/>
                <w:color w:val="000000"/>
                <w:sz w:val="21"/>
                <w:szCs w:val="21"/>
                <w:highlight w:val="none"/>
              </w:rPr>
              <w:t>《地下水质量标准》(GBT14848-2017)中的感官性状无机指标等25项等。考虑</w:t>
            </w:r>
            <w:r>
              <w:rPr>
                <w:rFonts w:cs="Times New Roman"/>
                <w:color w:val="000000"/>
                <w:sz w:val="21"/>
                <w:szCs w:val="21"/>
                <w:highlight w:val="none"/>
              </w:rPr>
              <w:t>到地块内涉及</w:t>
            </w:r>
            <w:r>
              <w:rPr>
                <w:rFonts w:hint="eastAsia" w:cs="Times New Roman"/>
                <w:color w:val="000000"/>
                <w:sz w:val="21"/>
                <w:szCs w:val="21"/>
                <w:highlight w:val="none"/>
              </w:rPr>
              <w:t>DNAPL类物质超标，根据技术规范要求需要分别在水位线以下0.5m和井管底部采集地下水样品</w:t>
            </w:r>
            <w:r>
              <w:rPr>
                <w:rFonts w:cs="Times New Roman"/>
                <w:color w:val="000000"/>
                <w:sz w:val="21"/>
                <w:szCs w:val="21"/>
                <w:highlight w:val="none"/>
              </w:rPr>
              <w:t>，地下水样品约</w:t>
            </w:r>
            <w:r>
              <w:rPr>
                <w:rFonts w:hint="eastAsia" w:cs="Times New Roman"/>
                <w:color w:val="000000"/>
                <w:sz w:val="21"/>
                <w:szCs w:val="21"/>
                <w:highlight w:val="none"/>
              </w:rPr>
              <w:t>60个</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252EA4C2">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个</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2CB66E23">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60</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502A9E41">
            <w:pPr>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696BE0A2">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553BB0BB">
            <w:pPr>
              <w:adjustRightInd w:val="0"/>
              <w:snapToGrid w:val="0"/>
              <w:spacing w:line="240" w:lineRule="auto"/>
              <w:rPr>
                <w:rFonts w:cs="Times New Roman"/>
                <w:color w:val="000000"/>
                <w:sz w:val="21"/>
                <w:szCs w:val="21"/>
                <w:highlight w:val="none"/>
              </w:rPr>
            </w:pPr>
          </w:p>
        </w:tc>
      </w:tr>
      <w:tr w14:paraId="5B52FEC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52FC43F5">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5</w:t>
            </w:r>
          </w:p>
        </w:tc>
        <w:tc>
          <w:tcPr>
            <w:tcW w:w="353" w:type="pct"/>
            <w:vMerge w:val="restart"/>
            <w:tcBorders>
              <w:top w:val="single" w:color="auto" w:sz="4" w:space="0"/>
              <w:left w:val="single" w:color="auto" w:sz="2" w:space="0"/>
              <w:right w:val="single" w:color="auto" w:sz="2" w:space="0"/>
            </w:tcBorders>
            <w:noWrap w:val="0"/>
            <w:vAlign w:val="center"/>
          </w:tcPr>
          <w:p w14:paraId="43FE2FAE">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土壤污染状况调查报告编制</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1F6ED79D">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针对宝恒化工地块未开展调查区域，开展资料收集及分析、人员访谈及分析、现场踏勘及分析，并开展污染识别及分析，包括地块的污染分析，以及周边地块的污染分析</w:t>
            </w:r>
          </w:p>
        </w:tc>
        <w:tc>
          <w:tcPr>
            <w:tcW w:w="330" w:type="pct"/>
            <w:vMerge w:val="restart"/>
            <w:tcBorders>
              <w:top w:val="single" w:color="auto" w:sz="4" w:space="0"/>
              <w:left w:val="single" w:color="auto" w:sz="4" w:space="0"/>
              <w:right w:val="single" w:color="auto" w:sz="4" w:space="0"/>
            </w:tcBorders>
            <w:noWrap w:val="0"/>
            <w:vAlign w:val="center"/>
          </w:tcPr>
          <w:p w14:paraId="7B817E3C">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项</w:t>
            </w:r>
          </w:p>
        </w:tc>
        <w:tc>
          <w:tcPr>
            <w:tcW w:w="333" w:type="pct"/>
            <w:vMerge w:val="restart"/>
            <w:tcBorders>
              <w:top w:val="single" w:color="auto" w:sz="4" w:space="0"/>
              <w:left w:val="single" w:color="auto" w:sz="4" w:space="0"/>
              <w:right w:val="single" w:color="auto" w:sz="4" w:space="0"/>
            </w:tcBorders>
            <w:noWrap w:val="0"/>
            <w:vAlign w:val="center"/>
          </w:tcPr>
          <w:p w14:paraId="3BB9F9FB">
            <w:pPr>
              <w:adjustRightInd w:val="0"/>
              <w:snapToGrid w:val="0"/>
              <w:spacing w:line="240" w:lineRule="auto"/>
              <w:jc w:val="center"/>
              <w:rPr>
                <w:rFonts w:cs="Times New Roman"/>
                <w:sz w:val="21"/>
                <w:szCs w:val="21"/>
                <w:highlight w:val="none"/>
              </w:rPr>
            </w:pPr>
            <w:r>
              <w:rPr>
                <w:rFonts w:hint="eastAsia" w:cs="Times New Roman"/>
                <w:color w:val="000000"/>
                <w:sz w:val="21"/>
                <w:szCs w:val="21"/>
                <w:highlight w:val="none"/>
              </w:rPr>
              <w:t>1</w:t>
            </w:r>
          </w:p>
        </w:tc>
        <w:tc>
          <w:tcPr>
            <w:tcW w:w="555" w:type="pct"/>
            <w:vMerge w:val="restart"/>
            <w:tcBorders>
              <w:top w:val="single" w:color="auto" w:sz="4" w:space="0"/>
              <w:left w:val="single" w:color="auto" w:sz="4" w:space="0"/>
              <w:right w:val="single" w:color="auto" w:sz="4" w:space="0"/>
            </w:tcBorders>
            <w:noWrap w:val="0"/>
            <w:vAlign w:val="center"/>
          </w:tcPr>
          <w:p w14:paraId="3C8831B8">
            <w:pPr>
              <w:adjustRightInd w:val="0"/>
              <w:snapToGrid w:val="0"/>
              <w:spacing w:line="240" w:lineRule="auto"/>
              <w:jc w:val="center"/>
              <w:rPr>
                <w:rFonts w:cs="Times New Roman"/>
                <w:color w:val="000000"/>
                <w:sz w:val="21"/>
                <w:szCs w:val="21"/>
                <w:highlight w:val="none"/>
              </w:rPr>
            </w:pPr>
          </w:p>
        </w:tc>
        <w:tc>
          <w:tcPr>
            <w:tcW w:w="588" w:type="pct"/>
            <w:vMerge w:val="restart"/>
            <w:tcBorders>
              <w:top w:val="single" w:color="auto" w:sz="4" w:space="0"/>
              <w:left w:val="single" w:color="auto" w:sz="4" w:space="0"/>
              <w:right w:val="single" w:color="auto" w:sz="4" w:space="0"/>
            </w:tcBorders>
            <w:noWrap w:val="0"/>
            <w:vAlign w:val="center"/>
          </w:tcPr>
          <w:p w14:paraId="4CAAB671">
            <w:pPr>
              <w:adjustRightInd w:val="0"/>
              <w:snapToGrid w:val="0"/>
              <w:spacing w:line="240" w:lineRule="auto"/>
              <w:jc w:val="center"/>
              <w:rPr>
                <w:rFonts w:cs="Times New Roman"/>
                <w:color w:val="000000"/>
                <w:sz w:val="21"/>
                <w:szCs w:val="21"/>
                <w:highlight w:val="none"/>
              </w:rPr>
            </w:pPr>
          </w:p>
        </w:tc>
        <w:tc>
          <w:tcPr>
            <w:tcW w:w="497" w:type="pct"/>
            <w:vMerge w:val="restart"/>
            <w:tcBorders>
              <w:top w:val="single" w:color="auto" w:sz="4" w:space="0"/>
              <w:left w:val="single" w:color="auto" w:sz="4" w:space="0"/>
              <w:right w:val="single" w:color="auto" w:sz="4" w:space="0"/>
            </w:tcBorders>
            <w:noWrap w:val="0"/>
            <w:vAlign w:val="center"/>
          </w:tcPr>
          <w:p w14:paraId="0A587D53">
            <w:pPr>
              <w:adjustRightInd w:val="0"/>
              <w:snapToGrid w:val="0"/>
              <w:spacing w:line="240" w:lineRule="auto"/>
              <w:rPr>
                <w:rFonts w:cs="Times New Roman"/>
                <w:color w:val="000000"/>
                <w:sz w:val="21"/>
                <w:szCs w:val="21"/>
                <w:highlight w:val="none"/>
              </w:rPr>
            </w:pPr>
          </w:p>
        </w:tc>
      </w:tr>
      <w:tr w14:paraId="09D379C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6C90198A">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0C84FC1C">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66B0C5F1">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根据前面制定的采样方案，完成土壤和地下水的检测结果分析，分别采用不超标点连线法划定土壤超标范围，根据</w:t>
            </w:r>
            <w:r>
              <w:rPr>
                <w:rFonts w:hint="eastAsia" w:cs="Times New Roman"/>
                <w:bCs/>
                <w:color w:val="000000"/>
                <w:kern w:val="0"/>
                <w:sz w:val="21"/>
                <w:szCs w:val="21"/>
                <w:highlight w:val="none"/>
              </w:rPr>
              <w:t>克里金插值法绘制地下水超标污染羽，划定地下水超标范围，确保土壤和地下水污染指标全部兜边界及兜底，计算土壤和地下水超标面积和方量</w:t>
            </w:r>
          </w:p>
        </w:tc>
        <w:tc>
          <w:tcPr>
            <w:tcW w:w="330" w:type="pct"/>
            <w:vMerge w:val="continue"/>
            <w:tcBorders>
              <w:left w:val="single" w:color="auto" w:sz="4" w:space="0"/>
              <w:right w:val="single" w:color="auto" w:sz="4" w:space="0"/>
            </w:tcBorders>
            <w:noWrap w:val="0"/>
            <w:vAlign w:val="center"/>
          </w:tcPr>
          <w:p w14:paraId="45911CCB">
            <w:pPr>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54939680">
            <w:pPr>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617B3537">
            <w:pPr>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1141803E">
            <w:pPr>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57B9925E">
            <w:pPr>
              <w:widowControl/>
              <w:adjustRightInd w:val="0"/>
              <w:snapToGrid w:val="0"/>
              <w:spacing w:line="240" w:lineRule="auto"/>
              <w:rPr>
                <w:rFonts w:cs="Times New Roman"/>
                <w:color w:val="000000"/>
                <w:sz w:val="21"/>
                <w:szCs w:val="21"/>
                <w:highlight w:val="none"/>
              </w:rPr>
            </w:pPr>
          </w:p>
        </w:tc>
      </w:tr>
      <w:tr w14:paraId="04166D1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0A3359DB">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4" w:space="0"/>
              <w:right w:val="single" w:color="auto" w:sz="2" w:space="0"/>
            </w:tcBorders>
            <w:noWrap w:val="0"/>
            <w:vAlign w:val="center"/>
          </w:tcPr>
          <w:p w14:paraId="52D928CE">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4" w:space="0"/>
              <w:left w:val="single" w:color="auto" w:sz="2" w:space="0"/>
              <w:bottom w:val="single" w:color="auto" w:sz="4" w:space="0"/>
              <w:right w:val="single" w:color="auto" w:sz="4" w:space="0"/>
            </w:tcBorders>
            <w:noWrap w:val="0"/>
            <w:vAlign w:val="center"/>
          </w:tcPr>
          <w:p w14:paraId="0A0C9A55">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完成全流程的质控报告编制，开展土壤和地下水超标因子的溯源分析，编制</w:t>
            </w:r>
            <w:r>
              <w:rPr>
                <w:rFonts w:cs="Times New Roman"/>
                <w:bCs/>
                <w:color w:val="000000"/>
                <w:kern w:val="0"/>
                <w:sz w:val="21"/>
                <w:szCs w:val="21"/>
                <w:highlight w:val="none"/>
              </w:rPr>
              <w:t>土壤污染状况调查报告，并根据专家评审意见修改完善报告，完成报告的备案等</w:t>
            </w:r>
          </w:p>
        </w:tc>
        <w:tc>
          <w:tcPr>
            <w:tcW w:w="330" w:type="pct"/>
            <w:vMerge w:val="continue"/>
            <w:tcBorders>
              <w:left w:val="single" w:color="auto" w:sz="4" w:space="0"/>
              <w:bottom w:val="single" w:color="auto" w:sz="4" w:space="0"/>
              <w:right w:val="single" w:color="auto" w:sz="4" w:space="0"/>
            </w:tcBorders>
            <w:noWrap w:val="0"/>
            <w:vAlign w:val="center"/>
          </w:tcPr>
          <w:p w14:paraId="2071B203">
            <w:pPr>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bottom w:val="single" w:color="auto" w:sz="4" w:space="0"/>
              <w:right w:val="single" w:color="auto" w:sz="4" w:space="0"/>
            </w:tcBorders>
            <w:noWrap w:val="0"/>
            <w:vAlign w:val="center"/>
          </w:tcPr>
          <w:p w14:paraId="4F466C94">
            <w:pPr>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bottom w:val="single" w:color="auto" w:sz="4" w:space="0"/>
              <w:right w:val="single" w:color="auto" w:sz="4" w:space="0"/>
            </w:tcBorders>
            <w:noWrap w:val="0"/>
            <w:vAlign w:val="center"/>
          </w:tcPr>
          <w:p w14:paraId="56266F91">
            <w:pPr>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bottom w:val="single" w:color="auto" w:sz="4" w:space="0"/>
              <w:right w:val="single" w:color="auto" w:sz="4" w:space="0"/>
            </w:tcBorders>
            <w:noWrap w:val="0"/>
            <w:vAlign w:val="center"/>
          </w:tcPr>
          <w:p w14:paraId="51F12DE1">
            <w:pPr>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bottom w:val="single" w:color="auto" w:sz="4" w:space="0"/>
              <w:right w:val="single" w:color="auto" w:sz="4" w:space="0"/>
            </w:tcBorders>
            <w:noWrap w:val="0"/>
            <w:vAlign w:val="center"/>
          </w:tcPr>
          <w:p w14:paraId="4EC8317C">
            <w:pPr>
              <w:widowControl/>
              <w:adjustRightInd w:val="0"/>
              <w:snapToGrid w:val="0"/>
              <w:spacing w:line="240" w:lineRule="auto"/>
              <w:rPr>
                <w:rFonts w:cs="Times New Roman"/>
                <w:color w:val="000000"/>
                <w:sz w:val="21"/>
                <w:szCs w:val="21"/>
                <w:highlight w:val="none"/>
              </w:rPr>
            </w:pPr>
          </w:p>
        </w:tc>
      </w:tr>
      <w:tr w14:paraId="3086F11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794" w:hRule="atLeast"/>
          <w:jc w:val="center"/>
        </w:trPr>
        <w:tc>
          <w:tcPr>
            <w:tcW w:w="152" w:type="pct"/>
            <w:tcBorders>
              <w:top w:val="single" w:color="auto" w:sz="4" w:space="0"/>
              <w:left w:val="single" w:color="auto" w:sz="8" w:space="0"/>
              <w:bottom w:val="single" w:color="auto" w:sz="4" w:space="0"/>
              <w:right w:val="single" w:color="auto" w:sz="2" w:space="0"/>
            </w:tcBorders>
            <w:noWrap w:val="0"/>
            <w:vAlign w:val="center"/>
          </w:tcPr>
          <w:p w14:paraId="189F7CC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6</w:t>
            </w:r>
          </w:p>
        </w:tc>
        <w:tc>
          <w:tcPr>
            <w:tcW w:w="353" w:type="pct"/>
            <w:tcBorders>
              <w:top w:val="single" w:color="auto" w:sz="4" w:space="0"/>
              <w:left w:val="single" w:color="auto" w:sz="2" w:space="0"/>
              <w:bottom w:val="single" w:color="auto" w:sz="4" w:space="0"/>
              <w:right w:val="single" w:color="auto" w:sz="2" w:space="0"/>
            </w:tcBorders>
            <w:noWrap w:val="0"/>
            <w:vAlign w:val="center"/>
          </w:tcPr>
          <w:p w14:paraId="7FFA52DF">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土壤污染状况调查报告专家费、会务费、</w:t>
            </w:r>
            <w:r>
              <w:rPr>
                <w:rFonts w:hint="eastAsia" w:eastAsia="宋体" w:cs="Times New Roman"/>
                <w:bCs/>
                <w:color w:val="000000"/>
                <w:kern w:val="0"/>
                <w:sz w:val="21"/>
                <w:szCs w:val="21"/>
                <w:highlight w:val="none"/>
                <w:lang w:val="en-US" w:eastAsia="zh-CN"/>
              </w:rPr>
              <w:t>彩色</w:t>
            </w:r>
            <w:r>
              <w:rPr>
                <w:rFonts w:cs="Times New Roman"/>
                <w:bCs/>
                <w:color w:val="000000"/>
                <w:kern w:val="0"/>
                <w:sz w:val="21"/>
                <w:szCs w:val="21"/>
                <w:highlight w:val="none"/>
              </w:rPr>
              <w:t>打印费等等</w:t>
            </w:r>
          </w:p>
        </w:tc>
        <w:tc>
          <w:tcPr>
            <w:tcW w:w="2189" w:type="pct"/>
            <w:tcBorders>
              <w:top w:val="single" w:color="auto" w:sz="4" w:space="0"/>
              <w:left w:val="single" w:color="auto" w:sz="2" w:space="0"/>
              <w:bottom w:val="single" w:color="auto" w:sz="4" w:space="0"/>
              <w:right w:val="single" w:color="auto" w:sz="4" w:space="0"/>
            </w:tcBorders>
            <w:noWrap w:val="0"/>
            <w:vAlign w:val="center"/>
          </w:tcPr>
          <w:p w14:paraId="7F5889D8">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571D9559">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3F85EF75">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66D4453">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1656AB09">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067B52AC">
            <w:pPr>
              <w:widowControl/>
              <w:adjustRightInd w:val="0"/>
              <w:snapToGrid w:val="0"/>
              <w:spacing w:line="240" w:lineRule="auto"/>
              <w:rPr>
                <w:rFonts w:cs="Times New Roman"/>
                <w:color w:val="000000"/>
                <w:sz w:val="21"/>
                <w:szCs w:val="21"/>
                <w:highlight w:val="none"/>
              </w:rPr>
            </w:pPr>
          </w:p>
        </w:tc>
      </w:tr>
      <w:tr w14:paraId="1651831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65B9E8F9">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7</w:t>
            </w:r>
          </w:p>
        </w:tc>
        <w:tc>
          <w:tcPr>
            <w:tcW w:w="353" w:type="pct"/>
            <w:vMerge w:val="restart"/>
            <w:tcBorders>
              <w:top w:val="single" w:color="auto" w:sz="2" w:space="0"/>
              <w:left w:val="single" w:color="auto" w:sz="2" w:space="0"/>
              <w:right w:val="single" w:color="auto" w:sz="2" w:space="0"/>
            </w:tcBorders>
            <w:noWrap w:val="0"/>
            <w:vAlign w:val="center"/>
          </w:tcPr>
          <w:p w14:paraId="23F38B03">
            <w:pPr>
              <w:adjustRightInd w:val="0"/>
              <w:snapToGrid w:val="0"/>
              <w:spacing w:line="240" w:lineRule="auto"/>
              <w:jc w:val="center"/>
              <w:rPr>
                <w:rFonts w:cs="Times New Roman"/>
                <w:bCs/>
                <w:color w:val="000000"/>
                <w:kern w:val="0"/>
                <w:sz w:val="21"/>
                <w:szCs w:val="21"/>
                <w:highlight w:val="none"/>
              </w:rPr>
            </w:pPr>
            <w:r>
              <w:rPr>
                <w:rFonts w:cs="Times New Roman"/>
                <w:color w:val="000000"/>
                <w:sz w:val="21"/>
                <w:szCs w:val="21"/>
                <w:highlight w:val="none"/>
              </w:rPr>
              <w:t>污染物入江风险评估</w:t>
            </w:r>
          </w:p>
        </w:tc>
        <w:tc>
          <w:tcPr>
            <w:tcW w:w="2189" w:type="pct"/>
            <w:tcBorders>
              <w:top w:val="single" w:color="auto" w:sz="2" w:space="0"/>
              <w:left w:val="single" w:color="auto" w:sz="2" w:space="0"/>
              <w:bottom w:val="single" w:color="auto" w:sz="2" w:space="0"/>
              <w:right w:val="single" w:color="auto" w:sz="2" w:space="0"/>
            </w:tcBorders>
            <w:noWrap w:val="0"/>
            <w:vAlign w:val="center"/>
          </w:tcPr>
          <w:p w14:paraId="41347D8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入江风险识别与途径分析，</w:t>
            </w:r>
            <w:r>
              <w:rPr>
                <w:rFonts w:hint="eastAsia" w:cs="Times New Roman"/>
                <w:bCs/>
                <w:color w:val="000000"/>
                <w:kern w:val="0"/>
                <w:sz w:val="21"/>
                <w:szCs w:val="21"/>
                <w:highlight w:val="none"/>
              </w:rPr>
              <w:t>结合地块利用类型，识别入江风险因素，分析污染物入江的主要途径及可行性，包括地块污染本身风险、水文水力联系风险、污染物入江途径风险、敏感目标影响风险、暴雨与汛期风险、开发建设新增风险等</w:t>
            </w:r>
          </w:p>
        </w:tc>
        <w:tc>
          <w:tcPr>
            <w:tcW w:w="330" w:type="pct"/>
            <w:vMerge w:val="restart"/>
            <w:tcBorders>
              <w:top w:val="single" w:color="auto" w:sz="4" w:space="0"/>
              <w:left w:val="single" w:color="auto" w:sz="4" w:space="0"/>
              <w:right w:val="single" w:color="auto" w:sz="4" w:space="0"/>
            </w:tcBorders>
            <w:noWrap w:val="0"/>
            <w:vAlign w:val="center"/>
          </w:tcPr>
          <w:p w14:paraId="612E4A0D">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vMerge w:val="restart"/>
            <w:tcBorders>
              <w:top w:val="single" w:color="auto" w:sz="4" w:space="0"/>
              <w:left w:val="single" w:color="auto" w:sz="4" w:space="0"/>
              <w:right w:val="single" w:color="auto" w:sz="4" w:space="0"/>
            </w:tcBorders>
            <w:noWrap w:val="0"/>
            <w:vAlign w:val="center"/>
          </w:tcPr>
          <w:p w14:paraId="101D8E81">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vMerge w:val="restart"/>
            <w:tcBorders>
              <w:top w:val="single" w:color="auto" w:sz="4" w:space="0"/>
              <w:left w:val="single" w:color="auto" w:sz="4" w:space="0"/>
              <w:right w:val="single" w:color="auto" w:sz="4" w:space="0"/>
            </w:tcBorders>
            <w:noWrap w:val="0"/>
            <w:vAlign w:val="center"/>
          </w:tcPr>
          <w:p w14:paraId="5EC67345">
            <w:pPr>
              <w:widowControl/>
              <w:adjustRightInd w:val="0"/>
              <w:snapToGrid w:val="0"/>
              <w:spacing w:line="240" w:lineRule="auto"/>
              <w:jc w:val="center"/>
              <w:rPr>
                <w:rFonts w:cs="Times New Roman"/>
                <w:color w:val="000000"/>
                <w:sz w:val="21"/>
                <w:szCs w:val="21"/>
                <w:highlight w:val="none"/>
              </w:rPr>
            </w:pPr>
          </w:p>
        </w:tc>
        <w:tc>
          <w:tcPr>
            <w:tcW w:w="588" w:type="pct"/>
            <w:vMerge w:val="restart"/>
            <w:tcBorders>
              <w:top w:val="single" w:color="auto" w:sz="4" w:space="0"/>
              <w:left w:val="single" w:color="auto" w:sz="4" w:space="0"/>
              <w:right w:val="single" w:color="auto" w:sz="4" w:space="0"/>
            </w:tcBorders>
            <w:noWrap w:val="0"/>
            <w:vAlign w:val="center"/>
          </w:tcPr>
          <w:p w14:paraId="5D4F5011">
            <w:pPr>
              <w:widowControl/>
              <w:adjustRightInd w:val="0"/>
              <w:snapToGrid w:val="0"/>
              <w:spacing w:line="240" w:lineRule="auto"/>
              <w:jc w:val="center"/>
              <w:rPr>
                <w:rFonts w:cs="Times New Roman"/>
                <w:color w:val="000000"/>
                <w:sz w:val="21"/>
                <w:szCs w:val="21"/>
                <w:highlight w:val="none"/>
              </w:rPr>
            </w:pPr>
          </w:p>
        </w:tc>
        <w:tc>
          <w:tcPr>
            <w:tcW w:w="497" w:type="pct"/>
            <w:vMerge w:val="restart"/>
            <w:tcBorders>
              <w:top w:val="single" w:color="auto" w:sz="4" w:space="0"/>
              <w:left w:val="single" w:color="auto" w:sz="4" w:space="0"/>
              <w:right w:val="single" w:color="auto" w:sz="4" w:space="0"/>
            </w:tcBorders>
            <w:noWrap w:val="0"/>
            <w:vAlign w:val="center"/>
          </w:tcPr>
          <w:p w14:paraId="6FBA7C6D">
            <w:pPr>
              <w:widowControl/>
              <w:adjustRightInd w:val="0"/>
              <w:snapToGrid w:val="0"/>
              <w:spacing w:line="240" w:lineRule="auto"/>
              <w:rPr>
                <w:rFonts w:cs="Times New Roman"/>
                <w:color w:val="000000"/>
                <w:sz w:val="21"/>
                <w:szCs w:val="21"/>
                <w:highlight w:val="none"/>
              </w:rPr>
            </w:pPr>
          </w:p>
        </w:tc>
      </w:tr>
      <w:tr w14:paraId="5DE38EC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792590E3">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42A90A49">
            <w:pPr>
              <w:adjustRightInd w:val="0"/>
              <w:snapToGrid w:val="0"/>
              <w:spacing w:line="240" w:lineRule="auto"/>
              <w:jc w:val="center"/>
              <w:rPr>
                <w:rFonts w:cs="Times New Roman"/>
                <w:color w:val="00000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2F8374A8">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hint="eastAsia" w:cs="Times New Roman"/>
                <w:color w:val="000000"/>
                <w:sz w:val="21"/>
                <w:szCs w:val="21"/>
                <w:highlight w:val="none"/>
              </w:rPr>
              <w:t>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p>
        </w:tc>
        <w:tc>
          <w:tcPr>
            <w:tcW w:w="330" w:type="pct"/>
            <w:vMerge w:val="continue"/>
            <w:tcBorders>
              <w:left w:val="single" w:color="auto" w:sz="4" w:space="0"/>
              <w:right w:val="single" w:color="auto" w:sz="4" w:space="0"/>
            </w:tcBorders>
            <w:noWrap w:val="0"/>
            <w:vAlign w:val="center"/>
          </w:tcPr>
          <w:p w14:paraId="242A0645">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653F2250">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4AA10C2A">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7BC0B897">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6FDA7B64">
            <w:pPr>
              <w:widowControl/>
              <w:adjustRightInd w:val="0"/>
              <w:snapToGrid w:val="0"/>
              <w:spacing w:line="240" w:lineRule="auto"/>
              <w:rPr>
                <w:rFonts w:cs="Times New Roman"/>
                <w:color w:val="000000"/>
                <w:sz w:val="21"/>
                <w:szCs w:val="21"/>
                <w:highlight w:val="none"/>
              </w:rPr>
            </w:pPr>
          </w:p>
        </w:tc>
      </w:tr>
      <w:tr w14:paraId="2B0BD84D">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7AD2712E">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64C31852">
            <w:pPr>
              <w:adjustRightInd w:val="0"/>
              <w:snapToGrid w:val="0"/>
              <w:spacing w:line="240" w:lineRule="auto"/>
              <w:jc w:val="center"/>
              <w:rPr>
                <w:rFonts w:cs="Times New Roman"/>
                <w:color w:val="00000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0148C277">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入江风险防控措施，</w:t>
            </w:r>
            <w:r>
              <w:rPr>
                <w:rFonts w:hint="eastAsia" w:cs="Times New Roman"/>
                <w:bCs/>
                <w:color w:val="000000"/>
                <w:kern w:val="0"/>
                <w:sz w:val="21"/>
                <w:szCs w:val="21"/>
                <w:highlight w:val="none"/>
              </w:rPr>
              <w:t>结合风险等级及地块利用类型，制定针对性、可操作的源头管控、过程拦截、应急处置及长效监测措施</w:t>
            </w:r>
          </w:p>
        </w:tc>
        <w:tc>
          <w:tcPr>
            <w:tcW w:w="330" w:type="pct"/>
            <w:vMerge w:val="continue"/>
            <w:tcBorders>
              <w:left w:val="single" w:color="auto" w:sz="4" w:space="0"/>
              <w:right w:val="single" w:color="auto" w:sz="4" w:space="0"/>
            </w:tcBorders>
            <w:noWrap w:val="0"/>
            <w:vAlign w:val="center"/>
          </w:tcPr>
          <w:p w14:paraId="2F7C1298">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1ECDAA08">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178F2EE0">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08620BE7">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4A95439E">
            <w:pPr>
              <w:widowControl/>
              <w:adjustRightInd w:val="0"/>
              <w:snapToGrid w:val="0"/>
              <w:spacing w:line="240" w:lineRule="auto"/>
              <w:rPr>
                <w:rFonts w:cs="Times New Roman"/>
                <w:color w:val="000000"/>
                <w:sz w:val="21"/>
                <w:szCs w:val="21"/>
                <w:highlight w:val="none"/>
              </w:rPr>
            </w:pPr>
          </w:p>
        </w:tc>
      </w:tr>
      <w:tr w14:paraId="33A511D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409A2A59">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2" w:space="0"/>
              <w:right w:val="single" w:color="auto" w:sz="2" w:space="0"/>
            </w:tcBorders>
            <w:noWrap w:val="0"/>
            <w:vAlign w:val="center"/>
          </w:tcPr>
          <w:p w14:paraId="3E3A659C">
            <w:pPr>
              <w:adjustRightInd w:val="0"/>
              <w:snapToGrid w:val="0"/>
              <w:spacing w:line="240" w:lineRule="auto"/>
              <w:jc w:val="center"/>
              <w:rPr>
                <w:rFonts w:cs="Times New Roman"/>
                <w:color w:val="00000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4E35F99C">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开展</w:t>
            </w:r>
            <w:r>
              <w:rPr>
                <w:rFonts w:cs="Times New Roman"/>
                <w:bCs/>
                <w:color w:val="000000"/>
                <w:kern w:val="0"/>
                <w:sz w:val="21"/>
                <w:szCs w:val="21"/>
                <w:highlight w:val="none"/>
              </w:rPr>
              <w:t>风险分析报告编制，</w:t>
            </w:r>
            <w:r>
              <w:rPr>
                <w:rFonts w:hint="eastAsia" w:cs="Times New Roman"/>
                <w:bCs/>
                <w:color w:val="000000"/>
                <w:kern w:val="0"/>
                <w:sz w:val="21"/>
                <w:szCs w:val="21"/>
                <w:highlight w:val="none"/>
              </w:rPr>
              <w:t>编制入江风险分析报告，作为地块开发利用及监管的依据</w:t>
            </w:r>
          </w:p>
        </w:tc>
        <w:tc>
          <w:tcPr>
            <w:tcW w:w="330" w:type="pct"/>
            <w:vMerge w:val="continue"/>
            <w:tcBorders>
              <w:left w:val="single" w:color="auto" w:sz="4" w:space="0"/>
              <w:bottom w:val="single" w:color="auto" w:sz="4" w:space="0"/>
              <w:right w:val="single" w:color="auto" w:sz="4" w:space="0"/>
            </w:tcBorders>
            <w:noWrap w:val="0"/>
            <w:vAlign w:val="center"/>
          </w:tcPr>
          <w:p w14:paraId="56900B43">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bottom w:val="single" w:color="auto" w:sz="4" w:space="0"/>
              <w:right w:val="single" w:color="auto" w:sz="4" w:space="0"/>
            </w:tcBorders>
            <w:noWrap w:val="0"/>
            <w:vAlign w:val="center"/>
          </w:tcPr>
          <w:p w14:paraId="66637D8A">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bottom w:val="single" w:color="auto" w:sz="4" w:space="0"/>
              <w:right w:val="single" w:color="auto" w:sz="4" w:space="0"/>
            </w:tcBorders>
            <w:noWrap w:val="0"/>
            <w:vAlign w:val="center"/>
          </w:tcPr>
          <w:p w14:paraId="4EA6F204">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bottom w:val="single" w:color="auto" w:sz="4" w:space="0"/>
              <w:right w:val="single" w:color="auto" w:sz="4" w:space="0"/>
            </w:tcBorders>
            <w:noWrap w:val="0"/>
            <w:vAlign w:val="center"/>
          </w:tcPr>
          <w:p w14:paraId="1D878113">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4B94DB6B">
            <w:pPr>
              <w:widowControl/>
              <w:adjustRightInd w:val="0"/>
              <w:snapToGrid w:val="0"/>
              <w:spacing w:line="240" w:lineRule="auto"/>
              <w:rPr>
                <w:rFonts w:cs="Times New Roman"/>
                <w:color w:val="000000"/>
                <w:sz w:val="21"/>
                <w:szCs w:val="21"/>
                <w:highlight w:val="none"/>
              </w:rPr>
            </w:pPr>
          </w:p>
        </w:tc>
      </w:tr>
      <w:tr w14:paraId="5272F80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2" w:space="0"/>
            </w:tcBorders>
            <w:noWrap w:val="0"/>
            <w:vAlign w:val="center"/>
          </w:tcPr>
          <w:p w14:paraId="4ECBA1EE">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8</w:t>
            </w:r>
          </w:p>
        </w:tc>
        <w:tc>
          <w:tcPr>
            <w:tcW w:w="353" w:type="pct"/>
            <w:vMerge w:val="restart"/>
            <w:tcBorders>
              <w:top w:val="single" w:color="auto" w:sz="2" w:space="0"/>
              <w:left w:val="single" w:color="auto" w:sz="2" w:space="0"/>
              <w:right w:val="single" w:color="auto" w:sz="2" w:space="0"/>
            </w:tcBorders>
            <w:noWrap w:val="0"/>
            <w:vAlign w:val="center"/>
          </w:tcPr>
          <w:p w14:paraId="2E744A0A">
            <w:pPr>
              <w:adjustRightInd w:val="0"/>
              <w:snapToGrid w:val="0"/>
              <w:spacing w:line="240" w:lineRule="auto"/>
              <w:jc w:val="center"/>
              <w:rPr>
                <w:rFonts w:cs="Times New Roman"/>
                <w:bCs/>
                <w:color w:val="000000"/>
                <w:kern w:val="0"/>
                <w:sz w:val="21"/>
                <w:szCs w:val="21"/>
                <w:highlight w:val="none"/>
              </w:rPr>
            </w:pPr>
            <w:r>
              <w:rPr>
                <w:rFonts w:cs="Times New Roman"/>
                <w:bCs/>
                <w:color w:val="000000"/>
                <w:kern w:val="0"/>
                <w:sz w:val="21"/>
                <w:szCs w:val="21"/>
                <w:highlight w:val="none"/>
              </w:rPr>
              <w:t>风险评估报告编制</w:t>
            </w:r>
          </w:p>
        </w:tc>
        <w:tc>
          <w:tcPr>
            <w:tcW w:w="2189" w:type="pct"/>
            <w:tcBorders>
              <w:top w:val="single" w:color="auto" w:sz="2" w:space="0"/>
              <w:left w:val="single" w:color="auto" w:sz="2" w:space="0"/>
              <w:bottom w:val="single" w:color="auto" w:sz="2" w:space="0"/>
              <w:right w:val="single" w:color="auto" w:sz="2" w:space="0"/>
            </w:tcBorders>
            <w:noWrap w:val="0"/>
            <w:vAlign w:val="center"/>
          </w:tcPr>
          <w:p w14:paraId="074D81D9">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开展危害识别，收集土壤污染状况调查阶段获得的相关资料和数据，掌握地块土壤和地下水中关注污染物的浓度分布，明确规划土地利用方式，分析可能的敏感受体，如儿童、成人、地下水体等。</w:t>
            </w:r>
          </w:p>
        </w:tc>
        <w:tc>
          <w:tcPr>
            <w:tcW w:w="330" w:type="pct"/>
            <w:vMerge w:val="restart"/>
            <w:tcBorders>
              <w:top w:val="single" w:color="auto" w:sz="4" w:space="0"/>
              <w:left w:val="single" w:color="auto" w:sz="4" w:space="0"/>
              <w:right w:val="single" w:color="auto" w:sz="4" w:space="0"/>
            </w:tcBorders>
            <w:noWrap w:val="0"/>
            <w:vAlign w:val="center"/>
          </w:tcPr>
          <w:p w14:paraId="53184523">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vMerge w:val="restart"/>
            <w:tcBorders>
              <w:top w:val="single" w:color="auto" w:sz="4" w:space="0"/>
              <w:left w:val="single" w:color="auto" w:sz="4" w:space="0"/>
              <w:right w:val="single" w:color="auto" w:sz="4" w:space="0"/>
            </w:tcBorders>
            <w:noWrap w:val="0"/>
            <w:vAlign w:val="center"/>
          </w:tcPr>
          <w:p w14:paraId="389D9EF2">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vMerge w:val="restart"/>
            <w:tcBorders>
              <w:top w:val="single" w:color="auto" w:sz="4" w:space="0"/>
              <w:left w:val="single" w:color="auto" w:sz="4" w:space="0"/>
              <w:right w:val="single" w:color="auto" w:sz="4" w:space="0"/>
            </w:tcBorders>
            <w:noWrap w:val="0"/>
            <w:vAlign w:val="center"/>
          </w:tcPr>
          <w:p w14:paraId="05CC4188">
            <w:pPr>
              <w:widowControl/>
              <w:adjustRightInd w:val="0"/>
              <w:snapToGrid w:val="0"/>
              <w:spacing w:line="240" w:lineRule="auto"/>
              <w:jc w:val="center"/>
              <w:rPr>
                <w:rFonts w:cs="Times New Roman"/>
                <w:color w:val="000000"/>
                <w:sz w:val="21"/>
                <w:szCs w:val="21"/>
                <w:highlight w:val="none"/>
              </w:rPr>
            </w:pPr>
          </w:p>
        </w:tc>
        <w:tc>
          <w:tcPr>
            <w:tcW w:w="588" w:type="pct"/>
            <w:vMerge w:val="restart"/>
            <w:tcBorders>
              <w:top w:val="single" w:color="auto" w:sz="4" w:space="0"/>
              <w:left w:val="single" w:color="auto" w:sz="4" w:space="0"/>
              <w:right w:val="single" w:color="auto" w:sz="4" w:space="0"/>
            </w:tcBorders>
            <w:noWrap w:val="0"/>
            <w:vAlign w:val="center"/>
          </w:tcPr>
          <w:p w14:paraId="2842EFEC">
            <w:pPr>
              <w:widowControl/>
              <w:adjustRightInd w:val="0"/>
              <w:snapToGrid w:val="0"/>
              <w:spacing w:line="240" w:lineRule="auto"/>
              <w:jc w:val="center"/>
              <w:rPr>
                <w:rFonts w:cs="Times New Roman"/>
                <w:color w:val="000000"/>
                <w:sz w:val="21"/>
                <w:szCs w:val="21"/>
                <w:highlight w:val="none"/>
              </w:rPr>
            </w:pPr>
          </w:p>
        </w:tc>
        <w:tc>
          <w:tcPr>
            <w:tcW w:w="497" w:type="pct"/>
            <w:vMerge w:val="restart"/>
            <w:tcBorders>
              <w:left w:val="single" w:color="auto" w:sz="4" w:space="0"/>
              <w:right w:val="single" w:color="auto" w:sz="4" w:space="0"/>
            </w:tcBorders>
            <w:noWrap w:val="0"/>
            <w:vAlign w:val="center"/>
          </w:tcPr>
          <w:p w14:paraId="5DDE48CB">
            <w:pPr>
              <w:widowControl/>
              <w:adjustRightInd w:val="0"/>
              <w:snapToGrid w:val="0"/>
              <w:spacing w:line="240" w:lineRule="auto"/>
              <w:rPr>
                <w:rFonts w:cs="Times New Roman"/>
                <w:color w:val="000000"/>
                <w:sz w:val="21"/>
                <w:szCs w:val="21"/>
                <w:highlight w:val="none"/>
              </w:rPr>
            </w:pPr>
          </w:p>
        </w:tc>
      </w:tr>
      <w:tr w14:paraId="55071C2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218CDBC2">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5527442C">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27D78A52">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暴露评估，在危害识别的基础上，分析地块内关注污染物迁移和危害敏感受体的可能性，确定地块地下水污染物的主要暴露途径和暴露评估模型，确定评估模型参数取值，计算敏感人群对地下水中污染物的暴露量。</w:t>
            </w:r>
          </w:p>
        </w:tc>
        <w:tc>
          <w:tcPr>
            <w:tcW w:w="330" w:type="pct"/>
            <w:vMerge w:val="continue"/>
            <w:tcBorders>
              <w:left w:val="single" w:color="auto" w:sz="4" w:space="0"/>
              <w:right w:val="single" w:color="auto" w:sz="4" w:space="0"/>
            </w:tcBorders>
            <w:noWrap w:val="0"/>
            <w:vAlign w:val="center"/>
          </w:tcPr>
          <w:p w14:paraId="18C8827C">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060C7AD3">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36A9772D">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1440DE70">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3ED13290">
            <w:pPr>
              <w:widowControl/>
              <w:adjustRightInd w:val="0"/>
              <w:snapToGrid w:val="0"/>
              <w:spacing w:line="240" w:lineRule="auto"/>
              <w:rPr>
                <w:rFonts w:cs="Times New Roman"/>
                <w:color w:val="000000"/>
                <w:sz w:val="21"/>
                <w:szCs w:val="21"/>
                <w:highlight w:val="none"/>
              </w:rPr>
            </w:pPr>
          </w:p>
        </w:tc>
      </w:tr>
      <w:tr w14:paraId="1D9E2A3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55C0174D">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4670DD02">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407138E6">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开展毒性评估，在危害识别的基础上，分析关注污染物对人体健康的危害效应，包括致癌效应和非致癌效应，确定与关注污染物相关的参数，包括参考剂量、参考浓度、致癌斜率因子和呼吸吸入单位致癌因子等。</w:t>
            </w:r>
          </w:p>
        </w:tc>
        <w:tc>
          <w:tcPr>
            <w:tcW w:w="330" w:type="pct"/>
            <w:vMerge w:val="continue"/>
            <w:tcBorders>
              <w:left w:val="single" w:color="auto" w:sz="4" w:space="0"/>
              <w:right w:val="single" w:color="auto" w:sz="4" w:space="0"/>
            </w:tcBorders>
            <w:noWrap w:val="0"/>
            <w:vAlign w:val="center"/>
          </w:tcPr>
          <w:p w14:paraId="536E8192">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02B0A4BD">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6E1FE092">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4645EC64">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3074E7A7">
            <w:pPr>
              <w:widowControl/>
              <w:adjustRightInd w:val="0"/>
              <w:snapToGrid w:val="0"/>
              <w:spacing w:line="240" w:lineRule="auto"/>
              <w:rPr>
                <w:rFonts w:cs="Times New Roman"/>
                <w:color w:val="000000"/>
                <w:sz w:val="21"/>
                <w:szCs w:val="21"/>
                <w:highlight w:val="none"/>
              </w:rPr>
            </w:pPr>
          </w:p>
        </w:tc>
      </w:tr>
      <w:tr w14:paraId="0DD5705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right w:val="single" w:color="auto" w:sz="2" w:space="0"/>
            </w:tcBorders>
            <w:noWrap w:val="0"/>
            <w:vAlign w:val="center"/>
          </w:tcPr>
          <w:p w14:paraId="06DC4944">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right w:val="single" w:color="auto" w:sz="2" w:space="0"/>
            </w:tcBorders>
            <w:noWrap w:val="0"/>
            <w:vAlign w:val="center"/>
          </w:tcPr>
          <w:p w14:paraId="045F6A4D">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18D2DADE">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开展风险表征，在暴露评估和毒性评估的基础上，采用风险评估模型计算土壤和地下水中单一污染物经单一途径的致癌风险和危害商，计算单一污染物的总致癌风险和危害商，进行不确定性分析。</w:t>
            </w:r>
          </w:p>
        </w:tc>
        <w:tc>
          <w:tcPr>
            <w:tcW w:w="330" w:type="pct"/>
            <w:vMerge w:val="continue"/>
            <w:tcBorders>
              <w:left w:val="single" w:color="auto" w:sz="4" w:space="0"/>
              <w:right w:val="single" w:color="auto" w:sz="4" w:space="0"/>
            </w:tcBorders>
            <w:noWrap w:val="0"/>
            <w:vAlign w:val="center"/>
          </w:tcPr>
          <w:p w14:paraId="2B043CE7">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right w:val="single" w:color="auto" w:sz="4" w:space="0"/>
            </w:tcBorders>
            <w:noWrap w:val="0"/>
            <w:vAlign w:val="center"/>
          </w:tcPr>
          <w:p w14:paraId="6D2452D3">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right w:val="single" w:color="auto" w:sz="4" w:space="0"/>
            </w:tcBorders>
            <w:noWrap w:val="0"/>
            <w:vAlign w:val="center"/>
          </w:tcPr>
          <w:p w14:paraId="3F5D8049">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right w:val="single" w:color="auto" w:sz="4" w:space="0"/>
            </w:tcBorders>
            <w:noWrap w:val="0"/>
            <w:vAlign w:val="center"/>
          </w:tcPr>
          <w:p w14:paraId="3F35C281">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right w:val="single" w:color="auto" w:sz="4" w:space="0"/>
            </w:tcBorders>
            <w:noWrap w:val="0"/>
            <w:vAlign w:val="center"/>
          </w:tcPr>
          <w:p w14:paraId="69799B2A">
            <w:pPr>
              <w:widowControl/>
              <w:adjustRightInd w:val="0"/>
              <w:snapToGrid w:val="0"/>
              <w:spacing w:line="240" w:lineRule="auto"/>
              <w:rPr>
                <w:rFonts w:cs="Times New Roman"/>
                <w:color w:val="000000"/>
                <w:sz w:val="21"/>
                <w:szCs w:val="21"/>
                <w:highlight w:val="none"/>
              </w:rPr>
            </w:pPr>
          </w:p>
        </w:tc>
      </w:tr>
      <w:tr w14:paraId="58E26B4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2" w:space="0"/>
            </w:tcBorders>
            <w:noWrap w:val="0"/>
            <w:vAlign w:val="center"/>
          </w:tcPr>
          <w:p w14:paraId="7277B05C">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2" w:space="0"/>
              <w:bottom w:val="single" w:color="auto" w:sz="2" w:space="0"/>
              <w:right w:val="single" w:color="auto" w:sz="2" w:space="0"/>
            </w:tcBorders>
            <w:noWrap w:val="0"/>
            <w:vAlign w:val="center"/>
          </w:tcPr>
          <w:p w14:paraId="20C5DD6B">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2" w:space="0"/>
              <w:bottom w:val="single" w:color="auto" w:sz="2" w:space="0"/>
              <w:right w:val="single" w:color="auto" w:sz="2" w:space="0"/>
            </w:tcBorders>
            <w:noWrap w:val="0"/>
            <w:vAlign w:val="center"/>
          </w:tcPr>
          <w:p w14:paraId="60B2C4A5">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p>
        </w:tc>
        <w:tc>
          <w:tcPr>
            <w:tcW w:w="330" w:type="pct"/>
            <w:vMerge w:val="continue"/>
            <w:tcBorders>
              <w:left w:val="single" w:color="auto" w:sz="4" w:space="0"/>
              <w:bottom w:val="single" w:color="auto" w:sz="4" w:space="0"/>
              <w:right w:val="single" w:color="auto" w:sz="4" w:space="0"/>
            </w:tcBorders>
            <w:noWrap w:val="0"/>
            <w:vAlign w:val="center"/>
          </w:tcPr>
          <w:p w14:paraId="22351E3C">
            <w:pPr>
              <w:widowControl/>
              <w:adjustRightInd w:val="0"/>
              <w:snapToGrid w:val="0"/>
              <w:spacing w:line="240" w:lineRule="auto"/>
              <w:jc w:val="center"/>
              <w:rPr>
                <w:rFonts w:cs="Times New Roman"/>
                <w:color w:val="000000"/>
                <w:sz w:val="21"/>
                <w:szCs w:val="21"/>
                <w:highlight w:val="none"/>
              </w:rPr>
            </w:pPr>
          </w:p>
        </w:tc>
        <w:tc>
          <w:tcPr>
            <w:tcW w:w="333" w:type="pct"/>
            <w:vMerge w:val="continue"/>
            <w:tcBorders>
              <w:left w:val="single" w:color="auto" w:sz="4" w:space="0"/>
              <w:bottom w:val="single" w:color="auto" w:sz="4" w:space="0"/>
              <w:right w:val="single" w:color="auto" w:sz="4" w:space="0"/>
            </w:tcBorders>
            <w:noWrap w:val="0"/>
            <w:vAlign w:val="center"/>
          </w:tcPr>
          <w:p w14:paraId="2E605FCA">
            <w:pPr>
              <w:widowControl/>
              <w:adjustRightInd w:val="0"/>
              <w:snapToGrid w:val="0"/>
              <w:spacing w:line="240" w:lineRule="auto"/>
              <w:jc w:val="center"/>
              <w:rPr>
                <w:rFonts w:cs="Times New Roman"/>
                <w:color w:val="000000"/>
                <w:sz w:val="21"/>
                <w:szCs w:val="21"/>
                <w:highlight w:val="none"/>
              </w:rPr>
            </w:pPr>
          </w:p>
        </w:tc>
        <w:tc>
          <w:tcPr>
            <w:tcW w:w="555" w:type="pct"/>
            <w:vMerge w:val="continue"/>
            <w:tcBorders>
              <w:left w:val="single" w:color="auto" w:sz="4" w:space="0"/>
              <w:bottom w:val="single" w:color="auto" w:sz="4" w:space="0"/>
              <w:right w:val="single" w:color="auto" w:sz="4" w:space="0"/>
            </w:tcBorders>
            <w:noWrap w:val="0"/>
            <w:vAlign w:val="center"/>
          </w:tcPr>
          <w:p w14:paraId="29E7BFD1">
            <w:pPr>
              <w:widowControl/>
              <w:adjustRightInd w:val="0"/>
              <w:snapToGrid w:val="0"/>
              <w:spacing w:line="240" w:lineRule="auto"/>
              <w:jc w:val="center"/>
              <w:rPr>
                <w:rFonts w:cs="Times New Roman"/>
                <w:color w:val="000000"/>
                <w:sz w:val="21"/>
                <w:szCs w:val="21"/>
                <w:highlight w:val="none"/>
              </w:rPr>
            </w:pPr>
          </w:p>
        </w:tc>
        <w:tc>
          <w:tcPr>
            <w:tcW w:w="588" w:type="pct"/>
            <w:vMerge w:val="continue"/>
            <w:tcBorders>
              <w:left w:val="single" w:color="auto" w:sz="4" w:space="0"/>
              <w:bottom w:val="single" w:color="auto" w:sz="4" w:space="0"/>
              <w:right w:val="single" w:color="auto" w:sz="4" w:space="0"/>
            </w:tcBorders>
            <w:noWrap w:val="0"/>
            <w:vAlign w:val="center"/>
          </w:tcPr>
          <w:p w14:paraId="39F73A91">
            <w:pPr>
              <w:widowControl/>
              <w:adjustRightInd w:val="0"/>
              <w:snapToGrid w:val="0"/>
              <w:spacing w:line="240" w:lineRule="auto"/>
              <w:jc w:val="center"/>
              <w:rPr>
                <w:rFonts w:cs="Times New Roman"/>
                <w:color w:val="000000"/>
                <w:sz w:val="21"/>
                <w:szCs w:val="21"/>
                <w:highlight w:val="none"/>
              </w:rPr>
            </w:pPr>
          </w:p>
        </w:tc>
        <w:tc>
          <w:tcPr>
            <w:tcW w:w="497" w:type="pct"/>
            <w:vMerge w:val="continue"/>
            <w:tcBorders>
              <w:left w:val="single" w:color="auto" w:sz="4" w:space="0"/>
              <w:bottom w:val="single" w:color="auto" w:sz="4" w:space="0"/>
              <w:right w:val="single" w:color="auto" w:sz="4" w:space="0"/>
            </w:tcBorders>
            <w:noWrap w:val="0"/>
            <w:vAlign w:val="center"/>
          </w:tcPr>
          <w:p w14:paraId="229D0F40">
            <w:pPr>
              <w:widowControl/>
              <w:adjustRightInd w:val="0"/>
              <w:snapToGrid w:val="0"/>
              <w:spacing w:line="240" w:lineRule="auto"/>
              <w:rPr>
                <w:rFonts w:cs="Times New Roman"/>
                <w:color w:val="000000"/>
                <w:sz w:val="21"/>
                <w:szCs w:val="21"/>
                <w:highlight w:val="none"/>
              </w:rPr>
            </w:pPr>
          </w:p>
        </w:tc>
      </w:tr>
      <w:tr w14:paraId="5B69120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restart"/>
            <w:tcBorders>
              <w:top w:val="single" w:color="auto" w:sz="4" w:space="0"/>
              <w:left w:val="single" w:color="auto" w:sz="8" w:space="0"/>
              <w:right w:val="single" w:color="auto" w:sz="4" w:space="0"/>
            </w:tcBorders>
            <w:noWrap w:val="0"/>
            <w:vAlign w:val="center"/>
          </w:tcPr>
          <w:p w14:paraId="512ED430">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9</w:t>
            </w:r>
          </w:p>
        </w:tc>
        <w:tc>
          <w:tcPr>
            <w:tcW w:w="353" w:type="pct"/>
            <w:vMerge w:val="restart"/>
            <w:tcBorders>
              <w:top w:val="single" w:color="auto" w:sz="4" w:space="0"/>
              <w:left w:val="single" w:color="auto" w:sz="4" w:space="0"/>
              <w:right w:val="single" w:color="auto" w:sz="4" w:space="0"/>
            </w:tcBorders>
            <w:noWrap w:val="0"/>
            <w:vAlign w:val="center"/>
          </w:tcPr>
          <w:p w14:paraId="7E8BF522">
            <w:pPr>
              <w:adjustRightInd w:val="0"/>
              <w:snapToGrid w:val="0"/>
              <w:spacing w:line="240" w:lineRule="auto"/>
              <w:jc w:val="center"/>
              <w:rPr>
                <w:rFonts w:cs="Times New Roman"/>
                <w:color w:val="000000"/>
                <w:sz w:val="21"/>
                <w:szCs w:val="21"/>
                <w:highlight w:val="none"/>
              </w:rPr>
            </w:pPr>
            <w:r>
              <w:rPr>
                <w:rFonts w:cs="Times New Roman"/>
                <w:bCs/>
                <w:color w:val="000000"/>
                <w:kern w:val="0"/>
                <w:sz w:val="21"/>
                <w:szCs w:val="21"/>
                <w:highlight w:val="none"/>
              </w:rPr>
              <w:t>风险评估报告专家费、会务费、</w:t>
            </w:r>
            <w:r>
              <w:rPr>
                <w:rFonts w:hint="eastAsia" w:eastAsia="宋体" w:cs="Times New Roman"/>
                <w:bCs/>
                <w:color w:val="000000"/>
                <w:kern w:val="0"/>
                <w:sz w:val="21"/>
                <w:szCs w:val="21"/>
                <w:highlight w:val="none"/>
                <w:lang w:val="en-US" w:eastAsia="zh-CN"/>
              </w:rPr>
              <w:t>彩色</w:t>
            </w:r>
            <w:bookmarkStart w:id="208" w:name="_GoBack"/>
            <w:bookmarkEnd w:id="208"/>
            <w:r>
              <w:rPr>
                <w:rFonts w:cs="Times New Roman"/>
                <w:bCs/>
                <w:color w:val="000000"/>
                <w:kern w:val="0"/>
                <w:sz w:val="21"/>
                <w:szCs w:val="21"/>
                <w:highlight w:val="none"/>
              </w:rPr>
              <w:t>打印费等</w:t>
            </w:r>
          </w:p>
        </w:tc>
        <w:tc>
          <w:tcPr>
            <w:tcW w:w="2189" w:type="pct"/>
            <w:tcBorders>
              <w:top w:val="single" w:color="auto" w:sz="2" w:space="0"/>
              <w:left w:val="single" w:color="auto" w:sz="4" w:space="0"/>
              <w:bottom w:val="single" w:color="auto" w:sz="4" w:space="0"/>
              <w:right w:val="single" w:color="auto" w:sz="4" w:space="0"/>
            </w:tcBorders>
            <w:noWrap w:val="0"/>
            <w:vAlign w:val="center"/>
          </w:tcPr>
          <w:p w14:paraId="70F4B27B">
            <w:pPr>
              <w:adjustRightInd w:val="0"/>
              <w:snapToGrid w:val="0"/>
              <w:spacing w:line="240" w:lineRule="auto"/>
              <w:jc w:val="center"/>
              <w:rPr>
                <w:rFonts w:cs="Times New Roman"/>
                <w:color w:val="000000"/>
                <w:sz w:val="21"/>
                <w:szCs w:val="21"/>
                <w:highlight w:val="none"/>
              </w:rPr>
            </w:pPr>
            <w:r>
              <w:rPr>
                <w:rFonts w:hint="eastAsia" w:cs="Times New Roman"/>
                <w:bCs/>
                <w:color w:val="000000"/>
                <w:kern w:val="0"/>
                <w:sz w:val="21"/>
                <w:szCs w:val="21"/>
                <w:highlight w:val="none"/>
              </w:rPr>
              <w:t>市生态环境局至少邀请5名业内专家及相关部门领导，组织召开专家评审会</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3F994495">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53AD464C">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3FBDE026">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6FC45813">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344B33F5">
            <w:pPr>
              <w:widowControl/>
              <w:adjustRightInd w:val="0"/>
              <w:snapToGrid w:val="0"/>
              <w:spacing w:line="240" w:lineRule="auto"/>
              <w:rPr>
                <w:rFonts w:cs="Times New Roman"/>
                <w:color w:val="000000"/>
                <w:sz w:val="21"/>
                <w:szCs w:val="21"/>
                <w:highlight w:val="none"/>
              </w:rPr>
            </w:pPr>
          </w:p>
        </w:tc>
      </w:tr>
      <w:tr w14:paraId="578F19A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152" w:type="pct"/>
            <w:vMerge w:val="continue"/>
            <w:tcBorders>
              <w:left w:val="single" w:color="auto" w:sz="8" w:space="0"/>
              <w:bottom w:val="single" w:color="auto" w:sz="4" w:space="0"/>
              <w:right w:val="single" w:color="auto" w:sz="4" w:space="0"/>
            </w:tcBorders>
            <w:noWrap w:val="0"/>
            <w:vAlign w:val="center"/>
          </w:tcPr>
          <w:p w14:paraId="6AE6A1FC">
            <w:pPr>
              <w:adjustRightInd w:val="0"/>
              <w:snapToGrid w:val="0"/>
              <w:spacing w:line="240" w:lineRule="auto"/>
              <w:jc w:val="center"/>
              <w:rPr>
                <w:rFonts w:cs="Times New Roman"/>
                <w:color w:val="000000"/>
                <w:sz w:val="21"/>
                <w:szCs w:val="21"/>
                <w:highlight w:val="none"/>
              </w:rPr>
            </w:pPr>
          </w:p>
        </w:tc>
        <w:tc>
          <w:tcPr>
            <w:tcW w:w="353" w:type="pct"/>
            <w:vMerge w:val="continue"/>
            <w:tcBorders>
              <w:left w:val="single" w:color="auto" w:sz="4" w:space="0"/>
              <w:bottom w:val="single" w:color="auto" w:sz="4" w:space="0"/>
              <w:right w:val="single" w:color="auto" w:sz="4" w:space="0"/>
            </w:tcBorders>
            <w:noWrap w:val="0"/>
            <w:vAlign w:val="center"/>
          </w:tcPr>
          <w:p w14:paraId="60963E38">
            <w:pPr>
              <w:adjustRightInd w:val="0"/>
              <w:snapToGrid w:val="0"/>
              <w:spacing w:line="240" w:lineRule="auto"/>
              <w:jc w:val="center"/>
              <w:rPr>
                <w:rFonts w:cs="Times New Roman"/>
                <w:bCs/>
                <w:color w:val="000000"/>
                <w:kern w:val="0"/>
                <w:sz w:val="21"/>
                <w:szCs w:val="21"/>
                <w:highlight w:val="none"/>
              </w:rPr>
            </w:pPr>
          </w:p>
        </w:tc>
        <w:tc>
          <w:tcPr>
            <w:tcW w:w="2189" w:type="pct"/>
            <w:tcBorders>
              <w:top w:val="single" w:color="auto" w:sz="2" w:space="0"/>
              <w:left w:val="single" w:color="auto" w:sz="4" w:space="0"/>
              <w:bottom w:val="single" w:color="auto" w:sz="4" w:space="0"/>
              <w:right w:val="single" w:color="auto" w:sz="4" w:space="0"/>
            </w:tcBorders>
            <w:noWrap w:val="0"/>
            <w:vAlign w:val="center"/>
          </w:tcPr>
          <w:p w14:paraId="20B66D69">
            <w:pPr>
              <w:adjustRightInd w:val="0"/>
              <w:snapToGrid w:val="0"/>
              <w:spacing w:line="240" w:lineRule="auto"/>
              <w:jc w:val="center"/>
              <w:rPr>
                <w:rFonts w:cs="Times New Roman"/>
                <w:bCs/>
                <w:color w:val="000000"/>
                <w:kern w:val="0"/>
                <w:sz w:val="21"/>
                <w:szCs w:val="21"/>
                <w:highlight w:val="none"/>
              </w:rPr>
            </w:pPr>
            <w:r>
              <w:rPr>
                <w:rFonts w:hint="eastAsia" w:cs="Times New Roman"/>
                <w:bCs/>
                <w:color w:val="000000"/>
                <w:kern w:val="0"/>
                <w:sz w:val="21"/>
                <w:szCs w:val="21"/>
                <w:highlight w:val="none"/>
              </w:rPr>
              <w:t>省生态环境厅至少邀请5名业内专家及相关部门领导，组织召开专家评审会</w:t>
            </w:r>
          </w:p>
        </w:tc>
        <w:tc>
          <w:tcPr>
            <w:tcW w:w="330" w:type="pct"/>
            <w:tcBorders>
              <w:top w:val="single" w:color="auto" w:sz="4" w:space="0"/>
              <w:left w:val="single" w:color="auto" w:sz="4" w:space="0"/>
              <w:bottom w:val="single" w:color="auto" w:sz="4" w:space="0"/>
              <w:right w:val="single" w:color="auto" w:sz="4" w:space="0"/>
            </w:tcBorders>
            <w:noWrap w:val="0"/>
            <w:vAlign w:val="center"/>
          </w:tcPr>
          <w:p w14:paraId="13B55ECE">
            <w:pPr>
              <w:widowControl/>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项</w:t>
            </w:r>
          </w:p>
        </w:tc>
        <w:tc>
          <w:tcPr>
            <w:tcW w:w="333" w:type="pct"/>
            <w:tcBorders>
              <w:top w:val="single" w:color="auto" w:sz="4" w:space="0"/>
              <w:left w:val="single" w:color="auto" w:sz="4" w:space="0"/>
              <w:bottom w:val="single" w:color="auto" w:sz="4" w:space="0"/>
              <w:right w:val="single" w:color="auto" w:sz="4" w:space="0"/>
            </w:tcBorders>
            <w:noWrap w:val="0"/>
            <w:vAlign w:val="center"/>
          </w:tcPr>
          <w:p w14:paraId="3DFC6126">
            <w:pPr>
              <w:widowControl/>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1</w:t>
            </w:r>
          </w:p>
        </w:tc>
        <w:tc>
          <w:tcPr>
            <w:tcW w:w="555" w:type="pct"/>
            <w:tcBorders>
              <w:top w:val="single" w:color="auto" w:sz="4" w:space="0"/>
              <w:left w:val="single" w:color="auto" w:sz="4" w:space="0"/>
              <w:bottom w:val="single" w:color="auto" w:sz="4" w:space="0"/>
              <w:right w:val="single" w:color="auto" w:sz="4" w:space="0"/>
            </w:tcBorders>
            <w:noWrap w:val="0"/>
            <w:vAlign w:val="center"/>
          </w:tcPr>
          <w:p w14:paraId="210988E7">
            <w:pPr>
              <w:widowControl/>
              <w:adjustRightInd w:val="0"/>
              <w:snapToGrid w:val="0"/>
              <w:spacing w:line="240" w:lineRule="auto"/>
              <w:jc w:val="center"/>
              <w:rPr>
                <w:rFonts w:cs="Times New Roman"/>
                <w:color w:val="000000"/>
                <w:sz w:val="21"/>
                <w:szCs w:val="21"/>
                <w:highlight w:val="none"/>
              </w:rPr>
            </w:pPr>
          </w:p>
        </w:tc>
        <w:tc>
          <w:tcPr>
            <w:tcW w:w="588" w:type="pct"/>
            <w:tcBorders>
              <w:top w:val="single" w:color="auto" w:sz="4" w:space="0"/>
              <w:left w:val="single" w:color="auto" w:sz="4" w:space="0"/>
              <w:bottom w:val="single" w:color="auto" w:sz="4" w:space="0"/>
              <w:right w:val="single" w:color="auto" w:sz="4" w:space="0"/>
            </w:tcBorders>
            <w:noWrap w:val="0"/>
            <w:vAlign w:val="center"/>
          </w:tcPr>
          <w:p w14:paraId="0D71ABF9">
            <w:pPr>
              <w:widowControl/>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42E7123B">
            <w:pPr>
              <w:widowControl/>
              <w:adjustRightInd w:val="0"/>
              <w:snapToGrid w:val="0"/>
              <w:spacing w:line="240" w:lineRule="auto"/>
              <w:rPr>
                <w:rFonts w:cs="Times New Roman"/>
                <w:color w:val="000000"/>
                <w:sz w:val="21"/>
                <w:szCs w:val="21"/>
                <w:highlight w:val="none"/>
              </w:rPr>
            </w:pPr>
          </w:p>
        </w:tc>
      </w:tr>
      <w:tr w14:paraId="32FD77D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0" w:type="dxa"/>
            <w:bottom w:w="0" w:type="dxa"/>
            <w:right w:w="0" w:type="dxa"/>
          </w:tblCellMar>
        </w:tblPrEx>
        <w:trPr>
          <w:trHeight w:val="1187" w:hRule="atLeast"/>
          <w:jc w:val="center"/>
        </w:trPr>
        <w:tc>
          <w:tcPr>
            <w:tcW w:w="3914" w:type="pct"/>
            <w:gridSpan w:val="6"/>
            <w:tcBorders>
              <w:top w:val="single" w:color="auto" w:sz="2" w:space="0"/>
              <w:left w:val="single" w:color="auto" w:sz="2" w:space="0"/>
              <w:bottom w:val="single" w:color="auto" w:sz="4" w:space="0"/>
              <w:right w:val="single" w:color="auto" w:sz="4" w:space="0"/>
            </w:tcBorders>
            <w:noWrap w:val="0"/>
            <w:vAlign w:val="center"/>
          </w:tcPr>
          <w:p w14:paraId="313FED0A">
            <w:pPr>
              <w:adjustRightInd w:val="0"/>
              <w:snapToGrid w:val="0"/>
              <w:spacing w:line="240" w:lineRule="auto"/>
              <w:jc w:val="center"/>
              <w:rPr>
                <w:rFonts w:cs="Times New Roman"/>
                <w:color w:val="000000"/>
                <w:sz w:val="21"/>
                <w:szCs w:val="21"/>
                <w:highlight w:val="none"/>
              </w:rPr>
            </w:pPr>
            <w:r>
              <w:rPr>
                <w:rFonts w:cs="Times New Roman"/>
                <w:color w:val="000000"/>
                <w:sz w:val="21"/>
                <w:szCs w:val="21"/>
                <w:highlight w:val="none"/>
              </w:rPr>
              <w:t>合计</w:t>
            </w:r>
          </w:p>
        </w:tc>
        <w:tc>
          <w:tcPr>
            <w:tcW w:w="588" w:type="pct"/>
            <w:tcBorders>
              <w:top w:val="single" w:color="auto" w:sz="4" w:space="0"/>
              <w:left w:val="single" w:color="auto" w:sz="4" w:space="0"/>
              <w:bottom w:val="single" w:color="auto" w:sz="4" w:space="0"/>
              <w:right w:val="single" w:color="auto" w:sz="4" w:space="0"/>
            </w:tcBorders>
            <w:noWrap w:val="0"/>
            <w:vAlign w:val="center"/>
          </w:tcPr>
          <w:p w14:paraId="153FF4D8">
            <w:pPr>
              <w:adjustRightInd w:val="0"/>
              <w:snapToGrid w:val="0"/>
              <w:spacing w:line="240" w:lineRule="auto"/>
              <w:jc w:val="center"/>
              <w:rPr>
                <w:rFonts w:cs="Times New Roman"/>
                <w:color w:val="000000"/>
                <w:sz w:val="21"/>
                <w:szCs w:val="21"/>
                <w:highlight w:val="none"/>
              </w:rPr>
            </w:pPr>
          </w:p>
        </w:tc>
        <w:tc>
          <w:tcPr>
            <w:tcW w:w="497" w:type="pct"/>
            <w:tcBorders>
              <w:top w:val="single" w:color="auto" w:sz="4" w:space="0"/>
              <w:left w:val="single" w:color="auto" w:sz="4" w:space="0"/>
              <w:bottom w:val="single" w:color="auto" w:sz="4" w:space="0"/>
              <w:right w:val="single" w:color="auto" w:sz="4" w:space="0"/>
            </w:tcBorders>
            <w:noWrap w:val="0"/>
            <w:vAlign w:val="center"/>
          </w:tcPr>
          <w:p w14:paraId="540950C5">
            <w:pPr>
              <w:adjustRightInd w:val="0"/>
              <w:snapToGrid w:val="0"/>
              <w:spacing w:line="240" w:lineRule="auto"/>
              <w:jc w:val="center"/>
              <w:rPr>
                <w:rFonts w:cs="Times New Roman"/>
                <w:color w:val="000000"/>
                <w:sz w:val="21"/>
                <w:szCs w:val="21"/>
                <w:highlight w:val="none"/>
              </w:rPr>
            </w:pPr>
            <w:r>
              <w:rPr>
                <w:rFonts w:hint="eastAsia" w:cs="Times New Roman"/>
                <w:color w:val="000000"/>
                <w:sz w:val="21"/>
                <w:szCs w:val="21"/>
                <w:highlight w:val="none"/>
              </w:rPr>
              <w:t>/</w:t>
            </w:r>
          </w:p>
        </w:tc>
      </w:tr>
    </w:tbl>
    <w:p w14:paraId="659A8A7A">
      <w:pPr>
        <w:spacing w:line="360" w:lineRule="auto"/>
        <w:jc w:val="center"/>
        <w:outlineLvl w:val="0"/>
        <w:rPr>
          <w:rFonts w:hint="eastAsia" w:ascii="宋体" w:hAnsi="宋体" w:eastAsia="宋体" w:cs="宋体"/>
          <w:sz w:val="36"/>
          <w:szCs w:val="36"/>
          <w:highlight w:val="none"/>
          <w:lang w:val="zh-CN"/>
        </w:rPr>
      </w:pPr>
    </w:p>
    <w:p w14:paraId="070D597B">
      <w:pPr>
        <w:spacing w:line="360" w:lineRule="auto"/>
        <w:jc w:val="center"/>
        <w:outlineLvl w:val="0"/>
        <w:rPr>
          <w:rFonts w:hint="eastAsia" w:ascii="宋体" w:hAnsi="宋体" w:eastAsia="宋体" w:cs="宋体"/>
          <w:sz w:val="36"/>
          <w:szCs w:val="36"/>
          <w:highlight w:val="none"/>
          <w:lang w:val="zh-CN"/>
        </w:rPr>
      </w:pPr>
    </w:p>
    <w:p w14:paraId="057EF71B">
      <w:pPr>
        <w:spacing w:line="360" w:lineRule="auto"/>
        <w:jc w:val="center"/>
        <w:outlineLvl w:val="0"/>
        <w:rPr>
          <w:rFonts w:hint="eastAsia" w:ascii="宋体" w:hAnsi="宋体" w:eastAsia="宋体" w:cs="宋体"/>
          <w:sz w:val="36"/>
          <w:szCs w:val="36"/>
          <w:highlight w:val="none"/>
          <w:lang w:val="zh-CN"/>
        </w:rPr>
      </w:pPr>
    </w:p>
    <w:p w14:paraId="7561A9B5">
      <w:pPr>
        <w:spacing w:line="360" w:lineRule="auto"/>
        <w:jc w:val="center"/>
        <w:outlineLvl w:val="0"/>
        <w:rPr>
          <w:rFonts w:hint="eastAsia" w:ascii="宋体" w:hAnsi="宋体" w:eastAsia="宋体" w:cs="宋体"/>
          <w:sz w:val="36"/>
          <w:szCs w:val="36"/>
          <w:highlight w:val="none"/>
          <w:lang w:val="zh-CN"/>
        </w:rPr>
        <w:sectPr>
          <w:pgSz w:w="16838" w:h="11911" w:orient="landscape"/>
          <w:pgMar w:top="1531" w:right="1417" w:bottom="1531" w:left="1417" w:header="879" w:footer="1196" w:gutter="0"/>
          <w:cols w:space="720" w:num="1"/>
          <w:docGrid w:linePitch="290" w:charSpace="0"/>
        </w:sectPr>
      </w:pPr>
    </w:p>
    <w:p w14:paraId="76FCEBE4">
      <w:pPr>
        <w:rPr>
          <w:rFonts w:hint="eastAsia" w:ascii="宋体" w:hAnsi="宋体"/>
          <w:color w:val="000000" w:themeColor="text1"/>
          <w:sz w:val="24"/>
          <w:szCs w:val="21"/>
          <w:highlight w:val="none"/>
          <w:lang w:eastAsia="zh-CN"/>
          <w14:textFill>
            <w14:solidFill>
              <w14:schemeClr w14:val="tx1"/>
            </w14:solidFill>
          </w14:textFill>
        </w:rPr>
      </w:pPr>
    </w:p>
    <w:p w14:paraId="4C56B2EC">
      <w:pPr>
        <w:ind w:firstLine="420"/>
        <w:rPr>
          <w:rFonts w:ascii="宋体" w:hAnsi="宋体"/>
          <w:b/>
          <w:color w:val="000000" w:themeColor="text1"/>
          <w:sz w:val="24"/>
          <w:highlight w:val="none"/>
          <w:lang w:eastAsia="zh-CN"/>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四、</w:t>
      </w:r>
      <w:bookmarkEnd w:id="160"/>
      <w:bookmarkEnd w:id="161"/>
      <w:bookmarkEnd w:id="162"/>
      <w:r>
        <w:rPr>
          <w:rFonts w:hint="eastAsia" w:ascii="宋体" w:hAnsi="宋体" w:cs="黑体"/>
          <w:b/>
          <w:bCs/>
          <w:color w:val="000000" w:themeColor="text1"/>
          <w:sz w:val="24"/>
          <w:szCs w:val="21"/>
          <w:highlight w:val="none"/>
          <w:lang w:val="zh-CN" w:eastAsia="zh-CN"/>
          <w14:textFill>
            <w14:solidFill>
              <w14:schemeClr w14:val="tx1"/>
            </w14:solidFill>
          </w14:textFill>
        </w:rPr>
        <w:t>资格证明文件</w:t>
      </w:r>
      <w:bookmarkEnd w:id="163"/>
    </w:p>
    <w:p w14:paraId="5EF6A458">
      <w:pPr>
        <w:jc w:val="center"/>
        <w:rPr>
          <w:b/>
          <w:color w:val="000000" w:themeColor="text1"/>
          <w:sz w:val="30"/>
          <w:szCs w:val="30"/>
          <w:highlight w:val="none"/>
          <w:lang w:val="zh-CN" w:eastAsia="zh-CN"/>
          <w14:textFill>
            <w14:solidFill>
              <w14:schemeClr w14:val="tx1"/>
            </w14:solidFill>
          </w14:textFill>
        </w:rPr>
      </w:pPr>
      <w:bookmarkStart w:id="164" w:name="_Toc2759"/>
      <w:bookmarkStart w:id="165" w:name="_Toc2864"/>
      <w:bookmarkStart w:id="166" w:name="_Toc13890"/>
      <w:bookmarkStart w:id="167" w:name="_Toc506199229"/>
      <w:r>
        <w:rPr>
          <w:rFonts w:hint="eastAsia"/>
          <w:b/>
          <w:color w:val="000000" w:themeColor="text1"/>
          <w:sz w:val="30"/>
          <w:szCs w:val="30"/>
          <w:highlight w:val="none"/>
          <w:lang w:val="zh-CN" w:eastAsia="zh-CN"/>
          <w14:textFill>
            <w14:solidFill>
              <w14:schemeClr w14:val="tx1"/>
            </w14:solidFill>
          </w14:textFill>
        </w:rPr>
        <w:t>资格证明文件（参考）</w:t>
      </w:r>
      <w:bookmarkEnd w:id="164"/>
      <w:bookmarkEnd w:id="165"/>
      <w:bookmarkEnd w:id="166"/>
      <w:bookmarkEnd w:id="167"/>
    </w:p>
    <w:p w14:paraId="0C02E593">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t>1.</w:t>
      </w:r>
      <w:r>
        <w:rPr>
          <w:rFonts w:hint="eastAsia" w:ascii="宋体" w:hAnsi="宋体" w:cs="宋体"/>
          <w:b/>
          <w:bCs/>
          <w:color w:val="000000" w:themeColor="text1"/>
          <w:sz w:val="24"/>
          <w:highlight w:val="none"/>
          <w:lang w:eastAsia="zh-CN"/>
          <w14:textFill>
            <w14:solidFill>
              <w14:schemeClr w14:val="tx1"/>
            </w14:solidFill>
          </w14:textFill>
        </w:rPr>
        <w:t xml:space="preserve"> 磋商公告2.1 参加政府采购活动的供应商应当具备政府采购法第二十二条第一款规定的条件证明材料</w:t>
      </w:r>
    </w:p>
    <w:p w14:paraId="4B748572">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2</w:t>
      </w:r>
      <w:r>
        <w:rPr>
          <w:rFonts w:ascii="宋体" w:cs="宋体"/>
          <w:color w:val="000000" w:themeColor="text1"/>
          <w:sz w:val="24"/>
          <w:szCs w:val="21"/>
          <w:highlight w:val="none"/>
          <w:lang w:val="zh-CN" w:eastAsia="zh-CN"/>
          <w14:textFill>
            <w14:solidFill>
              <w14:schemeClr w14:val="tx1"/>
            </w14:solidFill>
          </w14:textFill>
        </w:rPr>
        <w:t>.</w:t>
      </w:r>
      <w:r>
        <w:rPr>
          <w:rFonts w:ascii="宋体" w:hAnsi="宋体" w:cs="宋体"/>
          <w:b/>
          <w:bCs/>
          <w:color w:val="000000" w:themeColor="text1"/>
          <w:sz w:val="24"/>
          <w:highlight w:val="none"/>
          <w:lang w:eastAsia="zh-CN"/>
          <w14:textFill>
            <w14:solidFill>
              <w14:schemeClr w14:val="tx1"/>
            </w14:solidFill>
          </w14:textFill>
        </w:rPr>
        <w:t>磋商公告</w:t>
      </w:r>
      <w:r>
        <w:rPr>
          <w:rFonts w:hint="eastAsia" w:ascii="宋体" w:hAnsi="宋体" w:cs="宋体"/>
          <w:b/>
          <w:bCs/>
          <w:color w:val="000000" w:themeColor="text1"/>
          <w:sz w:val="24"/>
          <w:highlight w:val="none"/>
          <w:lang w:eastAsia="zh-CN"/>
          <w14:textFill>
            <w14:solidFill>
              <w14:schemeClr w14:val="tx1"/>
            </w14:solidFill>
          </w14:textFill>
        </w:rPr>
        <w:t xml:space="preserve"> 2.2 采购人根据采购项目的特殊要求规定的特定条件证明材料</w:t>
      </w:r>
    </w:p>
    <w:p w14:paraId="3CC98646">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3</w:t>
      </w:r>
      <w:r>
        <w:rPr>
          <w:rFonts w:hint="eastAsia" w:ascii="宋体" w:cs="宋体"/>
          <w:color w:val="000000" w:themeColor="text1"/>
          <w:sz w:val="24"/>
          <w:szCs w:val="21"/>
          <w:highlight w:val="none"/>
          <w:lang w:val="zh-CN" w:eastAsia="zh-CN"/>
          <w14:textFill>
            <w14:solidFill>
              <w14:schemeClr w14:val="tx1"/>
            </w14:solidFill>
          </w14:textFill>
        </w:rPr>
        <w:t>.南京市政府采购供应商信用记录表暨信用承诺书</w:t>
      </w:r>
    </w:p>
    <w:p w14:paraId="1470C473">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4.</w:t>
      </w:r>
      <w:r>
        <w:rPr>
          <w:rFonts w:hint="eastAsia" w:ascii="宋体" w:cs="宋体"/>
          <w:color w:val="000000" w:themeColor="text1"/>
          <w:sz w:val="24"/>
          <w:szCs w:val="21"/>
          <w:highlight w:val="none"/>
          <w:lang w:val="zh-CN" w:eastAsia="zh-CN"/>
          <w14:textFill>
            <w14:solidFill>
              <w14:schemeClr w14:val="tx1"/>
            </w14:solidFill>
          </w14:textFill>
        </w:rPr>
        <w:t>投标供应商认为有必要有其他证明文件</w:t>
      </w:r>
    </w:p>
    <w:p w14:paraId="503A7599">
      <w:pPr>
        <w:spacing w:line="440" w:lineRule="exact"/>
        <w:rPr>
          <w:rFonts w:ascii="宋体" w:hAnsi="宋体"/>
          <w:color w:val="000000" w:themeColor="text1"/>
          <w:sz w:val="24"/>
          <w:szCs w:val="21"/>
          <w:highlight w:val="none"/>
          <w:lang w:eastAsia="zh-CN"/>
          <w14:textFill>
            <w14:solidFill>
              <w14:schemeClr w14:val="tx1"/>
            </w14:solidFill>
          </w14:textFill>
        </w:rPr>
      </w:pPr>
    </w:p>
    <w:p w14:paraId="793B174D">
      <w:pPr>
        <w:autoSpaceDE w:val="0"/>
        <w:autoSpaceDN w:val="0"/>
        <w:adjustRightInd w:val="0"/>
        <w:spacing w:line="600" w:lineRule="exact"/>
        <w:ind w:right="480" w:firstLine="6480" w:firstLineChars="2700"/>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18DB6608">
      <w:pPr>
        <w:autoSpaceDE w:val="0"/>
        <w:autoSpaceDN w:val="0"/>
        <w:adjustRightInd w:val="0"/>
        <w:spacing w:line="600" w:lineRule="exact"/>
        <w:ind w:right="240"/>
        <w:jc w:val="righ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6AB4517E">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51110132">
      <w:pPr>
        <w:outlineLvl w:val="1"/>
        <w:rPr>
          <w:rFonts w:ascii="宋体" w:hAnsi="宋体"/>
          <w:b/>
          <w:color w:val="000000" w:themeColor="text1"/>
          <w:sz w:val="24"/>
          <w:szCs w:val="21"/>
          <w:highlight w:val="none"/>
          <w:lang w:eastAsia="zh-CN"/>
          <w14:textFill>
            <w14:solidFill>
              <w14:schemeClr w14:val="tx1"/>
            </w14:solidFill>
          </w14:textFill>
        </w:rPr>
      </w:pPr>
    </w:p>
    <w:p w14:paraId="2F549D3E">
      <w:pPr>
        <w:outlineLvl w:val="1"/>
        <w:rPr>
          <w:rFonts w:ascii="宋体" w:hAnsi="宋体"/>
          <w:b/>
          <w:color w:val="000000" w:themeColor="text1"/>
          <w:sz w:val="24"/>
          <w:szCs w:val="21"/>
          <w:highlight w:val="none"/>
          <w:lang w:eastAsia="zh-CN"/>
          <w14:textFill>
            <w14:solidFill>
              <w14:schemeClr w14:val="tx1"/>
            </w14:solidFill>
          </w14:textFill>
        </w:rPr>
      </w:pPr>
    </w:p>
    <w:p w14:paraId="5E5E344B">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5CC3B001">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49C5EE3B">
      <w:pPr>
        <w:outlineLvl w:val="1"/>
        <w:rPr>
          <w:rFonts w:ascii="宋体" w:hAnsi="宋体"/>
          <w:b/>
          <w:color w:val="000000" w:themeColor="text1"/>
          <w:sz w:val="24"/>
          <w:szCs w:val="21"/>
          <w:highlight w:val="none"/>
          <w:lang w:eastAsia="zh-CN"/>
          <w14:textFill>
            <w14:solidFill>
              <w14:schemeClr w14:val="tx1"/>
            </w14:solidFill>
          </w14:textFill>
        </w:rPr>
      </w:pPr>
      <w:bookmarkStart w:id="168" w:name="_Toc29395"/>
      <w:bookmarkStart w:id="169" w:name="_Toc9482"/>
      <w:bookmarkStart w:id="170" w:name="_Toc175663955"/>
    </w:p>
    <w:p w14:paraId="51A3FC3D">
      <w:pPr>
        <w:outlineLvl w:val="1"/>
        <w:rPr>
          <w:rFonts w:ascii="宋体" w:hAnsi="宋体"/>
          <w:b/>
          <w:color w:val="000000" w:themeColor="text1"/>
          <w:sz w:val="24"/>
          <w:szCs w:val="21"/>
          <w:highlight w:val="none"/>
          <w:lang w:eastAsia="zh-CN"/>
          <w14:textFill>
            <w14:solidFill>
              <w14:schemeClr w14:val="tx1"/>
            </w14:solidFill>
          </w14:textFill>
        </w:rPr>
      </w:pPr>
    </w:p>
    <w:p w14:paraId="60FC3AD3">
      <w:pPr>
        <w:outlineLvl w:val="1"/>
        <w:rPr>
          <w:rFonts w:ascii="宋体" w:hAnsi="宋体"/>
          <w:b/>
          <w:color w:val="000000" w:themeColor="text1"/>
          <w:sz w:val="24"/>
          <w:szCs w:val="21"/>
          <w:highlight w:val="none"/>
          <w:lang w:eastAsia="zh-CN"/>
          <w14:textFill>
            <w14:solidFill>
              <w14:schemeClr w14:val="tx1"/>
            </w14:solidFill>
          </w14:textFill>
        </w:rPr>
      </w:pPr>
    </w:p>
    <w:p w14:paraId="7154256C">
      <w:pPr>
        <w:outlineLvl w:val="1"/>
        <w:rPr>
          <w:rFonts w:ascii="宋体" w:hAnsi="宋体"/>
          <w:b/>
          <w:color w:val="000000" w:themeColor="text1"/>
          <w:sz w:val="24"/>
          <w:szCs w:val="21"/>
          <w:highlight w:val="none"/>
          <w:lang w:eastAsia="zh-CN"/>
          <w14:textFill>
            <w14:solidFill>
              <w14:schemeClr w14:val="tx1"/>
            </w14:solidFill>
          </w14:textFill>
        </w:rPr>
      </w:pPr>
    </w:p>
    <w:p w14:paraId="7704C57E">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val="en-US" w:eastAsia="zh-CN"/>
          <w14:textFill>
            <w14:solidFill>
              <w14:schemeClr w14:val="tx1"/>
            </w14:solidFill>
          </w14:textFill>
        </w:rPr>
        <w:t>五</w:t>
      </w:r>
      <w:r>
        <w:rPr>
          <w:rFonts w:hint="eastAsia" w:ascii="宋体" w:hAnsi="宋体"/>
          <w:b/>
          <w:color w:val="000000" w:themeColor="text1"/>
          <w:sz w:val="24"/>
          <w:szCs w:val="21"/>
          <w:highlight w:val="none"/>
          <w:lang w:eastAsia="zh-CN"/>
          <w14:textFill>
            <w14:solidFill>
              <w14:schemeClr w14:val="tx1"/>
            </w14:solidFill>
          </w14:textFill>
        </w:rPr>
        <w:t>、</w:t>
      </w:r>
      <w:bookmarkEnd w:id="158"/>
      <w:bookmarkEnd w:id="168"/>
      <w:bookmarkEnd w:id="169"/>
      <w:r>
        <w:rPr>
          <w:rFonts w:hint="eastAsia" w:ascii="宋体" w:hAnsi="宋体"/>
          <w:b/>
          <w:color w:val="000000" w:themeColor="text1"/>
          <w:sz w:val="24"/>
          <w:szCs w:val="21"/>
          <w:highlight w:val="none"/>
          <w:lang w:eastAsia="zh-CN"/>
          <w14:textFill>
            <w14:solidFill>
              <w14:schemeClr w14:val="tx1"/>
            </w14:solidFill>
          </w14:textFill>
        </w:rPr>
        <w:t>技术要求</w:t>
      </w:r>
      <w:bookmarkEnd w:id="170"/>
    </w:p>
    <w:bookmarkEnd w:id="159"/>
    <w:p w14:paraId="0460B3E5">
      <w:pPr>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服务</w:t>
      </w:r>
      <w:r>
        <w:rPr>
          <w:rFonts w:hint="eastAsia" w:ascii="宋体" w:hAnsi="宋体"/>
          <w:color w:val="000000" w:themeColor="text1"/>
          <w:sz w:val="24"/>
          <w:highlight w:val="none"/>
          <w:lang w:eastAsia="zh-CN"/>
          <w14:textFill>
            <w14:solidFill>
              <w14:schemeClr w14:val="tx1"/>
            </w14:solidFill>
          </w14:textFill>
        </w:rPr>
        <w:t>方案</w:t>
      </w:r>
      <w:r>
        <w:rPr>
          <w:rFonts w:hint="eastAsia" w:ascii="宋体" w:cs="宋体"/>
          <w:color w:val="000000" w:themeColor="text1"/>
          <w:sz w:val="24"/>
          <w:szCs w:val="21"/>
          <w:highlight w:val="none"/>
          <w:lang w:val="zh-CN" w:eastAsia="zh-CN"/>
          <w14:textFill>
            <w14:solidFill>
              <w14:schemeClr w14:val="tx1"/>
            </w14:solidFill>
          </w14:textFill>
        </w:rPr>
        <w:t>（格式自拟）</w:t>
      </w:r>
    </w:p>
    <w:p w14:paraId="24F52B9B">
      <w:pPr>
        <w:autoSpaceDE w:val="0"/>
        <w:autoSpaceDN w:val="0"/>
        <w:adjustRightInd w:val="0"/>
        <w:rPr>
          <w:rFonts w:ascii="宋体" w:hAnsi="宋体" w:cs="宋体"/>
          <w:b/>
          <w:bCs/>
          <w:color w:val="000000" w:themeColor="text1"/>
          <w:sz w:val="24"/>
          <w:szCs w:val="21"/>
          <w:highlight w:val="none"/>
          <w:lang w:eastAsia="zh-CN"/>
          <w14:textFill>
            <w14:solidFill>
              <w14:schemeClr w14:val="tx1"/>
            </w14:solidFill>
          </w14:textFill>
        </w:rPr>
      </w:pPr>
    </w:p>
    <w:p w14:paraId="3B349795">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1C0CFB3A">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2FF658AF">
      <w:pPr>
        <w:rPr>
          <w:rFonts w:ascii="宋体" w:hAnsi="宋体" w:cs="宋体"/>
          <w:b/>
          <w:bCs/>
          <w:color w:val="000000" w:themeColor="text1"/>
          <w:sz w:val="24"/>
          <w:szCs w:val="21"/>
          <w:highlight w:val="none"/>
          <w:lang w:val="zh-CN" w:eastAsia="zh-CN"/>
          <w14:textFill>
            <w14:solidFill>
              <w14:schemeClr w14:val="tx1"/>
            </w14:solidFill>
          </w14:textFill>
        </w:rPr>
      </w:pPr>
    </w:p>
    <w:p w14:paraId="04943FF4">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78E4616F">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6DEFBE20">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日期：   年   月  日</w:t>
      </w:r>
    </w:p>
    <w:p w14:paraId="5DF7E515">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003015BF">
      <w:pPr>
        <w:rPr>
          <w:rFonts w:ascii="宋体" w:hAnsi="宋体" w:eastAsiaTheme="minorEastAsia"/>
          <w:b/>
          <w:color w:val="000000" w:themeColor="text1"/>
          <w:sz w:val="24"/>
          <w:szCs w:val="21"/>
          <w:highlight w:val="none"/>
          <w:lang w:eastAsia="zh-CN"/>
          <w14:textFill>
            <w14:solidFill>
              <w14:schemeClr w14:val="tx1"/>
            </w14:solidFill>
          </w14:textFill>
        </w:rPr>
      </w:pPr>
      <w:bookmarkStart w:id="171" w:name="_Toc354594120"/>
      <w:r>
        <w:rPr>
          <w:rFonts w:ascii="宋体" w:hAnsi="宋体" w:eastAsiaTheme="minorEastAsia"/>
          <w:b/>
          <w:color w:val="000000" w:themeColor="text1"/>
          <w:sz w:val="24"/>
          <w:szCs w:val="21"/>
          <w:highlight w:val="none"/>
          <w:lang w:eastAsia="zh-CN"/>
          <w14:textFill>
            <w14:solidFill>
              <w14:schemeClr w14:val="tx1"/>
            </w14:solidFill>
          </w14:textFill>
        </w:rPr>
        <w:br w:type="page"/>
      </w:r>
    </w:p>
    <w:p w14:paraId="2D464DB2">
      <w:pPr>
        <w:outlineLvl w:val="1"/>
        <w:rPr>
          <w:rFonts w:ascii="宋体" w:hAnsi="宋体"/>
          <w:b/>
          <w:color w:val="000000" w:themeColor="text1"/>
          <w:sz w:val="24"/>
          <w:szCs w:val="21"/>
          <w:highlight w:val="none"/>
          <w:lang w:eastAsia="zh-CN"/>
          <w14:textFill>
            <w14:solidFill>
              <w14:schemeClr w14:val="tx1"/>
            </w14:solidFill>
          </w14:textFill>
        </w:rPr>
      </w:pPr>
      <w:bookmarkStart w:id="172" w:name="_Toc28031"/>
      <w:bookmarkStart w:id="173" w:name="_Toc5649"/>
      <w:bookmarkStart w:id="174" w:name="_Toc175663956"/>
      <w:r>
        <w:rPr>
          <w:rFonts w:hint="eastAsia" w:ascii="宋体" w:hAnsi="宋体"/>
          <w:b/>
          <w:color w:val="000000" w:themeColor="text1"/>
          <w:sz w:val="24"/>
          <w:szCs w:val="21"/>
          <w:highlight w:val="none"/>
          <w:lang w:val="en-US" w:eastAsia="zh-CN"/>
          <w14:textFill>
            <w14:solidFill>
              <w14:schemeClr w14:val="tx1"/>
            </w14:solidFill>
          </w14:textFill>
        </w:rPr>
        <w:t>六</w:t>
      </w:r>
      <w:r>
        <w:rPr>
          <w:rFonts w:hint="eastAsia" w:ascii="宋体" w:hAnsi="宋体"/>
          <w:b/>
          <w:color w:val="000000" w:themeColor="text1"/>
          <w:sz w:val="24"/>
          <w:szCs w:val="21"/>
          <w:highlight w:val="none"/>
          <w:lang w:eastAsia="zh-CN"/>
          <w14:textFill>
            <w14:solidFill>
              <w14:schemeClr w14:val="tx1"/>
            </w14:solidFill>
          </w14:textFill>
        </w:rPr>
        <w:t>、项目组成员一览表</w:t>
      </w:r>
      <w:bookmarkEnd w:id="171"/>
      <w:bookmarkEnd w:id="172"/>
      <w:bookmarkEnd w:id="173"/>
      <w:bookmarkEnd w:id="174"/>
    </w:p>
    <w:p w14:paraId="30A60D0E">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bookmarkStart w:id="175" w:name="_Toc341184788"/>
      <w:r>
        <w:rPr>
          <w:rFonts w:hint="eastAsia" w:ascii="黑体" w:eastAsia="黑体" w:cs="黑体"/>
          <w:b/>
          <w:bCs/>
          <w:color w:val="000000" w:themeColor="text1"/>
          <w:sz w:val="36"/>
          <w:szCs w:val="28"/>
          <w:highlight w:val="none"/>
          <w:lang w:val="zh-CN" w:eastAsia="zh-CN"/>
          <w14:textFill>
            <w14:solidFill>
              <w14:schemeClr w14:val="tx1"/>
            </w14:solidFill>
          </w14:textFill>
        </w:rPr>
        <w:t>项目组成员一览表</w:t>
      </w:r>
      <w:bookmarkEnd w:id="175"/>
    </w:p>
    <w:p w14:paraId="7A87F815">
      <w:pPr>
        <w:autoSpaceDE w:val="0"/>
        <w:autoSpaceDN w:val="0"/>
        <w:adjustRightInd w:val="0"/>
        <w:ind w:firstLine="420"/>
        <w:rPr>
          <w:rFonts w:ascii="宋体" w:hAnsi="宋体"/>
          <w:color w:val="000000" w:themeColor="text1"/>
          <w:sz w:val="24"/>
          <w:szCs w:val="21"/>
          <w:highlight w:val="none"/>
          <w:lang w:val="zh-CN" w:eastAsia="zh-CN"/>
          <w14:textFill>
            <w14:solidFill>
              <w14:schemeClr w14:val="tx1"/>
            </w14:solidFill>
          </w14:textFill>
        </w:rPr>
      </w:pPr>
    </w:p>
    <w:tbl>
      <w:tblPr>
        <w:tblStyle w:val="51"/>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93"/>
        <w:gridCol w:w="992"/>
        <w:gridCol w:w="2126"/>
        <w:gridCol w:w="1559"/>
        <w:gridCol w:w="1560"/>
        <w:gridCol w:w="1276"/>
      </w:tblGrid>
      <w:tr w14:paraId="7FB3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gridSpan w:val="4"/>
            <w:noWrap/>
            <w:vAlign w:val="center"/>
          </w:tcPr>
          <w:p w14:paraId="10DFBC50">
            <w:pPr>
              <w:autoSpaceDE w:val="0"/>
              <w:autoSpaceDN w:val="0"/>
              <w:adjustRightInd w:val="0"/>
              <w:spacing w:line="24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原铜井化工园退役场地风险评估项目</w:t>
            </w:r>
          </w:p>
        </w:tc>
        <w:tc>
          <w:tcPr>
            <w:tcW w:w="4395" w:type="dxa"/>
            <w:gridSpan w:val="3"/>
          </w:tcPr>
          <w:p w14:paraId="5D828A34">
            <w:pPr>
              <w:autoSpaceDE w:val="0"/>
              <w:autoSpaceDN w:val="0"/>
              <w:adjustRightInd w:val="0"/>
              <w:spacing w:line="240" w:lineRule="auto"/>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项目编号：JSZC-320115-NJMT-C2026-0003 </w:t>
            </w:r>
          </w:p>
        </w:tc>
      </w:tr>
      <w:tr w14:paraId="794D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75" w:type="dxa"/>
            <w:noWrap/>
            <w:vAlign w:val="center"/>
          </w:tcPr>
          <w:p w14:paraId="0E4B4BA5">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序号</w:t>
            </w:r>
          </w:p>
        </w:tc>
        <w:tc>
          <w:tcPr>
            <w:tcW w:w="993" w:type="dxa"/>
            <w:noWrap/>
            <w:vAlign w:val="center"/>
          </w:tcPr>
          <w:p w14:paraId="3F04942F">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姓名</w:t>
            </w:r>
          </w:p>
        </w:tc>
        <w:tc>
          <w:tcPr>
            <w:tcW w:w="992" w:type="dxa"/>
            <w:noWrap/>
            <w:vAlign w:val="center"/>
          </w:tcPr>
          <w:p w14:paraId="1E54E0D6">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性别</w:t>
            </w:r>
          </w:p>
        </w:tc>
        <w:tc>
          <w:tcPr>
            <w:tcW w:w="2126" w:type="dxa"/>
            <w:noWrap/>
            <w:vAlign w:val="center"/>
          </w:tcPr>
          <w:p w14:paraId="5FD346FE">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岗位</w:t>
            </w:r>
          </w:p>
        </w:tc>
        <w:tc>
          <w:tcPr>
            <w:tcW w:w="1559" w:type="dxa"/>
            <w:vAlign w:val="center"/>
          </w:tcPr>
          <w:p w14:paraId="2C5D93A7">
            <w:pPr>
              <w:autoSpaceDE w:val="0"/>
              <w:autoSpaceDN w:val="0"/>
              <w:adjustRightInd w:val="0"/>
              <w:jc w:val="center"/>
              <w:rPr>
                <w:rFonts w:asciiTheme="minorEastAsia" w:hAnsiTheme="minorEastAsia" w:eastAsiaTheme="minorEastAsia"/>
                <w:b/>
                <w:color w:val="000000" w:themeColor="text1"/>
                <w:sz w:val="24"/>
                <w:szCs w:val="21"/>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1"/>
                <w:highlight w:val="none"/>
                <w:lang w:val="zh-CN" w:eastAsia="zh-CN"/>
                <w14:textFill>
                  <w14:solidFill>
                    <w14:schemeClr w14:val="tx1"/>
                  </w14:solidFill>
                </w14:textFill>
              </w:rPr>
              <w:t>证书</w:t>
            </w:r>
            <w:r>
              <w:rPr>
                <w:rFonts w:hint="eastAsia" w:ascii="宋体"/>
                <w:b/>
                <w:color w:val="000000" w:themeColor="text1"/>
                <w:sz w:val="24"/>
                <w:szCs w:val="21"/>
                <w:highlight w:val="none"/>
                <w:lang w:val="zh-CN"/>
                <w14:textFill>
                  <w14:solidFill>
                    <w14:schemeClr w14:val="tx1"/>
                  </w14:solidFill>
                </w14:textFill>
              </w:rPr>
              <w:t>类型</w:t>
            </w:r>
          </w:p>
        </w:tc>
        <w:tc>
          <w:tcPr>
            <w:tcW w:w="1560" w:type="dxa"/>
            <w:noWrap/>
            <w:vAlign w:val="center"/>
          </w:tcPr>
          <w:p w14:paraId="5593D87A">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ascii="宋体"/>
                <w:b/>
                <w:color w:val="000000" w:themeColor="text1"/>
                <w:sz w:val="24"/>
                <w:szCs w:val="21"/>
                <w:highlight w:val="none"/>
                <w:lang w:val="zh-CN"/>
                <w14:textFill>
                  <w14:solidFill>
                    <w14:schemeClr w14:val="tx1"/>
                  </w14:solidFill>
                </w14:textFill>
              </w:rPr>
              <w:t>证书号</w:t>
            </w:r>
          </w:p>
        </w:tc>
        <w:tc>
          <w:tcPr>
            <w:tcW w:w="1276" w:type="dxa"/>
            <w:noWrap/>
            <w:vAlign w:val="center"/>
          </w:tcPr>
          <w:p w14:paraId="7F588A4F">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备    注</w:t>
            </w:r>
          </w:p>
        </w:tc>
      </w:tr>
      <w:tr w14:paraId="1A60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C3C614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1BA3E69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1464263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614E6CD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03202C6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1E59BD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1968ACA7">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1CC4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18EE056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1F30BFE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1A72B2DC">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5D3139F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77C8E1E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52487E96">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0784A692">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619F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86427C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24C7AC2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0FAE1AF7">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189C6EA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713998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3B21C8D">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6C5D62AF">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7697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6710DEC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2D0DAD31">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19370B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31DBF34D">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7CA94BF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7F4E45F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016A13D">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5B12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715662D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40F3EDC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1FBCE8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4A4C084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633DB9B6">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CF1D1A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4258434F">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6091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DE5CEE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6F64F4E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755A3B5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171401A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477158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4733AC8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CC85AC0">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0E4A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2516863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48CCC24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718D995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74F036B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6D7DD7C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0388857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EEBD251">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27CD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03607F8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46427667">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96D875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2D27971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6331EF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6B8B1B1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7A40B5C">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0610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283BBF5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735717E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590348F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1A529CF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90DE1A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342D5CD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68C7196B">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bl>
    <w:p w14:paraId="22477AAC">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49456969">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日期：   年   月   日</w:t>
      </w:r>
    </w:p>
    <w:p w14:paraId="236229D2">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67E74764">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备注栏，可填写该人员擅长的工种，附相关证件加盖公章。</w:t>
      </w:r>
    </w:p>
    <w:p w14:paraId="05BEE28F">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p>
    <w:p w14:paraId="154DF693">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p>
    <w:p w14:paraId="3DC3EB65">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p>
    <w:p w14:paraId="31362EBC">
      <w:pPr>
        <w:autoSpaceDE w:val="0"/>
        <w:autoSpaceDN w:val="0"/>
        <w:adjustRightInd w:val="0"/>
        <w:rPr>
          <w:rFonts w:ascii="宋体" w:eastAsiaTheme="minorEastAsia"/>
          <w:color w:val="000000" w:themeColor="text1"/>
          <w:sz w:val="24"/>
          <w:szCs w:val="21"/>
          <w:highlight w:val="none"/>
          <w:lang w:val="zh-CN" w:eastAsia="zh-CN"/>
          <w14:textFill>
            <w14:solidFill>
              <w14:schemeClr w14:val="tx1"/>
            </w14:solidFill>
          </w14:textFill>
        </w:rPr>
      </w:pPr>
    </w:p>
    <w:p w14:paraId="2390DE89">
      <w:pPr>
        <w:pStyle w:val="66"/>
        <w:rPr>
          <w:color w:val="000000" w:themeColor="text1"/>
          <w:highlight w:val="none"/>
          <w:lang w:val="zh-CN" w:eastAsia="zh-CN"/>
          <w14:textFill>
            <w14:solidFill>
              <w14:schemeClr w14:val="tx1"/>
            </w14:solidFill>
          </w14:textFill>
        </w:rPr>
      </w:pPr>
    </w:p>
    <w:p w14:paraId="2D781D02">
      <w:pPr>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br w:type="page"/>
      </w:r>
    </w:p>
    <w:p w14:paraId="72D44A73">
      <w:pPr>
        <w:widowControl/>
        <w:adjustRightInd w:val="0"/>
        <w:spacing w:line="240" w:lineRule="atLeast"/>
        <w:outlineLvl w:val="1"/>
        <w:rPr>
          <w:b/>
          <w:color w:val="000000" w:themeColor="text1"/>
          <w:sz w:val="24"/>
          <w:highlight w:val="none"/>
          <w:lang w:eastAsia="zh-CN"/>
          <w14:textFill>
            <w14:solidFill>
              <w14:schemeClr w14:val="tx1"/>
            </w14:solidFill>
          </w14:textFill>
        </w:rPr>
      </w:pPr>
      <w:bookmarkStart w:id="176" w:name="_Toc14286"/>
      <w:bookmarkStart w:id="177" w:name="_Toc11058"/>
      <w:bookmarkStart w:id="178" w:name="_Toc175663957"/>
      <w:bookmarkStart w:id="179" w:name="_Toc459109600"/>
      <w:bookmarkStart w:id="180" w:name="_Toc354594121"/>
      <w:r>
        <w:rPr>
          <w:rFonts w:hint="eastAsia"/>
          <w:b/>
          <w:color w:val="000000" w:themeColor="text1"/>
          <w:sz w:val="24"/>
          <w:highlight w:val="none"/>
          <w:lang w:val="en-US" w:eastAsia="zh-CN"/>
          <w14:textFill>
            <w14:solidFill>
              <w14:schemeClr w14:val="tx1"/>
            </w14:solidFill>
          </w14:textFill>
        </w:rPr>
        <w:t>七</w:t>
      </w:r>
      <w:r>
        <w:rPr>
          <w:rFonts w:hint="eastAsia"/>
          <w:b/>
          <w:color w:val="000000" w:themeColor="text1"/>
          <w:sz w:val="24"/>
          <w:highlight w:val="none"/>
          <w:lang w:eastAsia="zh-CN"/>
          <w14:textFill>
            <w14:solidFill>
              <w14:schemeClr w14:val="tx1"/>
            </w14:solidFill>
          </w14:textFill>
        </w:rPr>
        <w:t>、无重大违法记录声明格式</w:t>
      </w:r>
      <w:bookmarkEnd w:id="176"/>
      <w:bookmarkEnd w:id="177"/>
      <w:bookmarkEnd w:id="178"/>
      <w:bookmarkEnd w:id="179"/>
    </w:p>
    <w:p w14:paraId="5F25C1DD">
      <w:pPr>
        <w:jc w:val="center"/>
        <w:rPr>
          <w:rFonts w:ascii="黑体" w:eastAsia="黑体"/>
          <w:color w:val="000000" w:themeColor="text1"/>
          <w:sz w:val="44"/>
          <w:szCs w:val="36"/>
          <w:highlight w:val="none"/>
          <w:lang w:eastAsia="zh-CN"/>
          <w14:textFill>
            <w14:solidFill>
              <w14:schemeClr w14:val="tx1"/>
            </w14:solidFill>
          </w14:textFill>
        </w:rPr>
      </w:pPr>
      <w:r>
        <w:rPr>
          <w:rFonts w:hint="eastAsia" w:ascii="宋体" w:hAnsi="宋体" w:cs="黑体"/>
          <w:b/>
          <w:bCs/>
          <w:color w:val="000000" w:themeColor="text1"/>
          <w:sz w:val="36"/>
          <w:szCs w:val="28"/>
          <w:highlight w:val="none"/>
          <w:lang w:val="zh-CN" w:eastAsia="zh-CN"/>
          <w14:textFill>
            <w14:solidFill>
              <w14:schemeClr w14:val="tx1"/>
            </w14:solidFill>
          </w14:textFill>
        </w:rPr>
        <w:t>无重大违法记录声明</w:t>
      </w:r>
    </w:p>
    <w:p w14:paraId="624ADE86">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eastAsia="宋体" w:cs="宋体"/>
          <w:color w:val="000000" w:themeColor="text1"/>
          <w:spacing w:val="6"/>
          <w:sz w:val="24"/>
          <w:szCs w:val="21"/>
          <w:highlight w:val="none"/>
          <w:lang w:eastAsia="zh-CN"/>
          <w14:textFill>
            <w14:solidFill>
              <w14:schemeClr w14:val="tx1"/>
            </w14:solidFill>
          </w14:textFill>
        </w:rPr>
        <w:t>南京江宁滨江经济开发区管理委员会</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p>
    <w:p w14:paraId="7D82AC2F">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我单位</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（供应商名称）郑重声明：</w:t>
      </w:r>
    </w:p>
    <w:p w14:paraId="2160F501">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（在下划线上如实填写：有或没有）重大违法记录。</w:t>
      </w:r>
    </w:p>
    <w:p w14:paraId="3A932438">
      <w:pPr>
        <w:spacing w:line="600" w:lineRule="exact"/>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7F4BBC9B">
      <w:pPr>
        <w:autoSpaceDE w:val="0"/>
        <w:autoSpaceDN w:val="0"/>
        <w:adjustRightInd w:val="0"/>
        <w:spacing w:line="600" w:lineRule="exact"/>
        <w:ind w:right="924"/>
        <w:jc w:val="righ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2D5B1918">
      <w:pPr>
        <w:autoSpaceDE w:val="0"/>
        <w:autoSpaceDN w:val="0"/>
        <w:adjustRightInd w:val="0"/>
        <w:spacing w:line="600" w:lineRule="exact"/>
        <w:jc w:val="right"/>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5D8AEDF4">
      <w:pPr>
        <w:autoSpaceDE w:val="0"/>
        <w:autoSpaceDN w:val="0"/>
        <w:adjustRightInd w:val="0"/>
        <w:spacing w:line="600" w:lineRule="exact"/>
        <w:outlineLvl w:val="1"/>
        <w:rPr>
          <w:rFonts w:ascii="宋体" w:hAnsi="宋体" w:cs="黑体"/>
          <w:b/>
          <w:bCs/>
          <w:color w:val="000000" w:themeColor="text1"/>
          <w:sz w:val="24"/>
          <w:szCs w:val="21"/>
          <w:highlight w:val="none"/>
          <w:lang w:eastAsia="zh-CN"/>
          <w14:textFill>
            <w14:solidFill>
              <w14:schemeClr w14:val="tx1"/>
            </w14:solidFill>
          </w14:textFill>
        </w:rPr>
      </w:pPr>
      <w:bookmarkStart w:id="181" w:name="_Toc504126844"/>
      <w:bookmarkStart w:id="182" w:name="_Toc506199234"/>
    </w:p>
    <w:p w14:paraId="3AD795D4">
      <w:pPr>
        <w:autoSpaceDE w:val="0"/>
        <w:autoSpaceDN w:val="0"/>
        <w:adjustRightInd w:val="0"/>
        <w:spacing w:line="460" w:lineRule="exact"/>
        <w:outlineLvl w:val="1"/>
        <w:rPr>
          <w:rFonts w:ascii="宋体" w:hAnsi="宋体" w:cs="黑体"/>
          <w:b/>
          <w:bCs/>
          <w:color w:val="000000" w:themeColor="text1"/>
          <w:sz w:val="24"/>
          <w:szCs w:val="21"/>
          <w:highlight w:val="none"/>
          <w:lang w:eastAsia="zh-CN"/>
          <w14:textFill>
            <w14:solidFill>
              <w14:schemeClr w14:val="tx1"/>
            </w14:solidFill>
          </w14:textFill>
        </w:rPr>
      </w:pPr>
    </w:p>
    <w:p w14:paraId="6727D1EE">
      <w:pPr>
        <w:autoSpaceDE w:val="0"/>
        <w:autoSpaceDN w:val="0"/>
        <w:adjustRightInd w:val="0"/>
        <w:spacing w:line="460" w:lineRule="exact"/>
        <w:outlineLvl w:val="1"/>
        <w:rPr>
          <w:rFonts w:ascii="宋体" w:hAnsi="宋体" w:cs="黑体"/>
          <w:b/>
          <w:bCs/>
          <w:color w:val="000000" w:themeColor="text1"/>
          <w:sz w:val="24"/>
          <w:szCs w:val="21"/>
          <w:highlight w:val="none"/>
          <w:lang w:eastAsia="zh-CN"/>
          <w14:textFill>
            <w14:solidFill>
              <w14:schemeClr w14:val="tx1"/>
            </w14:solidFill>
          </w14:textFill>
        </w:rPr>
      </w:pPr>
    </w:p>
    <w:p w14:paraId="79A7CE2E">
      <w:pPr>
        <w:autoSpaceDE w:val="0"/>
        <w:autoSpaceDN w:val="0"/>
        <w:adjustRightInd w:val="0"/>
        <w:spacing w:line="460" w:lineRule="exact"/>
        <w:outlineLvl w:val="1"/>
        <w:rPr>
          <w:rFonts w:ascii="宋体" w:hAnsi="宋体" w:cs="黑体"/>
          <w:b/>
          <w:bCs/>
          <w:color w:val="000000" w:themeColor="text1"/>
          <w:sz w:val="24"/>
          <w:szCs w:val="21"/>
          <w:highlight w:val="none"/>
          <w:lang w:eastAsia="zh-CN"/>
          <w14:textFill>
            <w14:solidFill>
              <w14:schemeClr w14:val="tx1"/>
            </w14:solidFill>
          </w14:textFill>
        </w:rPr>
      </w:pPr>
    </w:p>
    <w:p w14:paraId="29B7DFA1">
      <w:pPr>
        <w:autoSpaceDE w:val="0"/>
        <w:autoSpaceDN w:val="0"/>
        <w:adjustRightInd w:val="0"/>
        <w:spacing w:line="460" w:lineRule="exact"/>
        <w:outlineLvl w:val="1"/>
        <w:rPr>
          <w:rFonts w:ascii="宋体" w:hAnsi="宋体" w:cs="黑体"/>
          <w:b/>
          <w:bCs/>
          <w:color w:val="000000" w:themeColor="text1"/>
          <w:sz w:val="24"/>
          <w:szCs w:val="21"/>
          <w:highlight w:val="none"/>
          <w:lang w:val="zh-CN" w:eastAsia="zh-CN"/>
          <w14:textFill>
            <w14:solidFill>
              <w14:schemeClr w14:val="tx1"/>
            </w14:solidFill>
          </w14:textFill>
        </w:rPr>
      </w:pPr>
      <w:bookmarkStart w:id="183" w:name="_Toc11616"/>
      <w:bookmarkStart w:id="184" w:name="_Toc27923"/>
      <w:bookmarkStart w:id="185" w:name="_Toc175663958"/>
      <w:r>
        <w:rPr>
          <w:rFonts w:hint="eastAsia" w:ascii="宋体" w:hAnsi="宋体" w:cs="黑体"/>
          <w:b/>
          <w:bCs/>
          <w:color w:val="000000" w:themeColor="text1"/>
          <w:sz w:val="24"/>
          <w:szCs w:val="21"/>
          <w:highlight w:val="none"/>
          <w:lang w:val="en-US" w:eastAsia="zh-CN"/>
          <w14:textFill>
            <w14:solidFill>
              <w14:schemeClr w14:val="tx1"/>
            </w14:solidFill>
          </w14:textFill>
        </w:rPr>
        <w:t>八</w:t>
      </w:r>
      <w:r>
        <w:rPr>
          <w:rFonts w:hint="eastAsia" w:ascii="宋体" w:hAnsi="宋体" w:cs="黑体"/>
          <w:b/>
          <w:bCs/>
          <w:color w:val="000000" w:themeColor="text1"/>
          <w:sz w:val="24"/>
          <w:szCs w:val="21"/>
          <w:highlight w:val="none"/>
          <w:lang w:val="zh-CN" w:eastAsia="zh-CN"/>
          <w14:textFill>
            <w14:solidFill>
              <w14:schemeClr w14:val="tx1"/>
            </w14:solidFill>
          </w14:textFill>
        </w:rPr>
        <w:t>、具备履行合同所必需的设备和专业技术能力的书面声明</w:t>
      </w:r>
      <w:bookmarkEnd w:id="181"/>
      <w:bookmarkEnd w:id="182"/>
      <w:bookmarkEnd w:id="183"/>
      <w:bookmarkEnd w:id="184"/>
      <w:bookmarkEnd w:id="185"/>
    </w:p>
    <w:p w14:paraId="38170D9E">
      <w:pPr>
        <w:spacing w:line="360" w:lineRule="auto"/>
        <w:ind w:firstLine="504" w:firstLineChars="200"/>
        <w:rPr>
          <w:color w:val="000000" w:themeColor="text1"/>
          <w:spacing w:val="6"/>
          <w:sz w:val="24"/>
          <w:szCs w:val="21"/>
          <w:highlight w:val="none"/>
          <w:lang w:eastAsia="zh-CN"/>
          <w14:textFill>
            <w14:solidFill>
              <w14:schemeClr w14:val="tx1"/>
            </w14:solidFill>
          </w14:textFill>
        </w:rPr>
      </w:pPr>
    </w:p>
    <w:p w14:paraId="6DE6F1A1">
      <w:pPr>
        <w:autoSpaceDE w:val="0"/>
        <w:autoSpaceDN w:val="0"/>
        <w:adjustRightInd w:val="0"/>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我单位郑重声明：我单位具备履行本项采购合同所必需的设备和专业技术能力，为履行本项采购合同我公司具备如下主要设备和主要专业技术能力：</w:t>
      </w:r>
    </w:p>
    <w:p w14:paraId="5924E149">
      <w:pPr>
        <w:autoSpaceDE w:val="0"/>
        <w:autoSpaceDN w:val="0"/>
        <w:adjustRightInd w:val="0"/>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主要设备有：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w:t>
      </w:r>
    </w:p>
    <w:p w14:paraId="681D6FE1">
      <w:pPr>
        <w:autoSpaceDE w:val="0"/>
        <w:autoSpaceDN w:val="0"/>
        <w:adjustRightInd w:val="0"/>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主要专业技术能力有：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w:t>
      </w:r>
    </w:p>
    <w:p w14:paraId="2CF53753">
      <w:pPr>
        <w:autoSpaceDE w:val="0"/>
        <w:autoSpaceDN w:val="0"/>
        <w:adjustRightInd w:val="0"/>
        <w:rPr>
          <w:rFonts w:ascii="宋体" w:hAnsi="宋体" w:cs="宋体"/>
          <w:color w:val="000000" w:themeColor="text1"/>
          <w:sz w:val="24"/>
          <w:szCs w:val="21"/>
          <w:highlight w:val="none"/>
          <w:lang w:val="zh-CN" w:eastAsia="zh-CN"/>
          <w14:textFill>
            <w14:solidFill>
              <w14:schemeClr w14:val="tx1"/>
            </w14:solidFill>
          </w14:textFill>
        </w:rPr>
      </w:pPr>
    </w:p>
    <w:p w14:paraId="12B305BA">
      <w:pPr>
        <w:autoSpaceDE w:val="0"/>
        <w:autoSpaceDN w:val="0"/>
        <w:adjustRightInd w:val="0"/>
        <w:snapToGrid w:val="0"/>
        <w:spacing w:line="600" w:lineRule="exact"/>
        <w:ind w:right="840"/>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供应商</w:t>
      </w:r>
      <w:r>
        <w:rPr>
          <w:color w:val="000000" w:themeColor="text1"/>
          <w:sz w:val="24"/>
          <w:szCs w:val="21"/>
          <w:highlight w:val="none"/>
          <w:lang w:eastAsia="zh-CN"/>
          <w14:textFill>
            <w14:solidFill>
              <w14:schemeClr w14:val="tx1"/>
            </w14:solidFill>
          </w14:textFill>
        </w:rPr>
        <w:t xml:space="preserve">（盖章）：           </w:t>
      </w:r>
    </w:p>
    <w:p w14:paraId="0FED0F05">
      <w:pPr>
        <w:autoSpaceDE w:val="0"/>
        <w:autoSpaceDN w:val="0"/>
        <w:adjustRightInd w:val="0"/>
        <w:snapToGrid w:val="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4B243306">
      <w:pPr>
        <w:autoSpaceDE w:val="0"/>
        <w:autoSpaceDN w:val="0"/>
        <w:adjustRightInd w:val="0"/>
        <w:snapToGrid w:val="0"/>
        <w:spacing w:line="600" w:lineRule="exact"/>
        <w:rPr>
          <w:color w:val="000000" w:themeColor="text1"/>
          <w:sz w:val="24"/>
          <w:szCs w:val="21"/>
          <w:highlight w:val="none"/>
          <w:lang w:val="zh-CN" w:eastAsia="zh-CN"/>
          <w14:textFill>
            <w14:solidFill>
              <w14:schemeClr w14:val="tx1"/>
            </w14:solidFill>
          </w14:textFill>
        </w:rPr>
      </w:pPr>
    </w:p>
    <w:p w14:paraId="48809019">
      <w:pPr>
        <w:autoSpaceDE w:val="0"/>
        <w:autoSpaceDN w:val="0"/>
        <w:adjustRightInd w:val="0"/>
        <w:snapToGrid w:val="0"/>
        <w:spacing w:line="600" w:lineRule="exact"/>
        <w:rPr>
          <w:rFonts w:ascii="宋体" w:hAnsi="宋体"/>
          <w:color w:val="000000" w:themeColor="text1"/>
          <w:sz w:val="24"/>
          <w:highlight w:val="none"/>
          <w:lang w:eastAsia="zh-CN"/>
          <w14:textFill>
            <w14:solidFill>
              <w14:schemeClr w14:val="tx1"/>
            </w14:solidFill>
          </w14:textFill>
        </w:rPr>
      </w:pPr>
    </w:p>
    <w:p w14:paraId="0251B79B">
      <w:pPr>
        <w:wordWrap w:val="0"/>
        <w:ind w:right="444"/>
        <w:rPr>
          <w:rFonts w:ascii="宋体" w:hAnsi="宋体"/>
          <w:b/>
          <w:color w:val="000000" w:themeColor="text1"/>
          <w:sz w:val="24"/>
          <w:szCs w:val="21"/>
          <w:highlight w:val="none"/>
          <w:lang w:eastAsia="zh-CN"/>
          <w14:textFill>
            <w14:solidFill>
              <w14:schemeClr w14:val="tx1"/>
            </w14:solidFill>
          </w14:textFill>
        </w:rPr>
      </w:pPr>
    </w:p>
    <w:p w14:paraId="7B1A81D5">
      <w:pPr>
        <w:wordWrap w:val="0"/>
        <w:ind w:right="444"/>
        <w:rPr>
          <w:rFonts w:ascii="宋体" w:hAnsi="宋体"/>
          <w:b/>
          <w:color w:val="000000" w:themeColor="text1"/>
          <w:sz w:val="24"/>
          <w:szCs w:val="21"/>
          <w:highlight w:val="none"/>
          <w:lang w:eastAsia="zh-CN"/>
          <w14:textFill>
            <w14:solidFill>
              <w14:schemeClr w14:val="tx1"/>
            </w14:solidFill>
          </w14:textFill>
        </w:rPr>
      </w:pPr>
    </w:p>
    <w:p w14:paraId="45793AA8">
      <w:pPr>
        <w:outlineLvl w:val="1"/>
        <w:rPr>
          <w:rFonts w:ascii="宋体" w:hAnsi="宋体"/>
          <w:b/>
          <w:color w:val="000000" w:themeColor="text1"/>
          <w:sz w:val="24"/>
          <w:szCs w:val="21"/>
          <w:highlight w:val="none"/>
          <w:lang w:eastAsia="zh-CN"/>
          <w14:textFill>
            <w14:solidFill>
              <w14:schemeClr w14:val="tx1"/>
            </w14:solidFill>
          </w14:textFill>
        </w:rPr>
      </w:pPr>
      <w:bookmarkStart w:id="186" w:name="_Toc28457"/>
      <w:bookmarkStart w:id="187" w:name="_Toc13813"/>
      <w:bookmarkStart w:id="188" w:name="_Toc175663959"/>
      <w:r>
        <w:rPr>
          <w:rFonts w:hint="eastAsia" w:ascii="宋体" w:hAnsi="宋体"/>
          <w:b/>
          <w:color w:val="000000" w:themeColor="text1"/>
          <w:sz w:val="24"/>
          <w:szCs w:val="21"/>
          <w:highlight w:val="none"/>
          <w:lang w:val="en-US" w:eastAsia="zh-CN"/>
          <w14:textFill>
            <w14:solidFill>
              <w14:schemeClr w14:val="tx1"/>
            </w14:solidFill>
          </w14:textFill>
        </w:rPr>
        <w:t>九</w:t>
      </w:r>
      <w:r>
        <w:rPr>
          <w:rFonts w:hint="eastAsia" w:ascii="宋体" w:hAnsi="宋体"/>
          <w:b/>
          <w:color w:val="000000" w:themeColor="text1"/>
          <w:sz w:val="24"/>
          <w:szCs w:val="21"/>
          <w:highlight w:val="none"/>
          <w:lang w:eastAsia="zh-CN"/>
          <w14:textFill>
            <w14:solidFill>
              <w14:schemeClr w14:val="tx1"/>
            </w14:solidFill>
          </w14:textFill>
        </w:rPr>
        <w:t>、</w:t>
      </w:r>
      <w:bookmarkEnd w:id="180"/>
      <w:bookmarkEnd w:id="186"/>
      <w:bookmarkEnd w:id="187"/>
      <w:r>
        <w:rPr>
          <w:rFonts w:hint="eastAsia" w:ascii="宋体" w:hAnsi="宋体"/>
          <w:b/>
          <w:color w:val="000000" w:themeColor="text1"/>
          <w:sz w:val="24"/>
          <w:szCs w:val="21"/>
          <w:highlight w:val="none"/>
          <w:lang w:eastAsia="zh-CN"/>
          <w14:textFill>
            <w14:solidFill>
              <w14:schemeClr w14:val="tx1"/>
            </w14:solidFill>
          </w14:textFill>
        </w:rPr>
        <w:t>服务承诺书</w:t>
      </w:r>
      <w:bookmarkEnd w:id="188"/>
    </w:p>
    <w:p w14:paraId="19396980">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r>
        <w:rPr>
          <w:rFonts w:hint="eastAsia" w:ascii="黑体" w:eastAsia="黑体" w:cs="黑体"/>
          <w:b/>
          <w:bCs/>
          <w:color w:val="000000" w:themeColor="text1"/>
          <w:sz w:val="36"/>
          <w:szCs w:val="28"/>
          <w:highlight w:val="none"/>
          <w:lang w:val="zh-CN" w:eastAsia="zh-CN"/>
          <w14:textFill>
            <w14:solidFill>
              <w14:schemeClr w14:val="tx1"/>
            </w14:solidFill>
          </w14:textFill>
        </w:rPr>
        <w:t>服务承诺书</w:t>
      </w:r>
    </w:p>
    <w:p w14:paraId="2DF90E07">
      <w:pPr>
        <w:autoSpaceDE w:val="0"/>
        <w:autoSpaceDN w:val="0"/>
        <w:adjustRightInd w:val="0"/>
        <w:rPr>
          <w:rFonts w:eastAsia="黑体"/>
          <w:color w:val="000000" w:themeColor="text1"/>
          <w:sz w:val="24"/>
          <w:szCs w:val="21"/>
          <w:highlight w:val="none"/>
          <w:lang w:eastAsia="zh-CN"/>
          <w14:textFill>
            <w14:solidFill>
              <w14:schemeClr w14:val="tx1"/>
            </w14:solidFill>
          </w14:textFill>
        </w:rPr>
      </w:pPr>
    </w:p>
    <w:p w14:paraId="236546C8">
      <w:pPr>
        <w:autoSpaceDE w:val="0"/>
        <w:autoSpaceDN w:val="0"/>
        <w:adjustRightInd w:val="0"/>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ab/>
      </w:r>
      <w:r>
        <w:rPr>
          <w:rFonts w:hint="eastAsia" w:ascii="宋体" w:cs="宋体"/>
          <w:color w:val="000000" w:themeColor="text1"/>
          <w:sz w:val="24"/>
          <w:szCs w:val="21"/>
          <w:highlight w:val="none"/>
          <w:lang w:val="zh-CN" w:eastAsia="zh-CN"/>
          <w14:textFill>
            <w14:solidFill>
              <w14:schemeClr w14:val="tx1"/>
            </w14:solidFill>
          </w14:textFill>
        </w:rPr>
        <w:t>我公司就项目编号为“JSZC-320115-NJMT-C2026-0003”的</w:t>
      </w:r>
      <w:r>
        <w:rPr>
          <w:rFonts w:hint="eastAsia" w:ascii="宋体" w:hAnsi="宋体" w:eastAsia="宋体" w:cs="宋体"/>
          <w:color w:val="000000" w:themeColor="text1"/>
          <w:sz w:val="24"/>
          <w:highlight w:val="none"/>
          <w:u w:val="single"/>
          <w:lang w:eastAsia="zh-CN"/>
          <w14:textFill>
            <w14:solidFill>
              <w14:schemeClr w14:val="tx1"/>
            </w14:solidFill>
          </w14:textFill>
        </w:rPr>
        <w:t>原铜井化工园退役场地风险评估项目</w:t>
      </w:r>
      <w:r>
        <w:rPr>
          <w:rFonts w:hint="eastAsia" w:asci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cs="宋体"/>
          <w:color w:val="000000" w:themeColor="text1"/>
          <w:sz w:val="24"/>
          <w:szCs w:val="21"/>
          <w:highlight w:val="none"/>
          <w:lang w:val="zh-CN" w:eastAsia="zh-CN"/>
          <w14:textFill>
            <w14:solidFill>
              <w14:schemeClr w14:val="tx1"/>
            </w14:solidFill>
          </w14:textFill>
        </w:rPr>
        <w:t>质量保证及服务承诺如下：</w:t>
      </w:r>
    </w:p>
    <w:p w14:paraId="2DE1C665">
      <w:pPr>
        <w:autoSpaceDE w:val="0"/>
        <w:autoSpaceDN w:val="0"/>
        <w:adjustRightInd w:val="0"/>
        <w:spacing w:line="500" w:lineRule="exact"/>
        <w:ind w:firstLine="360"/>
        <w:rPr>
          <w:rFonts w:ascii="宋体" w:cs="宋体"/>
          <w:color w:val="000000" w:themeColor="text1"/>
          <w:sz w:val="24"/>
          <w:szCs w:val="21"/>
          <w:highlight w:val="none"/>
          <w:lang w:val="zh-CN" w:eastAsia="zh-CN"/>
          <w14:textFill>
            <w14:solidFill>
              <w14:schemeClr w14:val="tx1"/>
            </w14:solidFill>
          </w14:textFill>
        </w:rPr>
      </w:pPr>
    </w:p>
    <w:p w14:paraId="43FAC824">
      <w:pPr>
        <w:autoSpaceDE w:val="0"/>
        <w:autoSpaceDN w:val="0"/>
        <w:adjustRightInd w:val="0"/>
        <w:spacing w:line="500" w:lineRule="exact"/>
        <w:ind w:firstLine="36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（其他服务承诺供应商自拟）</w:t>
      </w:r>
    </w:p>
    <w:p w14:paraId="2B567DDD">
      <w:pPr>
        <w:autoSpaceDE w:val="0"/>
        <w:autoSpaceDN w:val="0"/>
        <w:adjustRightInd w:val="0"/>
        <w:ind w:firstLine="360"/>
        <w:rPr>
          <w:rFonts w:ascii="宋体" w:cs="宋体"/>
          <w:color w:val="000000" w:themeColor="text1"/>
          <w:sz w:val="24"/>
          <w:szCs w:val="21"/>
          <w:highlight w:val="none"/>
          <w:lang w:val="zh-CN" w:eastAsia="zh-CN"/>
          <w14:textFill>
            <w14:solidFill>
              <w14:schemeClr w14:val="tx1"/>
            </w14:solidFill>
          </w14:textFill>
        </w:rPr>
      </w:pPr>
    </w:p>
    <w:p w14:paraId="575DD72B">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121FC665">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3D098216">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5AC59DA3">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BB4B272">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30EABFC7">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E40C5BB">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0C25AF30">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F82BB6C">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6AD803A4">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33C97FB0">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EF69201">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17F13D79">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5FB79301">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2BB73362">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6F04C3F">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08DB0757">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61C0B41E">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3A800101">
      <w:pPr>
        <w:outlineLvl w:val="1"/>
        <w:rPr>
          <w:rFonts w:ascii="宋体" w:hAnsi="宋体"/>
          <w:b/>
          <w:color w:val="000000" w:themeColor="text1"/>
          <w:sz w:val="24"/>
          <w:szCs w:val="21"/>
          <w:highlight w:val="none"/>
          <w:lang w:eastAsia="zh-CN"/>
          <w14:textFill>
            <w14:solidFill>
              <w14:schemeClr w14:val="tx1"/>
            </w14:solidFill>
          </w14:textFill>
        </w:rPr>
      </w:pPr>
      <w:bookmarkStart w:id="189" w:name="_Toc175663960"/>
      <w:bookmarkStart w:id="190" w:name="_Toc20990"/>
      <w:bookmarkStart w:id="191" w:name="_Toc29039"/>
      <w:r>
        <w:rPr>
          <w:rFonts w:hint="eastAsia" w:ascii="宋体" w:hAnsi="宋体"/>
          <w:b/>
          <w:color w:val="000000" w:themeColor="text1"/>
          <w:sz w:val="24"/>
          <w:szCs w:val="21"/>
          <w:highlight w:val="none"/>
          <w:lang w:eastAsia="zh-CN"/>
          <w14:textFill>
            <w14:solidFill>
              <w14:schemeClr w14:val="tx1"/>
            </w14:solidFill>
          </w14:textFill>
        </w:rPr>
        <w:t>十、</w:t>
      </w:r>
      <w:bookmarkStart w:id="192" w:name="_Toc354594122"/>
      <w:r>
        <w:rPr>
          <w:rFonts w:hint="eastAsia" w:ascii="宋体" w:hAnsi="宋体"/>
          <w:b/>
          <w:color w:val="000000" w:themeColor="text1"/>
          <w:sz w:val="24"/>
          <w:szCs w:val="21"/>
          <w:highlight w:val="none"/>
          <w:lang w:eastAsia="zh-CN"/>
          <w14:textFill>
            <w14:solidFill>
              <w14:schemeClr w14:val="tx1"/>
            </w14:solidFill>
          </w14:textFill>
        </w:rPr>
        <w:t>中小企业声明函</w:t>
      </w:r>
      <w:bookmarkEnd w:id="189"/>
      <w:bookmarkEnd w:id="190"/>
      <w:bookmarkEnd w:id="191"/>
      <w:bookmarkEnd w:id="192"/>
    </w:p>
    <w:p w14:paraId="52AADC99">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bookmarkStart w:id="193" w:name="_Toc341184790"/>
      <w:r>
        <w:rPr>
          <w:rFonts w:hint="eastAsia" w:ascii="黑体" w:eastAsia="黑体" w:cs="黑体"/>
          <w:b/>
          <w:bCs/>
          <w:color w:val="000000" w:themeColor="text1"/>
          <w:sz w:val="36"/>
          <w:szCs w:val="28"/>
          <w:highlight w:val="none"/>
          <w:lang w:val="zh-CN" w:eastAsia="zh-CN"/>
          <w14:textFill>
            <w14:solidFill>
              <w14:schemeClr w14:val="tx1"/>
            </w14:solidFill>
          </w14:textFill>
        </w:rPr>
        <w:t>中小企业声明函</w:t>
      </w:r>
      <w:bookmarkEnd w:id="193"/>
    </w:p>
    <w:p w14:paraId="0696A50F">
      <w:pPr>
        <w:rPr>
          <w:rFonts w:ascii="宋体" w:hAnsi="宋体"/>
          <w:b/>
          <w:color w:val="000000" w:themeColor="text1"/>
          <w:sz w:val="24"/>
          <w:szCs w:val="21"/>
          <w:highlight w:val="none"/>
          <w:lang w:eastAsia="zh-CN"/>
          <w14:textFill>
            <w14:solidFill>
              <w14:schemeClr w14:val="tx1"/>
            </w14:solidFill>
          </w14:textFill>
        </w:rPr>
      </w:pPr>
    </w:p>
    <w:p w14:paraId="0AD740C4">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szCs w:val="20"/>
          <w:highlight w:val="none"/>
          <w:u w:val="single"/>
          <w14:textFill>
            <w14:solidFill>
              <w14:schemeClr w14:val="tx1"/>
            </w14:solidFill>
          </w14:textFill>
        </w:rPr>
        <w:t xml:space="preserve">    （单位名称）</w:t>
      </w:r>
      <w:r>
        <w:rPr>
          <w:rFonts w:hint="eastAsia" w:ascii="宋体" w:hAnsi="宋体" w:eastAsia="宋体" w:cs="宋体"/>
          <w:color w:val="000000" w:themeColor="text1"/>
          <w:highlight w:val="none"/>
          <w:lang w:bidi="ar"/>
          <w14:textFill>
            <w14:solidFill>
              <w14:schemeClr w14:val="tx1"/>
            </w14:solidFill>
          </w14:textFill>
        </w:rPr>
        <w:t>的</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szCs w:val="20"/>
          <w:highlight w:val="none"/>
          <w:u w:val="single"/>
          <w14:textFill>
            <w14:solidFill>
              <w14:schemeClr w14:val="tx1"/>
            </w14:solidFill>
          </w14:textFill>
        </w:rPr>
        <w:t xml:space="preserve">   （项目名称）采</w:t>
      </w:r>
      <w:r>
        <w:rPr>
          <w:rFonts w:hint="eastAsia" w:ascii="宋体" w:hAnsi="宋体" w:eastAsia="宋体" w:cs="宋体"/>
          <w:color w:val="000000" w:themeColor="text1"/>
          <w:szCs w:val="20"/>
          <w:highlight w:val="none"/>
          <w14:textFill>
            <w14:solidFill>
              <w14:schemeClr w14:val="tx1"/>
            </w14:solidFill>
          </w14:textFill>
        </w:rPr>
        <w:t>购活动，提供的货物全部由符合政策要求的中小企业制造。相关企业（含联合体中的中小企业、签订分包意向协议的中小企业）的具体情况如下：</w:t>
      </w:r>
    </w:p>
    <w:p w14:paraId="5BAC0EB2">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1</w:t>
      </w:r>
      <w:r>
        <w:rPr>
          <w:rFonts w:hint="eastAsia" w:ascii="宋体" w:hAnsi="宋体" w:eastAsia="宋体" w:cs="宋体"/>
          <w:color w:val="000000" w:themeColor="text1"/>
          <w:szCs w:val="20"/>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bidi="ar"/>
          <w14:textFill>
            <w14:solidFill>
              <w14:schemeClr w14:val="tx1"/>
            </w14:solidFill>
          </w14:textFill>
        </w:rPr>
        <w:t>（</w:t>
      </w:r>
      <w:r>
        <w:rPr>
          <w:rFonts w:hint="eastAsia" w:ascii="宋体" w:hAnsi="宋体" w:eastAsia="宋体" w:cs="宋体"/>
          <w:color w:val="000000" w:themeColor="text1"/>
          <w:szCs w:val="20"/>
          <w:highlight w:val="none"/>
          <w:u w:val="single"/>
          <w14:textFill>
            <w14:solidFill>
              <w14:schemeClr w14:val="tx1"/>
            </w14:solidFill>
          </w14:textFill>
        </w:rPr>
        <w:t>标的名称）</w:t>
      </w:r>
      <w:r>
        <w:rPr>
          <w:rFonts w:hint="eastAsia" w:ascii="宋体" w:hAnsi="宋体" w:eastAsia="宋体" w:cs="宋体"/>
          <w:color w:val="000000" w:themeColor="text1"/>
          <w:highlight w:val="none"/>
          <w:lang w:bidi="ar"/>
          <w14:textFill>
            <w14:solidFill>
              <w14:schemeClr w14:val="tx1"/>
            </w14:solidFill>
          </w14:textFill>
        </w:rPr>
        <w:t>，属于</w:t>
      </w:r>
      <w:r>
        <w:rPr>
          <w:rFonts w:hint="eastAsia" w:ascii="宋体" w:hAnsi="宋体" w:eastAsia="宋体" w:cs="宋体"/>
          <w:color w:val="000000" w:themeColor="text1"/>
          <w:szCs w:val="20"/>
          <w:highlight w:val="none"/>
          <w:u w:val="single"/>
          <w:lang w:val="en-US" w:eastAsia="zh-CN"/>
          <w14:textFill>
            <w14:solidFill>
              <w14:schemeClr w14:val="tx1"/>
            </w14:solidFill>
          </w14:textFill>
        </w:rPr>
        <w:t>其他未列明</w:t>
      </w:r>
      <w:r>
        <w:rPr>
          <w:rFonts w:hint="eastAsia" w:ascii="宋体" w:hAnsi="宋体" w:eastAsia="宋体" w:cs="宋体"/>
          <w:color w:val="000000" w:themeColor="text1"/>
          <w:highlight w:val="none"/>
          <w:lang w:bidi="ar"/>
          <w14:textFill>
            <w14:solidFill>
              <w14:schemeClr w14:val="tx1"/>
            </w14:solidFill>
          </w14:textFill>
        </w:rPr>
        <w:t>行业；</w:t>
      </w:r>
      <w:r>
        <w:rPr>
          <w:rFonts w:hint="eastAsia" w:ascii="宋体" w:hAnsi="宋体" w:eastAsia="宋体" w:cs="宋体"/>
          <w:color w:val="000000" w:themeColor="text1"/>
          <w:szCs w:val="20"/>
          <w:highlight w:val="none"/>
          <w14:textFill>
            <w14:solidFill>
              <w14:schemeClr w14:val="tx1"/>
            </w14:solidFill>
          </w14:textFill>
        </w:rPr>
        <w:t xml:space="preserve">制造商为 </w:t>
      </w:r>
      <w:r>
        <w:rPr>
          <w:rFonts w:hint="eastAsia" w:ascii="宋体" w:hAnsi="宋体" w:eastAsia="宋体" w:cs="宋体"/>
          <w:color w:val="000000" w:themeColor="text1"/>
          <w:szCs w:val="20"/>
          <w:highlight w:val="none"/>
          <w:u w:val="single"/>
          <w14:textFill>
            <w14:solidFill>
              <w14:schemeClr w14:val="tx1"/>
            </w14:solidFill>
          </w14:textFill>
        </w:rPr>
        <w:t xml:space="preserve">         （企业名称）</w:t>
      </w:r>
      <w:r>
        <w:rPr>
          <w:rFonts w:hint="eastAsia" w:ascii="宋体" w:hAnsi="宋体" w:eastAsia="宋体" w:cs="宋体"/>
          <w:color w:val="000000" w:themeColor="text1"/>
          <w:highlight w:val="none"/>
          <w:lang w:bidi="ar"/>
          <w14:textFill>
            <w14:solidFill>
              <w14:schemeClr w14:val="tx1"/>
            </w14:solidFill>
          </w14:textFill>
        </w:rPr>
        <w:t>，</w:t>
      </w:r>
      <w:r>
        <w:rPr>
          <w:rFonts w:hint="eastAsia" w:ascii="宋体" w:hAnsi="宋体" w:eastAsia="宋体" w:cs="宋体"/>
          <w:color w:val="000000" w:themeColor="text1"/>
          <w:szCs w:val="20"/>
          <w:highlight w:val="none"/>
          <w14:textFill>
            <w14:solidFill>
              <w14:schemeClr w14:val="tx1"/>
            </w14:solidFill>
          </w14:textFill>
        </w:rPr>
        <w:t>从业人员</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人，</w:t>
      </w:r>
      <w:r>
        <w:rPr>
          <w:rFonts w:hint="eastAsia" w:ascii="宋体" w:hAnsi="宋体" w:eastAsia="宋体" w:cs="宋体"/>
          <w:color w:val="000000" w:themeColor="text1"/>
          <w:szCs w:val="20"/>
          <w:highlight w:val="none"/>
          <w14:textFill>
            <w14:solidFill>
              <w14:schemeClr w14:val="tx1"/>
            </w14:solidFill>
          </w14:textFill>
        </w:rPr>
        <w:t>营业收入为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万元，</w:t>
      </w:r>
      <w:r>
        <w:rPr>
          <w:rFonts w:hint="eastAsia" w:ascii="宋体" w:hAnsi="宋体" w:eastAsia="宋体" w:cs="宋体"/>
          <w:color w:val="000000" w:themeColor="text1"/>
          <w:szCs w:val="20"/>
          <w:highlight w:val="none"/>
          <w14:textFill>
            <w14:solidFill>
              <w14:schemeClr w14:val="tx1"/>
            </w14:solidFill>
          </w14:textFill>
        </w:rPr>
        <w:t>资产总额为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万</w:t>
      </w:r>
      <w:r>
        <w:rPr>
          <w:rFonts w:hint="eastAsia" w:ascii="宋体" w:hAnsi="宋体" w:eastAsia="宋体" w:cs="宋体"/>
          <w:color w:val="000000" w:themeColor="text1"/>
          <w:szCs w:val="20"/>
          <w:highlight w:val="none"/>
          <w14:textFill>
            <w14:solidFill>
              <w14:schemeClr w14:val="tx1"/>
            </w14:solidFill>
          </w14:textFill>
        </w:rPr>
        <w:t>元，属于</w:t>
      </w:r>
      <w:r>
        <w:rPr>
          <w:rFonts w:hint="eastAsia" w:ascii="宋体" w:hAnsi="宋体" w:eastAsia="宋体" w:cs="宋体"/>
          <w:color w:val="000000" w:themeColor="text1"/>
          <w:szCs w:val="20"/>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highlight w:val="none"/>
          <w:lang w:bidi="ar"/>
          <w14:textFill>
            <w14:solidFill>
              <w14:schemeClr w14:val="tx1"/>
            </w14:solidFill>
          </w14:textFill>
        </w:rPr>
        <w:t>；</w:t>
      </w:r>
    </w:p>
    <w:p w14:paraId="112D7F89">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2</w:t>
      </w:r>
      <w:r>
        <w:rPr>
          <w:rFonts w:hint="eastAsia" w:ascii="宋体" w:hAnsi="宋体" w:eastAsia="宋体" w:cs="宋体"/>
          <w:color w:val="000000" w:themeColor="text1"/>
          <w:szCs w:val="20"/>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bidi="ar"/>
          <w14:textFill>
            <w14:solidFill>
              <w14:schemeClr w14:val="tx1"/>
            </w14:solidFill>
          </w14:textFill>
        </w:rPr>
        <w:t>（</w:t>
      </w:r>
      <w:r>
        <w:rPr>
          <w:rFonts w:hint="eastAsia" w:ascii="宋体" w:hAnsi="宋体" w:eastAsia="宋体" w:cs="宋体"/>
          <w:color w:val="000000" w:themeColor="text1"/>
          <w:szCs w:val="20"/>
          <w:highlight w:val="none"/>
          <w:u w:val="single"/>
          <w14:textFill>
            <w14:solidFill>
              <w14:schemeClr w14:val="tx1"/>
            </w14:solidFill>
          </w14:textFill>
        </w:rPr>
        <w:t>标的名称）</w:t>
      </w:r>
      <w:r>
        <w:rPr>
          <w:rFonts w:hint="eastAsia" w:ascii="宋体" w:hAnsi="宋体" w:eastAsia="宋体" w:cs="宋体"/>
          <w:color w:val="000000" w:themeColor="text1"/>
          <w:highlight w:val="none"/>
          <w:lang w:bidi="ar"/>
          <w14:textFill>
            <w14:solidFill>
              <w14:schemeClr w14:val="tx1"/>
            </w14:solidFill>
          </w14:textFill>
        </w:rPr>
        <w:t>，属于</w:t>
      </w:r>
      <w:r>
        <w:rPr>
          <w:rFonts w:hint="eastAsia" w:ascii="宋体" w:hAnsi="宋体" w:eastAsia="宋体" w:cs="宋体"/>
          <w:color w:val="000000" w:themeColor="text1"/>
          <w:szCs w:val="20"/>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highlight w:val="none"/>
          <w:lang w:bidi="ar"/>
          <w14:textFill>
            <w14:solidFill>
              <w14:schemeClr w14:val="tx1"/>
            </w14:solidFill>
          </w14:textFill>
        </w:rPr>
        <w:t>行业；</w:t>
      </w:r>
      <w:r>
        <w:rPr>
          <w:rFonts w:hint="eastAsia" w:ascii="宋体" w:hAnsi="宋体" w:eastAsia="宋体" w:cs="宋体"/>
          <w:color w:val="000000" w:themeColor="text1"/>
          <w:szCs w:val="20"/>
          <w:highlight w:val="none"/>
          <w14:textFill>
            <w14:solidFill>
              <w14:schemeClr w14:val="tx1"/>
            </w14:solidFill>
          </w14:textFill>
        </w:rPr>
        <w:t xml:space="preserve">制造商为 </w:t>
      </w:r>
      <w:r>
        <w:rPr>
          <w:rFonts w:hint="eastAsia" w:ascii="宋体" w:hAnsi="宋体" w:eastAsia="宋体" w:cs="宋体"/>
          <w:color w:val="000000" w:themeColor="text1"/>
          <w:szCs w:val="20"/>
          <w:highlight w:val="none"/>
          <w:u w:val="single"/>
          <w14:textFill>
            <w14:solidFill>
              <w14:schemeClr w14:val="tx1"/>
            </w14:solidFill>
          </w14:textFill>
        </w:rPr>
        <w:t xml:space="preserve">         （企业名称）</w:t>
      </w:r>
      <w:r>
        <w:rPr>
          <w:rFonts w:hint="eastAsia" w:ascii="宋体" w:hAnsi="宋体" w:eastAsia="宋体" w:cs="宋体"/>
          <w:color w:val="000000" w:themeColor="text1"/>
          <w:highlight w:val="none"/>
          <w:lang w:bidi="ar"/>
          <w14:textFill>
            <w14:solidFill>
              <w14:schemeClr w14:val="tx1"/>
            </w14:solidFill>
          </w14:textFill>
        </w:rPr>
        <w:t>，</w:t>
      </w:r>
      <w:r>
        <w:rPr>
          <w:rFonts w:hint="eastAsia" w:ascii="宋体" w:hAnsi="宋体" w:eastAsia="宋体" w:cs="宋体"/>
          <w:color w:val="000000" w:themeColor="text1"/>
          <w:szCs w:val="20"/>
          <w:highlight w:val="none"/>
          <w14:textFill>
            <w14:solidFill>
              <w14:schemeClr w14:val="tx1"/>
            </w14:solidFill>
          </w14:textFill>
        </w:rPr>
        <w:t>从业人员</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人，</w:t>
      </w:r>
      <w:r>
        <w:rPr>
          <w:rFonts w:hint="eastAsia" w:ascii="宋体" w:hAnsi="宋体" w:eastAsia="宋体" w:cs="宋体"/>
          <w:color w:val="000000" w:themeColor="text1"/>
          <w:szCs w:val="20"/>
          <w:highlight w:val="none"/>
          <w14:textFill>
            <w14:solidFill>
              <w14:schemeClr w14:val="tx1"/>
            </w14:solidFill>
          </w14:textFill>
        </w:rPr>
        <w:t>营业收入为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万元，</w:t>
      </w:r>
      <w:r>
        <w:rPr>
          <w:rFonts w:hint="eastAsia" w:ascii="宋体" w:hAnsi="宋体" w:eastAsia="宋体" w:cs="宋体"/>
          <w:color w:val="000000" w:themeColor="text1"/>
          <w:szCs w:val="20"/>
          <w:highlight w:val="none"/>
          <w14:textFill>
            <w14:solidFill>
              <w14:schemeClr w14:val="tx1"/>
            </w14:solidFill>
          </w14:textFill>
        </w:rPr>
        <w:t>资产总额为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万</w:t>
      </w:r>
      <w:r>
        <w:rPr>
          <w:rFonts w:hint="eastAsia" w:ascii="宋体" w:hAnsi="宋体" w:eastAsia="宋体" w:cs="宋体"/>
          <w:color w:val="000000" w:themeColor="text1"/>
          <w:szCs w:val="20"/>
          <w:highlight w:val="none"/>
          <w14:textFill>
            <w14:solidFill>
              <w14:schemeClr w14:val="tx1"/>
            </w14:solidFill>
          </w14:textFill>
        </w:rPr>
        <w:t>元，属于</w:t>
      </w:r>
      <w:r>
        <w:rPr>
          <w:rFonts w:hint="eastAsia" w:ascii="宋体" w:hAnsi="宋体" w:eastAsia="宋体" w:cs="宋体"/>
          <w:color w:val="000000" w:themeColor="text1"/>
          <w:szCs w:val="20"/>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highlight w:val="none"/>
          <w:lang w:bidi="ar"/>
          <w14:textFill>
            <w14:solidFill>
              <w14:schemeClr w14:val="tx1"/>
            </w14:solidFill>
          </w14:textFill>
        </w:rPr>
        <w:t>；</w:t>
      </w:r>
    </w:p>
    <w:p w14:paraId="31966E7A">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w:t>
      </w:r>
    </w:p>
    <w:p w14:paraId="1EDF0B24">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以上企业，不属于大企业的分支机构，不存在控股股东为大企业的情形，也不存在与大企业的负责人为同一人的情形。</w:t>
      </w:r>
    </w:p>
    <w:p w14:paraId="43DA28AD">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本企业对上述声明内容的真实性负责。如有虚假，将依法承担相应责任。</w:t>
      </w:r>
    </w:p>
    <w:p w14:paraId="6C6F3A0E">
      <w:pPr>
        <w:widowControl/>
        <w:shd w:val="clear" w:color="auto"/>
        <w:spacing w:before="100" w:beforeAutospacing="1" w:after="100" w:afterAutospacing="1" w:line="435" w:lineRule="exact"/>
        <w:ind w:firstLine="420"/>
        <w:jc w:val="center"/>
        <w:rPr>
          <w:rFonts w:hint="eastAsia" w:ascii="宋体" w:hAnsi="宋体" w:eastAsia="宋体" w:cs="宋体"/>
          <w:color w:val="000000" w:themeColor="text1"/>
          <w:szCs w:val="20"/>
          <w:highlight w:val="none"/>
          <w:lang w:val="en-US" w:eastAsia="zh-CN"/>
          <w14:textFill>
            <w14:solidFill>
              <w14:schemeClr w14:val="tx1"/>
            </w14:solidFill>
          </w14:textFill>
        </w:rPr>
      </w:pP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14:textFill>
            <w14:solidFill>
              <w14:schemeClr w14:val="tx1"/>
            </w14:solidFill>
          </w14:textFill>
        </w:rPr>
        <w:t>企业名称（</w:t>
      </w:r>
      <w:r>
        <w:rPr>
          <w:rFonts w:hint="eastAsia" w:ascii="宋体" w:hAnsi="宋体" w:eastAsia="宋体" w:cs="宋体"/>
          <w:color w:val="000000" w:themeColor="text1"/>
          <w:szCs w:val="20"/>
          <w:highlight w:val="none"/>
          <w:lang w:val="en-US" w:eastAsia="zh-CN"/>
          <w14:textFill>
            <w14:solidFill>
              <w14:schemeClr w14:val="tx1"/>
            </w14:solidFill>
          </w14:textFill>
        </w:rPr>
        <w:t>加盖公章</w:t>
      </w:r>
      <w:r>
        <w:rPr>
          <w:rFonts w:hint="eastAsia" w:ascii="宋体" w:hAnsi="宋体" w:eastAsia="宋体" w:cs="宋体"/>
          <w:color w:val="000000" w:themeColor="text1"/>
          <w:szCs w:val="20"/>
          <w:highlight w:val="none"/>
          <w14:textFill>
            <w14:solidFill>
              <w14:schemeClr w14:val="tx1"/>
            </w14:solidFill>
          </w14:textFill>
        </w:rPr>
        <w:t>）：</w:t>
      </w:r>
      <w:r>
        <w:rPr>
          <w:rFonts w:hint="eastAsia" w:ascii="宋体" w:hAnsi="宋体" w:eastAsia="宋体" w:cs="宋体"/>
          <w:color w:val="000000" w:themeColor="text1"/>
          <w:szCs w:val="20"/>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p>
    <w:p w14:paraId="2DF5BE66">
      <w:pPr>
        <w:widowControl/>
        <w:shd w:val="clear" w:color="auto"/>
        <w:spacing w:before="100" w:beforeAutospacing="1" w:after="100" w:afterAutospacing="1" w:line="435" w:lineRule="exact"/>
        <w:ind w:firstLine="420"/>
        <w:jc w:val="center"/>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14:textFill>
            <w14:solidFill>
              <w14:schemeClr w14:val="tx1"/>
            </w14:solidFill>
          </w14:textFill>
        </w:rPr>
        <w:t>日 期：</w:t>
      </w:r>
    </w:p>
    <w:p w14:paraId="1DFE6D1D">
      <w:pPr>
        <w:shd w:val="clear" w:color="auto"/>
        <w:spacing w:line="420" w:lineRule="auto"/>
        <w:ind w:firstLine="422"/>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vertAlign w:val="superscript"/>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从业人员、营业收入、资产总额填报上一年度数据，无上一年度数据的新成立企业可不填报。</w:t>
      </w:r>
    </w:p>
    <w:p w14:paraId="6F0A42B7">
      <w:pPr>
        <w:shd w:val="clear" w:color="auto"/>
        <w:ind w:firstLine="42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备注：</w:t>
      </w:r>
    </w:p>
    <w:p w14:paraId="4323942A">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如供应商所投货物的制造商均为中小企业的，须由供应商在响应文件中提供加盖本单位公章的</w:t>
      </w:r>
      <w:r>
        <w:rPr>
          <w:rFonts w:hint="eastAsia" w:ascii="宋体" w:hAnsi="宋体" w:eastAsia="宋体" w:cs="宋体"/>
          <w:b/>
          <w:color w:val="000000" w:themeColor="text1"/>
          <w:sz w:val="21"/>
          <w:szCs w:val="21"/>
          <w:highlight w:val="none"/>
          <w14:textFill>
            <w14:solidFill>
              <w14:schemeClr w14:val="tx1"/>
            </w14:solidFill>
          </w14:textFill>
        </w:rPr>
        <w:t>声明</w:t>
      </w:r>
      <w:r>
        <w:rPr>
          <w:rFonts w:hint="eastAsia" w:ascii="宋体" w:hAnsi="宋体" w:eastAsia="宋体" w:cs="宋体"/>
          <w:b/>
          <w:bCs/>
          <w:color w:val="000000" w:themeColor="text1"/>
          <w:sz w:val="21"/>
          <w:szCs w:val="21"/>
          <w:highlight w:val="none"/>
          <w14:textFill>
            <w14:solidFill>
              <w14:schemeClr w14:val="tx1"/>
            </w14:solidFill>
          </w14:textFill>
        </w:rPr>
        <w:t>函，供应商应从制造商处获得充分、准确的信息，并对其出具的《中小企业声明函》真实性负责。</w:t>
      </w:r>
    </w:p>
    <w:p w14:paraId="6ABD06BA">
      <w:pPr>
        <w:outlineLvl w:val="1"/>
        <w:rPr>
          <w:rFonts w:hint="eastAsia" w:ascii="宋体" w:hAnsi="宋体"/>
          <w:b/>
          <w:color w:val="000000" w:themeColor="text1"/>
          <w:sz w:val="24"/>
          <w:szCs w:val="21"/>
          <w:highlight w:val="none"/>
          <w:lang w:eastAsia="zh-CN"/>
          <w14:textFill>
            <w14:solidFill>
              <w14:schemeClr w14:val="tx1"/>
            </w14:solidFill>
          </w14:textFill>
        </w:rPr>
      </w:pPr>
      <w:bookmarkStart w:id="194" w:name="_Toc16865"/>
      <w:bookmarkStart w:id="195" w:name="_Toc175663961"/>
      <w:bookmarkStart w:id="196" w:name="_Toc5281"/>
      <w:bookmarkStart w:id="197" w:name="_Toc30604"/>
    </w:p>
    <w:p w14:paraId="2FFF7DD3">
      <w:pPr>
        <w:outlineLvl w:val="1"/>
        <w:rPr>
          <w:rFonts w:hint="eastAsia" w:ascii="宋体" w:hAnsi="宋体"/>
          <w:b/>
          <w:color w:val="000000" w:themeColor="text1"/>
          <w:sz w:val="24"/>
          <w:szCs w:val="21"/>
          <w:highlight w:val="none"/>
          <w:lang w:eastAsia="zh-CN"/>
          <w14:textFill>
            <w14:solidFill>
              <w14:schemeClr w14:val="tx1"/>
            </w14:solidFill>
          </w14:textFill>
        </w:rPr>
      </w:pPr>
    </w:p>
    <w:p w14:paraId="3DED2647">
      <w:pPr>
        <w:outlineLvl w:val="1"/>
        <w:rPr>
          <w:rFonts w:hint="eastAsia" w:ascii="宋体" w:hAnsi="宋体"/>
          <w:b/>
          <w:color w:val="000000" w:themeColor="text1"/>
          <w:sz w:val="24"/>
          <w:szCs w:val="21"/>
          <w:highlight w:val="none"/>
          <w:lang w:eastAsia="zh-CN"/>
          <w14:textFill>
            <w14:solidFill>
              <w14:schemeClr w14:val="tx1"/>
            </w14:solidFill>
          </w14:textFill>
        </w:rPr>
      </w:pPr>
    </w:p>
    <w:p w14:paraId="23E3FD65">
      <w:pPr>
        <w:outlineLvl w:val="1"/>
        <w:rPr>
          <w:rFonts w:hint="eastAsia" w:ascii="宋体" w:hAnsi="宋体"/>
          <w:b/>
          <w:color w:val="000000" w:themeColor="text1"/>
          <w:sz w:val="24"/>
          <w:szCs w:val="21"/>
          <w:highlight w:val="none"/>
          <w:lang w:eastAsia="zh-CN"/>
          <w14:textFill>
            <w14:solidFill>
              <w14:schemeClr w14:val="tx1"/>
            </w14:solidFill>
          </w14:textFill>
        </w:rPr>
      </w:pPr>
    </w:p>
    <w:p w14:paraId="004BFC54">
      <w:pPr>
        <w:rPr>
          <w:rFonts w:hint="eastAsia"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br w:type="page"/>
      </w:r>
    </w:p>
    <w:p w14:paraId="6E2C1E2B">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t>十</w:t>
      </w:r>
      <w:r>
        <w:rPr>
          <w:rFonts w:hint="eastAsia" w:ascii="宋体" w:hAnsi="宋体"/>
          <w:b/>
          <w:color w:val="000000" w:themeColor="text1"/>
          <w:sz w:val="24"/>
          <w:szCs w:val="21"/>
          <w:highlight w:val="none"/>
          <w:lang w:val="en-US" w:eastAsia="zh-CN"/>
          <w14:textFill>
            <w14:solidFill>
              <w14:schemeClr w14:val="tx1"/>
            </w14:solidFill>
          </w14:textFill>
        </w:rPr>
        <w:t>一</w:t>
      </w:r>
      <w:r>
        <w:rPr>
          <w:rFonts w:hint="eastAsia" w:ascii="宋体" w:hAnsi="宋体"/>
          <w:b/>
          <w:color w:val="000000" w:themeColor="text1"/>
          <w:sz w:val="24"/>
          <w:szCs w:val="21"/>
          <w:highlight w:val="none"/>
          <w:lang w:eastAsia="zh-CN"/>
          <w14:textFill>
            <w14:solidFill>
              <w14:schemeClr w14:val="tx1"/>
            </w14:solidFill>
          </w14:textFill>
        </w:rPr>
        <w:t>、残疾人福利性单位声明函</w:t>
      </w:r>
      <w:bookmarkEnd w:id="194"/>
      <w:bookmarkEnd w:id="195"/>
      <w:bookmarkEnd w:id="196"/>
      <w:bookmarkEnd w:id="197"/>
    </w:p>
    <w:p w14:paraId="55A1494A">
      <w:pPr>
        <w:widowControl/>
        <w:ind w:firstLine="723" w:firstLineChars="200"/>
        <w:jc w:val="center"/>
        <w:rPr>
          <w:color w:val="000000" w:themeColor="text1"/>
          <w:sz w:val="24"/>
          <w:highlight w:val="none"/>
          <w:lang w:eastAsia="zh-CN"/>
          <w14:textFill>
            <w14:solidFill>
              <w14:schemeClr w14:val="tx1"/>
            </w14:solidFill>
          </w14:textFill>
        </w:rPr>
      </w:pPr>
      <w:r>
        <w:rPr>
          <w:rFonts w:eastAsia="黑体"/>
          <w:b/>
          <w:bCs/>
          <w:color w:val="000000" w:themeColor="text1"/>
          <w:sz w:val="36"/>
          <w:szCs w:val="28"/>
          <w:highlight w:val="none"/>
          <w:lang w:eastAsia="zh-CN"/>
          <w14:textFill>
            <w14:solidFill>
              <w14:schemeClr w14:val="tx1"/>
            </w14:solidFill>
          </w14:textFill>
        </w:rPr>
        <w:t>残疾人福利性单位声明函</w:t>
      </w:r>
    </w:p>
    <w:p w14:paraId="350DBDA4">
      <w:pPr>
        <w:spacing w:line="500" w:lineRule="exact"/>
        <w:ind w:firstLine="504" w:firstLineChars="200"/>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本单位郑重声明，根据《财政部民政部中国残疾人联合会关于促进残疾人就业政府采购政策的通知》（财库〔2017〕 141号）的规定，本单位为</w:t>
      </w:r>
      <w:r>
        <w:rPr>
          <w:rFonts w:hint="eastAsia"/>
          <w:color w:val="000000" w:themeColor="text1"/>
          <w:spacing w:val="6"/>
          <w:sz w:val="24"/>
          <w:szCs w:val="21"/>
          <w:highlight w:val="none"/>
          <w:u w:val="single"/>
          <w:lang w:val="zh-CN"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9ECD1D">
      <w:pPr>
        <w:spacing w:line="500" w:lineRule="exact"/>
        <w:ind w:firstLine="504" w:firstLineChars="200"/>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本单位对上述声明的真实性负责。如有虚假，将依法承担相应责任。</w:t>
      </w:r>
    </w:p>
    <w:p w14:paraId="4DFE2772">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p>
    <w:p w14:paraId="107A14EF">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供应商</w:t>
      </w:r>
      <w:r>
        <w:rPr>
          <w:color w:val="000000" w:themeColor="text1"/>
          <w:sz w:val="24"/>
          <w:szCs w:val="21"/>
          <w:highlight w:val="none"/>
          <w:lang w:eastAsia="zh-CN"/>
          <w14:textFill>
            <w14:solidFill>
              <w14:schemeClr w14:val="tx1"/>
            </w14:solidFill>
          </w14:textFill>
        </w:rPr>
        <w:t xml:space="preserve">（盖章）：            </w:t>
      </w:r>
    </w:p>
    <w:p w14:paraId="56457FBD">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141C24D3">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bookmarkStart w:id="198" w:name="_Toc27059"/>
      <w:bookmarkStart w:id="199" w:name="_Toc5074"/>
      <w:bookmarkStart w:id="200" w:name="_Toc24113"/>
    </w:p>
    <w:p w14:paraId="5600AE24">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490907C6">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23B077F8">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6CD6E9EE">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115D7CB7">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BAAEB33">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1E4FAFE3">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2642C3B9">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458227F5">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3699E4D6">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4AF2ABB">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6F05333D">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7E592A5">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4E0EA124">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204F0E91">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5CA0E630">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0CBCB69">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659B3FB">
      <w:pPr>
        <w:widowControl/>
        <w:adjustRightInd w:val="0"/>
        <w:spacing w:line="360" w:lineRule="auto"/>
        <w:outlineLvl w:val="1"/>
        <w:rPr>
          <w:rFonts w:ascii="宋体" w:hAnsi="宋体"/>
          <w:b/>
          <w:color w:val="000000" w:themeColor="text1"/>
          <w:sz w:val="24"/>
          <w:szCs w:val="21"/>
          <w:highlight w:val="none"/>
          <w:lang w:eastAsia="zh-CN"/>
          <w14:textFill>
            <w14:solidFill>
              <w14:schemeClr w14:val="tx1"/>
            </w14:solidFill>
          </w14:textFill>
        </w:rPr>
      </w:pPr>
      <w:bookmarkStart w:id="201" w:name="_Toc175663962"/>
      <w:r>
        <w:rPr>
          <w:rFonts w:hint="eastAsia" w:ascii="宋体" w:hAnsi="宋体"/>
          <w:b/>
          <w:color w:val="000000" w:themeColor="text1"/>
          <w:sz w:val="24"/>
          <w:szCs w:val="21"/>
          <w:highlight w:val="none"/>
          <w:lang w:eastAsia="zh-CN"/>
          <w14:textFill>
            <w14:solidFill>
              <w14:schemeClr w14:val="tx1"/>
            </w14:solidFill>
          </w14:textFill>
        </w:rPr>
        <w:t>十</w:t>
      </w:r>
      <w:r>
        <w:rPr>
          <w:rFonts w:hint="eastAsia" w:ascii="宋体" w:hAnsi="宋体"/>
          <w:b/>
          <w:color w:val="000000" w:themeColor="text1"/>
          <w:sz w:val="24"/>
          <w:szCs w:val="21"/>
          <w:highlight w:val="none"/>
          <w:lang w:val="en-US" w:eastAsia="zh-CN"/>
          <w14:textFill>
            <w14:solidFill>
              <w14:schemeClr w14:val="tx1"/>
            </w14:solidFill>
          </w14:textFill>
        </w:rPr>
        <w:t>二</w:t>
      </w:r>
      <w:r>
        <w:rPr>
          <w:rFonts w:hint="eastAsia" w:ascii="宋体" w:hAnsi="宋体"/>
          <w:b/>
          <w:color w:val="000000" w:themeColor="text1"/>
          <w:sz w:val="24"/>
          <w:szCs w:val="21"/>
          <w:highlight w:val="none"/>
          <w:lang w:eastAsia="zh-CN"/>
          <w14:textFill>
            <w14:solidFill>
              <w14:schemeClr w14:val="tx1"/>
            </w14:solidFill>
          </w14:textFill>
        </w:rPr>
        <w:t>：技术条款偏离表格式</w:t>
      </w:r>
      <w:bookmarkEnd w:id="201"/>
    </w:p>
    <w:p w14:paraId="6DD4A700">
      <w:pPr>
        <w:widowControl/>
        <w:adjustRightInd w:val="0"/>
        <w:ind w:firstLine="723" w:firstLineChars="200"/>
        <w:jc w:val="center"/>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技术条款偏离表</w:t>
      </w:r>
    </w:p>
    <w:tbl>
      <w:tblPr>
        <w:tblStyle w:val="51"/>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5"/>
        <w:gridCol w:w="2338"/>
        <w:gridCol w:w="2693"/>
        <w:gridCol w:w="2410"/>
        <w:gridCol w:w="1229"/>
      </w:tblGrid>
      <w:tr w14:paraId="4507D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7" w:hRule="atLeast"/>
          <w:jc w:val="center"/>
        </w:trPr>
        <w:tc>
          <w:tcPr>
            <w:tcW w:w="9435" w:type="dxa"/>
            <w:gridSpan w:val="5"/>
            <w:tcBorders>
              <w:top w:val="nil"/>
              <w:left w:val="nil"/>
              <w:bottom w:val="single" w:color="auto" w:sz="4" w:space="0"/>
              <w:right w:val="nil"/>
            </w:tcBorders>
            <w:noWrap/>
            <w:vAlign w:val="center"/>
          </w:tcPr>
          <w:p w14:paraId="198CCE04">
            <w:pPr>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项目编号：</w:t>
            </w:r>
            <w:r>
              <w:rPr>
                <w:rFonts w:hint="eastAsia" w:ascii="宋体" w:hAnsi="宋体"/>
                <w:bCs/>
                <w:color w:val="000000" w:themeColor="text1"/>
                <w:sz w:val="24"/>
                <w:szCs w:val="21"/>
                <w:highlight w:val="none"/>
                <w:lang w:eastAsia="zh-CN"/>
                <w14:textFill>
                  <w14:solidFill>
                    <w14:schemeClr w14:val="tx1"/>
                  </w14:solidFill>
                </w14:textFill>
              </w:rPr>
              <w:t>JSZC-320115-NJMT-C2026-0003</w:t>
            </w:r>
          </w:p>
          <w:p w14:paraId="2D85E7D5">
            <w:pPr>
              <w:autoSpaceDE w:val="0"/>
              <w:autoSpaceDN w:val="0"/>
              <w:adjustRightInd w:val="0"/>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项目名称：</w:t>
            </w:r>
            <w:r>
              <w:rPr>
                <w:rFonts w:hint="eastAsia" w:ascii="宋体" w:hAnsi="宋体" w:eastAsia="宋体" w:cs="宋体"/>
                <w:bCs/>
                <w:color w:val="000000" w:themeColor="text1"/>
                <w:sz w:val="24"/>
                <w:szCs w:val="21"/>
                <w:highlight w:val="none"/>
                <w:u w:val="single"/>
                <w:lang w:eastAsia="zh-CN"/>
                <w14:textFill>
                  <w14:solidFill>
                    <w14:schemeClr w14:val="tx1"/>
                  </w14:solidFill>
                </w14:textFill>
              </w:rPr>
              <w:t>原铜井化工园退役场地风险评估项目</w:t>
            </w:r>
          </w:p>
        </w:tc>
      </w:tr>
      <w:tr w14:paraId="2243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tcBorders>
              <w:top w:val="single" w:color="auto" w:sz="4" w:space="0"/>
            </w:tcBorders>
            <w:noWrap/>
            <w:vAlign w:val="center"/>
          </w:tcPr>
          <w:p w14:paraId="17D51A95">
            <w:pPr>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序号</w:t>
            </w:r>
          </w:p>
        </w:tc>
        <w:tc>
          <w:tcPr>
            <w:tcW w:w="2338" w:type="dxa"/>
            <w:tcBorders>
              <w:top w:val="single" w:color="auto" w:sz="4" w:space="0"/>
            </w:tcBorders>
            <w:noWrap/>
            <w:vAlign w:val="center"/>
          </w:tcPr>
          <w:p w14:paraId="48D147D2">
            <w:pPr>
              <w:widowControl/>
              <w:adjustRightInd w:val="0"/>
              <w:spacing w:line="360" w:lineRule="auto"/>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采购文件的技术条款</w:t>
            </w:r>
          </w:p>
        </w:tc>
        <w:tc>
          <w:tcPr>
            <w:tcW w:w="2693" w:type="dxa"/>
            <w:tcBorders>
              <w:top w:val="single" w:color="auto" w:sz="4" w:space="0"/>
            </w:tcBorders>
            <w:noWrap/>
            <w:vAlign w:val="center"/>
          </w:tcPr>
          <w:p w14:paraId="77FAFF47">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响应文件中响应条款</w:t>
            </w:r>
          </w:p>
        </w:tc>
        <w:tc>
          <w:tcPr>
            <w:tcW w:w="2410" w:type="dxa"/>
            <w:tcBorders>
              <w:top w:val="single" w:color="auto" w:sz="4" w:space="0"/>
            </w:tcBorders>
            <w:noWrap/>
            <w:vAlign w:val="center"/>
          </w:tcPr>
          <w:p w14:paraId="77A39772">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符合/正偏离/负偏离</w:t>
            </w:r>
          </w:p>
        </w:tc>
        <w:tc>
          <w:tcPr>
            <w:tcW w:w="1229" w:type="dxa"/>
            <w:tcBorders>
              <w:top w:val="single" w:color="auto" w:sz="4" w:space="0"/>
            </w:tcBorders>
            <w:noWrap/>
            <w:vAlign w:val="center"/>
          </w:tcPr>
          <w:p w14:paraId="71BC1FB6">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备注</w:t>
            </w:r>
          </w:p>
        </w:tc>
      </w:tr>
      <w:tr w14:paraId="2E98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13B9E547">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1</w:t>
            </w:r>
          </w:p>
        </w:tc>
        <w:tc>
          <w:tcPr>
            <w:tcW w:w="2338" w:type="dxa"/>
            <w:noWrap/>
            <w:vAlign w:val="center"/>
          </w:tcPr>
          <w:p w14:paraId="026C0871">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693" w:type="dxa"/>
            <w:noWrap/>
            <w:vAlign w:val="center"/>
          </w:tcPr>
          <w:p w14:paraId="5EA73479">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410" w:type="dxa"/>
            <w:noWrap/>
            <w:vAlign w:val="center"/>
          </w:tcPr>
          <w:p w14:paraId="086FB448">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1229" w:type="dxa"/>
            <w:noWrap/>
            <w:vAlign w:val="center"/>
          </w:tcPr>
          <w:p w14:paraId="4C60F747">
            <w:pPr>
              <w:ind w:firstLine="424" w:firstLineChars="200"/>
              <w:jc w:val="center"/>
              <w:rPr>
                <w:color w:val="000000" w:themeColor="text1"/>
                <w:spacing w:val="6"/>
                <w:sz w:val="20"/>
                <w:szCs w:val="20"/>
                <w:highlight w:val="none"/>
                <w:lang w:val="zh-CN"/>
                <w14:textFill>
                  <w14:solidFill>
                    <w14:schemeClr w14:val="tx1"/>
                  </w14:solidFill>
                </w14:textFill>
              </w:rPr>
            </w:pPr>
          </w:p>
        </w:tc>
      </w:tr>
      <w:tr w14:paraId="7863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6679BD33">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2</w:t>
            </w:r>
          </w:p>
        </w:tc>
        <w:tc>
          <w:tcPr>
            <w:tcW w:w="2338" w:type="dxa"/>
            <w:noWrap/>
            <w:vAlign w:val="center"/>
          </w:tcPr>
          <w:p w14:paraId="6405DE18">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693" w:type="dxa"/>
            <w:noWrap/>
            <w:vAlign w:val="center"/>
          </w:tcPr>
          <w:p w14:paraId="1AE4617D">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410" w:type="dxa"/>
            <w:noWrap/>
            <w:vAlign w:val="center"/>
          </w:tcPr>
          <w:p w14:paraId="16483A64">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1229" w:type="dxa"/>
            <w:noWrap/>
            <w:vAlign w:val="center"/>
          </w:tcPr>
          <w:p w14:paraId="74A2C76A">
            <w:pPr>
              <w:ind w:firstLine="424" w:firstLineChars="200"/>
              <w:jc w:val="center"/>
              <w:rPr>
                <w:color w:val="000000" w:themeColor="text1"/>
                <w:spacing w:val="6"/>
                <w:sz w:val="20"/>
                <w:szCs w:val="20"/>
                <w:highlight w:val="none"/>
                <w:lang w:val="zh-CN"/>
                <w14:textFill>
                  <w14:solidFill>
                    <w14:schemeClr w14:val="tx1"/>
                  </w14:solidFill>
                </w14:textFill>
              </w:rPr>
            </w:pPr>
          </w:p>
        </w:tc>
      </w:tr>
      <w:tr w14:paraId="290B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5" w:hRule="atLeast"/>
          <w:jc w:val="center"/>
        </w:trPr>
        <w:tc>
          <w:tcPr>
            <w:tcW w:w="765" w:type="dxa"/>
            <w:noWrap/>
            <w:vAlign w:val="center"/>
          </w:tcPr>
          <w:p w14:paraId="11ACE033">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3</w:t>
            </w:r>
          </w:p>
        </w:tc>
        <w:tc>
          <w:tcPr>
            <w:tcW w:w="2338" w:type="dxa"/>
            <w:noWrap/>
            <w:vAlign w:val="center"/>
          </w:tcPr>
          <w:p w14:paraId="39286C92">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693" w:type="dxa"/>
            <w:noWrap/>
            <w:vAlign w:val="center"/>
          </w:tcPr>
          <w:p w14:paraId="5508729C">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410" w:type="dxa"/>
            <w:noWrap/>
            <w:vAlign w:val="center"/>
          </w:tcPr>
          <w:p w14:paraId="661BAE1C">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1229" w:type="dxa"/>
            <w:noWrap/>
            <w:vAlign w:val="center"/>
          </w:tcPr>
          <w:p w14:paraId="08A9194F">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r>
      <w:tr w14:paraId="51AB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jc w:val="center"/>
        </w:trPr>
        <w:tc>
          <w:tcPr>
            <w:tcW w:w="765" w:type="dxa"/>
            <w:noWrap/>
            <w:vAlign w:val="center"/>
          </w:tcPr>
          <w:p w14:paraId="1C6358A5">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4</w:t>
            </w:r>
          </w:p>
        </w:tc>
        <w:tc>
          <w:tcPr>
            <w:tcW w:w="2338" w:type="dxa"/>
            <w:noWrap/>
            <w:vAlign w:val="center"/>
          </w:tcPr>
          <w:p w14:paraId="64477029">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693" w:type="dxa"/>
            <w:noWrap/>
            <w:vAlign w:val="center"/>
          </w:tcPr>
          <w:p w14:paraId="7D05E8B1">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410" w:type="dxa"/>
            <w:noWrap/>
            <w:vAlign w:val="center"/>
          </w:tcPr>
          <w:p w14:paraId="6A61CF44">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1229" w:type="dxa"/>
            <w:noWrap/>
            <w:vAlign w:val="center"/>
          </w:tcPr>
          <w:p w14:paraId="2FDA5DD2">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r>
    </w:tbl>
    <w:p w14:paraId="2D3AC751">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 我方承诺，除上表所列内容外，我方完全响应本次招标文件技术条款要求。</w:t>
      </w:r>
    </w:p>
    <w:p w14:paraId="068818EA">
      <w:pPr>
        <w:spacing w:line="360" w:lineRule="auto"/>
        <w:rPr>
          <w:color w:val="000000" w:themeColor="text1"/>
          <w:spacing w:val="6"/>
          <w:sz w:val="24"/>
          <w:szCs w:val="21"/>
          <w:highlight w:val="none"/>
          <w:lang w:val="zh-CN" w:eastAsia="zh-CN"/>
          <w14:textFill>
            <w14:solidFill>
              <w14:schemeClr w14:val="tx1"/>
            </w14:solidFill>
          </w14:textFill>
        </w:rPr>
      </w:pPr>
    </w:p>
    <w:p w14:paraId="3BE6A86B">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供应商名称：（盖章）</w:t>
      </w:r>
    </w:p>
    <w:p w14:paraId="21FE79BC">
      <w:pPr>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565A20AA">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说明：如果行数不够，请自行增加。</w:t>
      </w:r>
      <w:bookmarkStart w:id="202" w:name="_Toc26433"/>
      <w:bookmarkStart w:id="203" w:name="_Toc11155"/>
      <w:bookmarkStart w:id="204" w:name="_Toc23139"/>
    </w:p>
    <w:p w14:paraId="0B691174">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2A26D66">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7529BD38">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68E90E7B">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6A93D091">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27DAC1AD">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6F31B6EE">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436A63D0">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05BBB707">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39ADB60C">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06E74DC4">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533BC2F">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0400BF67">
      <w:pPr>
        <w:widowControl/>
        <w:adjustRightInd w:val="0"/>
        <w:spacing w:line="360" w:lineRule="auto"/>
        <w:outlineLvl w:val="1"/>
        <w:rPr>
          <w:rFonts w:ascii="宋体" w:cs="宋体" w:eastAsiaTheme="minorEastAsia"/>
          <w:b/>
          <w:color w:val="000000" w:themeColor="text1"/>
          <w:szCs w:val="21"/>
          <w:highlight w:val="none"/>
          <w:lang w:val="zh-CN" w:eastAsia="zh-CN"/>
          <w14:textFill>
            <w14:solidFill>
              <w14:schemeClr w14:val="tx1"/>
            </w14:solidFill>
          </w14:textFill>
        </w:rPr>
      </w:pPr>
    </w:p>
    <w:p w14:paraId="3A3CE811">
      <w:pPr>
        <w:pStyle w:val="66"/>
        <w:rPr>
          <w:rFonts w:eastAsiaTheme="minorEastAsia"/>
          <w:color w:val="000000" w:themeColor="text1"/>
          <w:highlight w:val="none"/>
          <w:lang w:val="zh-CN" w:eastAsia="zh-CN"/>
          <w14:textFill>
            <w14:solidFill>
              <w14:schemeClr w14:val="tx1"/>
            </w14:solidFill>
          </w14:textFill>
        </w:rPr>
      </w:pPr>
    </w:p>
    <w:p w14:paraId="39EB7C98">
      <w:pPr>
        <w:pStyle w:val="66"/>
        <w:rPr>
          <w:rFonts w:eastAsiaTheme="minorEastAsia"/>
          <w:color w:val="000000" w:themeColor="text1"/>
          <w:highlight w:val="none"/>
          <w:lang w:val="zh-CN" w:eastAsia="zh-CN"/>
          <w14:textFill>
            <w14:solidFill>
              <w14:schemeClr w14:val="tx1"/>
            </w14:solidFill>
          </w14:textFill>
        </w:rPr>
      </w:pPr>
    </w:p>
    <w:p w14:paraId="2F753858">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8973301">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DF7E128">
      <w:pPr>
        <w:widowControl/>
        <w:adjustRightInd w:val="0"/>
        <w:spacing w:line="360" w:lineRule="auto"/>
        <w:outlineLvl w:val="1"/>
        <w:rPr>
          <w:rFonts w:ascii="宋体" w:hAnsi="宋体"/>
          <w:b/>
          <w:color w:val="000000" w:themeColor="text1"/>
          <w:sz w:val="24"/>
          <w:szCs w:val="21"/>
          <w:highlight w:val="none"/>
          <w:lang w:eastAsia="zh-CN"/>
          <w14:textFill>
            <w14:solidFill>
              <w14:schemeClr w14:val="tx1"/>
            </w14:solidFill>
          </w14:textFill>
        </w:rPr>
      </w:pPr>
      <w:bookmarkStart w:id="205" w:name="_Toc175663963"/>
      <w:r>
        <w:rPr>
          <w:rFonts w:hint="eastAsia" w:ascii="宋体" w:hAnsi="宋体"/>
          <w:b/>
          <w:color w:val="000000" w:themeColor="text1"/>
          <w:sz w:val="24"/>
          <w:szCs w:val="21"/>
          <w:highlight w:val="none"/>
          <w:lang w:eastAsia="zh-CN"/>
          <w14:textFill>
            <w14:solidFill>
              <w14:schemeClr w14:val="tx1"/>
            </w14:solidFill>
          </w14:textFill>
        </w:rPr>
        <w:t>十</w:t>
      </w:r>
      <w:r>
        <w:rPr>
          <w:rFonts w:hint="eastAsia" w:ascii="宋体" w:hAnsi="宋体"/>
          <w:b/>
          <w:color w:val="000000" w:themeColor="text1"/>
          <w:sz w:val="24"/>
          <w:szCs w:val="21"/>
          <w:highlight w:val="none"/>
          <w:lang w:val="en-US" w:eastAsia="zh-CN"/>
          <w14:textFill>
            <w14:solidFill>
              <w14:schemeClr w14:val="tx1"/>
            </w14:solidFill>
          </w14:textFill>
        </w:rPr>
        <w:t>三</w:t>
      </w:r>
      <w:r>
        <w:rPr>
          <w:rFonts w:hint="eastAsia" w:ascii="宋体" w:hAnsi="宋体"/>
          <w:b/>
          <w:color w:val="000000" w:themeColor="text1"/>
          <w:sz w:val="24"/>
          <w:szCs w:val="21"/>
          <w:highlight w:val="none"/>
          <w:lang w:eastAsia="zh-CN"/>
          <w14:textFill>
            <w14:solidFill>
              <w14:schemeClr w14:val="tx1"/>
            </w14:solidFill>
          </w14:textFill>
        </w:rPr>
        <w:t>：商务条款偏离表格式</w:t>
      </w:r>
      <w:bookmarkEnd w:id="202"/>
      <w:bookmarkEnd w:id="203"/>
      <w:bookmarkEnd w:id="204"/>
      <w:bookmarkEnd w:id="205"/>
    </w:p>
    <w:p w14:paraId="5643C0C7">
      <w:pPr>
        <w:widowControl/>
        <w:adjustRightInd w:val="0"/>
        <w:spacing w:line="360" w:lineRule="auto"/>
        <w:ind w:firstLine="723" w:firstLineChars="200"/>
        <w:jc w:val="center"/>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商务条款偏离表</w:t>
      </w:r>
    </w:p>
    <w:tbl>
      <w:tblPr>
        <w:tblStyle w:val="5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7"/>
        <w:gridCol w:w="2342"/>
        <w:gridCol w:w="2835"/>
        <w:gridCol w:w="2368"/>
        <w:gridCol w:w="1020"/>
      </w:tblGrid>
      <w:tr w14:paraId="395A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9342" w:type="dxa"/>
            <w:gridSpan w:val="5"/>
            <w:tcBorders>
              <w:top w:val="nil"/>
              <w:left w:val="nil"/>
              <w:right w:val="nil"/>
            </w:tcBorders>
            <w:noWrap/>
            <w:vAlign w:val="center"/>
          </w:tcPr>
          <w:p w14:paraId="27ADBD7C">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项目编号：</w:t>
            </w:r>
            <w:r>
              <w:rPr>
                <w:rFonts w:hint="eastAsia" w:ascii="宋体" w:hAnsi="宋体"/>
                <w:bCs/>
                <w:color w:val="000000" w:themeColor="text1"/>
                <w:sz w:val="24"/>
                <w:szCs w:val="21"/>
                <w:highlight w:val="none"/>
                <w:lang w:eastAsia="zh-CN"/>
                <w14:textFill>
                  <w14:solidFill>
                    <w14:schemeClr w14:val="tx1"/>
                  </w14:solidFill>
                </w14:textFill>
              </w:rPr>
              <w:t>JSZC-320115-NJMT-C2026-0003</w:t>
            </w:r>
          </w:p>
          <w:p w14:paraId="35CF5608">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项目名称：</w:t>
            </w:r>
            <w:r>
              <w:rPr>
                <w:rFonts w:hint="eastAsia" w:ascii="宋体" w:hAnsi="宋体" w:eastAsia="宋体" w:cs="宋体"/>
                <w:color w:val="000000" w:themeColor="text1"/>
                <w:spacing w:val="6"/>
                <w:sz w:val="24"/>
                <w:szCs w:val="21"/>
                <w:highlight w:val="none"/>
                <w:u w:val="single"/>
                <w:lang w:val="zh-CN" w:eastAsia="zh-CN"/>
                <w14:textFill>
                  <w14:solidFill>
                    <w14:schemeClr w14:val="tx1"/>
                  </w14:solidFill>
                </w14:textFill>
              </w:rPr>
              <w:t>原铜井化工园退役场地风险评估项目</w:t>
            </w:r>
          </w:p>
        </w:tc>
      </w:tr>
      <w:tr w14:paraId="3169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 w:hRule="atLeast"/>
          <w:jc w:val="center"/>
        </w:trPr>
        <w:tc>
          <w:tcPr>
            <w:tcW w:w="777" w:type="dxa"/>
            <w:noWrap/>
            <w:vAlign w:val="center"/>
          </w:tcPr>
          <w:p w14:paraId="7FA9B5BF">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序号</w:t>
            </w:r>
          </w:p>
        </w:tc>
        <w:tc>
          <w:tcPr>
            <w:tcW w:w="2342" w:type="dxa"/>
            <w:noWrap/>
            <w:vAlign w:val="center"/>
          </w:tcPr>
          <w:p w14:paraId="12B16220">
            <w:pPr>
              <w:widowControl/>
              <w:adjustRightInd w:val="0"/>
              <w:spacing w:line="360" w:lineRule="auto"/>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采购文件的商务条款</w:t>
            </w:r>
          </w:p>
        </w:tc>
        <w:tc>
          <w:tcPr>
            <w:tcW w:w="2835" w:type="dxa"/>
            <w:noWrap/>
            <w:vAlign w:val="center"/>
          </w:tcPr>
          <w:p w14:paraId="28C46A1F">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响应文件中响应条款</w:t>
            </w:r>
          </w:p>
        </w:tc>
        <w:tc>
          <w:tcPr>
            <w:tcW w:w="2368" w:type="dxa"/>
            <w:noWrap/>
            <w:vAlign w:val="center"/>
          </w:tcPr>
          <w:p w14:paraId="45308F9A">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符合/正偏离/负偏离</w:t>
            </w:r>
          </w:p>
        </w:tc>
        <w:tc>
          <w:tcPr>
            <w:tcW w:w="1020" w:type="dxa"/>
            <w:noWrap/>
            <w:vAlign w:val="center"/>
          </w:tcPr>
          <w:p w14:paraId="54D19F28">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备注</w:t>
            </w:r>
          </w:p>
        </w:tc>
      </w:tr>
      <w:tr w14:paraId="12F58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2F482D71">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1</w:t>
            </w:r>
          </w:p>
        </w:tc>
        <w:tc>
          <w:tcPr>
            <w:tcW w:w="2342" w:type="dxa"/>
            <w:noWrap/>
            <w:vAlign w:val="center"/>
          </w:tcPr>
          <w:p w14:paraId="5C6F7159">
            <w:pPr>
              <w:widowControl/>
              <w:adjustRightInd w:val="0"/>
              <w:spacing w:line="360" w:lineRule="auto"/>
              <w:jc w:val="center"/>
              <w:rPr>
                <w:rFonts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磋商申请及声明</w:t>
            </w:r>
          </w:p>
        </w:tc>
        <w:tc>
          <w:tcPr>
            <w:tcW w:w="2835" w:type="dxa"/>
            <w:noWrap/>
            <w:vAlign w:val="center"/>
          </w:tcPr>
          <w:p w14:paraId="4BC1F060">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2368" w:type="dxa"/>
            <w:noWrap/>
            <w:vAlign w:val="center"/>
          </w:tcPr>
          <w:p w14:paraId="46553B80">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1020" w:type="dxa"/>
            <w:noWrap/>
            <w:vAlign w:val="center"/>
          </w:tcPr>
          <w:p w14:paraId="12F6BE58">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r>
      <w:tr w14:paraId="0E4F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78F6F056">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2</w:t>
            </w:r>
          </w:p>
        </w:tc>
        <w:tc>
          <w:tcPr>
            <w:tcW w:w="2342" w:type="dxa"/>
            <w:noWrap/>
            <w:vAlign w:val="center"/>
          </w:tcPr>
          <w:p w14:paraId="6AA4F34F">
            <w:pPr>
              <w:widowControl/>
              <w:adjustRightInd w:val="0"/>
              <w:spacing w:line="360" w:lineRule="auto"/>
              <w:jc w:val="center"/>
              <w:rPr>
                <w:rFonts w:ascii="宋体" w:hAnsi="宋体"/>
                <w:bCs/>
                <w:color w:val="000000" w:themeColor="text1"/>
                <w:sz w:val="20"/>
                <w:szCs w:val="20"/>
                <w:highlight w:val="none"/>
                <w:lang w:eastAsia="zh-CN"/>
                <w14:textFill>
                  <w14:solidFill>
                    <w14:schemeClr w14:val="tx1"/>
                  </w14:solidFill>
                </w14:textFill>
              </w:rPr>
            </w:pPr>
            <w:r>
              <w:rPr>
                <w:rFonts w:hint="eastAsia" w:ascii="宋体" w:hAnsi="宋体"/>
                <w:bCs/>
                <w:color w:val="000000" w:themeColor="text1"/>
                <w:sz w:val="20"/>
                <w:szCs w:val="20"/>
                <w:highlight w:val="none"/>
                <w:lang w:eastAsia="zh-CN"/>
                <w14:textFill>
                  <w14:solidFill>
                    <w14:schemeClr w14:val="tx1"/>
                  </w14:solidFill>
                </w14:textFill>
              </w:rPr>
              <w:t>法定代表人授权委托书</w:t>
            </w:r>
          </w:p>
        </w:tc>
        <w:tc>
          <w:tcPr>
            <w:tcW w:w="2835" w:type="dxa"/>
            <w:noWrap/>
            <w:vAlign w:val="center"/>
          </w:tcPr>
          <w:p w14:paraId="42B3E720">
            <w:pPr>
              <w:widowControl/>
              <w:adjustRightInd w:val="0"/>
              <w:spacing w:line="360" w:lineRule="auto"/>
              <w:ind w:firstLine="424" w:firstLineChars="200"/>
              <w:jc w:val="center"/>
              <w:rPr>
                <w:color w:val="000000" w:themeColor="text1"/>
                <w:spacing w:val="6"/>
                <w:sz w:val="20"/>
                <w:szCs w:val="20"/>
                <w:highlight w:val="none"/>
                <w:lang w:val="zh-CN" w:eastAsia="zh-CN"/>
                <w14:textFill>
                  <w14:solidFill>
                    <w14:schemeClr w14:val="tx1"/>
                  </w14:solidFill>
                </w14:textFill>
              </w:rPr>
            </w:pPr>
          </w:p>
        </w:tc>
        <w:tc>
          <w:tcPr>
            <w:tcW w:w="2368" w:type="dxa"/>
            <w:noWrap/>
            <w:vAlign w:val="center"/>
          </w:tcPr>
          <w:p w14:paraId="4955591A">
            <w:pPr>
              <w:widowControl/>
              <w:adjustRightInd w:val="0"/>
              <w:spacing w:line="360" w:lineRule="auto"/>
              <w:ind w:firstLine="424" w:firstLineChars="200"/>
              <w:jc w:val="center"/>
              <w:rPr>
                <w:color w:val="000000" w:themeColor="text1"/>
                <w:spacing w:val="6"/>
                <w:sz w:val="20"/>
                <w:szCs w:val="20"/>
                <w:highlight w:val="none"/>
                <w:lang w:val="zh-CN" w:eastAsia="zh-CN"/>
                <w14:textFill>
                  <w14:solidFill>
                    <w14:schemeClr w14:val="tx1"/>
                  </w14:solidFill>
                </w14:textFill>
              </w:rPr>
            </w:pPr>
          </w:p>
        </w:tc>
        <w:tc>
          <w:tcPr>
            <w:tcW w:w="1020" w:type="dxa"/>
            <w:noWrap/>
            <w:vAlign w:val="center"/>
          </w:tcPr>
          <w:p w14:paraId="3D5F0FF8">
            <w:pPr>
              <w:widowControl/>
              <w:adjustRightInd w:val="0"/>
              <w:spacing w:line="360" w:lineRule="auto"/>
              <w:ind w:firstLine="424" w:firstLineChars="200"/>
              <w:jc w:val="center"/>
              <w:rPr>
                <w:color w:val="000000" w:themeColor="text1"/>
                <w:spacing w:val="6"/>
                <w:sz w:val="20"/>
                <w:szCs w:val="20"/>
                <w:highlight w:val="none"/>
                <w:lang w:val="zh-CN" w:eastAsia="zh-CN"/>
                <w14:textFill>
                  <w14:solidFill>
                    <w14:schemeClr w14:val="tx1"/>
                  </w14:solidFill>
                </w14:textFill>
              </w:rPr>
            </w:pPr>
          </w:p>
        </w:tc>
      </w:tr>
      <w:tr w14:paraId="666C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00114856">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3</w:t>
            </w:r>
          </w:p>
        </w:tc>
        <w:tc>
          <w:tcPr>
            <w:tcW w:w="2342" w:type="dxa"/>
            <w:noWrap/>
            <w:vAlign w:val="center"/>
          </w:tcPr>
          <w:p w14:paraId="69C30102">
            <w:pPr>
              <w:widowControl/>
              <w:adjustRightInd w:val="0"/>
              <w:spacing w:line="360" w:lineRule="auto"/>
              <w:jc w:val="center"/>
              <w:rPr>
                <w:rFonts w:ascii="宋体" w:hAnsi="宋体"/>
                <w:bCs/>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磋商报价汇总表</w:t>
            </w:r>
          </w:p>
        </w:tc>
        <w:tc>
          <w:tcPr>
            <w:tcW w:w="2835" w:type="dxa"/>
            <w:noWrap/>
            <w:vAlign w:val="center"/>
          </w:tcPr>
          <w:p w14:paraId="3EC44DF2">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2368" w:type="dxa"/>
            <w:noWrap/>
            <w:vAlign w:val="center"/>
          </w:tcPr>
          <w:p w14:paraId="03972428">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1020" w:type="dxa"/>
            <w:noWrap/>
            <w:vAlign w:val="center"/>
          </w:tcPr>
          <w:p w14:paraId="6E1F8791">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r>
      <w:tr w14:paraId="40CF4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4B94C1B0">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4</w:t>
            </w:r>
          </w:p>
        </w:tc>
        <w:tc>
          <w:tcPr>
            <w:tcW w:w="2342" w:type="dxa"/>
            <w:noWrap/>
            <w:vAlign w:val="center"/>
          </w:tcPr>
          <w:p w14:paraId="3DB73588">
            <w:pPr>
              <w:widowControl/>
              <w:adjustRightInd w:val="0"/>
              <w:spacing w:line="360" w:lineRule="auto"/>
              <w:ind w:firstLine="400" w:firstLineChars="200"/>
              <w:jc w:val="center"/>
              <w:rPr>
                <w:rFonts w:hint="default" w:ascii="黑体" w:hAnsi="黑体" w:eastAsia="黑体" w:cs="黑体"/>
                <w:color w:val="000000" w:themeColor="text1"/>
                <w:sz w:val="20"/>
                <w:szCs w:val="20"/>
                <w:highlight w:val="none"/>
                <w:lang w:val="en-US" w:eastAsia="zh-CN"/>
                <w14:textFill>
                  <w14:solidFill>
                    <w14:schemeClr w14:val="tx1"/>
                  </w14:solidFill>
                </w14:textFill>
              </w:rPr>
            </w:pPr>
            <w:r>
              <w:rPr>
                <w:rFonts w:hint="eastAsia" w:ascii="黑体" w:hAnsi="黑体" w:eastAsia="黑体" w:cs="黑体"/>
                <w:color w:val="000000" w:themeColor="text1"/>
                <w:sz w:val="20"/>
                <w:szCs w:val="20"/>
                <w:highlight w:val="none"/>
                <w:lang w:val="en-US" w:eastAsia="zh-CN"/>
                <w14:textFill>
                  <w14:solidFill>
                    <w14:schemeClr w14:val="tx1"/>
                  </w14:solidFill>
                </w14:textFill>
              </w:rPr>
              <w:t>........</w:t>
            </w:r>
          </w:p>
        </w:tc>
        <w:tc>
          <w:tcPr>
            <w:tcW w:w="2835" w:type="dxa"/>
            <w:noWrap/>
            <w:vAlign w:val="center"/>
          </w:tcPr>
          <w:p w14:paraId="5B8D0B3E">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2368" w:type="dxa"/>
            <w:noWrap/>
            <w:vAlign w:val="center"/>
          </w:tcPr>
          <w:p w14:paraId="49E6B526">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c>
          <w:tcPr>
            <w:tcW w:w="1020" w:type="dxa"/>
            <w:noWrap/>
            <w:vAlign w:val="center"/>
          </w:tcPr>
          <w:p w14:paraId="3F8782DF">
            <w:pPr>
              <w:widowControl/>
              <w:adjustRightInd w:val="0"/>
              <w:spacing w:line="360" w:lineRule="auto"/>
              <w:ind w:firstLine="424" w:firstLineChars="200"/>
              <w:jc w:val="center"/>
              <w:rPr>
                <w:color w:val="000000" w:themeColor="text1"/>
                <w:spacing w:val="6"/>
                <w:sz w:val="20"/>
                <w:szCs w:val="20"/>
                <w:highlight w:val="none"/>
                <w:lang w:val="zh-CN"/>
                <w14:textFill>
                  <w14:solidFill>
                    <w14:schemeClr w14:val="tx1"/>
                  </w14:solidFill>
                </w14:textFill>
              </w:rPr>
            </w:pPr>
          </w:p>
        </w:tc>
      </w:tr>
    </w:tbl>
    <w:p w14:paraId="422483AD">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我方承诺，除上表所列内容外，我方完全响应招标文件商务条款要求。</w:t>
      </w:r>
    </w:p>
    <w:p w14:paraId="3D8B1A29">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p>
    <w:p w14:paraId="3A45D5D1">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供应商名称：（盖章）</w:t>
      </w:r>
    </w:p>
    <w:p w14:paraId="4DC38F54">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180A1BB2">
      <w:pPr>
        <w:spacing w:line="36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说明：如果行数不够，请自行增加。</w:t>
      </w:r>
    </w:p>
    <w:p w14:paraId="02674EDB">
      <w:pPr>
        <w:spacing w:line="360" w:lineRule="exact"/>
        <w:rPr>
          <w:color w:val="000000" w:themeColor="text1"/>
          <w:spacing w:val="6"/>
          <w:sz w:val="24"/>
          <w:szCs w:val="21"/>
          <w:highlight w:val="none"/>
          <w:lang w:val="zh-CN" w:eastAsia="zh-CN"/>
          <w14:textFill>
            <w14:solidFill>
              <w14:schemeClr w14:val="tx1"/>
            </w14:solidFill>
          </w14:textFill>
        </w:rPr>
      </w:pPr>
    </w:p>
    <w:p w14:paraId="1DC49AA8">
      <w:pPr>
        <w:spacing w:line="360" w:lineRule="exact"/>
        <w:rPr>
          <w:color w:val="000000" w:themeColor="text1"/>
          <w:spacing w:val="6"/>
          <w:sz w:val="24"/>
          <w:szCs w:val="21"/>
          <w:highlight w:val="none"/>
          <w:lang w:val="zh-CN" w:eastAsia="zh-CN"/>
          <w14:textFill>
            <w14:solidFill>
              <w14:schemeClr w14:val="tx1"/>
            </w14:solidFill>
          </w14:textFill>
        </w:rPr>
      </w:pPr>
    </w:p>
    <w:p w14:paraId="1E5854E3">
      <w:pPr>
        <w:spacing w:line="360" w:lineRule="exact"/>
        <w:rPr>
          <w:color w:val="000000" w:themeColor="text1"/>
          <w:spacing w:val="6"/>
          <w:sz w:val="24"/>
          <w:szCs w:val="21"/>
          <w:highlight w:val="none"/>
          <w:lang w:val="zh-CN" w:eastAsia="zh-CN"/>
          <w14:textFill>
            <w14:solidFill>
              <w14:schemeClr w14:val="tx1"/>
            </w14:solidFill>
          </w14:textFill>
        </w:rPr>
      </w:pPr>
    </w:p>
    <w:p w14:paraId="507F37E9">
      <w:pPr>
        <w:spacing w:line="360" w:lineRule="exact"/>
        <w:rPr>
          <w:color w:val="000000" w:themeColor="text1"/>
          <w:spacing w:val="6"/>
          <w:sz w:val="24"/>
          <w:szCs w:val="21"/>
          <w:highlight w:val="none"/>
          <w:lang w:val="zh-CN" w:eastAsia="zh-CN"/>
          <w14:textFill>
            <w14:solidFill>
              <w14:schemeClr w14:val="tx1"/>
            </w14:solidFill>
          </w14:textFill>
        </w:rPr>
      </w:pPr>
    </w:p>
    <w:p w14:paraId="074B67CD">
      <w:pPr>
        <w:spacing w:line="360" w:lineRule="exact"/>
        <w:rPr>
          <w:color w:val="000000" w:themeColor="text1"/>
          <w:spacing w:val="6"/>
          <w:sz w:val="24"/>
          <w:szCs w:val="21"/>
          <w:highlight w:val="none"/>
          <w:lang w:val="zh-CN" w:eastAsia="zh-CN"/>
          <w14:textFill>
            <w14:solidFill>
              <w14:schemeClr w14:val="tx1"/>
            </w14:solidFill>
          </w14:textFill>
        </w:rPr>
      </w:pPr>
    </w:p>
    <w:p w14:paraId="001366A4">
      <w:pPr>
        <w:spacing w:line="360" w:lineRule="exact"/>
        <w:rPr>
          <w:color w:val="000000" w:themeColor="text1"/>
          <w:spacing w:val="6"/>
          <w:sz w:val="24"/>
          <w:szCs w:val="21"/>
          <w:highlight w:val="none"/>
          <w:lang w:val="zh-CN" w:eastAsia="zh-CN"/>
          <w14:textFill>
            <w14:solidFill>
              <w14:schemeClr w14:val="tx1"/>
            </w14:solidFill>
          </w14:textFill>
        </w:rPr>
      </w:pPr>
    </w:p>
    <w:p w14:paraId="2BBA401F">
      <w:pPr>
        <w:spacing w:line="360" w:lineRule="exact"/>
        <w:rPr>
          <w:color w:val="000000" w:themeColor="text1"/>
          <w:spacing w:val="6"/>
          <w:sz w:val="24"/>
          <w:szCs w:val="21"/>
          <w:highlight w:val="none"/>
          <w:lang w:val="zh-CN" w:eastAsia="zh-CN"/>
          <w14:textFill>
            <w14:solidFill>
              <w14:schemeClr w14:val="tx1"/>
            </w14:solidFill>
          </w14:textFill>
        </w:rPr>
      </w:pPr>
    </w:p>
    <w:p w14:paraId="056AD16A">
      <w:pPr>
        <w:spacing w:line="360" w:lineRule="exact"/>
        <w:rPr>
          <w:color w:val="000000" w:themeColor="text1"/>
          <w:spacing w:val="6"/>
          <w:sz w:val="24"/>
          <w:szCs w:val="21"/>
          <w:highlight w:val="none"/>
          <w:lang w:val="zh-CN" w:eastAsia="zh-CN"/>
          <w14:textFill>
            <w14:solidFill>
              <w14:schemeClr w14:val="tx1"/>
            </w14:solidFill>
          </w14:textFill>
        </w:rPr>
      </w:pPr>
    </w:p>
    <w:p w14:paraId="3E67DF9F">
      <w:pPr>
        <w:spacing w:line="360" w:lineRule="exact"/>
        <w:rPr>
          <w:color w:val="000000" w:themeColor="text1"/>
          <w:spacing w:val="6"/>
          <w:sz w:val="24"/>
          <w:szCs w:val="21"/>
          <w:highlight w:val="none"/>
          <w:lang w:val="zh-CN" w:eastAsia="zh-CN"/>
          <w14:textFill>
            <w14:solidFill>
              <w14:schemeClr w14:val="tx1"/>
            </w14:solidFill>
          </w14:textFill>
        </w:rPr>
      </w:pPr>
    </w:p>
    <w:p w14:paraId="3872264F">
      <w:pPr>
        <w:spacing w:line="360" w:lineRule="exact"/>
        <w:rPr>
          <w:color w:val="000000" w:themeColor="text1"/>
          <w:spacing w:val="6"/>
          <w:sz w:val="24"/>
          <w:szCs w:val="21"/>
          <w:highlight w:val="none"/>
          <w:lang w:val="zh-CN" w:eastAsia="zh-CN"/>
          <w14:textFill>
            <w14:solidFill>
              <w14:schemeClr w14:val="tx1"/>
            </w14:solidFill>
          </w14:textFill>
        </w:rPr>
      </w:pPr>
    </w:p>
    <w:p w14:paraId="386FA958">
      <w:pPr>
        <w:spacing w:line="360" w:lineRule="exact"/>
        <w:rPr>
          <w:color w:val="000000" w:themeColor="text1"/>
          <w:spacing w:val="6"/>
          <w:sz w:val="24"/>
          <w:szCs w:val="21"/>
          <w:highlight w:val="none"/>
          <w:lang w:val="zh-CN" w:eastAsia="zh-CN"/>
          <w14:textFill>
            <w14:solidFill>
              <w14:schemeClr w14:val="tx1"/>
            </w14:solidFill>
          </w14:textFill>
        </w:rPr>
      </w:pPr>
    </w:p>
    <w:p w14:paraId="0FC450BE">
      <w:pPr>
        <w:spacing w:line="360" w:lineRule="exact"/>
        <w:rPr>
          <w:color w:val="000000" w:themeColor="text1"/>
          <w:spacing w:val="6"/>
          <w:sz w:val="24"/>
          <w:szCs w:val="21"/>
          <w:highlight w:val="none"/>
          <w:lang w:val="zh-CN" w:eastAsia="zh-CN"/>
          <w14:textFill>
            <w14:solidFill>
              <w14:schemeClr w14:val="tx1"/>
            </w14:solidFill>
          </w14:textFill>
        </w:rPr>
      </w:pPr>
    </w:p>
    <w:p w14:paraId="4BA75443">
      <w:pPr>
        <w:spacing w:line="360" w:lineRule="exact"/>
        <w:rPr>
          <w:color w:val="000000" w:themeColor="text1"/>
          <w:spacing w:val="6"/>
          <w:sz w:val="24"/>
          <w:szCs w:val="21"/>
          <w:highlight w:val="none"/>
          <w:lang w:val="zh-CN" w:eastAsia="zh-CN"/>
          <w14:textFill>
            <w14:solidFill>
              <w14:schemeClr w14:val="tx1"/>
            </w14:solidFill>
          </w14:textFill>
        </w:rPr>
      </w:pPr>
    </w:p>
    <w:p w14:paraId="3277FD20">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p>
    <w:p w14:paraId="3EA6452F">
      <w:pPr>
        <w:pStyle w:val="66"/>
        <w:rPr>
          <w:rFonts w:eastAsiaTheme="minorEastAsia"/>
          <w:color w:val="000000" w:themeColor="text1"/>
          <w:highlight w:val="none"/>
          <w:lang w:val="zh-CN" w:eastAsia="zh-CN"/>
          <w14:textFill>
            <w14:solidFill>
              <w14:schemeClr w14:val="tx1"/>
            </w14:solidFill>
          </w14:textFill>
        </w:rPr>
      </w:pPr>
    </w:p>
    <w:p w14:paraId="0ECF3029">
      <w:pPr>
        <w:pStyle w:val="66"/>
        <w:rPr>
          <w:rFonts w:eastAsiaTheme="minorEastAsia"/>
          <w:color w:val="000000" w:themeColor="text1"/>
          <w:highlight w:val="none"/>
          <w:lang w:val="zh-CN" w:eastAsia="zh-CN"/>
          <w14:textFill>
            <w14:solidFill>
              <w14:schemeClr w14:val="tx1"/>
            </w14:solidFill>
          </w14:textFill>
        </w:rPr>
      </w:pPr>
    </w:p>
    <w:p w14:paraId="4EBA2AA0">
      <w:pPr>
        <w:spacing w:line="360" w:lineRule="exact"/>
        <w:rPr>
          <w:color w:val="000000" w:themeColor="text1"/>
          <w:spacing w:val="6"/>
          <w:sz w:val="24"/>
          <w:szCs w:val="21"/>
          <w:highlight w:val="none"/>
          <w:lang w:val="zh-CN" w:eastAsia="zh-CN"/>
          <w14:textFill>
            <w14:solidFill>
              <w14:schemeClr w14:val="tx1"/>
            </w14:solidFill>
          </w14:textFill>
        </w:rPr>
      </w:pPr>
    </w:p>
    <w:p w14:paraId="18A9254E">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p>
    <w:p w14:paraId="440486DB">
      <w:pPr>
        <w:pStyle w:val="66"/>
        <w:rPr>
          <w:rFonts w:eastAsiaTheme="minorEastAsia"/>
          <w:color w:val="000000" w:themeColor="text1"/>
          <w:highlight w:val="none"/>
          <w:lang w:val="zh-CN" w:eastAsia="zh-CN"/>
          <w14:textFill>
            <w14:solidFill>
              <w14:schemeClr w14:val="tx1"/>
            </w14:solidFill>
          </w14:textFill>
        </w:rPr>
      </w:pPr>
    </w:p>
    <w:p w14:paraId="0DCBB4BA">
      <w:pPr>
        <w:spacing w:line="360" w:lineRule="exact"/>
        <w:rPr>
          <w:color w:val="000000" w:themeColor="text1"/>
          <w:spacing w:val="6"/>
          <w:sz w:val="24"/>
          <w:szCs w:val="21"/>
          <w:highlight w:val="none"/>
          <w:lang w:val="zh-CN" w:eastAsia="zh-CN"/>
          <w14:textFill>
            <w14:solidFill>
              <w14:schemeClr w14:val="tx1"/>
            </w14:solidFill>
          </w14:textFill>
        </w:rPr>
      </w:pPr>
    </w:p>
    <w:p w14:paraId="0FF756CB">
      <w:pPr>
        <w:spacing w:line="360" w:lineRule="exact"/>
        <w:rPr>
          <w:color w:val="000000" w:themeColor="text1"/>
          <w:spacing w:val="6"/>
          <w:sz w:val="24"/>
          <w:szCs w:val="21"/>
          <w:highlight w:val="none"/>
          <w:lang w:val="zh-CN" w:eastAsia="zh-CN"/>
          <w14:textFill>
            <w14:solidFill>
              <w14:schemeClr w14:val="tx1"/>
            </w14:solidFill>
          </w14:textFill>
        </w:rPr>
      </w:pPr>
    </w:p>
    <w:p w14:paraId="2C4C7B2D">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bookmarkStart w:id="206" w:name="_Toc175663964"/>
      <w:r>
        <w:rPr>
          <w:rFonts w:hint="eastAsia" w:ascii="宋体" w:hAnsi="宋体" w:cs="黑体"/>
          <w:b/>
          <w:bCs/>
          <w:color w:val="000000" w:themeColor="text1"/>
          <w:sz w:val="24"/>
          <w:szCs w:val="21"/>
          <w:highlight w:val="none"/>
          <w:lang w:eastAsia="zh-CN"/>
          <w14:textFill>
            <w14:solidFill>
              <w14:schemeClr w14:val="tx1"/>
            </w14:solidFill>
          </w14:textFill>
        </w:rPr>
        <w:t>十</w:t>
      </w:r>
      <w:r>
        <w:rPr>
          <w:rFonts w:hint="eastAsia" w:ascii="宋体" w:hAnsi="宋体" w:cs="黑体"/>
          <w:b/>
          <w:bCs/>
          <w:color w:val="000000" w:themeColor="text1"/>
          <w:sz w:val="24"/>
          <w:szCs w:val="21"/>
          <w:highlight w:val="none"/>
          <w:lang w:val="en-US" w:eastAsia="zh-CN"/>
          <w14:textFill>
            <w14:solidFill>
              <w14:schemeClr w14:val="tx1"/>
            </w14:solidFill>
          </w14:textFill>
        </w:rPr>
        <w:t>四</w:t>
      </w:r>
      <w:r>
        <w:rPr>
          <w:rFonts w:hint="eastAsia" w:ascii="宋体" w:hAnsi="宋体" w:cs="黑体"/>
          <w:b/>
          <w:bCs/>
          <w:color w:val="000000" w:themeColor="text1"/>
          <w:sz w:val="24"/>
          <w:szCs w:val="21"/>
          <w:highlight w:val="none"/>
          <w:lang w:eastAsia="zh-CN"/>
          <w14:textFill>
            <w14:solidFill>
              <w14:schemeClr w14:val="tx1"/>
            </w14:solidFill>
          </w14:textFill>
        </w:rPr>
        <w:t>、南京市政府采购供应商信用记录表暨信用承诺书</w:t>
      </w:r>
      <w:bookmarkEnd w:id="198"/>
      <w:bookmarkEnd w:id="199"/>
      <w:bookmarkEnd w:id="200"/>
      <w:r>
        <w:rPr>
          <w:rFonts w:hint="eastAsia" w:ascii="宋体" w:hAnsi="宋体" w:cs="黑体"/>
          <w:b/>
          <w:bCs/>
          <w:color w:val="000000" w:themeColor="text1"/>
          <w:sz w:val="24"/>
          <w:szCs w:val="21"/>
          <w:highlight w:val="none"/>
          <w:lang w:eastAsia="zh-CN"/>
          <w14:textFill>
            <w14:solidFill>
              <w14:schemeClr w14:val="tx1"/>
            </w14:solidFill>
          </w14:textFill>
        </w:rPr>
        <w:t>（附件）</w:t>
      </w:r>
      <w:bookmarkEnd w:id="206"/>
    </w:p>
    <w:tbl>
      <w:tblPr>
        <w:tblStyle w:val="51"/>
        <w:tblW w:w="9654" w:type="dxa"/>
        <w:tblInd w:w="0" w:type="dxa"/>
        <w:tblLayout w:type="fixed"/>
        <w:tblCellMar>
          <w:top w:w="15" w:type="dxa"/>
          <w:left w:w="15" w:type="dxa"/>
          <w:bottom w:w="15" w:type="dxa"/>
          <w:right w:w="15" w:type="dxa"/>
        </w:tblCellMar>
      </w:tblPr>
      <w:tblGrid>
        <w:gridCol w:w="2000"/>
        <w:gridCol w:w="2693"/>
        <w:gridCol w:w="2552"/>
        <w:gridCol w:w="2409"/>
      </w:tblGrid>
      <w:tr w14:paraId="160B5E92">
        <w:tblPrEx>
          <w:tblCellMar>
            <w:top w:w="15" w:type="dxa"/>
            <w:left w:w="15" w:type="dxa"/>
            <w:bottom w:w="15" w:type="dxa"/>
            <w:right w:w="15" w:type="dxa"/>
          </w:tblCellMar>
        </w:tblPrEx>
        <w:trPr>
          <w:trHeight w:val="600" w:hRule="atLeast"/>
        </w:trPr>
        <w:tc>
          <w:tcPr>
            <w:tcW w:w="9654" w:type="dxa"/>
            <w:gridSpan w:val="4"/>
            <w:noWrap/>
            <w:vAlign w:val="center"/>
          </w:tcPr>
          <w:p w14:paraId="30A3BE17">
            <w:pPr>
              <w:widowControl/>
              <w:jc w:val="center"/>
              <w:textAlignment w:val="center"/>
              <w:rPr>
                <w:rFonts w:ascii="黑体" w:hAnsi="宋体" w:eastAsia="黑体" w:cs="黑体"/>
                <w:color w:val="000000" w:themeColor="text1"/>
                <w:sz w:val="36"/>
                <w:szCs w:val="36"/>
                <w:highlight w:val="none"/>
                <w:lang w:eastAsia="zh-CN"/>
                <w14:textFill>
                  <w14:solidFill>
                    <w14:schemeClr w14:val="tx1"/>
                  </w14:solidFill>
                </w14:textFill>
              </w:rPr>
            </w:pPr>
            <w:r>
              <w:rPr>
                <w:rFonts w:hint="eastAsia" w:ascii="黑体" w:hAnsi="宋体" w:eastAsia="黑体" w:cs="黑体"/>
                <w:color w:val="000000" w:themeColor="text1"/>
                <w:sz w:val="36"/>
                <w:szCs w:val="36"/>
                <w:highlight w:val="none"/>
                <w:lang w:eastAsia="zh-CN"/>
                <w14:textFill>
                  <w14:solidFill>
                    <w14:schemeClr w14:val="tx1"/>
                  </w14:solidFill>
                </w14:textFill>
              </w:rPr>
              <w:t>南京市政府采购供应商信用记录表暨信用承诺书（附件）</w:t>
            </w:r>
          </w:p>
        </w:tc>
      </w:tr>
      <w:tr w14:paraId="2C69D6AA">
        <w:tblPrEx>
          <w:tblCellMar>
            <w:top w:w="15" w:type="dxa"/>
            <w:left w:w="15" w:type="dxa"/>
            <w:bottom w:w="15" w:type="dxa"/>
            <w:right w:w="15" w:type="dxa"/>
          </w:tblCellMar>
        </w:tblPrEx>
        <w:trPr>
          <w:trHeight w:val="570" w:hRule="atLeast"/>
        </w:trPr>
        <w:tc>
          <w:tcPr>
            <w:tcW w:w="9654" w:type="dxa"/>
            <w:gridSpan w:val="4"/>
            <w:noWrap/>
            <w:vAlign w:val="center"/>
          </w:tcPr>
          <w:p w14:paraId="73E2EC26">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（仅为示范格式，直接填写无效，需至“南京政府采购供应商诚信档案管理系统”在线打印）</w:t>
            </w:r>
          </w:p>
        </w:tc>
      </w:tr>
      <w:tr w14:paraId="2D7B2F80">
        <w:tblPrEx>
          <w:tblCellMar>
            <w:top w:w="15" w:type="dxa"/>
            <w:left w:w="15" w:type="dxa"/>
            <w:bottom w:w="15" w:type="dxa"/>
            <w:right w:w="15" w:type="dxa"/>
          </w:tblCellMar>
        </w:tblPrEx>
        <w:trPr>
          <w:trHeight w:val="624" w:hRule="atLeast"/>
        </w:trPr>
        <w:tc>
          <w:tcPr>
            <w:tcW w:w="2000" w:type="dxa"/>
            <w:tcBorders>
              <w:top w:val="single" w:color="000000" w:sz="18" w:space="0"/>
              <w:left w:val="single" w:color="000000" w:sz="18" w:space="0"/>
              <w:bottom w:val="single" w:color="000000" w:sz="4" w:space="0"/>
              <w:right w:val="single" w:color="000000" w:sz="4" w:space="0"/>
            </w:tcBorders>
            <w:noWrap/>
            <w:vAlign w:val="center"/>
          </w:tcPr>
          <w:p w14:paraId="60F7802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单位名称</w:t>
            </w:r>
          </w:p>
        </w:tc>
        <w:tc>
          <w:tcPr>
            <w:tcW w:w="2693" w:type="dxa"/>
            <w:tcBorders>
              <w:top w:val="single" w:color="000000" w:sz="18" w:space="0"/>
              <w:left w:val="single" w:color="000000" w:sz="4" w:space="0"/>
              <w:bottom w:val="single" w:color="000000" w:sz="4" w:space="0"/>
              <w:right w:val="single" w:color="000000" w:sz="4" w:space="0"/>
            </w:tcBorders>
            <w:noWrap/>
            <w:vAlign w:val="center"/>
          </w:tcPr>
          <w:p w14:paraId="7F0B9F84">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18" w:space="0"/>
              <w:left w:val="single" w:color="000000" w:sz="4" w:space="0"/>
              <w:bottom w:val="single" w:color="000000" w:sz="4" w:space="0"/>
              <w:right w:val="single" w:color="000000" w:sz="4" w:space="0"/>
            </w:tcBorders>
            <w:noWrap/>
            <w:vAlign w:val="center"/>
          </w:tcPr>
          <w:p w14:paraId="52955665">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统一社会信用代码</w:t>
            </w:r>
          </w:p>
        </w:tc>
        <w:tc>
          <w:tcPr>
            <w:tcW w:w="2409" w:type="dxa"/>
            <w:tcBorders>
              <w:top w:val="single" w:color="000000" w:sz="18" w:space="0"/>
              <w:left w:val="single" w:color="000000" w:sz="4" w:space="0"/>
              <w:bottom w:val="single" w:color="000000" w:sz="4" w:space="0"/>
              <w:right w:val="single" w:color="000000" w:sz="18" w:space="0"/>
            </w:tcBorders>
            <w:noWrap/>
            <w:vAlign w:val="center"/>
          </w:tcPr>
          <w:p w14:paraId="3A78675B">
            <w:pPr>
              <w:rPr>
                <w:rFonts w:ascii="宋体" w:hAnsi="宋体" w:cs="宋体"/>
                <w:color w:val="000000" w:themeColor="text1"/>
                <w:sz w:val="24"/>
                <w:highlight w:val="none"/>
                <w14:textFill>
                  <w14:solidFill>
                    <w14:schemeClr w14:val="tx1"/>
                  </w14:solidFill>
                </w14:textFill>
              </w:rPr>
            </w:pPr>
          </w:p>
        </w:tc>
      </w:tr>
      <w:tr w14:paraId="13B30603">
        <w:tblPrEx>
          <w:tblCellMar>
            <w:top w:w="15" w:type="dxa"/>
            <w:left w:w="15" w:type="dxa"/>
            <w:bottom w:w="15" w:type="dxa"/>
            <w:right w:w="15" w:type="dxa"/>
          </w:tblCellMar>
        </w:tblPrEx>
        <w:trPr>
          <w:trHeight w:val="585"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2E186AFA">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法定代表人</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48DF2D7D">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993163E">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联系人</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43EA8920">
            <w:pPr>
              <w:rPr>
                <w:rFonts w:ascii="宋体" w:hAnsi="宋体" w:cs="宋体"/>
                <w:color w:val="000000" w:themeColor="text1"/>
                <w:sz w:val="24"/>
                <w:highlight w:val="none"/>
                <w14:textFill>
                  <w14:solidFill>
                    <w14:schemeClr w14:val="tx1"/>
                  </w14:solidFill>
                </w14:textFill>
              </w:rPr>
            </w:pPr>
          </w:p>
        </w:tc>
      </w:tr>
      <w:tr w14:paraId="74F6B7C7">
        <w:tblPrEx>
          <w:tblCellMar>
            <w:top w:w="15" w:type="dxa"/>
            <w:left w:w="15" w:type="dxa"/>
            <w:bottom w:w="15" w:type="dxa"/>
            <w:right w:w="15" w:type="dxa"/>
          </w:tblCellMar>
        </w:tblPrEx>
        <w:trPr>
          <w:trHeight w:val="720"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4CF023D5">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联系地址</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2C750A1C">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ADD80A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联系电话</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28EDF363">
            <w:pPr>
              <w:rPr>
                <w:rFonts w:ascii="宋体" w:hAnsi="宋体" w:cs="宋体"/>
                <w:color w:val="000000" w:themeColor="text1"/>
                <w:sz w:val="24"/>
                <w:highlight w:val="none"/>
                <w14:textFill>
                  <w14:solidFill>
                    <w14:schemeClr w14:val="tx1"/>
                  </w14:solidFill>
                </w14:textFill>
              </w:rPr>
            </w:pPr>
          </w:p>
        </w:tc>
      </w:tr>
      <w:tr w14:paraId="7C8E6F2B">
        <w:tblPrEx>
          <w:tblCellMar>
            <w:top w:w="15" w:type="dxa"/>
            <w:left w:w="15" w:type="dxa"/>
            <w:bottom w:w="15" w:type="dxa"/>
            <w:right w:w="15" w:type="dxa"/>
          </w:tblCellMar>
        </w:tblPrEx>
        <w:trPr>
          <w:trHeight w:val="953"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21C3256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诚信档案记录情况</w:t>
            </w:r>
          </w:p>
        </w:tc>
        <w:tc>
          <w:tcPr>
            <w:tcW w:w="7654" w:type="dxa"/>
            <w:gridSpan w:val="3"/>
            <w:tcBorders>
              <w:top w:val="single" w:color="000000" w:sz="4" w:space="0"/>
              <w:left w:val="single" w:color="000000" w:sz="4" w:space="0"/>
              <w:bottom w:val="single" w:color="000000" w:sz="4" w:space="0"/>
              <w:right w:val="single" w:color="000000" w:sz="18" w:space="0"/>
            </w:tcBorders>
            <w:noWrap/>
            <w:vAlign w:val="center"/>
          </w:tcPr>
          <w:p w14:paraId="6634DD6F">
            <w:pPr>
              <w:rPr>
                <w:rFonts w:ascii="宋体" w:hAnsi="宋体" w:cs="宋体"/>
                <w:color w:val="000000" w:themeColor="text1"/>
                <w:sz w:val="24"/>
                <w:highlight w:val="none"/>
                <w14:textFill>
                  <w14:solidFill>
                    <w14:schemeClr w14:val="tx1"/>
                  </w14:solidFill>
                </w14:textFill>
              </w:rPr>
            </w:pPr>
          </w:p>
        </w:tc>
      </w:tr>
      <w:tr w14:paraId="1DC806D8">
        <w:tblPrEx>
          <w:tblCellMar>
            <w:top w:w="15" w:type="dxa"/>
            <w:left w:w="15" w:type="dxa"/>
            <w:bottom w:w="15" w:type="dxa"/>
            <w:right w:w="15" w:type="dxa"/>
          </w:tblCellMar>
        </w:tblPrEx>
        <w:trPr>
          <w:trHeight w:val="3512" w:hRule="atLeast"/>
        </w:trPr>
        <w:tc>
          <w:tcPr>
            <w:tcW w:w="2000" w:type="dxa"/>
            <w:tcBorders>
              <w:top w:val="single" w:color="000000" w:sz="4" w:space="0"/>
              <w:left w:val="single" w:color="000000" w:sz="18" w:space="0"/>
              <w:bottom w:val="single" w:color="000000" w:sz="18" w:space="0"/>
              <w:right w:val="single" w:color="000000" w:sz="4" w:space="0"/>
            </w:tcBorders>
            <w:noWrap/>
            <w:vAlign w:val="center"/>
          </w:tcPr>
          <w:p w14:paraId="48601EE9">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信用承诺</w:t>
            </w:r>
          </w:p>
        </w:tc>
        <w:tc>
          <w:tcPr>
            <w:tcW w:w="7654" w:type="dxa"/>
            <w:gridSpan w:val="3"/>
            <w:tcBorders>
              <w:top w:val="single" w:color="000000" w:sz="4" w:space="0"/>
              <w:left w:val="single" w:color="000000" w:sz="4" w:space="0"/>
              <w:bottom w:val="single" w:color="000000" w:sz="18" w:space="0"/>
              <w:right w:val="single" w:color="000000" w:sz="18" w:space="0"/>
            </w:tcBorders>
            <w:noWrap/>
            <w:vAlign w:val="center"/>
          </w:tcPr>
          <w:p w14:paraId="48A79A9B">
            <w:pPr>
              <w:widowControl/>
              <w:spacing w:line="40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信用承诺：</w:t>
            </w:r>
          </w:p>
          <w:p w14:paraId="747F848D">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p>
          <w:p w14:paraId="743B4F78">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供应商名称（盖章）：</w:t>
            </w:r>
          </w:p>
          <w:p w14:paraId="55D2ED16">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法定代表人（签字）：</w:t>
            </w:r>
          </w:p>
          <w:p w14:paraId="3D8A0740">
            <w:pPr>
              <w:widowControl/>
              <w:spacing w:line="400" w:lineRule="exact"/>
              <w:ind w:firstLine="240" w:firstLineChars="1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二〇    年  月    日</w:t>
            </w:r>
          </w:p>
        </w:tc>
      </w:tr>
    </w:tbl>
    <w:p w14:paraId="4E274E4E">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注：1、供应商在中标（成交）后，应按采购文件要求，将上述由信用承诺书替代的证明材料提交采购人或采购代理机构核验。经核验无误后，由采购人或采购代理机构发出中标（成交）通知书。</w:t>
      </w:r>
    </w:p>
    <w:p w14:paraId="0B3183F0">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09E74933">
      <w:pPr>
        <w:autoSpaceDE w:val="0"/>
        <w:autoSpaceDN w:val="0"/>
        <w:adjustRightInd w:val="0"/>
        <w:ind w:firstLine="480" w:firstLineChars="20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★3、本承诺书打印时间须在本项目招标公告发布至投标截止时间内。</w:t>
      </w:r>
    </w:p>
    <w:p w14:paraId="322F84AE">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p>
    <w:p w14:paraId="6CCE88DF">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p>
    <w:p w14:paraId="60190D33">
      <w:pPr>
        <w:autoSpaceDE w:val="0"/>
        <w:autoSpaceDN w:val="0"/>
        <w:adjustRightInd w:val="0"/>
        <w:spacing w:line="360" w:lineRule="auto"/>
        <w:outlineLvl w:val="1"/>
        <w:rPr>
          <w:rFonts w:ascii="宋体" w:hAnsi="宋体" w:cs="黑体" w:eastAsiaTheme="minorEastAsia"/>
          <w:b/>
          <w:bCs/>
          <w:color w:val="000000" w:themeColor="text1"/>
          <w:sz w:val="24"/>
          <w:szCs w:val="21"/>
          <w:highlight w:val="none"/>
          <w:lang w:eastAsia="zh-CN"/>
          <w14:textFill>
            <w14:solidFill>
              <w14:schemeClr w14:val="tx1"/>
            </w14:solidFill>
          </w14:textFill>
        </w:rPr>
      </w:pPr>
      <w:bookmarkStart w:id="207" w:name="_Toc175663965"/>
      <w:r>
        <w:rPr>
          <w:rFonts w:hint="eastAsia" w:ascii="宋体" w:hAnsi="宋体" w:cs="黑体"/>
          <w:b/>
          <w:bCs/>
          <w:color w:val="000000" w:themeColor="text1"/>
          <w:sz w:val="24"/>
          <w:szCs w:val="21"/>
          <w:highlight w:val="none"/>
          <w:lang w:eastAsia="zh-CN"/>
          <w14:textFill>
            <w14:solidFill>
              <w14:schemeClr w14:val="tx1"/>
            </w14:solidFill>
          </w14:textFill>
        </w:rPr>
        <w:t>十</w:t>
      </w:r>
      <w:r>
        <w:rPr>
          <w:rFonts w:hint="eastAsia" w:ascii="宋体" w:hAnsi="宋体" w:cs="黑体"/>
          <w:b/>
          <w:bCs/>
          <w:color w:val="000000" w:themeColor="text1"/>
          <w:sz w:val="24"/>
          <w:szCs w:val="21"/>
          <w:highlight w:val="none"/>
          <w:lang w:val="en-US" w:eastAsia="zh-CN"/>
          <w14:textFill>
            <w14:solidFill>
              <w14:schemeClr w14:val="tx1"/>
            </w14:solidFill>
          </w14:textFill>
        </w:rPr>
        <w:t>五</w:t>
      </w:r>
      <w:r>
        <w:rPr>
          <w:rFonts w:hint="eastAsia" w:ascii="宋体" w:hAnsi="宋体" w:cs="黑体"/>
          <w:b/>
          <w:bCs/>
          <w:color w:val="000000" w:themeColor="text1"/>
          <w:sz w:val="24"/>
          <w:szCs w:val="21"/>
          <w:highlight w:val="none"/>
          <w:lang w:eastAsia="zh-CN"/>
          <w14:textFill>
            <w14:solidFill>
              <w14:schemeClr w14:val="tx1"/>
            </w14:solidFill>
          </w14:textFill>
        </w:rPr>
        <w:t>、其他（格式自拟）</w:t>
      </w:r>
      <w:bookmarkEnd w:id="207"/>
    </w:p>
    <w:p w14:paraId="3F7DEEAE">
      <w:pPr>
        <w:pStyle w:val="18"/>
        <w:spacing w:before="26"/>
        <w:ind w:left="112" w:right="233"/>
        <w:jc w:val="center"/>
        <w:rPr>
          <w:color w:val="000000" w:themeColor="text1"/>
          <w:sz w:val="21"/>
          <w:szCs w:val="21"/>
          <w:highlight w:val="none"/>
          <w:lang w:eastAsia="zh-CN"/>
          <w14:textFill>
            <w14:solidFill>
              <w14:schemeClr w14:val="tx1"/>
            </w14:solidFill>
          </w14:textFill>
        </w:rPr>
      </w:pPr>
    </w:p>
    <w:sectPr>
      <w:headerReference r:id="rId7" w:type="default"/>
      <w:footerReference r:id="rId8" w:type="default"/>
      <w:pgSz w:w="11906" w:h="16838"/>
      <w:pgMar w:top="1418" w:right="1134" w:bottom="1247" w:left="130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D3C3FA4-EEE6-4D0A-99D2-6A3F81F2B28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embedRegular r:id="rId2" w:fontKey="{8D45F128-D576-455B-BDCF-C5076A79EF1E}"/>
  </w:font>
  <w:font w:name="仿宋">
    <w:panose1 w:val="02010609060101010101"/>
    <w:charset w:val="86"/>
    <w:family w:val="modern"/>
    <w:pitch w:val="default"/>
    <w:sig w:usb0="800002BF" w:usb1="38CF7CFA" w:usb2="00000016" w:usb3="00000000" w:csb0="00040001" w:csb1="00000000"/>
    <w:embedRegular r:id="rId3" w:fontKey="{1322C366-13D1-4472-992B-2600241B7FDC}"/>
  </w:font>
  <w:font w:name="Consolas">
    <w:panose1 w:val="020B0609020204030204"/>
    <w:charset w:val="00"/>
    <w:family w:val="modern"/>
    <w:pitch w:val="default"/>
    <w:sig w:usb0="E00006FF" w:usb1="0000FCFF" w:usb2="00000001" w:usb3="00000000" w:csb0="6000019F" w:csb1="DFD7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金山简魏碑">
    <w:altName w:val="宋体"/>
    <w:panose1 w:val="00000000000000000000"/>
    <w:charset w:val="86"/>
    <w:family w:val="modern"/>
    <w:pitch w:val="default"/>
    <w:sig w:usb0="00000000" w:usb1="00000000" w:usb2="00000010" w:usb3="00000000" w:csb0="00040000" w:csb1="00000000"/>
  </w:font>
  <w:font w:name="KNL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ZLe">
    <w:altName w:val="Times New Roman"/>
    <w:panose1 w:val="00000000000000000000"/>
    <w:charset w:val="00"/>
    <w:family w:val="roman"/>
    <w:pitch w:val="default"/>
    <w:sig w:usb0="00000000" w:usb1="00000000" w:usb2="00000000" w:usb3="00000000" w:csb0="00000000" w:csb1="00000000"/>
  </w:font>
  <w:font w:name="方正仿宋简体">
    <w:panose1 w:val="02000000000000000000"/>
    <w:charset w:val="86"/>
    <w:family w:val="auto"/>
    <w:pitch w:val="default"/>
    <w:sig w:usb0="A00002BF" w:usb1="184F6CFA" w:usb2="00000012" w:usb3="00000000" w:csb0="00040001" w:csb1="00000000"/>
    <w:embedRegular r:id="rId4" w:fontKey="{3043BEB6-0B49-4FE1-BF08-BF4F92C283B8}"/>
  </w:font>
  <w:font w:name="Arial">
    <w:panose1 w:val="020B0604020202020204"/>
    <w:charset w:val="00"/>
    <w:family w:val="auto"/>
    <w:pitch w:val="default"/>
    <w:sig w:usb0="E0002EFF" w:usb1="C000785B" w:usb2="00000009" w:usb3="00000000" w:csb0="400001FF" w:csb1="FFFF0000"/>
    <w:embedRegular r:id="rId5" w:fontKey="{D68E0842-4FE9-4C01-AF8C-264E6CFC724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077EE">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A45C9">
                          <w:pPr>
                            <w:pStyle w:val="30"/>
                          </w:pPr>
                          <w:r>
                            <w:fldChar w:fldCharType="begin"/>
                          </w:r>
                          <w:r>
                            <w:instrText xml:space="preserve"> PAGE  \* MERGEFORMAT </w:instrText>
                          </w:r>
                          <w:r>
                            <w:fldChar w:fldCharType="separate"/>
                          </w:r>
                          <w:r>
                            <w:t>62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F1A45C9">
                    <w:pPr>
                      <w:pStyle w:val="30"/>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A1971">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C90A90">
                          <w:pPr>
                            <w:pStyle w:val="30"/>
                          </w:pPr>
                          <w:r>
                            <w:fldChar w:fldCharType="begin"/>
                          </w:r>
                          <w:r>
                            <w:instrText xml:space="preserve"> PAGE  \* MERGEFORMAT </w:instrText>
                          </w:r>
                          <w:r>
                            <w:fldChar w:fldCharType="separate"/>
                          </w:r>
                          <w:r>
                            <w:t>62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2C90A90">
                    <w:pPr>
                      <w:pStyle w:val="30"/>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6D773">
    <w:pPr>
      <w:pStyle w:val="30"/>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45</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E3C98">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6AC70">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0A658">
    <w:pPr>
      <w:spacing w:line="14" w:lineRule="aut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417B41"/>
    <w:multiLevelType w:val="multilevel"/>
    <w:tmpl w:val="42417B4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6CD026D3"/>
    <w:multiLevelType w:val="singleLevel"/>
    <w:tmpl w:val="6CD026D3"/>
    <w:lvl w:ilvl="0" w:tentative="0">
      <w:start w:val="2"/>
      <w:numFmt w:val="chineseCounting"/>
      <w:suff w:val="space"/>
      <w:lvlText w:val="第%1章"/>
      <w:lvlJc w:val="left"/>
      <w:rPr>
        <w:rFonts w:hint="eastAsia"/>
      </w:rPr>
    </w:lvl>
  </w:abstractNum>
  <w:abstractNum w:abstractNumId="2">
    <w:nsid w:val="6CE1B178"/>
    <w:multiLevelType w:val="singleLevel"/>
    <w:tmpl w:val="6CE1B178"/>
    <w:lvl w:ilvl="0" w:tentative="0">
      <w:start w:val="4"/>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wY2MzNjA3ZmUyMmM4NWFmNWZlNTEyMjVkYmQ2OWQifQ=="/>
  </w:docVars>
  <w:rsids>
    <w:rsidRoot w:val="00B37687"/>
    <w:rsid w:val="00011CBD"/>
    <w:rsid w:val="000175AB"/>
    <w:rsid w:val="00025F16"/>
    <w:rsid w:val="00051695"/>
    <w:rsid w:val="000954BB"/>
    <w:rsid w:val="000C0952"/>
    <w:rsid w:val="000E46A7"/>
    <w:rsid w:val="000F26C5"/>
    <w:rsid w:val="000F5645"/>
    <w:rsid w:val="0011257B"/>
    <w:rsid w:val="001146A8"/>
    <w:rsid w:val="00222B40"/>
    <w:rsid w:val="00225DD3"/>
    <w:rsid w:val="00243497"/>
    <w:rsid w:val="00257B2E"/>
    <w:rsid w:val="00276216"/>
    <w:rsid w:val="00276311"/>
    <w:rsid w:val="002829A8"/>
    <w:rsid w:val="002A04C4"/>
    <w:rsid w:val="002B1762"/>
    <w:rsid w:val="002B421D"/>
    <w:rsid w:val="002C646C"/>
    <w:rsid w:val="002D024E"/>
    <w:rsid w:val="00312D33"/>
    <w:rsid w:val="003247E4"/>
    <w:rsid w:val="00327E33"/>
    <w:rsid w:val="00367756"/>
    <w:rsid w:val="003718DE"/>
    <w:rsid w:val="003832F4"/>
    <w:rsid w:val="003A0B68"/>
    <w:rsid w:val="003A2C50"/>
    <w:rsid w:val="003D6FB0"/>
    <w:rsid w:val="003E47EA"/>
    <w:rsid w:val="003E6C6F"/>
    <w:rsid w:val="004053DE"/>
    <w:rsid w:val="00421508"/>
    <w:rsid w:val="00452A4A"/>
    <w:rsid w:val="004726BA"/>
    <w:rsid w:val="004868DE"/>
    <w:rsid w:val="00494CB8"/>
    <w:rsid w:val="004A3953"/>
    <w:rsid w:val="004B2F1D"/>
    <w:rsid w:val="004B5357"/>
    <w:rsid w:val="004B6EC2"/>
    <w:rsid w:val="0052014E"/>
    <w:rsid w:val="00524EDB"/>
    <w:rsid w:val="0054061E"/>
    <w:rsid w:val="0056126E"/>
    <w:rsid w:val="005C4DEE"/>
    <w:rsid w:val="005E3F6C"/>
    <w:rsid w:val="00621F1B"/>
    <w:rsid w:val="00663612"/>
    <w:rsid w:val="00667C07"/>
    <w:rsid w:val="006779BF"/>
    <w:rsid w:val="006B6E07"/>
    <w:rsid w:val="006C4E91"/>
    <w:rsid w:val="00703E3A"/>
    <w:rsid w:val="00711AB1"/>
    <w:rsid w:val="00715B37"/>
    <w:rsid w:val="00731AE6"/>
    <w:rsid w:val="00744CA3"/>
    <w:rsid w:val="00754D6A"/>
    <w:rsid w:val="00757B46"/>
    <w:rsid w:val="00766A1F"/>
    <w:rsid w:val="00790231"/>
    <w:rsid w:val="00794217"/>
    <w:rsid w:val="007C4E45"/>
    <w:rsid w:val="007C5536"/>
    <w:rsid w:val="007D133B"/>
    <w:rsid w:val="008362CC"/>
    <w:rsid w:val="00860F0E"/>
    <w:rsid w:val="00861502"/>
    <w:rsid w:val="00886AA5"/>
    <w:rsid w:val="00895612"/>
    <w:rsid w:val="008A505E"/>
    <w:rsid w:val="008C6A4F"/>
    <w:rsid w:val="008E37EA"/>
    <w:rsid w:val="008E6E22"/>
    <w:rsid w:val="00911D11"/>
    <w:rsid w:val="00911D3F"/>
    <w:rsid w:val="00942374"/>
    <w:rsid w:val="00954864"/>
    <w:rsid w:val="00963FEF"/>
    <w:rsid w:val="00985795"/>
    <w:rsid w:val="009D5FE5"/>
    <w:rsid w:val="00A120B9"/>
    <w:rsid w:val="00A14004"/>
    <w:rsid w:val="00A450CC"/>
    <w:rsid w:val="00A47459"/>
    <w:rsid w:val="00A644B1"/>
    <w:rsid w:val="00A76E1A"/>
    <w:rsid w:val="00A842B9"/>
    <w:rsid w:val="00A8433C"/>
    <w:rsid w:val="00AE4B5E"/>
    <w:rsid w:val="00B1356D"/>
    <w:rsid w:val="00B13BAA"/>
    <w:rsid w:val="00B17E5D"/>
    <w:rsid w:val="00B21D0B"/>
    <w:rsid w:val="00B264E0"/>
    <w:rsid w:val="00B374F8"/>
    <w:rsid w:val="00B37687"/>
    <w:rsid w:val="00B62000"/>
    <w:rsid w:val="00B85637"/>
    <w:rsid w:val="00BA12C5"/>
    <w:rsid w:val="00BA2320"/>
    <w:rsid w:val="00BB187E"/>
    <w:rsid w:val="00BD40ED"/>
    <w:rsid w:val="00BD6555"/>
    <w:rsid w:val="00BD6958"/>
    <w:rsid w:val="00BF39FC"/>
    <w:rsid w:val="00BF7221"/>
    <w:rsid w:val="00C03E88"/>
    <w:rsid w:val="00C060B8"/>
    <w:rsid w:val="00C121AC"/>
    <w:rsid w:val="00C87FF4"/>
    <w:rsid w:val="00D52623"/>
    <w:rsid w:val="00D75E83"/>
    <w:rsid w:val="00D85C97"/>
    <w:rsid w:val="00D86D3F"/>
    <w:rsid w:val="00D91BFA"/>
    <w:rsid w:val="00DA2A32"/>
    <w:rsid w:val="00E273AC"/>
    <w:rsid w:val="00E76A6B"/>
    <w:rsid w:val="00EA3AA4"/>
    <w:rsid w:val="00EA4938"/>
    <w:rsid w:val="00EA542E"/>
    <w:rsid w:val="00EB6F85"/>
    <w:rsid w:val="00ED0FBD"/>
    <w:rsid w:val="00F03C36"/>
    <w:rsid w:val="00F268A6"/>
    <w:rsid w:val="00F336FF"/>
    <w:rsid w:val="00F50669"/>
    <w:rsid w:val="00F52064"/>
    <w:rsid w:val="00F62699"/>
    <w:rsid w:val="00F80751"/>
    <w:rsid w:val="00F94D15"/>
    <w:rsid w:val="00FA7895"/>
    <w:rsid w:val="00FC098E"/>
    <w:rsid w:val="00FC1EE2"/>
    <w:rsid w:val="00FF5C5B"/>
    <w:rsid w:val="016245C6"/>
    <w:rsid w:val="0177775C"/>
    <w:rsid w:val="01C208AF"/>
    <w:rsid w:val="05BB4D5E"/>
    <w:rsid w:val="09E0077E"/>
    <w:rsid w:val="0C590BAD"/>
    <w:rsid w:val="0DE02512"/>
    <w:rsid w:val="0E2C035C"/>
    <w:rsid w:val="0E5F516C"/>
    <w:rsid w:val="104135F9"/>
    <w:rsid w:val="110525CA"/>
    <w:rsid w:val="16E0489A"/>
    <w:rsid w:val="17606A5A"/>
    <w:rsid w:val="17F44CBB"/>
    <w:rsid w:val="181A3740"/>
    <w:rsid w:val="1AA618A6"/>
    <w:rsid w:val="1AF0779F"/>
    <w:rsid w:val="1C084BCA"/>
    <w:rsid w:val="1D1E0605"/>
    <w:rsid w:val="1D6D3648"/>
    <w:rsid w:val="1D7323BC"/>
    <w:rsid w:val="1F7312F5"/>
    <w:rsid w:val="21515D36"/>
    <w:rsid w:val="21CD7FF9"/>
    <w:rsid w:val="225D2089"/>
    <w:rsid w:val="230404D5"/>
    <w:rsid w:val="24C45B42"/>
    <w:rsid w:val="25FD7B6A"/>
    <w:rsid w:val="27337458"/>
    <w:rsid w:val="27685729"/>
    <w:rsid w:val="2A2E0CD5"/>
    <w:rsid w:val="2EA27BD7"/>
    <w:rsid w:val="2ECE2EA0"/>
    <w:rsid w:val="2ED629EE"/>
    <w:rsid w:val="2F510DF5"/>
    <w:rsid w:val="2FD3466D"/>
    <w:rsid w:val="30185CCC"/>
    <w:rsid w:val="31D24BDD"/>
    <w:rsid w:val="32CE66D5"/>
    <w:rsid w:val="32D2318C"/>
    <w:rsid w:val="335B2689"/>
    <w:rsid w:val="33E235F2"/>
    <w:rsid w:val="34F50348"/>
    <w:rsid w:val="351153E0"/>
    <w:rsid w:val="352639D0"/>
    <w:rsid w:val="35EE1917"/>
    <w:rsid w:val="3792750D"/>
    <w:rsid w:val="39762A50"/>
    <w:rsid w:val="3AF42EC4"/>
    <w:rsid w:val="3AF804C6"/>
    <w:rsid w:val="3B4879C6"/>
    <w:rsid w:val="3E77753E"/>
    <w:rsid w:val="4292177C"/>
    <w:rsid w:val="43092CC4"/>
    <w:rsid w:val="45884F6D"/>
    <w:rsid w:val="46C247B9"/>
    <w:rsid w:val="486E6405"/>
    <w:rsid w:val="4945758C"/>
    <w:rsid w:val="4ABB35AB"/>
    <w:rsid w:val="4AC27088"/>
    <w:rsid w:val="4C65255B"/>
    <w:rsid w:val="4F615AA1"/>
    <w:rsid w:val="51226553"/>
    <w:rsid w:val="52355618"/>
    <w:rsid w:val="530F621A"/>
    <w:rsid w:val="567F61F6"/>
    <w:rsid w:val="56A64683"/>
    <w:rsid w:val="577151B2"/>
    <w:rsid w:val="57825F9E"/>
    <w:rsid w:val="58492617"/>
    <w:rsid w:val="596C6231"/>
    <w:rsid w:val="5A30132A"/>
    <w:rsid w:val="5A6B2D19"/>
    <w:rsid w:val="5B295D11"/>
    <w:rsid w:val="5BDD3CE1"/>
    <w:rsid w:val="5C122E7C"/>
    <w:rsid w:val="5C244482"/>
    <w:rsid w:val="5C2C69B3"/>
    <w:rsid w:val="5C844439"/>
    <w:rsid w:val="5CA50038"/>
    <w:rsid w:val="5F1D47FE"/>
    <w:rsid w:val="60D158A0"/>
    <w:rsid w:val="64516763"/>
    <w:rsid w:val="65567E8E"/>
    <w:rsid w:val="6618187B"/>
    <w:rsid w:val="699A18A3"/>
    <w:rsid w:val="6A25630C"/>
    <w:rsid w:val="6B8562AD"/>
    <w:rsid w:val="6C6E356B"/>
    <w:rsid w:val="6CBE317C"/>
    <w:rsid w:val="710342DB"/>
    <w:rsid w:val="71EE6610"/>
    <w:rsid w:val="75DF0C72"/>
    <w:rsid w:val="773B4B21"/>
    <w:rsid w:val="77611342"/>
    <w:rsid w:val="79387321"/>
    <w:rsid w:val="7E5576B9"/>
    <w:rsid w:val="7EC363D0"/>
    <w:rsid w:val="7EDD2B29"/>
    <w:rsid w:val="7FFA0518"/>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99"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Calibri" w:hAnsi="Calibri" w:eastAsia="Calibri" w:cs="Times New Roman"/>
      <w:sz w:val="22"/>
      <w:szCs w:val="22"/>
      <w:lang w:val="en-US" w:eastAsia="en-US" w:bidi="ar-SA"/>
    </w:rPr>
  </w:style>
  <w:style w:type="paragraph" w:styleId="2">
    <w:name w:val="heading 1"/>
    <w:basedOn w:val="1"/>
    <w:next w:val="1"/>
    <w:link w:val="226"/>
    <w:qFormat/>
    <w:uiPriority w:val="0"/>
    <w:pPr>
      <w:outlineLvl w:val="0"/>
    </w:pPr>
    <w:rPr>
      <w:rFonts w:ascii="黑体" w:hAnsi="黑体" w:eastAsia="黑体"/>
      <w:sz w:val="72"/>
      <w:szCs w:val="72"/>
    </w:rPr>
  </w:style>
  <w:style w:type="paragraph" w:styleId="3">
    <w:name w:val="heading 2"/>
    <w:basedOn w:val="1"/>
    <w:next w:val="1"/>
    <w:link w:val="227"/>
    <w:qFormat/>
    <w:uiPriority w:val="0"/>
    <w:pPr>
      <w:ind w:left="1558"/>
      <w:outlineLvl w:val="1"/>
    </w:pPr>
    <w:rPr>
      <w:rFonts w:ascii="黑体" w:hAnsi="黑体" w:eastAsia="黑体"/>
      <w:b/>
      <w:bCs/>
      <w:sz w:val="36"/>
      <w:szCs w:val="36"/>
    </w:rPr>
  </w:style>
  <w:style w:type="paragraph" w:styleId="4">
    <w:name w:val="heading 3"/>
    <w:basedOn w:val="1"/>
    <w:next w:val="1"/>
    <w:link w:val="228"/>
    <w:qFormat/>
    <w:uiPriority w:val="0"/>
    <w:pPr>
      <w:outlineLvl w:val="2"/>
    </w:pPr>
    <w:rPr>
      <w:rFonts w:ascii="黑体" w:hAnsi="黑体" w:eastAsia="黑体"/>
      <w:sz w:val="32"/>
      <w:szCs w:val="32"/>
    </w:rPr>
  </w:style>
  <w:style w:type="paragraph" w:styleId="5">
    <w:name w:val="heading 4"/>
    <w:basedOn w:val="1"/>
    <w:next w:val="1"/>
    <w:link w:val="229"/>
    <w:qFormat/>
    <w:uiPriority w:val="0"/>
    <w:pPr>
      <w:spacing w:before="34"/>
      <w:ind w:left="358"/>
      <w:outlineLvl w:val="3"/>
    </w:pPr>
    <w:rPr>
      <w:rFonts w:ascii="宋体" w:hAnsi="宋体" w:eastAsia="宋体"/>
      <w:b/>
      <w:bCs/>
      <w:sz w:val="24"/>
      <w:szCs w:val="24"/>
    </w:rPr>
  </w:style>
  <w:style w:type="paragraph" w:styleId="6">
    <w:name w:val="heading 5"/>
    <w:basedOn w:val="1"/>
    <w:next w:val="1"/>
    <w:link w:val="286"/>
    <w:qFormat/>
    <w:uiPriority w:val="0"/>
    <w:pPr>
      <w:keepNext/>
      <w:keepLines/>
      <w:spacing w:before="280" w:after="290" w:line="372" w:lineRule="auto"/>
      <w:jc w:val="both"/>
      <w:outlineLvl w:val="4"/>
    </w:pPr>
    <w:rPr>
      <w:rFonts w:ascii="Times New Roman" w:hAnsi="Times New Roman" w:eastAsia="宋体"/>
      <w:b/>
      <w:bCs/>
      <w:kern w:val="2"/>
      <w:sz w:val="28"/>
      <w:szCs w:val="28"/>
      <w:lang w:eastAsia="zh-CN"/>
    </w:rPr>
  </w:style>
  <w:style w:type="paragraph" w:styleId="7">
    <w:name w:val="heading 6"/>
    <w:basedOn w:val="1"/>
    <w:next w:val="1"/>
    <w:link w:val="230"/>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styleId="8">
    <w:name w:val="heading 7"/>
    <w:basedOn w:val="1"/>
    <w:next w:val="1"/>
    <w:link w:val="231"/>
    <w:qFormat/>
    <w:uiPriority w:val="0"/>
    <w:pPr>
      <w:keepNext/>
      <w:keepLines/>
      <w:widowControl/>
      <w:tabs>
        <w:tab w:val="left" w:pos="2520"/>
      </w:tabs>
      <w:spacing w:before="240" w:after="64" w:line="317" w:lineRule="auto"/>
      <w:ind w:left="1296" w:hanging="1296"/>
      <w:outlineLvl w:val="6"/>
    </w:pPr>
    <w:rPr>
      <w:rFonts w:eastAsia="宋体"/>
      <w:b/>
      <w:sz w:val="24"/>
      <w:szCs w:val="20"/>
    </w:rPr>
  </w:style>
  <w:style w:type="paragraph" w:styleId="9">
    <w:name w:val="heading 8"/>
    <w:basedOn w:val="1"/>
    <w:next w:val="1"/>
    <w:link w:val="232"/>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styleId="10">
    <w:name w:val="heading 9"/>
    <w:basedOn w:val="1"/>
    <w:next w:val="1"/>
    <w:link w:val="233"/>
    <w:qFormat/>
    <w:uiPriority w:val="0"/>
    <w:pPr>
      <w:keepNext/>
      <w:keepLines/>
      <w:widowControl/>
      <w:tabs>
        <w:tab w:val="left" w:pos="1584"/>
      </w:tabs>
      <w:spacing w:before="240" w:after="64" w:line="317" w:lineRule="auto"/>
      <w:ind w:left="1584" w:hanging="1584"/>
      <w:outlineLvl w:val="8"/>
    </w:pPr>
    <w:rPr>
      <w:rFonts w:ascii="Arial" w:hAnsi="Arial" w:eastAsia="黑体"/>
      <w:sz w:val="21"/>
      <w:szCs w:val="20"/>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ind w:left="2520"/>
      <w:jc w:val="both"/>
    </w:pPr>
    <w:rPr>
      <w:rFonts w:eastAsia="宋体"/>
      <w:sz w:val="21"/>
      <w:lang w:eastAsia="zh-CN"/>
    </w:rPr>
  </w:style>
  <w:style w:type="paragraph" w:styleId="12">
    <w:name w:val="Normal Indent"/>
    <w:basedOn w:val="1"/>
    <w:qFormat/>
    <w:uiPriority w:val="0"/>
    <w:pPr>
      <w:ind w:firstLine="420"/>
    </w:pPr>
  </w:style>
  <w:style w:type="paragraph" w:styleId="13">
    <w:name w:val="caption"/>
    <w:basedOn w:val="1"/>
    <w:next w:val="1"/>
    <w:qFormat/>
    <w:uiPriority w:val="0"/>
    <w:pPr>
      <w:jc w:val="both"/>
    </w:pPr>
    <w:rPr>
      <w:rFonts w:ascii="Cambria" w:hAnsi="Cambria" w:eastAsia="黑体"/>
      <w:kern w:val="2"/>
      <w:sz w:val="20"/>
      <w:szCs w:val="20"/>
      <w:lang w:eastAsia="zh-CN"/>
    </w:rPr>
  </w:style>
  <w:style w:type="paragraph" w:styleId="14">
    <w:name w:val="Document Map"/>
    <w:basedOn w:val="1"/>
    <w:link w:val="234"/>
    <w:qFormat/>
    <w:uiPriority w:val="0"/>
    <w:rPr>
      <w:rFonts w:ascii="宋体" w:eastAsia="宋体"/>
      <w:sz w:val="18"/>
      <w:szCs w:val="18"/>
    </w:rPr>
  </w:style>
  <w:style w:type="paragraph" w:styleId="15">
    <w:name w:val="annotation text"/>
    <w:basedOn w:val="1"/>
    <w:link w:val="235"/>
    <w:qFormat/>
    <w:uiPriority w:val="0"/>
    <w:rPr>
      <w:sz w:val="20"/>
    </w:rPr>
  </w:style>
  <w:style w:type="paragraph" w:styleId="16">
    <w:name w:val="Salutation"/>
    <w:basedOn w:val="1"/>
    <w:next w:val="1"/>
    <w:link w:val="387"/>
    <w:qFormat/>
    <w:uiPriority w:val="99"/>
    <w:pPr>
      <w:jc w:val="both"/>
    </w:pPr>
    <w:rPr>
      <w:rFonts w:ascii="楷体_GB2312" w:eastAsia="楷体_GB2312"/>
      <w:kern w:val="2"/>
      <w:sz w:val="28"/>
      <w:szCs w:val="20"/>
      <w:lang w:eastAsia="zh-CN"/>
    </w:rPr>
  </w:style>
  <w:style w:type="paragraph" w:styleId="17">
    <w:name w:val="Body Text 3"/>
    <w:basedOn w:val="1"/>
    <w:link w:val="236"/>
    <w:qFormat/>
    <w:uiPriority w:val="0"/>
    <w:pPr>
      <w:jc w:val="both"/>
    </w:pPr>
    <w:rPr>
      <w:rFonts w:ascii="宋体" w:eastAsia="宋体"/>
      <w:sz w:val="24"/>
      <w:szCs w:val="20"/>
    </w:rPr>
  </w:style>
  <w:style w:type="paragraph" w:styleId="18">
    <w:name w:val="Body Text"/>
    <w:basedOn w:val="1"/>
    <w:link w:val="237"/>
    <w:qFormat/>
    <w:uiPriority w:val="0"/>
    <w:pPr>
      <w:spacing w:before="34"/>
      <w:ind w:left="118"/>
    </w:pPr>
    <w:rPr>
      <w:rFonts w:ascii="宋体" w:hAnsi="宋体" w:eastAsia="宋体"/>
      <w:sz w:val="24"/>
      <w:szCs w:val="24"/>
    </w:rPr>
  </w:style>
  <w:style w:type="paragraph" w:styleId="19">
    <w:name w:val="Body Text Indent"/>
    <w:basedOn w:val="1"/>
    <w:next w:val="20"/>
    <w:link w:val="238"/>
    <w:qFormat/>
    <w:uiPriority w:val="99"/>
    <w:pPr>
      <w:spacing w:after="120"/>
      <w:ind w:left="420"/>
      <w:jc w:val="both"/>
    </w:pPr>
    <w:rPr>
      <w:rFonts w:eastAsia="宋体"/>
      <w:sz w:val="21"/>
      <w:szCs w:val="20"/>
    </w:rPr>
  </w:style>
  <w:style w:type="paragraph" w:styleId="20">
    <w:name w:val="envelope return"/>
    <w:basedOn w:val="1"/>
    <w:unhideWhenUsed/>
    <w:qFormat/>
    <w:uiPriority w:val="99"/>
    <w:rPr>
      <w:rFonts w:ascii="Arial" w:hAnsi="Arial" w:cs="Arial"/>
    </w:rPr>
  </w:style>
  <w:style w:type="paragraph" w:styleId="21">
    <w:name w:val="index 4"/>
    <w:basedOn w:val="1"/>
    <w:next w:val="1"/>
    <w:unhideWhenUsed/>
    <w:qFormat/>
    <w:uiPriority w:val="0"/>
    <w:pPr>
      <w:ind w:left="600"/>
    </w:pPr>
  </w:style>
  <w:style w:type="paragraph" w:styleId="22">
    <w:name w:val="toc 5"/>
    <w:basedOn w:val="1"/>
    <w:next w:val="1"/>
    <w:unhideWhenUsed/>
    <w:qFormat/>
    <w:uiPriority w:val="0"/>
    <w:pPr>
      <w:ind w:left="1680"/>
      <w:jc w:val="both"/>
    </w:pPr>
    <w:rPr>
      <w:rFonts w:eastAsia="宋体"/>
      <w:sz w:val="21"/>
      <w:lang w:eastAsia="zh-CN"/>
    </w:rPr>
  </w:style>
  <w:style w:type="paragraph" w:styleId="23">
    <w:name w:val="toc 3"/>
    <w:basedOn w:val="1"/>
    <w:next w:val="1"/>
    <w:qFormat/>
    <w:uiPriority w:val="39"/>
    <w:pPr>
      <w:ind w:left="840"/>
      <w:jc w:val="both"/>
    </w:pPr>
    <w:rPr>
      <w:rFonts w:eastAsia="宋体"/>
      <w:sz w:val="21"/>
      <w:szCs w:val="20"/>
      <w:lang w:eastAsia="zh-CN"/>
    </w:rPr>
  </w:style>
  <w:style w:type="paragraph" w:styleId="24">
    <w:name w:val="Plain Text"/>
    <w:basedOn w:val="1"/>
    <w:link w:val="239"/>
    <w:qFormat/>
    <w:uiPriority w:val="0"/>
    <w:pPr>
      <w:jc w:val="both"/>
    </w:pPr>
    <w:rPr>
      <w:rFonts w:ascii="Ari" w:eastAsia="宋体"/>
      <w:sz w:val="21"/>
      <w:szCs w:val="24"/>
    </w:rPr>
  </w:style>
  <w:style w:type="paragraph" w:styleId="25">
    <w:name w:val="toc 8"/>
    <w:basedOn w:val="1"/>
    <w:next w:val="1"/>
    <w:unhideWhenUsed/>
    <w:qFormat/>
    <w:uiPriority w:val="0"/>
    <w:pPr>
      <w:ind w:left="2940"/>
      <w:jc w:val="both"/>
    </w:pPr>
    <w:rPr>
      <w:rFonts w:eastAsia="宋体"/>
      <w:sz w:val="21"/>
      <w:lang w:eastAsia="zh-CN"/>
    </w:rPr>
  </w:style>
  <w:style w:type="paragraph" w:styleId="26">
    <w:name w:val="Date"/>
    <w:basedOn w:val="1"/>
    <w:next w:val="1"/>
    <w:link w:val="240"/>
    <w:qFormat/>
    <w:uiPriority w:val="0"/>
    <w:pPr>
      <w:jc w:val="both"/>
    </w:pPr>
    <w:rPr>
      <w:rFonts w:eastAsia="宋体"/>
      <w:sz w:val="24"/>
      <w:szCs w:val="20"/>
    </w:rPr>
  </w:style>
  <w:style w:type="paragraph" w:styleId="27">
    <w:name w:val="Body Text Indent 2"/>
    <w:basedOn w:val="1"/>
    <w:link w:val="285"/>
    <w:unhideWhenUsed/>
    <w:qFormat/>
    <w:uiPriority w:val="0"/>
    <w:pPr>
      <w:spacing w:after="120" w:line="480" w:lineRule="auto"/>
      <w:ind w:left="420" w:leftChars="200"/>
    </w:pPr>
  </w:style>
  <w:style w:type="paragraph" w:styleId="28">
    <w:name w:val="endnote text"/>
    <w:basedOn w:val="1"/>
    <w:link w:val="224"/>
    <w:semiHidden/>
    <w:unhideWhenUsed/>
    <w:qFormat/>
    <w:uiPriority w:val="99"/>
    <w:rPr>
      <w:rFonts w:eastAsia="宋体"/>
      <w:sz w:val="20"/>
      <w:szCs w:val="20"/>
    </w:rPr>
  </w:style>
  <w:style w:type="paragraph" w:styleId="29">
    <w:name w:val="Balloon Text"/>
    <w:basedOn w:val="1"/>
    <w:link w:val="241"/>
    <w:qFormat/>
    <w:uiPriority w:val="0"/>
    <w:rPr>
      <w:sz w:val="18"/>
      <w:szCs w:val="18"/>
    </w:rPr>
  </w:style>
  <w:style w:type="paragraph" w:styleId="30">
    <w:name w:val="footer"/>
    <w:basedOn w:val="1"/>
    <w:link w:val="242"/>
    <w:qFormat/>
    <w:uiPriority w:val="0"/>
    <w:pPr>
      <w:tabs>
        <w:tab w:val="center" w:pos="4153"/>
        <w:tab w:val="right" w:pos="8306"/>
      </w:tabs>
    </w:pPr>
    <w:rPr>
      <w:sz w:val="18"/>
    </w:rPr>
  </w:style>
  <w:style w:type="paragraph" w:styleId="31">
    <w:name w:val="header"/>
    <w:basedOn w:val="1"/>
    <w:link w:val="243"/>
    <w:qFormat/>
    <w:uiPriority w:val="99"/>
    <w:pPr>
      <w:pBdr>
        <w:top w:val="none" w:color="000000" w:sz="0" w:space="1"/>
        <w:left w:val="none" w:color="000000" w:sz="0" w:space="4"/>
        <w:bottom w:val="none" w:color="000000" w:sz="0" w:space="1"/>
        <w:right w:val="none" w:color="000000" w:sz="0" w:space="4"/>
      </w:pBdr>
      <w:tabs>
        <w:tab w:val="center" w:pos="4153"/>
        <w:tab w:val="right" w:pos="8306"/>
      </w:tabs>
      <w:jc w:val="both"/>
    </w:pPr>
    <w:rPr>
      <w:sz w:val="18"/>
    </w:rPr>
  </w:style>
  <w:style w:type="paragraph" w:styleId="32">
    <w:name w:val="toc 1"/>
    <w:basedOn w:val="1"/>
    <w:next w:val="1"/>
    <w:qFormat/>
    <w:uiPriority w:val="39"/>
    <w:pPr>
      <w:spacing w:before="271"/>
    </w:pPr>
    <w:rPr>
      <w:rFonts w:ascii="宋体" w:hAnsi="宋体" w:eastAsia="宋体"/>
      <w:b/>
      <w:bCs/>
      <w:sz w:val="24"/>
      <w:szCs w:val="24"/>
    </w:rPr>
  </w:style>
  <w:style w:type="paragraph" w:styleId="33">
    <w:name w:val="toc 4"/>
    <w:basedOn w:val="1"/>
    <w:next w:val="1"/>
    <w:unhideWhenUsed/>
    <w:qFormat/>
    <w:uiPriority w:val="0"/>
    <w:pPr>
      <w:ind w:left="1260"/>
      <w:jc w:val="both"/>
    </w:pPr>
    <w:rPr>
      <w:rFonts w:eastAsia="宋体"/>
      <w:sz w:val="21"/>
      <w:lang w:eastAsia="zh-CN"/>
    </w:rPr>
  </w:style>
  <w:style w:type="paragraph" w:styleId="34">
    <w:name w:val="index heading"/>
    <w:basedOn w:val="1"/>
    <w:next w:val="35"/>
    <w:qFormat/>
    <w:uiPriority w:val="0"/>
    <w:pPr>
      <w:jc w:val="both"/>
    </w:pPr>
    <w:rPr>
      <w:rFonts w:ascii="Times New Roman" w:hAnsi="Times New Roman" w:eastAsia="宋体"/>
      <w:kern w:val="2"/>
      <w:sz w:val="21"/>
      <w:szCs w:val="20"/>
      <w:lang w:eastAsia="zh-CN"/>
    </w:rPr>
  </w:style>
  <w:style w:type="paragraph" w:styleId="35">
    <w:name w:val="index 1"/>
    <w:basedOn w:val="1"/>
    <w:next w:val="1"/>
    <w:qFormat/>
    <w:uiPriority w:val="0"/>
    <w:pPr>
      <w:spacing w:line="220" w:lineRule="exact"/>
      <w:jc w:val="center"/>
    </w:pPr>
    <w:rPr>
      <w:rFonts w:ascii="仿宋_GB2312" w:eastAsia="仿宋_GB2312"/>
      <w:sz w:val="21"/>
      <w:szCs w:val="20"/>
      <w:lang w:eastAsia="zh-CN"/>
    </w:rPr>
  </w:style>
  <w:style w:type="paragraph" w:styleId="36">
    <w:name w:val="Subtitle"/>
    <w:basedOn w:val="1"/>
    <w:next w:val="1"/>
    <w:link w:val="87"/>
    <w:qFormat/>
    <w:uiPriority w:val="0"/>
    <w:pPr>
      <w:spacing w:before="200" w:after="200"/>
    </w:pPr>
    <w:rPr>
      <w:rFonts w:eastAsia="宋体"/>
      <w:sz w:val="24"/>
      <w:szCs w:val="24"/>
    </w:rPr>
  </w:style>
  <w:style w:type="paragraph" w:styleId="37">
    <w:name w:val="List"/>
    <w:basedOn w:val="1"/>
    <w:qFormat/>
    <w:uiPriority w:val="0"/>
    <w:pPr>
      <w:ind w:left="200" w:hanging="200"/>
      <w:contextualSpacing/>
    </w:pPr>
    <w:rPr>
      <w:rFonts w:ascii="Times New Roman" w:hAnsi="Times New Roman"/>
    </w:rPr>
  </w:style>
  <w:style w:type="paragraph" w:styleId="38">
    <w:name w:val="footnote text"/>
    <w:basedOn w:val="1"/>
    <w:link w:val="223"/>
    <w:semiHidden/>
    <w:unhideWhenUsed/>
    <w:qFormat/>
    <w:uiPriority w:val="99"/>
    <w:pPr>
      <w:spacing w:after="40"/>
    </w:pPr>
    <w:rPr>
      <w:rFonts w:eastAsia="宋体"/>
      <w:sz w:val="18"/>
      <w:szCs w:val="20"/>
    </w:rPr>
  </w:style>
  <w:style w:type="paragraph" w:styleId="39">
    <w:name w:val="toc 6"/>
    <w:basedOn w:val="1"/>
    <w:next w:val="1"/>
    <w:unhideWhenUsed/>
    <w:qFormat/>
    <w:uiPriority w:val="0"/>
    <w:pPr>
      <w:ind w:left="2100"/>
      <w:jc w:val="both"/>
    </w:pPr>
    <w:rPr>
      <w:rFonts w:eastAsia="宋体"/>
      <w:sz w:val="21"/>
      <w:lang w:eastAsia="zh-CN"/>
    </w:rPr>
  </w:style>
  <w:style w:type="paragraph" w:styleId="40">
    <w:name w:val="Body Text Indent 3"/>
    <w:basedOn w:val="1"/>
    <w:link w:val="244"/>
    <w:qFormat/>
    <w:uiPriority w:val="0"/>
    <w:pPr>
      <w:spacing w:after="120"/>
      <w:ind w:left="420"/>
      <w:jc w:val="both"/>
    </w:pPr>
    <w:rPr>
      <w:rFonts w:eastAsia="宋体"/>
      <w:sz w:val="16"/>
      <w:szCs w:val="20"/>
    </w:rPr>
  </w:style>
  <w:style w:type="paragraph" w:styleId="41">
    <w:name w:val="table of figures"/>
    <w:basedOn w:val="1"/>
    <w:next w:val="1"/>
    <w:unhideWhenUsed/>
    <w:qFormat/>
    <w:uiPriority w:val="99"/>
  </w:style>
  <w:style w:type="paragraph" w:styleId="42">
    <w:name w:val="toc 2"/>
    <w:basedOn w:val="1"/>
    <w:next w:val="1"/>
    <w:qFormat/>
    <w:uiPriority w:val="39"/>
    <w:pPr>
      <w:spacing w:before="151"/>
      <w:ind w:left="327"/>
    </w:pPr>
    <w:rPr>
      <w:rFonts w:ascii="宋体" w:hAnsi="宋体" w:eastAsia="宋体"/>
      <w:sz w:val="24"/>
      <w:szCs w:val="24"/>
    </w:rPr>
  </w:style>
  <w:style w:type="paragraph" w:styleId="43">
    <w:name w:val="toc 9"/>
    <w:basedOn w:val="1"/>
    <w:next w:val="1"/>
    <w:unhideWhenUsed/>
    <w:qFormat/>
    <w:uiPriority w:val="0"/>
    <w:pPr>
      <w:ind w:left="3360"/>
      <w:jc w:val="both"/>
    </w:pPr>
    <w:rPr>
      <w:rFonts w:eastAsia="宋体"/>
      <w:sz w:val="21"/>
      <w:lang w:eastAsia="zh-CN"/>
    </w:rPr>
  </w:style>
  <w:style w:type="paragraph" w:styleId="44">
    <w:name w:val="Body Text 2"/>
    <w:basedOn w:val="1"/>
    <w:link w:val="388"/>
    <w:qFormat/>
    <w:uiPriority w:val="99"/>
    <w:pPr>
      <w:jc w:val="both"/>
    </w:pPr>
    <w:rPr>
      <w:rFonts w:ascii="宋体" w:eastAsia="宋体"/>
      <w:b/>
      <w:bCs/>
      <w:kern w:val="2"/>
      <w:sz w:val="24"/>
      <w:szCs w:val="24"/>
      <w:lang w:eastAsia="zh-CN"/>
    </w:rPr>
  </w:style>
  <w:style w:type="paragraph" w:styleId="45">
    <w:name w:val="HTML Preformatted"/>
    <w:basedOn w:val="1"/>
    <w:link w:val="28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eastAsia="宋体"/>
      <w:sz w:val="11"/>
      <w:szCs w:val="11"/>
      <w:lang w:eastAsia="zh-CN"/>
    </w:rPr>
  </w:style>
  <w:style w:type="paragraph" w:styleId="46">
    <w:name w:val="Normal (Web)"/>
    <w:basedOn w:val="1"/>
    <w:unhideWhenUsed/>
    <w:qFormat/>
    <w:uiPriority w:val="0"/>
    <w:pPr>
      <w:widowControl/>
      <w:spacing w:before="100" w:beforeAutospacing="1" w:after="100" w:afterAutospacing="1"/>
    </w:pPr>
    <w:rPr>
      <w:rFonts w:ascii="宋体" w:hAnsi="宋体" w:eastAsia="宋体" w:cs="宋体"/>
      <w:sz w:val="24"/>
      <w:szCs w:val="24"/>
      <w:lang w:eastAsia="zh-CN"/>
    </w:rPr>
  </w:style>
  <w:style w:type="paragraph" w:styleId="47">
    <w:name w:val="Title"/>
    <w:basedOn w:val="1"/>
    <w:link w:val="245"/>
    <w:qFormat/>
    <w:uiPriority w:val="0"/>
    <w:pPr>
      <w:spacing w:before="240" w:after="60" w:line="420" w:lineRule="atLeast"/>
      <w:jc w:val="center"/>
      <w:outlineLvl w:val="0"/>
    </w:pPr>
    <w:rPr>
      <w:rFonts w:ascii="Arial" w:hAnsi="Arial" w:eastAsia="宋体"/>
      <w:b/>
      <w:sz w:val="32"/>
      <w:szCs w:val="20"/>
    </w:rPr>
  </w:style>
  <w:style w:type="paragraph" w:styleId="48">
    <w:name w:val="annotation subject"/>
    <w:basedOn w:val="15"/>
    <w:next w:val="15"/>
    <w:link w:val="246"/>
    <w:qFormat/>
    <w:uiPriority w:val="0"/>
    <w:rPr>
      <w:rFonts w:eastAsia="宋体"/>
      <w:szCs w:val="20"/>
    </w:rPr>
  </w:style>
  <w:style w:type="paragraph" w:styleId="49">
    <w:name w:val="Body Text First Indent"/>
    <w:basedOn w:val="18"/>
    <w:link w:val="247"/>
    <w:qFormat/>
    <w:uiPriority w:val="0"/>
    <w:pPr>
      <w:tabs>
        <w:tab w:val="left" w:pos="562"/>
        <w:tab w:val="left" w:pos="3372"/>
        <w:tab w:val="left" w:pos="3653"/>
      </w:tabs>
      <w:ind w:firstLine="200"/>
    </w:pPr>
  </w:style>
  <w:style w:type="paragraph" w:styleId="50">
    <w:name w:val="Body Text First Indent 2"/>
    <w:basedOn w:val="19"/>
    <w:next w:val="1"/>
    <w:link w:val="389"/>
    <w:qFormat/>
    <w:uiPriority w:val="0"/>
    <w:pPr>
      <w:ind w:firstLine="420"/>
    </w:pPr>
  </w:style>
  <w:style w:type="table" w:styleId="52">
    <w:name w:val="Table Grid"/>
    <w:basedOn w:val="51"/>
    <w:qFormat/>
    <w:uiPriority w:val="0"/>
    <w:tblPr>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unhideWhenUsed/>
    <w:qFormat/>
    <w:uiPriority w:val="99"/>
    <w:rPr>
      <w:color w:val="800080"/>
      <w:u w:val="single"/>
    </w:rPr>
  </w:style>
  <w:style w:type="character" w:styleId="58">
    <w:name w:val="Emphasis"/>
    <w:qFormat/>
    <w:uiPriority w:val="0"/>
    <w:rPr>
      <w:i/>
      <w:iCs/>
    </w:rPr>
  </w:style>
  <w:style w:type="character" w:styleId="59">
    <w:name w:val="HTML Definition"/>
    <w:qFormat/>
    <w:uiPriority w:val="0"/>
    <w:rPr>
      <w:i/>
    </w:rPr>
  </w:style>
  <w:style w:type="character" w:styleId="60">
    <w:name w:val="Hyperlink"/>
    <w:qFormat/>
    <w:uiPriority w:val="99"/>
    <w:rPr>
      <w:color w:val="0000FF"/>
      <w:u w:val="single"/>
    </w:rPr>
  </w:style>
  <w:style w:type="character" w:styleId="61">
    <w:name w:val="HTML Code"/>
    <w:qFormat/>
    <w:uiPriority w:val="0"/>
    <w:rPr>
      <w:rFonts w:ascii="Consolas" w:hAnsi="Consolas" w:eastAsia="Consolas" w:cs="Consolas"/>
      <w:color w:val="CA4440"/>
      <w:sz w:val="21"/>
      <w:szCs w:val="21"/>
      <w:shd w:val="clear" w:color="auto" w:fill="F9F2F4"/>
    </w:rPr>
  </w:style>
  <w:style w:type="character" w:styleId="62">
    <w:name w:val="annotation reference"/>
    <w:qFormat/>
    <w:uiPriority w:val="0"/>
    <w:rPr>
      <w:sz w:val="21"/>
      <w:szCs w:val="21"/>
    </w:rPr>
  </w:style>
  <w:style w:type="character" w:styleId="63">
    <w:name w:val="footnote reference"/>
    <w:unhideWhenUsed/>
    <w:qFormat/>
    <w:uiPriority w:val="99"/>
    <w:rPr>
      <w:vertAlign w:val="superscript"/>
    </w:rPr>
  </w:style>
  <w:style w:type="character" w:styleId="64">
    <w:name w:val="HTML Keyboard"/>
    <w:qFormat/>
    <w:uiPriority w:val="0"/>
    <w:rPr>
      <w:rFonts w:hint="default" w:ascii="Consolas" w:hAnsi="Consolas" w:eastAsia="Consolas" w:cs="Consolas"/>
      <w:color w:val="FFFFFF"/>
      <w:sz w:val="21"/>
      <w:szCs w:val="21"/>
      <w:shd w:val="clear" w:color="auto" w:fill="333333"/>
    </w:rPr>
  </w:style>
  <w:style w:type="character" w:styleId="65">
    <w:name w:val="HTML Sample"/>
    <w:qFormat/>
    <w:uiPriority w:val="0"/>
    <w:rPr>
      <w:rFonts w:hint="default" w:ascii="Consolas" w:hAnsi="Consolas" w:eastAsia="Consolas" w:cs="Consolas"/>
      <w:sz w:val="21"/>
      <w:szCs w:val="21"/>
    </w:rPr>
  </w:style>
  <w:style w:type="paragraph" w:styleId="66">
    <w:name w:val="List Paragraph"/>
    <w:basedOn w:val="1"/>
    <w:qFormat/>
    <w:uiPriority w:val="34"/>
  </w:style>
  <w:style w:type="paragraph" w:customStyle="1" w:styleId="67">
    <w:name w:val="Heading 1"/>
    <w:basedOn w:val="1"/>
    <w:next w:val="1"/>
    <w:link w:val="68"/>
    <w:qFormat/>
    <w:uiPriority w:val="9"/>
    <w:pPr>
      <w:keepNext/>
      <w:keepLines/>
      <w:spacing w:before="480" w:after="200"/>
      <w:outlineLvl w:val="0"/>
    </w:pPr>
    <w:rPr>
      <w:rFonts w:ascii="Arial" w:hAnsi="Arial" w:eastAsia="Arial"/>
      <w:sz w:val="40"/>
      <w:szCs w:val="40"/>
    </w:rPr>
  </w:style>
  <w:style w:type="character" w:customStyle="1" w:styleId="68">
    <w:name w:val="Heading 1 Char"/>
    <w:link w:val="67"/>
    <w:qFormat/>
    <w:uiPriority w:val="9"/>
    <w:rPr>
      <w:rFonts w:ascii="Arial" w:hAnsi="Arial" w:eastAsia="Arial" w:cs="Arial"/>
      <w:sz w:val="40"/>
      <w:szCs w:val="40"/>
    </w:rPr>
  </w:style>
  <w:style w:type="character" w:customStyle="1" w:styleId="69">
    <w:name w:val="Heading 2 Char"/>
    <w:link w:val="70"/>
    <w:qFormat/>
    <w:uiPriority w:val="9"/>
    <w:rPr>
      <w:rFonts w:ascii="Arial" w:hAnsi="Arial" w:eastAsia="Arial" w:cs="Arial"/>
      <w:sz w:val="34"/>
    </w:rPr>
  </w:style>
  <w:style w:type="paragraph" w:customStyle="1" w:styleId="70">
    <w:name w:val="Heading 2"/>
    <w:basedOn w:val="1"/>
    <w:link w:val="69"/>
    <w:qFormat/>
    <w:uiPriority w:val="9"/>
    <w:pPr>
      <w:spacing w:before="169"/>
      <w:ind w:left="157"/>
      <w:outlineLvl w:val="2"/>
    </w:pPr>
    <w:rPr>
      <w:rFonts w:ascii="Arial" w:hAnsi="Arial" w:eastAsia="Arial"/>
      <w:sz w:val="34"/>
      <w:szCs w:val="20"/>
    </w:rPr>
  </w:style>
  <w:style w:type="paragraph" w:customStyle="1" w:styleId="71">
    <w:name w:val="Heading 3"/>
    <w:basedOn w:val="1"/>
    <w:next w:val="1"/>
    <w:link w:val="72"/>
    <w:unhideWhenUsed/>
    <w:qFormat/>
    <w:uiPriority w:val="9"/>
    <w:pPr>
      <w:keepNext/>
      <w:keepLines/>
      <w:spacing w:before="320" w:after="200"/>
      <w:outlineLvl w:val="2"/>
    </w:pPr>
    <w:rPr>
      <w:rFonts w:ascii="Arial" w:hAnsi="Arial" w:eastAsia="Arial"/>
      <w:sz w:val="30"/>
      <w:szCs w:val="30"/>
    </w:rPr>
  </w:style>
  <w:style w:type="character" w:customStyle="1" w:styleId="72">
    <w:name w:val="Heading 3 Char"/>
    <w:link w:val="71"/>
    <w:qFormat/>
    <w:uiPriority w:val="9"/>
    <w:rPr>
      <w:rFonts w:ascii="Arial" w:hAnsi="Arial" w:eastAsia="Arial" w:cs="Arial"/>
      <w:sz w:val="30"/>
      <w:szCs w:val="30"/>
    </w:rPr>
  </w:style>
  <w:style w:type="paragraph" w:customStyle="1" w:styleId="73">
    <w:name w:val="Heading 4"/>
    <w:basedOn w:val="1"/>
    <w:next w:val="1"/>
    <w:link w:val="74"/>
    <w:unhideWhenUsed/>
    <w:qFormat/>
    <w:uiPriority w:val="9"/>
    <w:pPr>
      <w:keepNext/>
      <w:keepLines/>
      <w:spacing w:before="320" w:after="200"/>
      <w:outlineLvl w:val="3"/>
    </w:pPr>
    <w:rPr>
      <w:rFonts w:ascii="Arial" w:hAnsi="Arial" w:eastAsia="Arial"/>
      <w:b/>
      <w:bCs/>
      <w:sz w:val="26"/>
      <w:szCs w:val="26"/>
    </w:rPr>
  </w:style>
  <w:style w:type="character" w:customStyle="1" w:styleId="74">
    <w:name w:val="Heading 4 Char"/>
    <w:link w:val="73"/>
    <w:qFormat/>
    <w:uiPriority w:val="9"/>
    <w:rPr>
      <w:rFonts w:ascii="Arial" w:hAnsi="Arial" w:eastAsia="Arial" w:cs="Arial"/>
      <w:b/>
      <w:bCs/>
      <w:sz w:val="26"/>
      <w:szCs w:val="26"/>
    </w:rPr>
  </w:style>
  <w:style w:type="paragraph" w:customStyle="1" w:styleId="75">
    <w:name w:val="Heading 5"/>
    <w:basedOn w:val="1"/>
    <w:next w:val="1"/>
    <w:link w:val="76"/>
    <w:unhideWhenUsed/>
    <w:qFormat/>
    <w:uiPriority w:val="9"/>
    <w:pPr>
      <w:keepNext/>
      <w:keepLines/>
      <w:spacing w:before="320" w:after="200"/>
      <w:outlineLvl w:val="4"/>
    </w:pPr>
    <w:rPr>
      <w:rFonts w:ascii="Arial" w:hAnsi="Arial" w:eastAsia="Arial"/>
      <w:b/>
      <w:bCs/>
      <w:sz w:val="24"/>
      <w:szCs w:val="24"/>
    </w:rPr>
  </w:style>
  <w:style w:type="character" w:customStyle="1" w:styleId="76">
    <w:name w:val="Heading 5 Char"/>
    <w:link w:val="75"/>
    <w:qFormat/>
    <w:uiPriority w:val="9"/>
    <w:rPr>
      <w:rFonts w:ascii="Arial" w:hAnsi="Arial" w:eastAsia="Arial" w:cs="Arial"/>
      <w:b/>
      <w:bCs/>
      <w:sz w:val="24"/>
      <w:szCs w:val="24"/>
    </w:rPr>
  </w:style>
  <w:style w:type="paragraph" w:customStyle="1" w:styleId="77">
    <w:name w:val="Heading 6"/>
    <w:basedOn w:val="1"/>
    <w:next w:val="1"/>
    <w:link w:val="78"/>
    <w:unhideWhenUsed/>
    <w:qFormat/>
    <w:uiPriority w:val="9"/>
    <w:pPr>
      <w:keepNext/>
      <w:keepLines/>
      <w:spacing w:before="320" w:after="200"/>
      <w:outlineLvl w:val="5"/>
    </w:pPr>
    <w:rPr>
      <w:rFonts w:ascii="Arial" w:hAnsi="Arial" w:eastAsia="Arial"/>
      <w:b/>
      <w:bCs/>
    </w:rPr>
  </w:style>
  <w:style w:type="character" w:customStyle="1" w:styleId="78">
    <w:name w:val="Heading 6 Char"/>
    <w:link w:val="77"/>
    <w:qFormat/>
    <w:uiPriority w:val="9"/>
    <w:rPr>
      <w:rFonts w:ascii="Arial" w:hAnsi="Arial" w:eastAsia="Arial" w:cs="Arial"/>
      <w:b/>
      <w:bCs/>
      <w:sz w:val="22"/>
      <w:szCs w:val="22"/>
    </w:rPr>
  </w:style>
  <w:style w:type="paragraph" w:customStyle="1" w:styleId="79">
    <w:name w:val="Heading 7"/>
    <w:basedOn w:val="1"/>
    <w:next w:val="1"/>
    <w:link w:val="80"/>
    <w:unhideWhenUsed/>
    <w:qFormat/>
    <w:uiPriority w:val="9"/>
    <w:pPr>
      <w:keepNext/>
      <w:keepLines/>
      <w:spacing w:before="320" w:after="200"/>
      <w:outlineLvl w:val="6"/>
    </w:pPr>
    <w:rPr>
      <w:rFonts w:ascii="Arial" w:hAnsi="Arial" w:eastAsia="Arial"/>
      <w:b/>
      <w:bCs/>
      <w:i/>
      <w:iCs/>
    </w:rPr>
  </w:style>
  <w:style w:type="character" w:customStyle="1" w:styleId="80">
    <w:name w:val="Heading 7 Char"/>
    <w:link w:val="79"/>
    <w:qFormat/>
    <w:uiPriority w:val="9"/>
    <w:rPr>
      <w:rFonts w:ascii="Arial" w:hAnsi="Arial" w:eastAsia="Arial" w:cs="Arial"/>
      <w:b/>
      <w:bCs/>
      <w:i/>
      <w:iCs/>
      <w:sz w:val="22"/>
      <w:szCs w:val="22"/>
    </w:rPr>
  </w:style>
  <w:style w:type="paragraph" w:customStyle="1" w:styleId="81">
    <w:name w:val="Heading 8"/>
    <w:basedOn w:val="1"/>
    <w:next w:val="1"/>
    <w:link w:val="82"/>
    <w:unhideWhenUsed/>
    <w:qFormat/>
    <w:uiPriority w:val="9"/>
    <w:pPr>
      <w:keepNext/>
      <w:keepLines/>
      <w:spacing w:before="320" w:after="200"/>
      <w:outlineLvl w:val="7"/>
    </w:pPr>
    <w:rPr>
      <w:rFonts w:ascii="Arial" w:hAnsi="Arial" w:eastAsia="Arial"/>
      <w:i/>
      <w:iCs/>
    </w:rPr>
  </w:style>
  <w:style w:type="character" w:customStyle="1" w:styleId="82">
    <w:name w:val="Heading 8 Char"/>
    <w:link w:val="81"/>
    <w:qFormat/>
    <w:uiPriority w:val="9"/>
    <w:rPr>
      <w:rFonts w:ascii="Arial" w:hAnsi="Arial" w:eastAsia="Arial" w:cs="Arial"/>
      <w:i/>
      <w:iCs/>
      <w:sz w:val="22"/>
      <w:szCs w:val="22"/>
    </w:rPr>
  </w:style>
  <w:style w:type="paragraph" w:customStyle="1" w:styleId="83">
    <w:name w:val="Heading 9"/>
    <w:basedOn w:val="1"/>
    <w:next w:val="1"/>
    <w:link w:val="84"/>
    <w:unhideWhenUsed/>
    <w:qFormat/>
    <w:uiPriority w:val="9"/>
    <w:pPr>
      <w:keepNext/>
      <w:keepLines/>
      <w:spacing w:before="320" w:after="200"/>
      <w:outlineLvl w:val="8"/>
    </w:pPr>
    <w:rPr>
      <w:rFonts w:ascii="Arial" w:hAnsi="Arial" w:eastAsia="Arial"/>
      <w:i/>
      <w:iCs/>
      <w:sz w:val="21"/>
      <w:szCs w:val="21"/>
    </w:rPr>
  </w:style>
  <w:style w:type="character" w:customStyle="1" w:styleId="84">
    <w:name w:val="Heading 9 Char"/>
    <w:link w:val="83"/>
    <w:qFormat/>
    <w:uiPriority w:val="9"/>
    <w:rPr>
      <w:rFonts w:ascii="Arial" w:hAnsi="Arial" w:eastAsia="Arial" w:cs="Arial"/>
      <w:i/>
      <w:iCs/>
      <w:sz w:val="21"/>
      <w:szCs w:val="21"/>
    </w:rPr>
  </w:style>
  <w:style w:type="paragraph" w:styleId="85">
    <w:name w:val="No Spacing"/>
    <w:link w:val="330"/>
    <w:qFormat/>
    <w:uiPriority w:val="1"/>
    <w:rPr>
      <w:rFonts w:ascii="Calibri" w:hAnsi="Calibri" w:eastAsia="宋体" w:cs="Times New Roman"/>
      <w:lang w:val="en-US" w:eastAsia="zh-CN" w:bidi="ar-SA"/>
    </w:rPr>
  </w:style>
  <w:style w:type="character" w:customStyle="1" w:styleId="86">
    <w:name w:val="Title Char"/>
    <w:qFormat/>
    <w:uiPriority w:val="10"/>
    <w:rPr>
      <w:sz w:val="48"/>
      <w:szCs w:val="48"/>
    </w:rPr>
  </w:style>
  <w:style w:type="character" w:customStyle="1" w:styleId="87">
    <w:name w:val="副标题 Char"/>
    <w:link w:val="36"/>
    <w:qFormat/>
    <w:uiPriority w:val="0"/>
    <w:rPr>
      <w:sz w:val="24"/>
      <w:szCs w:val="24"/>
    </w:rPr>
  </w:style>
  <w:style w:type="paragraph" w:styleId="88">
    <w:name w:val="Quote"/>
    <w:basedOn w:val="1"/>
    <w:next w:val="1"/>
    <w:link w:val="89"/>
    <w:qFormat/>
    <w:uiPriority w:val="0"/>
    <w:pPr>
      <w:ind w:left="720" w:right="720"/>
    </w:pPr>
    <w:rPr>
      <w:rFonts w:eastAsia="宋体"/>
      <w:i/>
      <w:sz w:val="20"/>
      <w:szCs w:val="20"/>
    </w:rPr>
  </w:style>
  <w:style w:type="character" w:customStyle="1" w:styleId="89">
    <w:name w:val="引用 Char"/>
    <w:link w:val="88"/>
    <w:qFormat/>
    <w:uiPriority w:val="0"/>
    <w:rPr>
      <w:i/>
    </w:rPr>
  </w:style>
  <w:style w:type="paragraph" w:styleId="90">
    <w:name w:val="Intense Quote"/>
    <w:basedOn w:val="1"/>
    <w:next w:val="1"/>
    <w:link w:val="91"/>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szCs w:val="20"/>
    </w:rPr>
  </w:style>
  <w:style w:type="character" w:customStyle="1" w:styleId="91">
    <w:name w:val="明显引用 Char"/>
    <w:link w:val="90"/>
    <w:qFormat/>
    <w:uiPriority w:val="0"/>
    <w:rPr>
      <w:i/>
    </w:rPr>
  </w:style>
  <w:style w:type="paragraph" w:customStyle="1" w:styleId="92">
    <w:name w:val="Header"/>
    <w:basedOn w:val="1"/>
    <w:link w:val="93"/>
    <w:unhideWhenUsed/>
    <w:qFormat/>
    <w:uiPriority w:val="99"/>
    <w:pPr>
      <w:tabs>
        <w:tab w:val="center" w:pos="7143"/>
        <w:tab w:val="right" w:pos="14287"/>
      </w:tabs>
    </w:pPr>
  </w:style>
  <w:style w:type="character" w:customStyle="1" w:styleId="93">
    <w:name w:val="Header Char"/>
    <w:link w:val="92"/>
    <w:qFormat/>
    <w:uiPriority w:val="99"/>
  </w:style>
  <w:style w:type="paragraph" w:customStyle="1" w:styleId="94">
    <w:name w:val="Footer"/>
    <w:basedOn w:val="1"/>
    <w:link w:val="97"/>
    <w:unhideWhenUsed/>
    <w:qFormat/>
    <w:uiPriority w:val="99"/>
    <w:pPr>
      <w:tabs>
        <w:tab w:val="center" w:pos="7143"/>
        <w:tab w:val="right" w:pos="14287"/>
      </w:tabs>
    </w:pPr>
  </w:style>
  <w:style w:type="character" w:customStyle="1" w:styleId="95">
    <w:name w:val="Footer Char"/>
    <w:qFormat/>
    <w:uiPriority w:val="99"/>
  </w:style>
  <w:style w:type="paragraph" w:customStyle="1" w:styleId="96">
    <w:name w:val="Caption"/>
    <w:basedOn w:val="1"/>
    <w:next w:val="1"/>
    <w:semiHidden/>
    <w:unhideWhenUsed/>
    <w:qFormat/>
    <w:uiPriority w:val="35"/>
    <w:pPr>
      <w:spacing w:line="276" w:lineRule="auto"/>
    </w:pPr>
    <w:rPr>
      <w:b/>
      <w:bCs/>
      <w:color w:val="4F81BD"/>
      <w:sz w:val="18"/>
      <w:szCs w:val="18"/>
    </w:rPr>
  </w:style>
  <w:style w:type="character" w:customStyle="1" w:styleId="97">
    <w:name w:val="Caption Char"/>
    <w:link w:val="94"/>
    <w:qFormat/>
    <w:uiPriority w:val="99"/>
  </w:style>
  <w:style w:type="table" w:customStyle="1" w:styleId="9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9">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0">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1">
    <w:name w:val="Plain Table 3"/>
    <w:qFormat/>
    <w:uiPriority w:val="99"/>
    <w:tblPr>
      <w:tblCellMar>
        <w:top w:w="0" w:type="dxa"/>
        <w:left w:w="0" w:type="dxa"/>
        <w:bottom w:w="0" w:type="dxa"/>
        <w:right w:w="0" w:type="dxa"/>
      </w:tblCellMar>
    </w:tblPr>
  </w:style>
  <w:style w:type="table" w:customStyle="1" w:styleId="102">
    <w:name w:val="Plain Table 4"/>
    <w:qFormat/>
    <w:uiPriority w:val="99"/>
    <w:tblPr>
      <w:tblCellMar>
        <w:top w:w="0" w:type="dxa"/>
        <w:left w:w="0" w:type="dxa"/>
        <w:bottom w:w="0" w:type="dxa"/>
        <w:right w:w="0" w:type="dxa"/>
      </w:tblCellMar>
    </w:tblPr>
  </w:style>
  <w:style w:type="table" w:customStyle="1" w:styleId="103">
    <w:name w:val="Plain Table 5"/>
    <w:qFormat/>
    <w:uiPriority w:val="99"/>
    <w:tblPr>
      <w:tblCellMar>
        <w:top w:w="0" w:type="dxa"/>
        <w:left w:w="0" w:type="dxa"/>
        <w:bottom w:w="0" w:type="dxa"/>
        <w:right w:w="0" w:type="dxa"/>
      </w:tblCellMar>
    </w:tblPr>
  </w:style>
  <w:style w:type="table" w:customStyle="1" w:styleId="104">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1">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8">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5">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2">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6">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3">
    <w:name w:val="List Table 1 Light"/>
    <w:qFormat/>
    <w:uiPriority w:val="99"/>
    <w:tblPr>
      <w:tblCellMar>
        <w:top w:w="0" w:type="dxa"/>
        <w:left w:w="0" w:type="dxa"/>
        <w:bottom w:w="0" w:type="dxa"/>
        <w:right w:w="0" w:type="dxa"/>
      </w:tblCellMar>
    </w:tblPr>
  </w:style>
  <w:style w:type="table" w:customStyle="1" w:styleId="154">
    <w:name w:val="List Table 1 Light - Accent 1"/>
    <w:qFormat/>
    <w:uiPriority w:val="99"/>
    <w:tblPr>
      <w:tblCellMar>
        <w:top w:w="0" w:type="dxa"/>
        <w:left w:w="0" w:type="dxa"/>
        <w:bottom w:w="0" w:type="dxa"/>
        <w:right w:w="0" w:type="dxa"/>
      </w:tblCellMar>
    </w:tblPr>
  </w:style>
  <w:style w:type="table" w:customStyle="1" w:styleId="155">
    <w:name w:val="List Table 1 Light - Accent 2"/>
    <w:qFormat/>
    <w:uiPriority w:val="99"/>
    <w:tblPr>
      <w:tblCellMar>
        <w:top w:w="0" w:type="dxa"/>
        <w:left w:w="0" w:type="dxa"/>
        <w:bottom w:w="0" w:type="dxa"/>
        <w:right w:w="0" w:type="dxa"/>
      </w:tblCellMar>
    </w:tblPr>
  </w:style>
  <w:style w:type="table" w:customStyle="1" w:styleId="156">
    <w:name w:val="List Table 1 Light - Accent 3"/>
    <w:qFormat/>
    <w:uiPriority w:val="99"/>
    <w:tblPr>
      <w:tblCellMar>
        <w:top w:w="0" w:type="dxa"/>
        <w:left w:w="0" w:type="dxa"/>
        <w:bottom w:w="0" w:type="dxa"/>
        <w:right w:w="0" w:type="dxa"/>
      </w:tblCellMar>
    </w:tblPr>
  </w:style>
  <w:style w:type="table" w:customStyle="1" w:styleId="157">
    <w:name w:val="List Table 1 Light - Accent 4"/>
    <w:qFormat/>
    <w:uiPriority w:val="99"/>
    <w:tblPr>
      <w:tblCellMar>
        <w:top w:w="0" w:type="dxa"/>
        <w:left w:w="0" w:type="dxa"/>
        <w:bottom w:w="0" w:type="dxa"/>
        <w:right w:w="0" w:type="dxa"/>
      </w:tblCellMar>
    </w:tblPr>
  </w:style>
  <w:style w:type="table" w:customStyle="1" w:styleId="158">
    <w:name w:val="List Table 1 Light - Accent 5"/>
    <w:qFormat/>
    <w:uiPriority w:val="99"/>
    <w:tblPr>
      <w:tblCellMar>
        <w:top w:w="0" w:type="dxa"/>
        <w:left w:w="0" w:type="dxa"/>
        <w:bottom w:w="0" w:type="dxa"/>
        <w:right w:w="0" w:type="dxa"/>
      </w:tblCellMar>
    </w:tblPr>
  </w:style>
  <w:style w:type="table" w:customStyle="1" w:styleId="159">
    <w:name w:val="List Table 1 Light - Accent 6"/>
    <w:qFormat/>
    <w:uiPriority w:val="99"/>
    <w:tblPr>
      <w:tblCellMar>
        <w:top w:w="0" w:type="dxa"/>
        <w:left w:w="0" w:type="dxa"/>
        <w:bottom w:w="0" w:type="dxa"/>
        <w:right w:w="0" w:type="dxa"/>
      </w:tblCellMar>
    </w:tblPr>
  </w:style>
  <w:style w:type="table" w:customStyle="1" w:styleId="160">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7">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4">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1">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8">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5">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9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2">
    <w:name w:val="Lined - Accent"/>
    <w:qFormat/>
    <w:uiPriority w:val="99"/>
    <w:rPr>
      <w:color w:val="404040"/>
    </w:rPr>
    <w:tblPr>
      <w:tblCellMar>
        <w:top w:w="0" w:type="dxa"/>
        <w:left w:w="0" w:type="dxa"/>
        <w:bottom w:w="0" w:type="dxa"/>
        <w:right w:w="0" w:type="dxa"/>
      </w:tblCellMar>
    </w:tblPr>
  </w:style>
  <w:style w:type="table" w:customStyle="1" w:styleId="203">
    <w:name w:val="Lined - Accent 1"/>
    <w:qFormat/>
    <w:uiPriority w:val="99"/>
    <w:rPr>
      <w:color w:val="404040"/>
    </w:rPr>
    <w:tblPr>
      <w:tblCellMar>
        <w:top w:w="0" w:type="dxa"/>
        <w:left w:w="0" w:type="dxa"/>
        <w:bottom w:w="0" w:type="dxa"/>
        <w:right w:w="0" w:type="dxa"/>
      </w:tblCellMar>
    </w:tblPr>
  </w:style>
  <w:style w:type="table" w:customStyle="1" w:styleId="204">
    <w:name w:val="Lined - Accent 2"/>
    <w:qFormat/>
    <w:uiPriority w:val="99"/>
    <w:rPr>
      <w:color w:val="404040"/>
    </w:rPr>
    <w:tblPr>
      <w:tblCellMar>
        <w:top w:w="0" w:type="dxa"/>
        <w:left w:w="0" w:type="dxa"/>
        <w:bottom w:w="0" w:type="dxa"/>
        <w:right w:w="0" w:type="dxa"/>
      </w:tblCellMar>
    </w:tblPr>
  </w:style>
  <w:style w:type="table" w:customStyle="1" w:styleId="205">
    <w:name w:val="Lined - Accent 3"/>
    <w:qFormat/>
    <w:uiPriority w:val="99"/>
    <w:rPr>
      <w:color w:val="404040"/>
    </w:rPr>
    <w:tblPr>
      <w:tblCellMar>
        <w:top w:w="0" w:type="dxa"/>
        <w:left w:w="0" w:type="dxa"/>
        <w:bottom w:w="0" w:type="dxa"/>
        <w:right w:w="0" w:type="dxa"/>
      </w:tblCellMar>
    </w:tblPr>
  </w:style>
  <w:style w:type="table" w:customStyle="1" w:styleId="206">
    <w:name w:val="Lined - Accent 4"/>
    <w:qFormat/>
    <w:uiPriority w:val="99"/>
    <w:rPr>
      <w:color w:val="404040"/>
    </w:rPr>
    <w:tblPr>
      <w:tblCellMar>
        <w:top w:w="0" w:type="dxa"/>
        <w:left w:w="0" w:type="dxa"/>
        <w:bottom w:w="0" w:type="dxa"/>
        <w:right w:w="0" w:type="dxa"/>
      </w:tblCellMar>
    </w:tblPr>
  </w:style>
  <w:style w:type="table" w:customStyle="1" w:styleId="207">
    <w:name w:val="Lined - Accent 5"/>
    <w:qFormat/>
    <w:uiPriority w:val="99"/>
    <w:rPr>
      <w:color w:val="404040"/>
    </w:rPr>
    <w:tblPr>
      <w:tblCellMar>
        <w:top w:w="0" w:type="dxa"/>
        <w:left w:w="0" w:type="dxa"/>
        <w:bottom w:w="0" w:type="dxa"/>
        <w:right w:w="0" w:type="dxa"/>
      </w:tblCellMar>
    </w:tblPr>
  </w:style>
  <w:style w:type="table" w:customStyle="1" w:styleId="208">
    <w:name w:val="Lined - Accent 6"/>
    <w:qFormat/>
    <w:uiPriority w:val="99"/>
    <w:rPr>
      <w:color w:val="404040"/>
    </w:rPr>
    <w:tblPr>
      <w:tblCellMar>
        <w:top w:w="0" w:type="dxa"/>
        <w:left w:w="0" w:type="dxa"/>
        <w:bottom w:w="0" w:type="dxa"/>
        <w:right w:w="0" w:type="dxa"/>
      </w:tblCellMar>
    </w:tblPr>
  </w:style>
  <w:style w:type="table" w:customStyle="1" w:styleId="20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3">
    <w:name w:val="脚注文本 Char"/>
    <w:link w:val="38"/>
    <w:qFormat/>
    <w:uiPriority w:val="99"/>
    <w:rPr>
      <w:sz w:val="18"/>
    </w:rPr>
  </w:style>
  <w:style w:type="character" w:customStyle="1" w:styleId="224">
    <w:name w:val="尾注文本 Char"/>
    <w:link w:val="28"/>
    <w:qFormat/>
    <w:uiPriority w:val="99"/>
    <w:rPr>
      <w:sz w:val="20"/>
    </w:rPr>
  </w:style>
  <w:style w:type="paragraph" w:customStyle="1" w:styleId="225">
    <w:name w:val="TOC 标题1"/>
    <w:unhideWhenUsed/>
    <w:qFormat/>
    <w:uiPriority w:val="39"/>
    <w:rPr>
      <w:rFonts w:ascii="Calibri" w:hAnsi="Calibri" w:eastAsia="宋体" w:cs="Times New Roman"/>
      <w:lang w:val="en-US" w:eastAsia="zh-CN" w:bidi="ar-SA"/>
    </w:rPr>
  </w:style>
  <w:style w:type="character" w:customStyle="1" w:styleId="226">
    <w:name w:val="标题 1 Char1"/>
    <w:basedOn w:val="53"/>
    <w:link w:val="2"/>
    <w:qFormat/>
    <w:uiPriority w:val="0"/>
    <w:rPr>
      <w:rFonts w:ascii="黑体" w:hAnsi="Times New Roman" w:eastAsia="仿宋" w:cs="Times New Roman"/>
      <w:b/>
      <w:sz w:val="24"/>
      <w:szCs w:val="28"/>
    </w:rPr>
  </w:style>
  <w:style w:type="character" w:customStyle="1" w:styleId="227">
    <w:name w:val="标题 2 Char"/>
    <w:link w:val="3"/>
    <w:qFormat/>
    <w:uiPriority w:val="0"/>
    <w:rPr>
      <w:rFonts w:ascii="黑体" w:hAnsi="黑体" w:eastAsia="黑体"/>
      <w:b/>
      <w:bCs/>
      <w:sz w:val="36"/>
      <w:szCs w:val="36"/>
      <w:lang w:eastAsia="en-US"/>
    </w:rPr>
  </w:style>
  <w:style w:type="character" w:customStyle="1" w:styleId="228">
    <w:name w:val="标题 3 Char"/>
    <w:link w:val="4"/>
    <w:qFormat/>
    <w:uiPriority w:val="0"/>
    <w:rPr>
      <w:rFonts w:ascii="黑体" w:hAnsi="黑体" w:eastAsia="黑体"/>
      <w:sz w:val="32"/>
      <w:szCs w:val="32"/>
      <w:lang w:eastAsia="en-US"/>
    </w:rPr>
  </w:style>
  <w:style w:type="character" w:customStyle="1" w:styleId="229">
    <w:name w:val="标题 4 Char"/>
    <w:link w:val="5"/>
    <w:qFormat/>
    <w:uiPriority w:val="0"/>
    <w:rPr>
      <w:rFonts w:ascii="宋体" w:hAnsi="宋体"/>
      <w:b/>
      <w:bCs/>
      <w:sz w:val="24"/>
      <w:szCs w:val="24"/>
      <w:lang w:eastAsia="en-US"/>
    </w:rPr>
  </w:style>
  <w:style w:type="character" w:customStyle="1" w:styleId="230">
    <w:name w:val="标题 6 Char"/>
    <w:link w:val="7"/>
    <w:qFormat/>
    <w:uiPriority w:val="0"/>
    <w:rPr>
      <w:rFonts w:ascii="Arial" w:hAnsi="Arial" w:eastAsia="黑体"/>
      <w:b/>
      <w:sz w:val="24"/>
    </w:rPr>
  </w:style>
  <w:style w:type="character" w:customStyle="1" w:styleId="231">
    <w:name w:val="标题 7 Char"/>
    <w:link w:val="8"/>
    <w:qFormat/>
    <w:uiPriority w:val="0"/>
    <w:rPr>
      <w:b/>
      <w:sz w:val="24"/>
    </w:rPr>
  </w:style>
  <w:style w:type="character" w:customStyle="1" w:styleId="232">
    <w:name w:val="标题 8 Char"/>
    <w:link w:val="9"/>
    <w:qFormat/>
    <w:uiPriority w:val="0"/>
    <w:rPr>
      <w:rFonts w:ascii="Arial" w:hAnsi="Arial" w:eastAsia="黑体"/>
      <w:sz w:val="24"/>
    </w:rPr>
  </w:style>
  <w:style w:type="character" w:customStyle="1" w:styleId="233">
    <w:name w:val="标题 9 Char"/>
    <w:link w:val="10"/>
    <w:qFormat/>
    <w:uiPriority w:val="0"/>
    <w:rPr>
      <w:rFonts w:ascii="Arial" w:hAnsi="Arial" w:eastAsia="黑体"/>
      <w:sz w:val="21"/>
    </w:rPr>
  </w:style>
  <w:style w:type="character" w:customStyle="1" w:styleId="234">
    <w:name w:val="文档结构图 Char"/>
    <w:link w:val="14"/>
    <w:qFormat/>
    <w:uiPriority w:val="0"/>
    <w:rPr>
      <w:rFonts w:ascii="宋体"/>
      <w:sz w:val="18"/>
      <w:szCs w:val="18"/>
      <w:lang w:eastAsia="en-US"/>
    </w:rPr>
  </w:style>
  <w:style w:type="character" w:customStyle="1" w:styleId="235">
    <w:name w:val="批注文字 Char"/>
    <w:link w:val="15"/>
    <w:qFormat/>
    <w:uiPriority w:val="0"/>
    <w:rPr>
      <w:rFonts w:eastAsia="Calibri"/>
      <w:szCs w:val="22"/>
      <w:lang w:eastAsia="en-US"/>
    </w:rPr>
  </w:style>
  <w:style w:type="character" w:customStyle="1" w:styleId="236">
    <w:name w:val="正文文本 3 Char"/>
    <w:link w:val="17"/>
    <w:qFormat/>
    <w:uiPriority w:val="0"/>
    <w:rPr>
      <w:rFonts w:ascii="宋体"/>
      <w:sz w:val="24"/>
    </w:rPr>
  </w:style>
  <w:style w:type="character" w:customStyle="1" w:styleId="237">
    <w:name w:val="正文文本 Char"/>
    <w:link w:val="18"/>
    <w:qFormat/>
    <w:uiPriority w:val="0"/>
    <w:rPr>
      <w:rFonts w:ascii="宋体" w:hAnsi="宋体"/>
      <w:sz w:val="24"/>
      <w:szCs w:val="24"/>
      <w:lang w:eastAsia="en-US"/>
    </w:rPr>
  </w:style>
  <w:style w:type="character" w:customStyle="1" w:styleId="238">
    <w:name w:val="正文文本缩进 Char"/>
    <w:link w:val="19"/>
    <w:qFormat/>
    <w:uiPriority w:val="99"/>
    <w:rPr>
      <w:sz w:val="21"/>
    </w:rPr>
  </w:style>
  <w:style w:type="character" w:customStyle="1" w:styleId="239">
    <w:name w:val="纯文本 Char"/>
    <w:link w:val="24"/>
    <w:qFormat/>
    <w:uiPriority w:val="0"/>
    <w:rPr>
      <w:rFonts w:ascii="Ari"/>
      <w:sz w:val="21"/>
      <w:szCs w:val="24"/>
    </w:rPr>
  </w:style>
  <w:style w:type="character" w:customStyle="1" w:styleId="240">
    <w:name w:val="日期 Char"/>
    <w:link w:val="26"/>
    <w:qFormat/>
    <w:uiPriority w:val="0"/>
    <w:rPr>
      <w:sz w:val="24"/>
    </w:rPr>
  </w:style>
  <w:style w:type="character" w:customStyle="1" w:styleId="241">
    <w:name w:val="批注框文本 Char"/>
    <w:link w:val="29"/>
    <w:qFormat/>
    <w:uiPriority w:val="0"/>
    <w:rPr>
      <w:rFonts w:eastAsia="Calibri"/>
      <w:sz w:val="18"/>
      <w:szCs w:val="18"/>
      <w:lang w:eastAsia="en-US"/>
    </w:rPr>
  </w:style>
  <w:style w:type="character" w:customStyle="1" w:styleId="242">
    <w:name w:val="页脚 Char"/>
    <w:link w:val="30"/>
    <w:qFormat/>
    <w:uiPriority w:val="0"/>
    <w:rPr>
      <w:rFonts w:eastAsia="Calibri"/>
      <w:sz w:val="18"/>
      <w:szCs w:val="22"/>
      <w:lang w:eastAsia="en-US"/>
    </w:rPr>
  </w:style>
  <w:style w:type="character" w:customStyle="1" w:styleId="243">
    <w:name w:val="页眉 Char"/>
    <w:link w:val="31"/>
    <w:qFormat/>
    <w:uiPriority w:val="99"/>
    <w:rPr>
      <w:rFonts w:eastAsia="Calibri"/>
      <w:sz w:val="18"/>
      <w:szCs w:val="22"/>
      <w:lang w:eastAsia="en-US"/>
    </w:rPr>
  </w:style>
  <w:style w:type="character" w:customStyle="1" w:styleId="244">
    <w:name w:val="正文文本缩进 3 Char"/>
    <w:link w:val="40"/>
    <w:qFormat/>
    <w:uiPriority w:val="0"/>
    <w:rPr>
      <w:sz w:val="16"/>
    </w:rPr>
  </w:style>
  <w:style w:type="character" w:customStyle="1" w:styleId="245">
    <w:name w:val="标题 Char"/>
    <w:link w:val="47"/>
    <w:qFormat/>
    <w:uiPriority w:val="0"/>
    <w:rPr>
      <w:rFonts w:ascii="Arial" w:hAnsi="Arial"/>
      <w:b/>
      <w:sz w:val="32"/>
    </w:rPr>
  </w:style>
  <w:style w:type="character" w:customStyle="1" w:styleId="246">
    <w:name w:val="批注主题 Char"/>
    <w:link w:val="48"/>
    <w:qFormat/>
    <w:uiPriority w:val="0"/>
    <w:rPr>
      <w:lang w:eastAsia="en-US"/>
    </w:rPr>
  </w:style>
  <w:style w:type="character" w:customStyle="1" w:styleId="247">
    <w:name w:val="正文首行缩进 Char"/>
    <w:link w:val="49"/>
    <w:qFormat/>
    <w:uiPriority w:val="0"/>
    <w:rPr>
      <w:rFonts w:ascii="宋体" w:hAnsi="宋体" w:cs="宋体"/>
      <w:sz w:val="24"/>
      <w:szCs w:val="24"/>
      <w:lang w:eastAsia="en-US"/>
    </w:rPr>
  </w:style>
  <w:style w:type="character" w:customStyle="1" w:styleId="248">
    <w:name w:val="标题 1 Char"/>
    <w:qFormat/>
    <w:uiPriority w:val="0"/>
    <w:rPr>
      <w:rFonts w:ascii="黑体" w:hAnsi="黑体" w:eastAsia="黑体"/>
      <w:sz w:val="72"/>
      <w:szCs w:val="72"/>
      <w:lang w:eastAsia="en-US"/>
    </w:rPr>
  </w:style>
  <w:style w:type="character" w:customStyle="1" w:styleId="249">
    <w:name w:val="Char Char25"/>
    <w:qFormat/>
    <w:uiPriority w:val="0"/>
    <w:rPr>
      <w:rFonts w:ascii="Arial" w:hAnsi="Arial" w:eastAsia="黑体"/>
      <w:b/>
      <w:sz w:val="28"/>
    </w:rPr>
  </w:style>
  <w:style w:type="character" w:customStyle="1" w:styleId="250">
    <w:name w:val="未处理的提及"/>
    <w:unhideWhenUsed/>
    <w:qFormat/>
    <w:uiPriority w:val="99"/>
    <w:rPr>
      <w:color w:val="605E5C"/>
      <w:shd w:val="clear" w:color="auto" w:fill="E1DFDD"/>
    </w:rPr>
  </w:style>
  <w:style w:type="character" w:customStyle="1" w:styleId="251">
    <w:name w:val="bookmark"/>
    <w:qFormat/>
    <w:uiPriority w:val="0"/>
  </w:style>
  <w:style w:type="character" w:customStyle="1" w:styleId="252">
    <w:name w:val="NormalCharacter1"/>
    <w:qFormat/>
    <w:uiPriority w:val="0"/>
  </w:style>
  <w:style w:type="character" w:customStyle="1" w:styleId="253">
    <w:name w:val="font161"/>
    <w:qFormat/>
    <w:uiPriority w:val="0"/>
    <w:rPr>
      <w:b/>
      <w:sz w:val="32"/>
    </w:rPr>
  </w:style>
  <w:style w:type="character" w:customStyle="1" w:styleId="254">
    <w:name w:val="已访问的超链接11"/>
    <w:qFormat/>
    <w:uiPriority w:val="99"/>
    <w:rPr>
      <w:rFonts w:eastAsia="Calibri"/>
      <w:sz w:val="22"/>
      <w:szCs w:val="22"/>
      <w:lang w:val="en-US" w:eastAsia="en-US" w:bidi="ar-SA"/>
    </w:rPr>
  </w:style>
  <w:style w:type="paragraph" w:customStyle="1" w:styleId="255">
    <w:name w:val="Table Paragraph"/>
    <w:basedOn w:val="1"/>
    <w:qFormat/>
    <w:uiPriority w:val="99"/>
  </w:style>
  <w:style w:type="paragraph" w:customStyle="1" w:styleId="256">
    <w:name w:val="首行缩进"/>
    <w:basedOn w:val="1"/>
    <w:qFormat/>
    <w:uiPriority w:val="99"/>
    <w:pPr>
      <w:spacing w:line="360" w:lineRule="auto"/>
      <w:ind w:firstLine="480"/>
    </w:pPr>
    <w:rPr>
      <w:rFonts w:ascii="宋体" w:hAnsi="宋体"/>
      <w:sz w:val="24"/>
      <w:szCs w:val="24"/>
    </w:rPr>
  </w:style>
  <w:style w:type="paragraph" w:customStyle="1" w:styleId="257">
    <w:name w:val="样式 标题 2 + Times New Roman 四号 非加粗 段前: 5 磅 段后: 0 磅 行距: 固定值 20..."/>
    <w:basedOn w:val="3"/>
    <w:qFormat/>
    <w:uiPriority w:val="0"/>
    <w:pPr>
      <w:keepNext/>
      <w:keepLines/>
      <w:spacing w:before="100" w:line="400" w:lineRule="exact"/>
      <w:ind w:left="0"/>
      <w:jc w:val="both"/>
    </w:pPr>
    <w:rPr>
      <w:rFonts w:ascii="Times New Roman" w:hAnsi="Times New Roman"/>
      <w:b w:val="0"/>
      <w:bCs w:val="0"/>
      <w:sz w:val="28"/>
      <w:szCs w:val="20"/>
      <w:lang w:eastAsia="zh-CN"/>
    </w:rPr>
  </w:style>
  <w:style w:type="paragraph" w:customStyle="1" w:styleId="258">
    <w:name w:val="Heading21"/>
    <w:basedOn w:val="1"/>
    <w:next w:val="1"/>
    <w:qFormat/>
    <w:uiPriority w:val="0"/>
    <w:pPr>
      <w:keepNext/>
      <w:keepLines/>
    </w:pPr>
    <w:rPr>
      <w:rFonts w:ascii="Arial" w:hAnsi="Arial"/>
      <w:sz w:val="28"/>
      <w:szCs w:val="24"/>
    </w:rPr>
  </w:style>
  <w:style w:type="paragraph" w:customStyle="1" w:styleId="259">
    <w:name w:val="6'"/>
    <w:basedOn w:val="1"/>
    <w:qFormat/>
    <w:uiPriority w:val="0"/>
    <w:pPr>
      <w:spacing w:line="320" w:lineRule="exact"/>
      <w:jc w:val="center"/>
    </w:pPr>
    <w:rPr>
      <w:rFonts w:eastAsia="宋体"/>
      <w:spacing w:val="20"/>
      <w:sz w:val="21"/>
      <w:szCs w:val="20"/>
      <w:lang w:eastAsia="zh-CN"/>
    </w:rPr>
  </w:style>
  <w:style w:type="paragraph" w:customStyle="1" w:styleId="260">
    <w:name w:val="正文_1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61">
    <w:name w:val="样式 标题 3 + (中文) 黑体 小四 非加粗 段前: 7.8 磅 段后: 0 磅 行距: 固定值 20 磅"/>
    <w:basedOn w:val="4"/>
    <w:qFormat/>
    <w:uiPriority w:val="0"/>
    <w:pPr>
      <w:keepNext/>
      <w:keepLines/>
      <w:spacing w:line="400" w:lineRule="exact"/>
      <w:jc w:val="both"/>
    </w:pPr>
    <w:rPr>
      <w:rFonts w:ascii="Times New Roman" w:hAnsi="Times New Roman"/>
      <w:sz w:val="24"/>
      <w:szCs w:val="20"/>
      <w:lang w:eastAsia="zh-CN"/>
    </w:rPr>
  </w:style>
  <w:style w:type="paragraph" w:customStyle="1" w:styleId="262">
    <w:name w:val="Heading 3_0_0_0"/>
    <w:basedOn w:val="263"/>
    <w:next w:val="263"/>
    <w:qFormat/>
    <w:uiPriority w:val="0"/>
    <w:pPr>
      <w:keepNext/>
      <w:keepLines/>
      <w:spacing w:line="400" w:lineRule="exact"/>
      <w:outlineLvl w:val="2"/>
    </w:pPr>
    <w:rPr>
      <w:rFonts w:ascii="黑体" w:hAnsi="黑体" w:eastAsia="黑体"/>
      <w:bCs/>
      <w:color w:val="FF0000"/>
      <w:szCs w:val="21"/>
    </w:rPr>
  </w:style>
  <w:style w:type="paragraph" w:customStyle="1" w:styleId="263">
    <w:name w:val="Normal_0_0"/>
    <w:qFormat/>
    <w:uiPriority w:val="0"/>
    <w:pPr>
      <w:widowControl w:val="0"/>
      <w:jc w:val="both"/>
    </w:pPr>
    <w:rPr>
      <w:rFonts w:ascii="Times New Roman" w:hAnsi="Times New Roman" w:eastAsia="宋体" w:cs="Times New Roman"/>
      <w:szCs w:val="24"/>
      <w:lang w:val="en-US" w:eastAsia="zh-CN" w:bidi="ar-SA"/>
    </w:rPr>
  </w:style>
  <w:style w:type="paragraph" w:customStyle="1" w:styleId="264">
    <w:name w:val="正文_1_0"/>
    <w:qFormat/>
    <w:uiPriority w:val="0"/>
    <w:pPr>
      <w:widowControl w:val="0"/>
      <w:jc w:val="both"/>
    </w:pPr>
    <w:rPr>
      <w:rFonts w:ascii="Times New Roman" w:hAnsi="Times New Roman" w:eastAsia="宋体" w:cs="Times New Roman"/>
      <w:szCs w:val="24"/>
      <w:lang w:val="en-US" w:eastAsia="zh-CN" w:bidi="ar-SA"/>
    </w:rPr>
  </w:style>
  <w:style w:type="paragraph" w:customStyle="1" w:styleId="265">
    <w:name w:val="表格文字"/>
    <w:basedOn w:val="1"/>
    <w:qFormat/>
    <w:uiPriority w:val="0"/>
    <w:pPr>
      <w:spacing w:line="420" w:lineRule="atLeast"/>
    </w:pPr>
    <w:rPr>
      <w:rFonts w:eastAsia="宋体"/>
      <w:sz w:val="21"/>
      <w:szCs w:val="20"/>
      <w:lang w:eastAsia="zh-CN"/>
    </w:rPr>
  </w:style>
  <w:style w:type="paragraph" w:customStyle="1" w:styleId="266">
    <w:name w:val="1"/>
    <w:basedOn w:val="1"/>
    <w:next w:val="1"/>
    <w:qFormat/>
    <w:uiPriority w:val="0"/>
    <w:pPr>
      <w:jc w:val="both"/>
    </w:pPr>
    <w:rPr>
      <w:rFonts w:eastAsia="宋体"/>
      <w:sz w:val="21"/>
      <w:szCs w:val="20"/>
      <w:lang w:eastAsia="zh-CN"/>
    </w:rPr>
  </w:style>
  <w:style w:type="paragraph" w:customStyle="1" w:styleId="267">
    <w:name w:val="WPSOffice手动目录 1"/>
    <w:qFormat/>
    <w:uiPriority w:val="0"/>
    <w:rPr>
      <w:rFonts w:ascii="Calibri" w:hAnsi="Calibri" w:eastAsia="宋体" w:cs="Times New Roman"/>
      <w:lang w:val="en-US" w:eastAsia="zh-CN" w:bidi="ar-SA"/>
    </w:rPr>
  </w:style>
  <w:style w:type="paragraph" w:customStyle="1" w:styleId="268">
    <w:name w:val="段"/>
    <w:next w:val="1"/>
    <w:qFormat/>
    <w:uiPriority w:val="0"/>
    <w:pPr>
      <w:ind w:firstLine="200"/>
      <w:jc w:val="both"/>
    </w:pPr>
    <w:rPr>
      <w:rFonts w:ascii="宋体" w:hAnsi="Calibri" w:eastAsia="宋体" w:cs="Times New Roman"/>
      <w:sz w:val="21"/>
      <w:lang w:val="en-US" w:eastAsia="zh-CN" w:bidi="ar-SA"/>
    </w:rPr>
  </w:style>
  <w:style w:type="paragraph" w:customStyle="1" w:styleId="269">
    <w:name w:val="Default"/>
    <w:qFormat/>
    <w:uiPriority w:val="0"/>
    <w:pPr>
      <w:widowControl w:val="0"/>
    </w:pPr>
    <w:rPr>
      <w:rFonts w:ascii="宋体" w:hAnsi="Calibri" w:eastAsia="宋体" w:cs="宋体"/>
      <w:color w:val="000000"/>
      <w:sz w:val="24"/>
      <w:szCs w:val="24"/>
      <w:lang w:val="en-US" w:eastAsia="zh-CN" w:bidi="ar-SA"/>
    </w:rPr>
  </w:style>
  <w:style w:type="paragraph" w:customStyle="1" w:styleId="270">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1">
    <w:name w:val="正文_2"/>
    <w:qFormat/>
    <w:uiPriority w:val="0"/>
    <w:pPr>
      <w:widowControl w:val="0"/>
      <w:spacing w:after="200" w:line="276" w:lineRule="auto"/>
    </w:pPr>
    <w:rPr>
      <w:rFonts w:ascii="Calibri" w:hAnsi="Calibri" w:eastAsia="宋体" w:cs="Times New Roman"/>
      <w:lang w:val="en-US" w:eastAsia="zh-CN" w:bidi="ar-SA"/>
    </w:rPr>
  </w:style>
  <w:style w:type="paragraph" w:customStyle="1" w:styleId="272">
    <w:name w:val="表格"/>
    <w:basedOn w:val="1"/>
    <w:qFormat/>
    <w:uiPriority w:val="0"/>
    <w:pPr>
      <w:jc w:val="center"/>
    </w:pPr>
    <w:rPr>
      <w:rFonts w:ascii="华文细黑" w:hAnsi="华文细黑" w:eastAsia="宋体"/>
      <w:sz w:val="21"/>
      <w:szCs w:val="20"/>
      <w:lang w:eastAsia="zh-CN"/>
    </w:rPr>
  </w:style>
  <w:style w:type="paragraph" w:customStyle="1" w:styleId="273">
    <w:name w:val="正文_1_1"/>
    <w:qFormat/>
    <w:uiPriority w:val="99"/>
    <w:pPr>
      <w:widowControl w:val="0"/>
      <w:jc w:val="both"/>
    </w:pPr>
    <w:rPr>
      <w:rFonts w:ascii="Times New Roman" w:hAnsi="Times New Roman" w:eastAsia="宋体" w:cs="Times New Roman"/>
      <w:szCs w:val="24"/>
      <w:lang w:val="en-US" w:eastAsia="zh-CN" w:bidi="ar-SA"/>
    </w:rPr>
  </w:style>
  <w:style w:type="paragraph" w:customStyle="1" w:styleId="274">
    <w:name w:val="正文_1_0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75">
    <w:name w:val="正文_0_0_0"/>
    <w:qFormat/>
    <w:uiPriority w:val="99"/>
    <w:pPr>
      <w:widowControl w:val="0"/>
      <w:jc w:val="both"/>
    </w:pPr>
    <w:rPr>
      <w:rFonts w:ascii="Times New Roman" w:hAnsi="Times New Roman" w:eastAsia="宋体" w:cs="Times New Roman"/>
      <w:szCs w:val="24"/>
      <w:lang w:val="en-US" w:eastAsia="zh-CN" w:bidi="ar-SA"/>
    </w:rPr>
  </w:style>
  <w:style w:type="paragraph" w:customStyle="1" w:styleId="276">
    <w:name w:val="列出段落1"/>
    <w:basedOn w:val="1"/>
    <w:qFormat/>
    <w:uiPriority w:val="0"/>
    <w:pPr>
      <w:widowControl/>
      <w:ind w:left="720"/>
      <w:contextualSpacing/>
    </w:pPr>
    <w:rPr>
      <w:rFonts w:ascii="Arial" w:hAnsi="Arial" w:eastAsia="黑体"/>
      <w:sz w:val="24"/>
      <w:szCs w:val="24"/>
    </w:rPr>
  </w:style>
  <w:style w:type="paragraph" w:customStyle="1" w:styleId="277">
    <w:name w:val="正文_1_0_0_0"/>
    <w:qFormat/>
    <w:uiPriority w:val="0"/>
    <w:pPr>
      <w:widowControl w:val="0"/>
      <w:jc w:val="both"/>
    </w:pPr>
    <w:rPr>
      <w:rFonts w:ascii="Times New Roman" w:hAnsi="Times New Roman" w:eastAsia="宋体" w:cs="Times New Roman"/>
      <w:szCs w:val="24"/>
      <w:lang w:val="en-US" w:eastAsia="zh-CN" w:bidi="ar-SA"/>
    </w:rPr>
  </w:style>
  <w:style w:type="paragraph" w:customStyle="1" w:styleId="278">
    <w:name w:val="Normal_0_1"/>
    <w:qFormat/>
    <w:uiPriority w:val="0"/>
    <w:pPr>
      <w:widowControl w:val="0"/>
      <w:jc w:val="both"/>
    </w:pPr>
    <w:rPr>
      <w:rFonts w:ascii="Times New Roman" w:hAnsi="Times New Roman" w:eastAsia="宋体" w:cs="Times New Roman"/>
      <w:lang w:val="en-US" w:eastAsia="zh-CN" w:bidi="ar-SA"/>
    </w:rPr>
  </w:style>
  <w:style w:type="paragraph" w:customStyle="1" w:styleId="279">
    <w:name w:val="正文文本缩进1"/>
    <w:basedOn w:val="264"/>
    <w:qFormat/>
    <w:uiPriority w:val="0"/>
    <w:pPr>
      <w:spacing w:after="120"/>
      <w:ind w:left="420"/>
    </w:pPr>
    <w:rPr>
      <w:rFonts w:ascii="Calibri" w:hAnsi="Calibri" w:eastAsia="微软雅黑"/>
    </w:rPr>
  </w:style>
  <w:style w:type="paragraph" w:customStyle="1" w:styleId="280">
    <w:name w:val="样式 标题 1 + 黑体 三号 非加粗 居中 段前: 6 磅 段后: 6 磅 行距: 固定值 20 磅"/>
    <w:basedOn w:val="2"/>
    <w:qFormat/>
    <w:uiPriority w:val="0"/>
    <w:pPr>
      <w:keepNext/>
      <w:keepLines/>
      <w:spacing w:before="120" w:after="120" w:line="400" w:lineRule="exact"/>
      <w:jc w:val="center"/>
    </w:pPr>
    <w:rPr>
      <w:sz w:val="32"/>
      <w:szCs w:val="20"/>
      <w:lang w:eastAsia="zh-CN"/>
    </w:rPr>
  </w:style>
  <w:style w:type="paragraph" w:customStyle="1" w:styleId="281">
    <w:name w:val="Blockquote"/>
    <w:basedOn w:val="1"/>
    <w:qFormat/>
    <w:uiPriority w:val="99"/>
    <w:pPr>
      <w:spacing w:before="100" w:after="100"/>
      <w:ind w:left="360" w:right="360"/>
    </w:pPr>
    <w:rPr>
      <w:rFonts w:eastAsia="宋体"/>
      <w:sz w:val="24"/>
      <w:szCs w:val="20"/>
      <w:lang w:eastAsia="zh-CN"/>
    </w:rPr>
  </w:style>
  <w:style w:type="paragraph" w:customStyle="1" w:styleId="282">
    <w:name w:val="_Style 19"/>
    <w:qFormat/>
    <w:uiPriority w:val="0"/>
    <w:pPr>
      <w:widowControl w:val="0"/>
      <w:jc w:val="both"/>
    </w:pPr>
    <w:rPr>
      <w:rFonts w:ascii="Calibri" w:hAnsi="Calibri" w:eastAsia="宋体" w:cs="Times New Roman"/>
      <w:sz w:val="21"/>
      <w:szCs w:val="22"/>
      <w:lang w:val="en-US" w:eastAsia="zh-CN" w:bidi="ar-SA"/>
    </w:rPr>
  </w:style>
  <w:style w:type="table" w:customStyle="1" w:styleId="283">
    <w:name w:val="Table Normal"/>
    <w:unhideWhenUsed/>
    <w:qFormat/>
    <w:uiPriority w:val="2"/>
    <w:tblPr>
      <w:tblCellMar>
        <w:top w:w="0" w:type="dxa"/>
        <w:left w:w="0" w:type="dxa"/>
        <w:bottom w:w="0" w:type="dxa"/>
        <w:right w:w="0" w:type="dxa"/>
      </w:tblCellMar>
    </w:tblPr>
  </w:style>
  <w:style w:type="table" w:customStyle="1" w:styleId="284">
    <w:name w:val="网格型1"/>
    <w:basedOn w:val="51"/>
    <w:qFormat/>
    <w:uiPriority w:val="59"/>
    <w:tblPr>
      <w:tblCellMar>
        <w:top w:w="0" w:type="dxa"/>
        <w:left w:w="108" w:type="dxa"/>
        <w:bottom w:w="0" w:type="dxa"/>
        <w:right w:w="108" w:type="dxa"/>
      </w:tblCellMar>
    </w:tblPr>
  </w:style>
  <w:style w:type="character" w:customStyle="1" w:styleId="285">
    <w:name w:val="正文文本缩进 2 Char"/>
    <w:basedOn w:val="53"/>
    <w:link w:val="27"/>
    <w:qFormat/>
    <w:uiPriority w:val="0"/>
    <w:rPr>
      <w:rFonts w:eastAsia="Calibri"/>
      <w:sz w:val="22"/>
      <w:szCs w:val="22"/>
      <w:lang w:eastAsia="en-US"/>
    </w:rPr>
  </w:style>
  <w:style w:type="character" w:customStyle="1" w:styleId="286">
    <w:name w:val="标题 5 Char"/>
    <w:basedOn w:val="53"/>
    <w:link w:val="6"/>
    <w:qFormat/>
    <w:uiPriority w:val="0"/>
    <w:rPr>
      <w:rFonts w:ascii="Times New Roman" w:hAnsi="Times New Roman"/>
      <w:b/>
      <w:bCs/>
      <w:kern w:val="2"/>
      <w:sz w:val="28"/>
      <w:szCs w:val="28"/>
    </w:rPr>
  </w:style>
  <w:style w:type="character" w:customStyle="1" w:styleId="287">
    <w:name w:val="纯文本 Char1"/>
    <w:qFormat/>
    <w:locked/>
    <w:uiPriority w:val="0"/>
    <w:rPr>
      <w:rFonts w:ascii="宋体" w:hAnsi="Courier New" w:cs="金山简魏碑"/>
      <w:kern w:val="2"/>
      <w:sz w:val="21"/>
      <w:szCs w:val="21"/>
    </w:rPr>
  </w:style>
  <w:style w:type="character" w:customStyle="1" w:styleId="288">
    <w:name w:val="HTML 预设格式 Char"/>
    <w:basedOn w:val="53"/>
    <w:link w:val="45"/>
    <w:qFormat/>
    <w:uiPriority w:val="99"/>
    <w:rPr>
      <w:rFonts w:ascii="Arial" w:hAnsi="Arial"/>
      <w:sz w:val="11"/>
      <w:szCs w:val="11"/>
    </w:rPr>
  </w:style>
  <w:style w:type="character" w:customStyle="1" w:styleId="289">
    <w:name w:val="明显引用 Char1"/>
    <w:qFormat/>
    <w:uiPriority w:val="99"/>
    <w:rPr>
      <w:b/>
      <w:bCs/>
      <w:i/>
      <w:iCs/>
      <w:color w:val="4F81BD"/>
      <w:kern w:val="2"/>
      <w:sz w:val="21"/>
      <w:szCs w:val="24"/>
    </w:rPr>
  </w:style>
  <w:style w:type="character" w:customStyle="1" w:styleId="290">
    <w:name w:val="rvts13"/>
    <w:qFormat/>
    <w:uiPriority w:val="0"/>
    <w:rPr>
      <w:rFonts w:hint="default" w:ascii="KNLe" w:hAnsi="KNLe"/>
      <w:color w:val="000000"/>
    </w:rPr>
  </w:style>
  <w:style w:type="character" w:customStyle="1" w:styleId="291">
    <w:name w:val="文档结构图 Char1"/>
    <w:qFormat/>
    <w:uiPriority w:val="0"/>
    <w:rPr>
      <w:rFonts w:ascii="宋体"/>
      <w:kern w:val="2"/>
      <w:sz w:val="18"/>
      <w:szCs w:val="18"/>
    </w:rPr>
  </w:style>
  <w:style w:type="character" w:customStyle="1" w:styleId="292">
    <w:name w:val="标题 Char1"/>
    <w:qFormat/>
    <w:uiPriority w:val="10"/>
    <w:rPr>
      <w:rFonts w:ascii="Cambria" w:hAnsi="Cambria" w:eastAsia="宋体" w:cs="Times New Roman"/>
      <w:b/>
      <w:bCs/>
      <w:sz w:val="32"/>
      <w:szCs w:val="32"/>
    </w:rPr>
  </w:style>
  <w:style w:type="character" w:customStyle="1" w:styleId="293">
    <w:name w:val="标题 3 Char1"/>
    <w:qFormat/>
    <w:uiPriority w:val="0"/>
    <w:rPr>
      <w:b/>
      <w:bCs/>
      <w:kern w:val="2"/>
      <w:sz w:val="32"/>
      <w:szCs w:val="32"/>
    </w:rPr>
  </w:style>
  <w:style w:type="character" w:customStyle="1" w:styleId="294">
    <w:name w:val="font21"/>
    <w:qFormat/>
    <w:uiPriority w:val="0"/>
    <w:rPr>
      <w:rFonts w:hint="eastAsia" w:ascii="微软雅黑" w:hAnsi="微软雅黑" w:eastAsia="微软雅黑" w:cs="微软雅黑"/>
      <w:color w:val="000000"/>
      <w:sz w:val="24"/>
      <w:szCs w:val="24"/>
      <w:u w:val="none"/>
    </w:rPr>
  </w:style>
  <w:style w:type="character" w:customStyle="1" w:styleId="295">
    <w:name w:val="标题 4 Char1"/>
    <w:qFormat/>
    <w:uiPriority w:val="0"/>
    <w:rPr>
      <w:rFonts w:ascii="Cambria" w:hAnsi="Cambria" w:eastAsia="宋体" w:cs="Times New Roman"/>
      <w:b/>
      <w:bCs/>
      <w:kern w:val="2"/>
      <w:sz w:val="28"/>
      <w:szCs w:val="28"/>
    </w:rPr>
  </w:style>
  <w:style w:type="character" w:customStyle="1" w:styleId="296">
    <w:name w:val="标题4 Char Char"/>
    <w:link w:val="297"/>
    <w:qFormat/>
    <w:uiPriority w:val="0"/>
    <w:rPr>
      <w:rFonts w:ascii="Arial" w:hAnsi="Arial"/>
      <w:b/>
      <w:bCs/>
      <w:sz w:val="24"/>
      <w:szCs w:val="32"/>
    </w:rPr>
  </w:style>
  <w:style w:type="paragraph" w:customStyle="1" w:styleId="297">
    <w:name w:val="标题4"/>
    <w:basedOn w:val="3"/>
    <w:next w:val="21"/>
    <w:link w:val="296"/>
    <w:qFormat/>
    <w:uiPriority w:val="0"/>
    <w:pPr>
      <w:keepNext/>
      <w:keepLines/>
      <w:spacing w:before="260" w:after="260" w:line="413" w:lineRule="auto"/>
      <w:ind w:left="0"/>
      <w:jc w:val="both"/>
    </w:pPr>
    <w:rPr>
      <w:rFonts w:ascii="Arial" w:hAnsi="Arial" w:eastAsia="宋体"/>
      <w:sz w:val="24"/>
      <w:szCs w:val="32"/>
    </w:rPr>
  </w:style>
  <w:style w:type="character" w:customStyle="1" w:styleId="298">
    <w:name w:val="批注框文本 Char1"/>
    <w:qFormat/>
    <w:uiPriority w:val="0"/>
    <w:rPr>
      <w:kern w:val="2"/>
      <w:sz w:val="18"/>
      <w:szCs w:val="18"/>
    </w:rPr>
  </w:style>
  <w:style w:type="character" w:customStyle="1" w:styleId="299">
    <w:name w:val="_Style 78"/>
    <w:qFormat/>
    <w:uiPriority w:val="0"/>
    <w:rPr>
      <w:b/>
      <w:bCs/>
      <w:smallCaps/>
      <w:spacing w:val="5"/>
    </w:rPr>
  </w:style>
  <w:style w:type="character" w:customStyle="1" w:styleId="300">
    <w:name w:val="副标题 Char1"/>
    <w:qFormat/>
    <w:uiPriority w:val="0"/>
    <w:rPr>
      <w:rFonts w:ascii="Cambria" w:hAnsi="Cambria" w:cs="Times New Roman"/>
      <w:b/>
      <w:bCs/>
      <w:kern w:val="28"/>
      <w:sz w:val="32"/>
      <w:szCs w:val="32"/>
    </w:rPr>
  </w:style>
  <w:style w:type="character" w:customStyle="1" w:styleId="301">
    <w:name w:val="批注文字 Char Char"/>
    <w:qFormat/>
    <w:uiPriority w:val="0"/>
    <w:rPr>
      <w:rFonts w:ascii="宋体" w:hAnsi="Times New Roman" w:eastAsia="宋体" w:cs="Times New Roman"/>
      <w:sz w:val="28"/>
      <w:szCs w:val="20"/>
    </w:rPr>
  </w:style>
  <w:style w:type="character" w:customStyle="1" w:styleId="302">
    <w:name w:val="批注主题 Char1"/>
    <w:qFormat/>
    <w:uiPriority w:val="0"/>
    <w:rPr>
      <w:b/>
      <w:bCs/>
      <w:kern w:val="2"/>
      <w:sz w:val="21"/>
      <w:szCs w:val="22"/>
    </w:rPr>
  </w:style>
  <w:style w:type="character" w:customStyle="1" w:styleId="303">
    <w:name w:val="_Style 82"/>
    <w:qFormat/>
    <w:uiPriority w:val="0"/>
    <w:rPr>
      <w:b/>
      <w:bCs/>
      <w:smallCaps/>
      <w:color w:val="C0504D"/>
      <w:spacing w:val="5"/>
      <w:u w:val="single"/>
    </w:rPr>
  </w:style>
  <w:style w:type="character" w:customStyle="1" w:styleId="304">
    <w:name w:val="rvts10"/>
    <w:qFormat/>
    <w:uiPriority w:val="0"/>
    <w:rPr>
      <w:rFonts w:hint="default" w:ascii="KNLe" w:hAnsi="KNLe"/>
      <w:b/>
      <w:bCs/>
    </w:rPr>
  </w:style>
  <w:style w:type="character" w:customStyle="1" w:styleId="305">
    <w:name w:val="font11"/>
    <w:qFormat/>
    <w:uiPriority w:val="0"/>
    <w:rPr>
      <w:rFonts w:hint="eastAsia" w:ascii="微软雅黑" w:hAnsi="微软雅黑" w:eastAsia="微软雅黑" w:cs="微软雅黑"/>
      <w:color w:val="000000"/>
      <w:sz w:val="24"/>
      <w:szCs w:val="24"/>
      <w:u w:val="none"/>
      <w:vertAlign w:val="superscript"/>
    </w:rPr>
  </w:style>
  <w:style w:type="character" w:customStyle="1" w:styleId="306">
    <w:name w:val="引用 Char1"/>
    <w:qFormat/>
    <w:uiPriority w:val="99"/>
    <w:rPr>
      <w:i/>
      <w:iCs/>
      <w:color w:val="000000"/>
      <w:kern w:val="2"/>
      <w:sz w:val="21"/>
      <w:szCs w:val="24"/>
    </w:rPr>
  </w:style>
  <w:style w:type="character" w:customStyle="1" w:styleId="307">
    <w:name w:val="日期 Char1"/>
    <w:qFormat/>
    <w:uiPriority w:val="0"/>
    <w:rPr>
      <w:kern w:val="2"/>
      <w:sz w:val="21"/>
      <w:szCs w:val="22"/>
    </w:rPr>
  </w:style>
  <w:style w:type="character" w:customStyle="1" w:styleId="308">
    <w:name w:val="NormalCharacter"/>
    <w:qFormat/>
    <w:uiPriority w:val="0"/>
  </w:style>
  <w:style w:type="character" w:customStyle="1" w:styleId="309">
    <w:name w:val="批注主题 Char2"/>
    <w:qFormat/>
    <w:uiPriority w:val="0"/>
    <w:rPr>
      <w:b/>
      <w:bCs/>
      <w:kern w:val="2"/>
      <w:sz w:val="21"/>
      <w:szCs w:val="24"/>
    </w:rPr>
  </w:style>
  <w:style w:type="character" w:customStyle="1" w:styleId="310">
    <w:name w:val="批注文字 字符"/>
    <w:semiHidden/>
    <w:qFormat/>
    <w:uiPriority w:val="0"/>
    <w:rPr>
      <w:kern w:val="2"/>
      <w:sz w:val="21"/>
    </w:rPr>
  </w:style>
  <w:style w:type="character" w:customStyle="1" w:styleId="311">
    <w:name w:val="_Style 91"/>
    <w:qFormat/>
    <w:uiPriority w:val="0"/>
    <w:rPr>
      <w:smallCaps/>
      <w:color w:val="C0504D"/>
      <w:u w:val="single"/>
    </w:rPr>
  </w:style>
  <w:style w:type="character" w:customStyle="1" w:styleId="312">
    <w:name w:val="_Style 92"/>
    <w:qFormat/>
    <w:uiPriority w:val="0"/>
    <w:rPr>
      <w:i/>
      <w:iCs/>
      <w:color w:val="808080"/>
    </w:rPr>
  </w:style>
  <w:style w:type="character" w:customStyle="1" w:styleId="313">
    <w:name w:val="rvts11"/>
    <w:qFormat/>
    <w:uiPriority w:val="0"/>
    <w:rPr>
      <w:rFonts w:hint="default" w:ascii="KNLe" w:hAnsi="KNLe"/>
      <w:u w:val="single"/>
    </w:rPr>
  </w:style>
  <w:style w:type="character" w:customStyle="1" w:styleId="314">
    <w:name w:val="标题3 Char"/>
    <w:link w:val="315"/>
    <w:qFormat/>
    <w:uiPriority w:val="0"/>
    <w:rPr>
      <w:rFonts w:ascii="黑体" w:hAnsi="黑体" w:eastAsia="黑体"/>
      <w:b/>
      <w:kern w:val="2"/>
      <w:sz w:val="32"/>
      <w:szCs w:val="32"/>
    </w:rPr>
  </w:style>
  <w:style w:type="paragraph" w:customStyle="1" w:styleId="315">
    <w:name w:val="标题3"/>
    <w:basedOn w:val="1"/>
    <w:link w:val="314"/>
    <w:qFormat/>
    <w:uiPriority w:val="0"/>
    <w:pPr>
      <w:pageBreakBefore/>
      <w:jc w:val="center"/>
      <w:outlineLvl w:val="2"/>
    </w:pPr>
    <w:rPr>
      <w:rFonts w:ascii="黑体" w:hAnsi="黑体" w:eastAsia="黑体"/>
      <w:b/>
      <w:kern w:val="2"/>
      <w:sz w:val="32"/>
      <w:szCs w:val="32"/>
    </w:rPr>
  </w:style>
  <w:style w:type="character" w:customStyle="1" w:styleId="316">
    <w:name w:val="_Style 96"/>
    <w:qFormat/>
    <w:uiPriority w:val="0"/>
    <w:rPr>
      <w:b/>
      <w:bCs/>
      <w:i/>
      <w:iCs/>
      <w:color w:val="4F81BD"/>
    </w:rPr>
  </w:style>
  <w:style w:type="character" w:customStyle="1" w:styleId="317">
    <w:name w:val="正文文本 Char1"/>
    <w:qFormat/>
    <w:uiPriority w:val="0"/>
    <w:rPr>
      <w:kern w:val="2"/>
      <w:sz w:val="21"/>
      <w:szCs w:val="22"/>
    </w:rPr>
  </w:style>
  <w:style w:type="character" w:customStyle="1" w:styleId="318">
    <w:name w:val="textcontents"/>
    <w:qFormat/>
    <w:uiPriority w:val="0"/>
    <w:rPr>
      <w:rFonts w:cs="Times New Roman"/>
    </w:rPr>
  </w:style>
  <w:style w:type="character" w:customStyle="1" w:styleId="319">
    <w:name w:val="p21"/>
    <w:qFormat/>
    <w:uiPriority w:val="0"/>
    <w:rPr>
      <w:sz w:val="9"/>
      <w:szCs w:val="9"/>
    </w:rPr>
  </w:style>
  <w:style w:type="character" w:customStyle="1" w:styleId="320">
    <w:name w:val="标题5 Char Char"/>
    <w:link w:val="321"/>
    <w:qFormat/>
    <w:uiPriority w:val="0"/>
    <w:rPr>
      <w:rFonts w:ascii="Arial" w:hAnsi="Arial"/>
      <w:b/>
      <w:bCs/>
      <w:sz w:val="24"/>
      <w:szCs w:val="32"/>
    </w:rPr>
  </w:style>
  <w:style w:type="paragraph" w:customStyle="1" w:styleId="321">
    <w:name w:val="标题5"/>
    <w:basedOn w:val="4"/>
    <w:link w:val="320"/>
    <w:qFormat/>
    <w:uiPriority w:val="0"/>
    <w:pPr>
      <w:keepNext/>
      <w:keepLines/>
      <w:tabs>
        <w:tab w:val="left" w:pos="432"/>
      </w:tabs>
      <w:spacing w:before="260" w:after="260" w:line="413" w:lineRule="auto"/>
      <w:jc w:val="both"/>
    </w:pPr>
    <w:rPr>
      <w:rFonts w:ascii="Arial" w:hAnsi="Arial" w:eastAsia="宋体"/>
      <w:b/>
      <w:bCs/>
      <w:sz w:val="24"/>
    </w:rPr>
  </w:style>
  <w:style w:type="character" w:customStyle="1" w:styleId="322">
    <w:name w:val="标题 2 Char_0"/>
    <w:link w:val="323"/>
    <w:qFormat/>
    <w:uiPriority w:val="0"/>
    <w:rPr>
      <w:rFonts w:ascii="Cambria" w:hAnsi="Cambria" w:eastAsia="黑体"/>
      <w:b/>
      <w:bCs/>
      <w:sz w:val="32"/>
      <w:szCs w:val="32"/>
    </w:rPr>
  </w:style>
  <w:style w:type="paragraph" w:customStyle="1" w:styleId="323">
    <w:name w:val="标题 21"/>
    <w:basedOn w:val="324"/>
    <w:next w:val="324"/>
    <w:link w:val="322"/>
    <w:qFormat/>
    <w:uiPriority w:val="0"/>
    <w:rPr>
      <w:rFonts w:ascii="Cambria" w:hAnsi="Cambria" w:eastAsia="黑体"/>
      <w:b/>
      <w:bCs/>
      <w:sz w:val="32"/>
      <w:szCs w:val="32"/>
    </w:rPr>
  </w:style>
  <w:style w:type="paragraph" w:customStyle="1" w:styleId="324">
    <w:name w:val="Normal_0"/>
    <w:qFormat/>
    <w:uiPriority w:val="0"/>
    <w:pPr>
      <w:widowControl w:val="0"/>
    </w:pPr>
    <w:rPr>
      <w:rFonts w:ascii="Times New Roman" w:hAnsi="Times New Roman" w:eastAsia="宋体" w:cs="Times New Roman"/>
      <w:lang w:val="en-US" w:eastAsia="zh-CN" w:bidi="ar-SA"/>
    </w:rPr>
  </w:style>
  <w:style w:type="character" w:customStyle="1" w:styleId="325">
    <w:name w:val="rvts9"/>
    <w:qFormat/>
    <w:uiPriority w:val="0"/>
    <w:rPr>
      <w:rFonts w:hint="default" w:ascii="KNLe" w:hAnsi="KNLe"/>
    </w:rPr>
  </w:style>
  <w:style w:type="paragraph" w:customStyle="1" w:styleId="326">
    <w:name w:val="Char7"/>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27">
    <w:name w:val="列出段落2"/>
    <w:basedOn w:val="1"/>
    <w:qFormat/>
    <w:uiPriority w:val="0"/>
    <w:pPr>
      <w:ind w:firstLine="420" w:firstLineChars="200"/>
      <w:jc w:val="both"/>
    </w:pPr>
    <w:rPr>
      <w:rFonts w:eastAsia="宋体"/>
      <w:kern w:val="2"/>
      <w:sz w:val="21"/>
      <w:lang w:eastAsia="zh-CN"/>
    </w:rPr>
  </w:style>
  <w:style w:type="paragraph" w:customStyle="1" w:styleId="328">
    <w:name w:val="Char Char Char Char Char Char Char Char Char Char Char Char Char Char Char Char"/>
    <w:basedOn w:val="1"/>
    <w:qFormat/>
    <w:uiPriority w:val="0"/>
    <w:pPr>
      <w:tabs>
        <w:tab w:val="left" w:pos="360"/>
      </w:tabs>
      <w:spacing w:line="360" w:lineRule="auto"/>
      <w:ind w:left="482" w:firstLine="200" w:firstLineChars="200"/>
      <w:jc w:val="both"/>
    </w:pPr>
    <w:rPr>
      <w:rFonts w:ascii="宋体" w:hAnsi="Times New Roman" w:eastAsia="宋体"/>
      <w:kern w:val="2"/>
      <w:sz w:val="24"/>
      <w:szCs w:val="24"/>
      <w:lang w:eastAsia="zh-CN"/>
    </w:rPr>
  </w:style>
  <w:style w:type="paragraph" w:customStyle="1" w:styleId="329">
    <w:name w:val="t_black_12_b"/>
    <w:basedOn w:val="1"/>
    <w:qFormat/>
    <w:uiPriority w:val="0"/>
    <w:pPr>
      <w:widowControl/>
    </w:pPr>
    <w:rPr>
      <w:rFonts w:ascii="宋体" w:hAnsi="宋体" w:eastAsia="宋体" w:cs="宋体"/>
      <w:b/>
      <w:bCs/>
      <w:color w:val="212121"/>
      <w:sz w:val="9"/>
      <w:szCs w:val="9"/>
      <w:lang w:eastAsia="zh-CN"/>
    </w:rPr>
  </w:style>
  <w:style w:type="character" w:customStyle="1" w:styleId="330">
    <w:name w:val="无间隔 Char"/>
    <w:link w:val="85"/>
    <w:qFormat/>
    <w:uiPriority w:val="1"/>
    <w:rPr>
      <w:lang w:val="en-US" w:eastAsia="zh-CN" w:bidi="ar-SA"/>
    </w:rPr>
  </w:style>
  <w:style w:type="paragraph" w:customStyle="1" w:styleId="331">
    <w:name w:val="pa-2"/>
    <w:basedOn w:val="1"/>
    <w:qFormat/>
    <w:uiPriority w:val="0"/>
    <w:pPr>
      <w:widowControl/>
      <w:spacing w:line="320" w:lineRule="atLeast"/>
      <w:ind w:firstLine="700"/>
      <w:jc w:val="both"/>
    </w:pPr>
    <w:rPr>
      <w:rFonts w:ascii="宋体" w:hAnsi="宋体" w:eastAsia="宋体" w:cs="宋体"/>
      <w:sz w:val="24"/>
      <w:szCs w:val="24"/>
      <w:lang w:eastAsia="zh-CN"/>
    </w:rPr>
  </w:style>
  <w:style w:type="paragraph" w:customStyle="1" w:styleId="332">
    <w:name w:val="Char Char Char Char Char Char Char1 Char"/>
    <w:basedOn w:val="1"/>
    <w:qFormat/>
    <w:uiPriority w:val="0"/>
    <w:pPr>
      <w:jc w:val="both"/>
    </w:pPr>
    <w:rPr>
      <w:rFonts w:ascii="Tahoma" w:hAnsi="Tahoma" w:eastAsia="宋体" w:cs="Tahoma"/>
      <w:kern w:val="2"/>
      <w:sz w:val="24"/>
      <w:szCs w:val="24"/>
      <w:lang w:eastAsia="zh-CN"/>
    </w:rPr>
  </w:style>
  <w:style w:type="paragraph" w:customStyle="1" w:styleId="333">
    <w:name w:val="Char1"/>
    <w:basedOn w:val="1"/>
    <w:qFormat/>
    <w:uiPriority w:val="0"/>
    <w:pPr>
      <w:widowControl/>
      <w:spacing w:after="160" w:line="240" w:lineRule="exact"/>
    </w:pPr>
    <w:rPr>
      <w:rFonts w:ascii="Verdana" w:hAnsi="Verdana" w:eastAsia="仿宋_GB2312"/>
      <w:sz w:val="24"/>
      <w:szCs w:val="20"/>
    </w:rPr>
  </w:style>
  <w:style w:type="paragraph" w:customStyle="1" w:styleId="334">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5">
    <w:name w:val="样式 小四 段前: 5 磅 段后: 5 磅 首行缩进:  2 字符"/>
    <w:basedOn w:val="1"/>
    <w:qFormat/>
    <w:uiPriority w:val="0"/>
    <w:pPr>
      <w:spacing w:line="360" w:lineRule="auto"/>
      <w:jc w:val="both"/>
    </w:pPr>
    <w:rPr>
      <w:rFonts w:ascii="宋体" w:hAnsi="宋体" w:eastAsia="宋体"/>
      <w:kern w:val="2"/>
      <w:sz w:val="21"/>
      <w:szCs w:val="21"/>
      <w:lang w:eastAsia="zh-CN"/>
    </w:rPr>
  </w:style>
  <w:style w:type="paragraph" w:customStyle="1" w:styleId="336">
    <w:name w:val="Char"/>
    <w:basedOn w:val="1"/>
    <w:qFormat/>
    <w:uiPriority w:val="0"/>
    <w:pPr>
      <w:widowControl/>
      <w:spacing w:after="160" w:line="240" w:lineRule="exact"/>
    </w:pPr>
    <w:rPr>
      <w:rFonts w:ascii="Verdana" w:hAnsi="Verdana" w:eastAsia="仿宋_GB2312"/>
      <w:sz w:val="24"/>
      <w:szCs w:val="20"/>
    </w:rPr>
  </w:style>
  <w:style w:type="paragraph" w:customStyle="1" w:styleId="337">
    <w:name w:val="_Style 122"/>
    <w:basedOn w:val="2"/>
    <w:next w:val="1"/>
    <w:qFormat/>
    <w:uiPriority w:val="39"/>
    <w:pPr>
      <w:keepNext/>
      <w:keepLines/>
      <w:tabs>
        <w:tab w:val="left" w:pos="432"/>
      </w:tabs>
      <w:spacing w:before="340" w:after="330" w:line="578" w:lineRule="auto"/>
      <w:jc w:val="both"/>
      <w:outlineLvl w:val="9"/>
    </w:pPr>
    <w:rPr>
      <w:rFonts w:ascii="Calibri" w:hAnsi="Times New Roman" w:eastAsia="宋体"/>
      <w:b/>
      <w:bCs/>
      <w:kern w:val="44"/>
      <w:sz w:val="44"/>
      <w:szCs w:val="44"/>
      <w:lang w:eastAsia="zh-CN"/>
    </w:rPr>
  </w:style>
  <w:style w:type="paragraph" w:customStyle="1" w:styleId="338">
    <w:name w:val="正文2"/>
    <w:qFormat/>
    <w:uiPriority w:val="0"/>
    <w:pPr>
      <w:widowControl w:val="0"/>
      <w:jc w:val="both"/>
    </w:pPr>
    <w:rPr>
      <w:rFonts w:ascii="Times New Roman" w:hAnsi="Times New Roman" w:eastAsia="Times New Roman" w:cs="Times New Roman"/>
      <w:lang w:val="en-US" w:eastAsia="zh-CN" w:bidi="ar-SA"/>
    </w:rPr>
  </w:style>
  <w:style w:type="paragraph" w:customStyle="1" w:styleId="339">
    <w:name w:val="正文1"/>
    <w:qFormat/>
    <w:uiPriority w:val="0"/>
    <w:pPr>
      <w:widowControl w:val="0"/>
    </w:pPr>
    <w:rPr>
      <w:rFonts w:ascii="Times New Roman" w:hAnsi="Times New Roman" w:eastAsia="Times New Roman" w:cs="Times New Roman"/>
      <w:lang w:val="en-US" w:eastAsia="zh-CN" w:bidi="ar-SA"/>
    </w:rPr>
  </w:style>
  <w:style w:type="paragraph" w:customStyle="1" w:styleId="340">
    <w:name w:val="TOC 标题11"/>
    <w:basedOn w:val="2"/>
    <w:next w:val="1"/>
    <w:qFormat/>
    <w:uiPriority w:val="0"/>
    <w:pPr>
      <w:autoSpaceDE w:val="0"/>
      <w:autoSpaceDN w:val="0"/>
      <w:ind w:left="8"/>
      <w:jc w:val="center"/>
      <w:outlineLvl w:val="9"/>
    </w:pPr>
    <w:rPr>
      <w:rFonts w:cs="黑体"/>
      <w:sz w:val="30"/>
      <w:szCs w:val="30"/>
      <w:lang w:val="zh-CN" w:eastAsia="zh-CN" w:bidi="zh-CN"/>
    </w:rPr>
  </w:style>
  <w:style w:type="paragraph" w:customStyle="1" w:styleId="341">
    <w:name w:val="正文_0"/>
    <w:qFormat/>
    <w:uiPriority w:val="0"/>
    <w:pPr>
      <w:widowControl w:val="0"/>
    </w:pPr>
    <w:rPr>
      <w:rFonts w:ascii="Times New Roman" w:hAnsi="Times New Roman" w:eastAsia="宋体" w:cs="Times New Roman"/>
      <w:szCs w:val="24"/>
      <w:lang w:val="en-US" w:eastAsia="zh-CN" w:bidi="ar-SA"/>
    </w:rPr>
  </w:style>
  <w:style w:type="paragraph" w:customStyle="1" w:styleId="342">
    <w:name w:val="Char2"/>
    <w:basedOn w:val="1"/>
    <w:qFormat/>
    <w:uiPriority w:val="0"/>
    <w:pPr>
      <w:widowControl/>
      <w:spacing w:after="160" w:line="240" w:lineRule="exact"/>
    </w:pPr>
    <w:rPr>
      <w:rFonts w:ascii="Verdana" w:hAnsi="Verdana" w:eastAsia="仿宋_GB2312"/>
      <w:sz w:val="24"/>
      <w:szCs w:val="20"/>
    </w:rPr>
  </w:style>
  <w:style w:type="paragraph" w:customStyle="1" w:styleId="343">
    <w:name w:val="Char711"/>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44">
    <w:name w:val="列出段落4"/>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45">
    <w:name w:val="普通 (Web)"/>
    <w:basedOn w:val="1"/>
    <w:qFormat/>
    <w:uiPriority w:val="0"/>
    <w:pPr>
      <w:widowControl/>
      <w:spacing w:before="100" w:beforeAutospacing="1" w:after="100" w:afterAutospacing="1"/>
    </w:pPr>
    <w:rPr>
      <w:rFonts w:ascii="宋体" w:hAnsi="宋体" w:eastAsia="宋体"/>
      <w:sz w:val="24"/>
      <w:szCs w:val="24"/>
      <w:lang w:eastAsia="zh-CN"/>
    </w:rPr>
  </w:style>
  <w:style w:type="paragraph" w:customStyle="1" w:styleId="346">
    <w:name w:val="纯文本1"/>
    <w:basedOn w:val="1"/>
    <w:qFormat/>
    <w:uiPriority w:val="0"/>
    <w:pPr>
      <w:adjustRightInd w:val="0"/>
      <w:jc w:val="both"/>
      <w:textAlignment w:val="baseline"/>
    </w:pPr>
    <w:rPr>
      <w:rFonts w:ascii="宋体" w:hAnsi="Courier New" w:eastAsia="楷体_GB2312"/>
      <w:kern w:val="2"/>
      <w:sz w:val="26"/>
      <w:szCs w:val="20"/>
      <w:lang w:eastAsia="zh-CN"/>
    </w:rPr>
  </w:style>
  <w:style w:type="paragraph" w:customStyle="1" w:styleId="347">
    <w:name w:val="列出段落3"/>
    <w:basedOn w:val="1"/>
    <w:qFormat/>
    <w:uiPriority w:val="99"/>
    <w:pPr>
      <w:widowControl/>
      <w:ind w:left="720"/>
      <w:contextualSpacing/>
    </w:pPr>
    <w:rPr>
      <w:rFonts w:ascii="Arial" w:hAnsi="Arial" w:eastAsia="黑体"/>
      <w:sz w:val="24"/>
      <w:szCs w:val="24"/>
    </w:rPr>
  </w:style>
  <w:style w:type="paragraph" w:customStyle="1" w:styleId="348">
    <w:name w:val="列出段落11"/>
    <w:basedOn w:val="1"/>
    <w:qFormat/>
    <w:uiPriority w:val="0"/>
    <w:pPr>
      <w:ind w:firstLine="420" w:firstLineChars="200"/>
      <w:jc w:val="both"/>
    </w:pPr>
    <w:rPr>
      <w:rFonts w:eastAsia="宋体"/>
      <w:kern w:val="2"/>
      <w:sz w:val="21"/>
      <w:lang w:eastAsia="zh-CN"/>
    </w:rPr>
  </w:style>
  <w:style w:type="paragraph" w:customStyle="1" w:styleId="349">
    <w:name w:val="正文_0_0"/>
    <w:qFormat/>
    <w:uiPriority w:val="0"/>
    <w:pPr>
      <w:widowControl w:val="0"/>
    </w:pPr>
    <w:rPr>
      <w:rFonts w:ascii="Times New Roman" w:hAnsi="Times New Roman" w:eastAsia="宋体" w:cs="Times New Roman"/>
      <w:szCs w:val="24"/>
      <w:lang w:val="en-US" w:eastAsia="zh-CN" w:bidi="ar-SA"/>
    </w:rPr>
  </w:style>
  <w:style w:type="paragraph" w:customStyle="1" w:styleId="350">
    <w:name w:val="默认段落字体 Para Char Char Char Char Char Char Char"/>
    <w:basedOn w:val="1"/>
    <w:qFormat/>
    <w:uiPriority w:val="0"/>
    <w:pPr>
      <w:jc w:val="both"/>
    </w:pPr>
    <w:rPr>
      <w:rFonts w:ascii="Tahoma" w:hAnsi="Tahoma" w:eastAsia="宋体"/>
      <w:kern w:val="2"/>
      <w:sz w:val="24"/>
      <w:szCs w:val="20"/>
      <w:lang w:eastAsia="zh-CN"/>
    </w:rPr>
  </w:style>
  <w:style w:type="paragraph" w:customStyle="1" w:styleId="351">
    <w:name w:val="_Style 140"/>
    <w:qFormat/>
    <w:uiPriority w:val="0"/>
    <w:rPr>
      <w:rFonts w:ascii="Times New Roman" w:hAnsi="Times New Roman" w:eastAsia="宋体" w:cs="Times New Roman"/>
      <w:kern w:val="2"/>
      <w:sz w:val="21"/>
      <w:szCs w:val="24"/>
      <w:lang w:val="en-US" w:eastAsia="zh-CN" w:bidi="ar-SA"/>
    </w:rPr>
  </w:style>
  <w:style w:type="paragraph" w:customStyle="1" w:styleId="352">
    <w:name w:val="正文缩进4"/>
    <w:next w:val="1"/>
    <w:qFormat/>
    <w:uiPriority w:val="99"/>
    <w:pPr>
      <w:wordWrap w:val="0"/>
      <w:ind w:left="3400"/>
      <w:jc w:val="both"/>
    </w:pPr>
    <w:rPr>
      <w:rFonts w:ascii="Times New Roman" w:hAnsi="Times New Roman" w:eastAsia="宋体" w:cs="Times New Roman"/>
      <w:sz w:val="21"/>
      <w:lang w:val="en-US" w:eastAsia="zh-CN" w:bidi="ar-SA"/>
    </w:rPr>
  </w:style>
  <w:style w:type="paragraph" w:customStyle="1" w:styleId="353">
    <w:name w:val="contentarticle"/>
    <w:basedOn w:val="1"/>
    <w:qFormat/>
    <w:uiPriority w:val="0"/>
    <w:pPr>
      <w:widowControl/>
      <w:spacing w:before="100" w:beforeAutospacing="1" w:after="100" w:afterAutospacing="1"/>
    </w:pPr>
    <w:rPr>
      <w:rFonts w:ascii="宋体" w:hAnsi="宋体" w:eastAsia="宋体" w:cs="宋体"/>
      <w:sz w:val="24"/>
      <w:lang w:eastAsia="zh-CN"/>
    </w:rPr>
  </w:style>
  <w:style w:type="paragraph" w:customStyle="1" w:styleId="354">
    <w:name w:val="_Style 24"/>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5">
    <w:name w:val="Char71"/>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character" w:customStyle="1" w:styleId="356">
    <w:name w:val="15"/>
    <w:basedOn w:val="53"/>
    <w:qFormat/>
    <w:uiPriority w:val="0"/>
    <w:rPr>
      <w:rFonts w:hint="default" w:ascii="Calibri" w:hAnsi="Calibri"/>
    </w:rPr>
  </w:style>
  <w:style w:type="paragraph" w:customStyle="1" w:styleId="357">
    <w:name w:val="正文首缩两字"/>
    <w:basedOn w:val="1"/>
    <w:qFormat/>
    <w:uiPriority w:val="0"/>
    <w:pPr>
      <w:spacing w:afterLines="30" w:line="360" w:lineRule="auto"/>
      <w:ind w:left="210" w:right="210" w:firstLine="480" w:firstLineChars="200"/>
    </w:pPr>
    <w:rPr>
      <w:rFonts w:ascii="宋体" w:hAnsi="宋体" w:eastAsia="仿宋_GB2312"/>
      <w:sz w:val="24"/>
      <w:szCs w:val="24"/>
      <w:lang w:eastAsia="zh-CN"/>
    </w:rPr>
  </w:style>
  <w:style w:type="paragraph" w:customStyle="1" w:styleId="358">
    <w:name w:val="列出段落5"/>
    <w:basedOn w:val="1"/>
    <w:qFormat/>
    <w:uiPriority w:val="0"/>
    <w:pPr>
      <w:ind w:firstLine="420" w:firstLineChars="200"/>
      <w:jc w:val="both"/>
    </w:pPr>
    <w:rPr>
      <w:rFonts w:eastAsia="宋体"/>
      <w:kern w:val="2"/>
      <w:sz w:val="21"/>
      <w:lang w:eastAsia="zh-CN"/>
    </w:rPr>
  </w:style>
  <w:style w:type="character" w:customStyle="1" w:styleId="359">
    <w:name w:val="font121"/>
    <w:qFormat/>
    <w:uiPriority w:val="0"/>
    <w:rPr>
      <w:rFonts w:hint="eastAsia" w:ascii="宋体" w:hAnsi="宋体" w:eastAsia="宋体" w:cs="宋体"/>
      <w:color w:val="FF0000"/>
      <w:sz w:val="24"/>
      <w:szCs w:val="24"/>
      <w:u w:val="none"/>
    </w:rPr>
  </w:style>
  <w:style w:type="character" w:customStyle="1" w:styleId="360">
    <w:name w:val="font101"/>
    <w:qFormat/>
    <w:uiPriority w:val="0"/>
    <w:rPr>
      <w:rFonts w:hint="eastAsia" w:ascii="宋体" w:hAnsi="宋体" w:eastAsia="宋体" w:cs="宋体"/>
      <w:color w:val="000000"/>
      <w:sz w:val="22"/>
      <w:szCs w:val="22"/>
      <w:u w:val="none"/>
    </w:rPr>
  </w:style>
  <w:style w:type="character" w:customStyle="1" w:styleId="361">
    <w:name w:val="font131"/>
    <w:qFormat/>
    <w:uiPriority w:val="0"/>
    <w:rPr>
      <w:rFonts w:hint="eastAsia" w:ascii="宋体" w:hAnsi="宋体" w:eastAsia="宋体" w:cs="宋体"/>
      <w:color w:val="000000"/>
      <w:sz w:val="22"/>
      <w:szCs w:val="22"/>
      <w:u w:val="none"/>
    </w:rPr>
  </w:style>
  <w:style w:type="paragraph" w:customStyle="1" w:styleId="362">
    <w:name w:val="Index4"/>
    <w:basedOn w:val="1"/>
    <w:next w:val="1"/>
    <w:semiHidden/>
    <w:qFormat/>
    <w:uiPriority w:val="0"/>
    <w:pPr>
      <w:widowControl/>
      <w:ind w:left="1260"/>
      <w:jc w:val="both"/>
      <w:textAlignment w:val="baseline"/>
    </w:pPr>
    <w:rPr>
      <w:sz w:val="20"/>
      <w:szCs w:val="20"/>
      <w:lang w:val="zh-CN" w:eastAsia="zh-CN"/>
    </w:rPr>
  </w:style>
  <w:style w:type="paragraph" w:customStyle="1" w:styleId="363">
    <w:name w:val="font5"/>
    <w:basedOn w:val="1"/>
    <w:qFormat/>
    <w:uiPriority w:val="0"/>
    <w:pPr>
      <w:widowControl/>
      <w:spacing w:before="100" w:beforeAutospacing="1" w:after="100" w:afterAutospacing="1"/>
    </w:pPr>
    <w:rPr>
      <w:rFonts w:ascii="宋体" w:hAnsi="宋体" w:eastAsia="宋体" w:cs="宋体"/>
      <w:sz w:val="18"/>
      <w:szCs w:val="18"/>
      <w:lang w:eastAsia="zh-CN"/>
    </w:rPr>
  </w:style>
  <w:style w:type="paragraph" w:customStyle="1" w:styleId="364">
    <w:name w:val="xl65"/>
    <w:basedOn w:val="1"/>
    <w:qFormat/>
    <w:uiPriority w:val="0"/>
    <w:pPr>
      <w:widowControl/>
      <w:spacing w:before="100" w:beforeAutospacing="1" w:after="100" w:afterAutospacing="1"/>
      <w:jc w:val="center"/>
    </w:pPr>
    <w:rPr>
      <w:rFonts w:ascii="宋体" w:hAnsi="宋体" w:eastAsia="宋体" w:cs="宋体"/>
      <w:sz w:val="24"/>
      <w:szCs w:val="24"/>
      <w:lang w:eastAsia="zh-CN"/>
    </w:rPr>
  </w:style>
  <w:style w:type="paragraph" w:customStyle="1" w:styleId="365">
    <w:name w:val="xl66"/>
    <w:basedOn w:val="1"/>
    <w:qFormat/>
    <w:uiPriority w:val="0"/>
    <w:pPr>
      <w:widowControl/>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66">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lang w:eastAsia="zh-CN"/>
    </w:rPr>
  </w:style>
  <w:style w:type="paragraph" w:customStyle="1" w:styleId="367">
    <w:name w:val="xl6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368">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6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0">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7"/>
      <w:szCs w:val="17"/>
      <w:lang w:eastAsia="zh-CN"/>
    </w:rPr>
  </w:style>
  <w:style w:type="paragraph" w:customStyle="1" w:styleId="371">
    <w:name w:val="xl7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character" w:customStyle="1" w:styleId="376">
    <w:name w:val="书籍标题1"/>
    <w:qFormat/>
    <w:uiPriority w:val="0"/>
    <w:rPr>
      <w:b/>
      <w:bCs/>
      <w:smallCaps/>
      <w:spacing w:val="5"/>
    </w:rPr>
  </w:style>
  <w:style w:type="character" w:customStyle="1" w:styleId="377">
    <w:name w:val="明显参考1"/>
    <w:qFormat/>
    <w:uiPriority w:val="0"/>
    <w:rPr>
      <w:b/>
      <w:bCs/>
      <w:smallCaps/>
      <w:color w:val="C0504D"/>
      <w:spacing w:val="5"/>
      <w:u w:val="single"/>
    </w:rPr>
  </w:style>
  <w:style w:type="character" w:customStyle="1" w:styleId="378">
    <w:name w:val="不明显参考1"/>
    <w:qFormat/>
    <w:uiPriority w:val="0"/>
    <w:rPr>
      <w:smallCaps/>
      <w:color w:val="C0504D"/>
      <w:u w:val="single"/>
    </w:rPr>
  </w:style>
  <w:style w:type="character" w:customStyle="1" w:styleId="379">
    <w:name w:val="不明显强调1"/>
    <w:qFormat/>
    <w:uiPriority w:val="0"/>
    <w:rPr>
      <w:i/>
      <w:iCs/>
      <w:color w:val="808080"/>
    </w:rPr>
  </w:style>
  <w:style w:type="character" w:customStyle="1" w:styleId="380">
    <w:name w:val="明显强调1"/>
    <w:qFormat/>
    <w:uiPriority w:val="0"/>
    <w:rPr>
      <w:b/>
      <w:bCs/>
      <w:i/>
      <w:iCs/>
      <w:color w:val="4F81BD"/>
    </w:rPr>
  </w:style>
  <w:style w:type="paragraph" w:customStyle="1" w:styleId="381">
    <w:name w:val="标题 22"/>
    <w:basedOn w:val="324"/>
    <w:next w:val="324"/>
    <w:qFormat/>
    <w:uiPriority w:val="0"/>
  </w:style>
  <w:style w:type="paragraph" w:customStyle="1" w:styleId="382">
    <w:name w:val="列出段落6"/>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83">
    <w:name w:val="修订1"/>
    <w:qFormat/>
    <w:uiPriority w:val="0"/>
    <w:rPr>
      <w:rFonts w:ascii="Times New Roman" w:hAnsi="Times New Roman" w:eastAsia="宋体" w:cs="Times New Roman"/>
      <w:kern w:val="2"/>
      <w:sz w:val="21"/>
      <w:szCs w:val="24"/>
      <w:lang w:val="en-US" w:eastAsia="zh-CN" w:bidi="ar-SA"/>
    </w:rPr>
  </w:style>
  <w:style w:type="character" w:customStyle="1" w:styleId="384">
    <w:name w:val="纯文本 Char Char"/>
    <w:qFormat/>
    <w:uiPriority w:val="99"/>
    <w:rPr>
      <w:rFonts w:ascii="宋体" w:hAnsi="Courier New" w:eastAsia="宋体"/>
      <w:kern w:val="2"/>
      <w:sz w:val="21"/>
      <w:szCs w:val="21"/>
      <w:lang w:val="en-US" w:eastAsia="zh-CN" w:bidi="ar-SA"/>
    </w:rPr>
  </w:style>
  <w:style w:type="paragraph" w:customStyle="1" w:styleId="385">
    <w:name w:val="正文（首行缩进）"/>
    <w:qFormat/>
    <w:uiPriority w:val="0"/>
    <w:pPr>
      <w:widowControl w:val="0"/>
      <w:spacing w:line="360" w:lineRule="auto"/>
      <w:ind w:firstLine="200" w:firstLineChars="200"/>
      <w:jc w:val="both"/>
    </w:pPr>
    <w:rPr>
      <w:rFonts w:ascii="Times New Roman" w:hAnsi="Times New Roman" w:eastAsia="宋体" w:cs="Times New Roman"/>
      <w:sz w:val="21"/>
      <w:szCs w:val="24"/>
      <w:lang w:val="en-US" w:eastAsia="zh-CN" w:bidi="ar-SA"/>
    </w:rPr>
  </w:style>
  <w:style w:type="paragraph" w:customStyle="1" w:styleId="386">
    <w:name w:val="正文 A"/>
    <w:next w:val="1"/>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387">
    <w:name w:val="称呼 Char"/>
    <w:basedOn w:val="53"/>
    <w:link w:val="16"/>
    <w:qFormat/>
    <w:uiPriority w:val="99"/>
    <w:rPr>
      <w:rFonts w:ascii="楷体_GB2312" w:eastAsia="楷体_GB2312"/>
      <w:kern w:val="2"/>
      <w:sz w:val="28"/>
    </w:rPr>
  </w:style>
  <w:style w:type="character" w:customStyle="1" w:styleId="388">
    <w:name w:val="正文文本 2 Char"/>
    <w:basedOn w:val="53"/>
    <w:link w:val="44"/>
    <w:qFormat/>
    <w:uiPriority w:val="99"/>
    <w:rPr>
      <w:rFonts w:ascii="宋体"/>
      <w:b/>
      <w:bCs/>
      <w:kern w:val="2"/>
      <w:sz w:val="24"/>
      <w:szCs w:val="24"/>
    </w:rPr>
  </w:style>
  <w:style w:type="character" w:customStyle="1" w:styleId="389">
    <w:name w:val="正文首行缩进 2 Char"/>
    <w:basedOn w:val="238"/>
    <w:link w:val="50"/>
    <w:qFormat/>
    <w:uiPriority w:val="0"/>
    <w:rPr>
      <w:lang w:eastAsia="en-US"/>
    </w:rPr>
  </w:style>
  <w:style w:type="character" w:customStyle="1" w:styleId="390">
    <w:name w:val="书籍标题11"/>
    <w:qFormat/>
    <w:uiPriority w:val="0"/>
    <w:rPr>
      <w:b/>
      <w:bCs/>
      <w:smallCaps/>
      <w:spacing w:val="5"/>
    </w:rPr>
  </w:style>
  <w:style w:type="character" w:customStyle="1" w:styleId="391">
    <w:name w:val="明显参考11"/>
    <w:qFormat/>
    <w:uiPriority w:val="0"/>
    <w:rPr>
      <w:b/>
      <w:bCs/>
      <w:smallCaps/>
      <w:color w:val="C0504D"/>
      <w:spacing w:val="5"/>
      <w:u w:val="single"/>
    </w:rPr>
  </w:style>
  <w:style w:type="character" w:customStyle="1" w:styleId="392">
    <w:name w:val="不明显参考11"/>
    <w:qFormat/>
    <w:uiPriority w:val="0"/>
    <w:rPr>
      <w:smallCaps/>
      <w:color w:val="C0504D"/>
      <w:u w:val="single"/>
    </w:rPr>
  </w:style>
  <w:style w:type="character" w:customStyle="1" w:styleId="393">
    <w:name w:val="不明显强调11"/>
    <w:qFormat/>
    <w:uiPriority w:val="0"/>
    <w:rPr>
      <w:i/>
      <w:iCs/>
      <w:color w:val="808080"/>
    </w:rPr>
  </w:style>
  <w:style w:type="character" w:customStyle="1" w:styleId="394">
    <w:name w:val="明显强调11"/>
    <w:qFormat/>
    <w:uiPriority w:val="0"/>
    <w:rPr>
      <w:b/>
      <w:bCs/>
      <w:i/>
      <w:iCs/>
      <w:color w:val="4F81BD"/>
    </w:rPr>
  </w:style>
  <w:style w:type="paragraph" w:customStyle="1" w:styleId="395">
    <w:name w:val="列出段落111"/>
    <w:basedOn w:val="1"/>
    <w:qFormat/>
    <w:uiPriority w:val="0"/>
    <w:pPr>
      <w:ind w:firstLine="420" w:firstLineChars="200"/>
      <w:jc w:val="both"/>
    </w:pPr>
    <w:rPr>
      <w:rFonts w:eastAsia="宋体"/>
      <w:kern w:val="2"/>
      <w:sz w:val="21"/>
      <w:lang w:eastAsia="zh-CN"/>
    </w:rPr>
  </w:style>
  <w:style w:type="paragraph" w:customStyle="1" w:styleId="396">
    <w:name w:val="修订11"/>
    <w:qFormat/>
    <w:uiPriority w:val="0"/>
    <w:rPr>
      <w:rFonts w:ascii="Times New Roman" w:hAnsi="Times New Roman" w:eastAsia="宋体" w:cs="Times New Roman"/>
      <w:kern w:val="2"/>
      <w:sz w:val="21"/>
      <w:szCs w:val="24"/>
      <w:lang w:val="en-US" w:eastAsia="zh-CN" w:bidi="ar-SA"/>
    </w:rPr>
  </w:style>
  <w:style w:type="character" w:customStyle="1" w:styleId="397">
    <w:name w:val="fontstyle01"/>
    <w:qFormat/>
    <w:uiPriority w:val="0"/>
    <w:rPr>
      <w:rFonts w:hint="eastAsia" w:ascii="仿宋_GB2312" w:eastAsia="仿宋_GB2312"/>
      <w:color w:val="000000"/>
      <w:sz w:val="32"/>
      <w:szCs w:val="32"/>
    </w:rPr>
  </w:style>
  <w:style w:type="character" w:customStyle="1" w:styleId="398">
    <w:name w:val="fontstyle21"/>
    <w:qFormat/>
    <w:uiPriority w:val="0"/>
    <w:rPr>
      <w:rFonts w:hint="default" w:ascii="Times New Roman" w:hAnsi="Times New Roman" w:cs="Times New Roman"/>
      <w:color w:val="000000"/>
      <w:sz w:val="32"/>
      <w:szCs w:val="32"/>
    </w:rPr>
  </w:style>
  <w:style w:type="paragraph" w:customStyle="1" w:styleId="399">
    <w:name w:val="正文文本1"/>
    <w:basedOn w:val="1"/>
    <w:qFormat/>
    <w:uiPriority w:val="0"/>
    <w:pPr>
      <w:autoSpaceDE w:val="0"/>
      <w:autoSpaceDN w:val="0"/>
      <w:spacing w:line="463" w:lineRule="auto"/>
      <w:ind w:firstLine="400"/>
    </w:pPr>
    <w:rPr>
      <w:rFonts w:ascii="宋体" w:hAnsi="宋体" w:eastAsia="宋体" w:cs="宋体"/>
      <w:sz w:val="40"/>
      <w:szCs w:val="40"/>
      <w:lang w:val="zh-CN" w:eastAsia="zh-CN" w:bidi="zh-CN"/>
    </w:rPr>
  </w:style>
  <w:style w:type="character" w:customStyle="1" w:styleId="400">
    <w:name w:val="正文文本 字符"/>
    <w:basedOn w:val="53"/>
    <w:qFormat/>
    <w:uiPriority w:val="0"/>
    <w:rPr>
      <w:rFonts w:ascii="宋体" w:hAnsi="宋体" w:cs="宋体"/>
      <w:sz w:val="21"/>
      <w:szCs w:val="21"/>
      <w:lang w:val="zh-CN" w:bidi="zh-CN"/>
    </w:rPr>
  </w:style>
  <w:style w:type="character" w:customStyle="1" w:styleId="401">
    <w:name w:val="页脚 字符"/>
    <w:basedOn w:val="53"/>
    <w:qFormat/>
    <w:uiPriority w:val="0"/>
    <w:rPr>
      <w:rFonts w:ascii="宋体" w:hAnsi="宋体" w:cs="宋体"/>
      <w:sz w:val="18"/>
      <w:szCs w:val="18"/>
      <w:lang w:val="zh-CN" w:bidi="zh-CN"/>
    </w:rPr>
  </w:style>
  <w:style w:type="character" w:customStyle="1" w:styleId="402">
    <w:name w:val="批注文字 Char1"/>
    <w:basedOn w:val="53"/>
    <w:qFormat/>
    <w:uiPriority w:val="0"/>
    <w:rPr>
      <w:rFonts w:ascii="宋体" w:hAnsi="宋体" w:cs="宋体"/>
      <w:sz w:val="22"/>
      <w:szCs w:val="22"/>
      <w:lang w:val="zh-CN" w:bidi="zh-CN"/>
    </w:rPr>
  </w:style>
  <w:style w:type="character" w:customStyle="1" w:styleId="403">
    <w:name w:val="正文文本缩进 2 Char1"/>
    <w:basedOn w:val="53"/>
    <w:qFormat/>
    <w:uiPriority w:val="0"/>
    <w:rPr>
      <w:rFonts w:ascii="宋体" w:hAnsi="宋体" w:cs="宋体"/>
      <w:sz w:val="22"/>
      <w:szCs w:val="22"/>
      <w:lang w:val="zh-CN" w:bidi="zh-CN"/>
    </w:rPr>
  </w:style>
  <w:style w:type="character" w:customStyle="1" w:styleId="404">
    <w:name w:val="Char Char9"/>
    <w:qFormat/>
    <w:uiPriority w:val="0"/>
    <w:rPr>
      <w:rFonts w:ascii="Calibri" w:hAnsi="Calibri" w:eastAsia="宋体" w:cs="Times New Roman"/>
      <w:kern w:val="2"/>
      <w:sz w:val="21"/>
      <w:szCs w:val="24"/>
    </w:rPr>
  </w:style>
  <w:style w:type="character" w:customStyle="1" w:styleId="405">
    <w:name w:val="标题 字符1"/>
    <w:basedOn w:val="53"/>
    <w:qFormat/>
    <w:uiPriority w:val="10"/>
    <w:rPr>
      <w:rFonts w:ascii="Arial" w:hAnsi="Arial" w:eastAsia="黑体" w:cs="Times New Roman"/>
      <w:b/>
      <w:bCs/>
      <w:sz w:val="32"/>
      <w:szCs w:val="32"/>
      <w:lang w:val="zh-CN" w:bidi="zh-CN"/>
    </w:rPr>
  </w:style>
  <w:style w:type="paragraph" w:customStyle="1" w:styleId="406">
    <w:name w:val="_Style 2"/>
    <w:basedOn w:val="1"/>
    <w:qFormat/>
    <w:uiPriority w:val="0"/>
    <w:pPr>
      <w:widowControl/>
      <w:ind w:firstLine="420" w:firstLineChars="200"/>
    </w:pPr>
    <w:rPr>
      <w:rFonts w:eastAsia="宋体"/>
      <w:sz w:val="21"/>
      <w:lang w:eastAsia="zh-CN"/>
    </w:rPr>
  </w:style>
  <w:style w:type="paragraph" w:customStyle="1" w:styleId="407">
    <w:name w:val="表格无间距"/>
    <w:basedOn w:val="1"/>
    <w:qFormat/>
    <w:uiPriority w:val="0"/>
    <w:pPr>
      <w:widowControl/>
      <w:spacing w:line="240" w:lineRule="atLeast"/>
      <w:jc w:val="center"/>
    </w:pPr>
    <w:rPr>
      <w:rFonts w:ascii="宋体" w:hAnsi="宋体" w:eastAsia="宋体" w:cs="宋体"/>
      <w:bCs/>
      <w:sz w:val="18"/>
      <w:szCs w:val="18"/>
      <w:lang w:eastAsia="zh-CN"/>
    </w:rPr>
  </w:style>
  <w:style w:type="character" w:customStyle="1" w:styleId="408">
    <w:name w:val="rvts14"/>
    <w:qFormat/>
    <w:uiPriority w:val="0"/>
    <w:rPr>
      <w:rFonts w:hint="default" w:ascii="KNLe" w:hAnsi="KNLe" w:eastAsia="宋体" w:cs="Times New Roman"/>
      <w:color w:val="000000"/>
      <w:u w:val="single"/>
    </w:rPr>
  </w:style>
  <w:style w:type="character" w:customStyle="1" w:styleId="409">
    <w:name w:val="rvts19"/>
    <w:qFormat/>
    <w:uiPriority w:val="0"/>
    <w:rPr>
      <w:rFonts w:hint="default" w:ascii="KNLe" w:hAnsi="KNLe" w:eastAsia="宋体" w:cs="Times New Roman"/>
      <w:sz w:val="24"/>
      <w:szCs w:val="24"/>
    </w:rPr>
  </w:style>
  <w:style w:type="character" w:customStyle="1" w:styleId="410">
    <w:name w:val="rvts7"/>
    <w:qFormat/>
    <w:uiPriority w:val="0"/>
    <w:rPr>
      <w:rFonts w:hint="default" w:ascii=":ZLe" w:hAnsi=":ZLe" w:eastAsia="宋体" w:cs="Times New Roman"/>
      <w:sz w:val="32"/>
      <w:szCs w:val="32"/>
    </w:rPr>
  </w:style>
  <w:style w:type="character" w:customStyle="1" w:styleId="411">
    <w:name w:val="rvts12"/>
    <w:qFormat/>
    <w:uiPriority w:val="0"/>
    <w:rPr>
      <w:rFonts w:hint="default" w:ascii="KNLe" w:hAnsi="KNLe" w:eastAsia="宋体" w:cs="Times New Roman"/>
      <w:b/>
      <w:bCs/>
      <w:u w:val="single"/>
    </w:rPr>
  </w:style>
  <w:style w:type="character" w:customStyle="1" w:styleId="412">
    <w:name w:val="正文文本 3 Char1"/>
    <w:basedOn w:val="53"/>
    <w:qFormat/>
    <w:uiPriority w:val="99"/>
    <w:rPr>
      <w:rFonts w:ascii="宋体" w:hAnsi="宋体" w:cs="宋体"/>
      <w:sz w:val="16"/>
      <w:szCs w:val="16"/>
      <w:lang w:val="zh-CN" w:bidi="zh-CN"/>
    </w:rPr>
  </w:style>
  <w:style w:type="paragraph" w:customStyle="1" w:styleId="413">
    <w:name w:val="rvps1"/>
    <w:basedOn w:val="1"/>
    <w:qFormat/>
    <w:uiPriority w:val="99"/>
    <w:pPr>
      <w:widowControl/>
      <w:jc w:val="center"/>
    </w:pPr>
    <w:rPr>
      <w:rFonts w:ascii="Times New Roman" w:hAnsi="Times New Roman" w:eastAsia="宋体"/>
      <w:sz w:val="24"/>
      <w:szCs w:val="24"/>
      <w:lang w:eastAsia="zh-CN"/>
    </w:rPr>
  </w:style>
  <w:style w:type="paragraph" w:customStyle="1" w:styleId="414">
    <w:name w:val="rvps2"/>
    <w:basedOn w:val="1"/>
    <w:qFormat/>
    <w:uiPriority w:val="0"/>
    <w:pPr>
      <w:widowControl/>
      <w:jc w:val="both"/>
    </w:pPr>
    <w:rPr>
      <w:rFonts w:ascii="宋体" w:hAnsi="宋体" w:eastAsia="宋体" w:cs="宋体"/>
      <w:sz w:val="24"/>
      <w:szCs w:val="24"/>
      <w:lang w:eastAsia="zh-CN"/>
    </w:rPr>
  </w:style>
  <w:style w:type="character" w:customStyle="1" w:styleId="415">
    <w:name w:val="普通文字 Char Char1"/>
    <w:qFormat/>
    <w:uiPriority w:val="0"/>
    <w:rPr>
      <w:rFonts w:ascii="宋体" w:hAnsi="Courier New" w:eastAsia="宋体" w:cs="Times New Roman"/>
      <w:kern w:val="2"/>
      <w:sz w:val="21"/>
      <w:szCs w:val="21"/>
      <w:lang w:val="en-US" w:eastAsia="zh-CN" w:bidi="ar-SA"/>
    </w:rPr>
  </w:style>
  <w:style w:type="character" w:customStyle="1" w:styleId="416">
    <w:name w:val="称呼 Char1"/>
    <w:basedOn w:val="53"/>
    <w:qFormat/>
    <w:uiPriority w:val="99"/>
    <w:rPr>
      <w:rFonts w:ascii="宋体" w:hAnsi="宋体" w:cs="宋体"/>
      <w:sz w:val="22"/>
      <w:szCs w:val="22"/>
      <w:lang w:val="zh-CN" w:bidi="zh-CN"/>
    </w:rPr>
  </w:style>
  <w:style w:type="character" w:customStyle="1" w:styleId="417">
    <w:name w:val="正文文本 2 Char1"/>
    <w:basedOn w:val="53"/>
    <w:qFormat/>
    <w:uiPriority w:val="99"/>
    <w:rPr>
      <w:rFonts w:ascii="宋体" w:hAnsi="宋体" w:cs="宋体"/>
      <w:sz w:val="22"/>
      <w:szCs w:val="22"/>
      <w:lang w:val="zh-CN" w:bidi="zh-CN"/>
    </w:rPr>
  </w:style>
  <w:style w:type="paragraph" w:customStyle="1" w:styleId="418">
    <w:name w:val="目录文字"/>
    <w:basedOn w:val="1"/>
    <w:qFormat/>
    <w:uiPriority w:val="0"/>
    <w:pPr>
      <w:widowControl/>
      <w:spacing w:line="480" w:lineRule="auto"/>
    </w:pPr>
    <w:rPr>
      <w:rFonts w:ascii="宋体" w:hAnsi="宋体" w:eastAsia="宋体"/>
      <w:sz w:val="24"/>
      <w:szCs w:val="20"/>
      <w:lang w:eastAsia="zh-CN"/>
    </w:rPr>
  </w:style>
  <w:style w:type="paragraph" w:customStyle="1" w:styleId="419">
    <w:name w:val="Char Char Char Char"/>
    <w:basedOn w:val="1"/>
    <w:qFormat/>
    <w:uiPriority w:val="0"/>
    <w:pPr>
      <w:adjustRightInd w:val="0"/>
      <w:spacing w:line="360" w:lineRule="atLeast"/>
      <w:jc w:val="both"/>
      <w:textAlignment w:val="baseline"/>
    </w:pPr>
    <w:rPr>
      <w:rFonts w:ascii="Tahoma" w:hAnsi="Tahoma" w:eastAsia="宋体"/>
      <w:kern w:val="2"/>
      <w:sz w:val="24"/>
      <w:szCs w:val="20"/>
      <w:lang w:eastAsia="zh-CN"/>
    </w:rPr>
  </w:style>
  <w:style w:type="paragraph" w:customStyle="1" w:styleId="420">
    <w:name w:val="p0"/>
    <w:basedOn w:val="1"/>
    <w:qFormat/>
    <w:uiPriority w:val="99"/>
    <w:pPr>
      <w:widowControl/>
      <w:spacing w:before="100" w:beforeAutospacing="1" w:after="100" w:afterAutospacing="1"/>
    </w:pPr>
    <w:rPr>
      <w:rFonts w:ascii="宋体" w:hAnsi="宋体" w:eastAsia="宋体" w:cs="宋体"/>
      <w:sz w:val="24"/>
      <w:szCs w:val="24"/>
      <w:lang w:eastAsia="zh-CN"/>
    </w:rPr>
  </w:style>
  <w:style w:type="paragraph" w:customStyle="1" w:styleId="421">
    <w:name w:val="Char Char Char Char Char Char"/>
    <w:basedOn w:val="1"/>
    <w:qFormat/>
    <w:uiPriority w:val="0"/>
    <w:pPr>
      <w:widowControl/>
      <w:spacing w:after="160" w:line="240" w:lineRule="exact"/>
    </w:pPr>
    <w:rPr>
      <w:rFonts w:ascii="Arial" w:hAnsi="Arial" w:eastAsia="Times New Roman" w:cs="Verdana"/>
      <w:b/>
      <w:sz w:val="21"/>
      <w:szCs w:val="20"/>
    </w:rPr>
  </w:style>
  <w:style w:type="character" w:customStyle="1" w:styleId="422">
    <w:name w:val="label11"/>
    <w:basedOn w:val="53"/>
    <w:qFormat/>
    <w:uiPriority w:val="0"/>
    <w:rPr>
      <w:rFonts w:ascii="Calibri" w:hAnsi="Calibri" w:eastAsia="宋体" w:cs="Times New Roman"/>
    </w:rPr>
  </w:style>
  <w:style w:type="character" w:customStyle="1" w:styleId="423">
    <w:name w:val="rvts15"/>
    <w:qFormat/>
    <w:uiPriority w:val="0"/>
    <w:rPr>
      <w:rFonts w:hint="default" w:ascii="KNLe" w:hAnsi="KNLe"/>
      <w:color w:val="0000FF"/>
      <w:u w:val="single"/>
    </w:rPr>
  </w:style>
  <w:style w:type="character" w:customStyle="1" w:styleId="424">
    <w:name w:val="明显引用 字符1"/>
    <w:basedOn w:val="53"/>
    <w:qFormat/>
    <w:uiPriority w:val="30"/>
    <w:rPr>
      <w:rFonts w:ascii="宋体" w:hAnsi="宋体" w:cs="宋体"/>
      <w:i/>
      <w:iCs/>
      <w:color w:val="4F81BD"/>
      <w:sz w:val="22"/>
      <w:szCs w:val="22"/>
      <w:lang w:val="zh-CN" w:bidi="zh-CN"/>
    </w:rPr>
  </w:style>
  <w:style w:type="character" w:customStyle="1" w:styleId="425">
    <w:name w:val="label12"/>
    <w:basedOn w:val="53"/>
    <w:qFormat/>
    <w:uiPriority w:val="0"/>
    <w:rPr>
      <w:rFonts w:ascii="Calibri" w:hAnsi="Calibri" w:eastAsia="宋体" w:cs="Times New Roman"/>
    </w:rPr>
  </w:style>
  <w:style w:type="character" w:customStyle="1" w:styleId="426">
    <w:name w:val="first-child"/>
    <w:basedOn w:val="53"/>
    <w:qFormat/>
    <w:uiPriority w:val="0"/>
    <w:rPr>
      <w:rFonts w:ascii="Calibri" w:hAnsi="Calibri" w:eastAsia="宋体" w:cs="Times New Roman"/>
    </w:rPr>
  </w:style>
  <w:style w:type="character" w:customStyle="1" w:styleId="427">
    <w:name w:val="label10"/>
    <w:qFormat/>
    <w:uiPriority w:val="0"/>
    <w:rPr>
      <w:color w:val="1CC09F"/>
      <w:shd w:val="clear" w:color="auto" w:fill="FFFFFF"/>
    </w:rPr>
  </w:style>
  <w:style w:type="character" w:customStyle="1" w:styleId="428">
    <w:name w:val="cdropright"/>
    <w:basedOn w:val="53"/>
    <w:qFormat/>
    <w:uiPriority w:val="0"/>
    <w:rPr>
      <w:rFonts w:ascii="Calibri" w:hAnsi="Calibri" w:eastAsia="宋体" w:cs="Times New Roman"/>
    </w:rPr>
  </w:style>
  <w:style w:type="character" w:customStyle="1" w:styleId="429">
    <w:name w:val="1page sec3 Char2"/>
    <w:qFormat/>
    <w:uiPriority w:val="0"/>
    <w:rPr>
      <w:rFonts w:eastAsia="宋体"/>
      <w:kern w:val="2"/>
      <w:sz w:val="18"/>
      <w:szCs w:val="18"/>
      <w:lang w:val="en-US" w:eastAsia="zh-CN" w:bidi="ar-SA"/>
    </w:rPr>
  </w:style>
  <w:style w:type="character" w:customStyle="1" w:styleId="430">
    <w:name w:val="layui-this"/>
    <w:qFormat/>
    <w:uiPriority w:val="0"/>
    <w:rPr>
      <w:bdr w:val="single" w:color="EEEEEE" w:sz="6" w:space="0"/>
      <w:shd w:val="clear" w:color="auto" w:fill="FFFFFF"/>
    </w:rPr>
  </w:style>
  <w:style w:type="character" w:customStyle="1" w:styleId="431">
    <w:name w:val="button"/>
    <w:basedOn w:val="53"/>
    <w:qFormat/>
    <w:uiPriority w:val="0"/>
    <w:rPr>
      <w:rFonts w:ascii="Calibri" w:hAnsi="Calibri" w:eastAsia="宋体" w:cs="Times New Roman"/>
    </w:rPr>
  </w:style>
  <w:style w:type="character" w:customStyle="1" w:styleId="432">
    <w:name w:val="tmpztreemove_arrow"/>
    <w:basedOn w:val="53"/>
    <w:qFormat/>
    <w:uiPriority w:val="0"/>
    <w:rPr>
      <w:rFonts w:ascii="Calibri" w:hAnsi="Calibri" w:eastAsia="宋体" w:cs="Times New Roman"/>
    </w:rPr>
  </w:style>
  <w:style w:type="character" w:customStyle="1" w:styleId="433">
    <w:name w:val="label9"/>
    <w:qFormat/>
    <w:uiPriority w:val="0"/>
    <w:rPr>
      <w:color w:val="1AB394"/>
      <w:shd w:val="clear" w:color="auto" w:fill="FFFFFF"/>
    </w:rPr>
  </w:style>
  <w:style w:type="character" w:customStyle="1" w:styleId="434">
    <w:name w:val="引用 字符1"/>
    <w:basedOn w:val="53"/>
    <w:qFormat/>
    <w:uiPriority w:val="29"/>
    <w:rPr>
      <w:rFonts w:ascii="宋体" w:hAnsi="宋体" w:cs="宋体"/>
      <w:i/>
      <w:iCs/>
      <w:color w:val="404040"/>
      <w:sz w:val="22"/>
      <w:szCs w:val="22"/>
      <w:lang w:val="zh-CN" w:bidi="zh-CN"/>
    </w:rPr>
  </w:style>
  <w:style w:type="character" w:customStyle="1" w:styleId="435">
    <w:name w:val="引用 Char2"/>
    <w:basedOn w:val="53"/>
    <w:qFormat/>
    <w:uiPriority w:val="99"/>
    <w:rPr>
      <w:rFonts w:ascii="宋体" w:hAnsi="宋体" w:cs="宋体"/>
      <w:i/>
      <w:iCs/>
      <w:color w:val="000000"/>
      <w:sz w:val="22"/>
      <w:szCs w:val="22"/>
      <w:lang w:val="zh-CN" w:bidi="zh-CN"/>
    </w:rPr>
  </w:style>
  <w:style w:type="character" w:customStyle="1" w:styleId="436">
    <w:name w:val="cdropleft"/>
    <w:basedOn w:val="53"/>
    <w:qFormat/>
    <w:uiPriority w:val="0"/>
    <w:rPr>
      <w:rFonts w:ascii="Calibri" w:hAnsi="Calibri" w:eastAsia="宋体" w:cs="Times New Roman"/>
    </w:rPr>
  </w:style>
  <w:style w:type="paragraph" w:customStyle="1" w:styleId="437">
    <w:name w:val="空半行"/>
    <w:basedOn w:val="1"/>
    <w:qFormat/>
    <w:uiPriority w:val="0"/>
    <w:pPr>
      <w:adjustRightInd w:val="0"/>
      <w:spacing w:line="120" w:lineRule="exact"/>
      <w:jc w:val="both"/>
      <w:textAlignment w:val="baseline"/>
    </w:pPr>
    <w:rPr>
      <w:rFonts w:ascii="Times New Roman" w:hAnsi="Times New Roman" w:eastAsia="仿宋_GB2312"/>
      <w:color w:val="FFFFFF"/>
      <w:sz w:val="30"/>
      <w:szCs w:val="20"/>
      <w:lang w:eastAsia="zh-CN"/>
    </w:rPr>
  </w:style>
  <w:style w:type="paragraph" w:customStyle="1" w:styleId="438">
    <w:name w:val="aspnumfaautoadjustrightr"/>
    <w:unhideWhenUsed/>
    <w:qFormat/>
    <w:uiPriority w:val="0"/>
    <w:pPr>
      <w:widowControl w:val="0"/>
      <w:autoSpaceDE w:val="0"/>
      <w:autoSpaceDN w:val="0"/>
      <w:ind w:firstLine="720"/>
      <w:jc w:val="both"/>
    </w:pPr>
    <w:rPr>
      <w:rFonts w:hint="eastAsia" w:ascii="Times New Roman" w:hAnsi="Times New Roman" w:eastAsia="宋体" w:cs="Times New Roman"/>
      <w:sz w:val="21"/>
      <w:szCs w:val="22"/>
      <w:lang w:val="en-US" w:eastAsia="zh-CN" w:bidi="ar-SA"/>
    </w:rPr>
  </w:style>
  <w:style w:type="paragraph" w:customStyle="1" w:styleId="439">
    <w:name w:val="flNote"/>
    <w:basedOn w:val="1"/>
    <w:qFormat/>
    <w:uiPriority w:val="0"/>
    <w:pPr>
      <w:adjustRightInd w:val="0"/>
      <w:spacing w:before="320" w:after="160" w:line="360" w:lineRule="atLeast"/>
      <w:jc w:val="center"/>
      <w:textAlignment w:val="baseline"/>
    </w:pPr>
    <w:rPr>
      <w:rFonts w:ascii="Arial" w:hAnsi="Times New Roman" w:eastAsia="黑体"/>
      <w:sz w:val="30"/>
      <w:szCs w:val="20"/>
      <w:lang w:eastAsia="zh-CN"/>
    </w:rPr>
  </w:style>
  <w:style w:type="paragraph" w:customStyle="1" w:styleId="440">
    <w:name w:val="投标文件二级标题"/>
    <w:basedOn w:val="3"/>
    <w:qFormat/>
    <w:uiPriority w:val="0"/>
    <w:pPr>
      <w:keepNext/>
      <w:keepLines/>
      <w:tabs>
        <w:tab w:val="left" w:pos="576"/>
      </w:tabs>
      <w:spacing w:before="480" w:after="120" w:line="400" w:lineRule="exact"/>
      <w:ind w:left="223"/>
      <w:jc w:val="both"/>
    </w:pPr>
    <w:rPr>
      <w:rFonts w:ascii="Cambria" w:hAnsi="Cambria" w:eastAsia="宋体"/>
      <w:kern w:val="2"/>
      <w:sz w:val="32"/>
      <w:szCs w:val="28"/>
      <w:lang w:val="zh-CN" w:eastAsia="zh-CN"/>
    </w:rPr>
  </w:style>
  <w:style w:type="paragraph" w:customStyle="1" w:styleId="441">
    <w:name w:val="xl31"/>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eastAsia="宋体"/>
      <w:sz w:val="24"/>
      <w:szCs w:val="24"/>
      <w:lang w:eastAsia="zh-CN"/>
    </w:rPr>
  </w:style>
  <w:style w:type="paragraph" w:customStyle="1" w:styleId="442">
    <w:name w:val="标题3_0"/>
    <w:basedOn w:val="273"/>
    <w:qFormat/>
    <w:uiPriority w:val="0"/>
    <w:pPr>
      <w:jc w:val="center"/>
      <w:outlineLvl w:val="2"/>
    </w:pPr>
    <w:rPr>
      <w:rFonts w:ascii="黑体" w:hAnsi="黑体" w:eastAsia="黑体"/>
      <w:b/>
      <w:sz w:val="32"/>
      <w:szCs w:val="32"/>
    </w:rPr>
  </w:style>
  <w:style w:type="paragraph" w:customStyle="1" w:styleId="443">
    <w:name w:val="正文_0_0_0_0"/>
    <w:qFormat/>
    <w:uiPriority w:val="99"/>
    <w:pPr>
      <w:widowControl w:val="0"/>
      <w:jc w:val="both"/>
    </w:pPr>
    <w:rPr>
      <w:rFonts w:ascii="Times New Roman" w:hAnsi="Times New Roman" w:eastAsia="宋体" w:cs="Times New Roman"/>
      <w:lang w:val="en-US" w:eastAsia="zh-CN" w:bidi="ar-SA"/>
    </w:rPr>
  </w:style>
  <w:style w:type="paragraph" w:customStyle="1" w:styleId="444">
    <w:name w:val="Normal_0_2_0"/>
    <w:qFormat/>
    <w:uiPriority w:val="0"/>
    <w:pPr>
      <w:widowControl w:val="0"/>
      <w:jc w:val="both"/>
    </w:pPr>
    <w:rPr>
      <w:rFonts w:ascii="Calibri" w:hAnsi="Calibri" w:eastAsia="宋体" w:cs="Times New Roman"/>
      <w:lang w:val="en-US" w:eastAsia="zh-CN" w:bidi="ar-SA"/>
    </w:rPr>
  </w:style>
  <w:style w:type="paragraph" w:customStyle="1" w:styleId="445">
    <w:name w:val="Normal_0_2"/>
    <w:qFormat/>
    <w:uiPriority w:val="0"/>
    <w:pPr>
      <w:widowControl w:val="0"/>
      <w:jc w:val="both"/>
    </w:pPr>
    <w:rPr>
      <w:rFonts w:ascii="Calibri" w:hAnsi="Calibri" w:eastAsia="宋体" w:cs="Times New Roman"/>
      <w:lang w:val="en-US" w:eastAsia="zh-CN" w:bidi="ar-SA"/>
    </w:rPr>
  </w:style>
  <w:style w:type="paragraph" w:customStyle="1" w:styleId="446">
    <w:name w:val="Normal_4"/>
    <w:qFormat/>
    <w:uiPriority w:val="0"/>
    <w:pPr>
      <w:widowControl w:val="0"/>
      <w:jc w:val="both"/>
    </w:pPr>
    <w:rPr>
      <w:rFonts w:ascii="Times New Roman" w:hAnsi="Times New Roman" w:eastAsia="宋体" w:cs="Times New Roman"/>
      <w:lang w:val="en-US" w:eastAsia="zh-CN" w:bidi="ar-SA"/>
    </w:rPr>
  </w:style>
  <w:style w:type="paragraph" w:customStyle="1" w:styleId="447">
    <w:name w:val="正文_3_0"/>
    <w:qFormat/>
    <w:uiPriority w:val="99"/>
    <w:pPr>
      <w:widowControl w:val="0"/>
      <w:jc w:val="both"/>
    </w:pPr>
    <w:rPr>
      <w:rFonts w:ascii="Calibri" w:hAnsi="Calibri" w:eastAsia="宋体" w:cs="Times New Roman"/>
      <w:lang w:val="en-US" w:eastAsia="zh-CN" w:bidi="ar-SA"/>
    </w:rPr>
  </w:style>
  <w:style w:type="paragraph" w:customStyle="1" w:styleId="448">
    <w:name w:val="正文_5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9">
    <w:name w:val="ca-10_0"/>
    <w:qFormat/>
    <w:uiPriority w:val="0"/>
    <w:rPr>
      <w:rFonts w:ascii="Calibri" w:hAnsi="Calibri" w:eastAsia="Times New Roman"/>
      <w:lang w:val="en-US" w:eastAsia="zh-CN" w:bidi="ar-SA"/>
    </w:rPr>
  </w:style>
  <w:style w:type="paragraph" w:customStyle="1" w:styleId="450">
    <w:name w:val="pa-13_0"/>
    <w:basedOn w:val="270"/>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1">
    <w:name w:val="ca-2_0"/>
    <w:qFormat/>
    <w:uiPriority w:val="0"/>
    <w:rPr>
      <w:rFonts w:ascii="Calibri" w:hAnsi="Calibri" w:eastAsia="Times New Roman"/>
      <w:lang w:val="en-US" w:eastAsia="zh-CN" w:bidi="ar-SA"/>
    </w:rPr>
  </w:style>
  <w:style w:type="paragraph" w:customStyle="1" w:styleId="452">
    <w:name w:val="pa-15_1"/>
    <w:basedOn w:val="270"/>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3">
    <w:name w:val="apple-converted-space_0"/>
    <w:qFormat/>
    <w:uiPriority w:val="0"/>
    <w:rPr>
      <w:rFonts w:ascii="Calibri" w:hAnsi="Calibri" w:eastAsia="Times New Roman"/>
      <w:lang w:val="en-US" w:eastAsia="zh-CN" w:bidi="ar-SA"/>
    </w:rPr>
  </w:style>
  <w:style w:type="paragraph" w:customStyle="1" w:styleId="454">
    <w:name w:val="pa-16_0"/>
    <w:basedOn w:val="270"/>
    <w:qFormat/>
    <w:uiPriority w:val="0"/>
    <w:pPr>
      <w:widowControl/>
      <w:spacing w:before="100" w:beforeAutospacing="1" w:after="100" w:afterAutospacing="1"/>
      <w:jc w:val="left"/>
    </w:pPr>
    <w:rPr>
      <w:rFonts w:ascii="宋体" w:hAnsi="宋体" w:eastAsia="Times New Roman"/>
      <w:sz w:val="24"/>
      <w:szCs w:val="24"/>
    </w:rPr>
  </w:style>
  <w:style w:type="paragraph" w:customStyle="1" w:styleId="455">
    <w:name w:val="xl77"/>
    <w:basedOn w:val="1"/>
    <w:qFormat/>
    <w:uiPriority w:val="0"/>
    <w:pPr>
      <w:widowControl/>
      <w:pBdr>
        <w:top w:val="single" w:color="000000" w:sz="8"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6">
    <w:name w:val="xl78"/>
    <w:basedOn w:val="1"/>
    <w:qFormat/>
    <w:uiPriority w:val="0"/>
    <w:pPr>
      <w:widowControl/>
      <w:pBdr>
        <w:left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7">
    <w:name w:val="xl79"/>
    <w:basedOn w:val="1"/>
    <w:qFormat/>
    <w:uiPriority w:val="0"/>
    <w:pPr>
      <w:widowControl/>
      <w:pBdr>
        <w:bottom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8">
    <w:name w:val="xl80"/>
    <w:basedOn w:val="1"/>
    <w:qFormat/>
    <w:uiPriority w:val="0"/>
    <w:pPr>
      <w:widowControl/>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59">
    <w:name w:val="xl81"/>
    <w:basedOn w:val="1"/>
    <w:qFormat/>
    <w:uiPriority w:val="0"/>
    <w:pPr>
      <w:widowControl/>
      <w:spacing w:before="100" w:beforeAutospacing="1" w:after="100" w:afterAutospacing="1"/>
      <w:textAlignment w:val="center"/>
    </w:pPr>
    <w:rPr>
      <w:rFonts w:ascii="宋体" w:hAnsi="宋体" w:eastAsia="宋体" w:cs="宋体"/>
      <w:sz w:val="24"/>
      <w:szCs w:val="24"/>
      <w:lang w:eastAsia="zh-CN"/>
    </w:rPr>
  </w:style>
  <w:style w:type="paragraph" w:customStyle="1" w:styleId="460">
    <w:name w:val="xl82"/>
    <w:basedOn w:val="1"/>
    <w:qFormat/>
    <w:uiPriority w:val="0"/>
    <w:pPr>
      <w:widowControl/>
      <w:pBdr>
        <w:top w:val="single" w:color="000000" w:sz="4" w:space="0"/>
        <w:left w:val="single" w:color="000000" w:sz="8"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1">
    <w:name w:val="xl8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2">
    <w:name w:val="xl84"/>
    <w:basedOn w:val="1"/>
    <w:qFormat/>
    <w:uiPriority w:val="0"/>
    <w:pPr>
      <w:widowControl/>
      <w:pBdr>
        <w:top w:val="single" w:color="000000" w:sz="4" w:space="0"/>
        <w:left w:val="single" w:color="000000" w:sz="4" w:space="0"/>
        <w:right w:val="single" w:color="000000" w:sz="4" w:space="0"/>
      </w:pBdr>
      <w:spacing w:before="100" w:beforeAutospacing="1" w:after="100" w:afterAutospacing="1"/>
      <w:textAlignment w:val="center"/>
    </w:pPr>
    <w:rPr>
      <w:rFonts w:ascii="宋体" w:hAnsi="宋体" w:eastAsia="宋体" w:cs="宋体"/>
      <w:sz w:val="24"/>
      <w:szCs w:val="24"/>
      <w:lang w:eastAsia="zh-CN"/>
    </w:rPr>
  </w:style>
  <w:style w:type="paragraph" w:customStyle="1" w:styleId="463">
    <w:name w:val="xl85"/>
    <w:basedOn w:val="1"/>
    <w:qFormat/>
    <w:uiPriority w:val="0"/>
    <w:pPr>
      <w:widowControl/>
      <w:pBdr>
        <w:top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4">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8">
    <w:name w:val="xl90"/>
    <w:basedOn w:val="1"/>
    <w:qFormat/>
    <w:uiPriority w:val="0"/>
    <w:pPr>
      <w:widowControl/>
      <w:pBdr>
        <w:top w:val="single" w:color="000000" w:sz="4" w:space="0"/>
        <w:left w:val="single" w:color="000000" w:sz="4" w:space="0"/>
        <w:bottom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9">
    <w:name w:val="xl91"/>
    <w:basedOn w:val="1"/>
    <w:qFormat/>
    <w:uiPriority w:val="0"/>
    <w:pPr>
      <w:widowControl/>
      <w:pBdr>
        <w:top w:val="single" w:color="000000" w:sz="4" w:space="0"/>
        <w:bottom w:val="single" w:color="auto"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0">
    <w:name w:val="xl9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1">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2">
    <w:name w:val="xl94"/>
    <w:basedOn w:val="1"/>
    <w:qFormat/>
    <w:uiPriority w:val="0"/>
    <w:pPr>
      <w:widowControl/>
      <w:pBdr>
        <w:top w:val="single" w:color="000000" w:sz="8"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3">
    <w:name w:val="xl95"/>
    <w:basedOn w:val="1"/>
    <w:qFormat/>
    <w:uiPriority w:val="0"/>
    <w:pPr>
      <w:widowControl/>
      <w:pBdr>
        <w:top w:val="single" w:color="000000" w:sz="8"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4">
    <w:name w:val="xl96"/>
    <w:basedOn w:val="1"/>
    <w:qFormat/>
    <w:uiPriority w:val="0"/>
    <w:pPr>
      <w:widowControl/>
      <w:pBdr>
        <w:top w:val="single" w:color="000000" w:sz="4" w:space="0"/>
        <w:left w:val="single" w:color="000000" w:sz="8"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5">
    <w:name w:val="xl97"/>
    <w:basedOn w:val="1"/>
    <w:qFormat/>
    <w:uiPriority w:val="0"/>
    <w:pPr>
      <w:widowControl/>
      <w:pBdr>
        <w:top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6">
    <w:name w:val="xl98"/>
    <w:basedOn w:val="1"/>
    <w:qFormat/>
    <w:uiPriority w:val="0"/>
    <w:pPr>
      <w:widowControl/>
      <w:pBdr>
        <w:top w:val="single" w:color="000000" w:sz="8"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77">
    <w:name w:val="xl99"/>
    <w:basedOn w:val="1"/>
    <w:qFormat/>
    <w:uiPriority w:val="0"/>
    <w:pPr>
      <w:widowControl/>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78">
    <w:name w:val="xl100"/>
    <w:basedOn w:val="1"/>
    <w:qFormat/>
    <w:uiPriority w:val="0"/>
    <w:pPr>
      <w:widowControl/>
      <w:pBdr>
        <w:left w:val="single" w:color="000000" w:sz="8"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9">
    <w:name w:val="xl101"/>
    <w:basedOn w:val="1"/>
    <w:qFormat/>
    <w:uiPriority w:val="0"/>
    <w:pPr>
      <w:widowControl/>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80">
    <w:name w:val="xl102"/>
    <w:basedOn w:val="1"/>
    <w:qFormat/>
    <w:uiPriority w:val="0"/>
    <w:pPr>
      <w:widowControl/>
      <w:pBdr>
        <w:right w:val="single" w:color="auto"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81">
    <w:name w:val="xl63"/>
    <w:basedOn w:val="1"/>
    <w:qFormat/>
    <w:uiPriority w:val="0"/>
    <w:pPr>
      <w:widowControl/>
      <w:spacing w:before="100" w:beforeAutospacing="1" w:after="100" w:afterAutospacing="1"/>
    </w:pPr>
    <w:rPr>
      <w:rFonts w:ascii="宋体" w:hAnsi="宋体" w:eastAsia="宋体" w:cs="宋体"/>
      <w:sz w:val="24"/>
      <w:szCs w:val="24"/>
      <w:lang w:eastAsia="zh-CN"/>
    </w:rPr>
  </w:style>
  <w:style w:type="paragraph" w:customStyle="1" w:styleId="482">
    <w:name w:val="xl64"/>
    <w:basedOn w:val="1"/>
    <w:qFormat/>
    <w:uiPriority w:val="0"/>
    <w:pPr>
      <w:widowControl/>
      <w:spacing w:before="100" w:beforeAutospacing="1" w:after="100" w:afterAutospacing="1"/>
      <w:jc w:val="center"/>
    </w:pPr>
    <w:rPr>
      <w:rFonts w:ascii="宋体" w:hAnsi="宋体" w:eastAsia="宋体" w:cs="宋体"/>
      <w:sz w:val="24"/>
      <w:szCs w:val="24"/>
      <w:lang w:eastAsia="zh-CN"/>
    </w:rPr>
  </w:style>
  <w:style w:type="paragraph" w:customStyle="1" w:styleId="483">
    <w:name w:val="正文样式"/>
    <w:basedOn w:val="1"/>
    <w:qFormat/>
    <w:uiPriority w:val="0"/>
    <w:pPr>
      <w:spacing w:line="360" w:lineRule="auto"/>
      <w:ind w:firstLine="560"/>
      <w:jc w:val="both"/>
    </w:pPr>
    <w:rPr>
      <w:rFonts w:ascii="仿宋_GB2312" w:hAnsi="仿宋_GB2312" w:eastAsia="仿宋_GB2312" w:cs="仿宋_GB2312"/>
      <w:sz w:val="28"/>
      <w:szCs w:val="28"/>
      <w:lang w:val="en-US" w:bidi="ar-SA"/>
    </w:rPr>
  </w:style>
  <w:style w:type="paragraph" w:customStyle="1" w:styleId="484">
    <w:name w:val="五号表格正文"/>
    <w:basedOn w:val="485"/>
    <w:qFormat/>
    <w:uiPriority w:val="0"/>
    <w:pPr>
      <w:spacing w:line="240" w:lineRule="auto"/>
      <w:ind w:firstLine="0"/>
    </w:pPr>
    <w:rPr>
      <w:sz w:val="21"/>
    </w:rPr>
  </w:style>
  <w:style w:type="paragraph" w:customStyle="1" w:styleId="485">
    <w:name w:val="正文小四缩进"/>
    <w:basedOn w:val="1"/>
    <w:qFormat/>
    <w:uiPriority w:val="0"/>
    <w:pPr>
      <w:spacing w:after="0" w:line="300" w:lineRule="auto"/>
      <w:ind w:firstLine="200" w:firstLineChars="200"/>
      <w:jc w:val="left"/>
    </w:pPr>
    <w:rPr>
      <w:sz w:val="24"/>
    </w:rPr>
  </w:style>
  <w:style w:type="paragraph" w:customStyle="1" w:styleId="486">
    <w:name w:val="(标书)正文 Char Char"/>
    <w:basedOn w:val="1"/>
    <w:qFormat/>
    <w:uiPriority w:val="0"/>
    <w:pPr>
      <w:ind w:firstLine="200" w:firstLineChars="200"/>
    </w:pPr>
    <w:rPr>
      <w:rFonts w:ascii="宋体" w:hAnsi="宋体" w:cs="Times New Roman"/>
      <w:spacing w:val="10"/>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WI</Company>
  <Pages>75</Pages>
  <Words>16395</Words>
  <Characters>17501</Characters>
  <Lines>222</Lines>
  <Paragraphs>62</Paragraphs>
  <TotalTime>1</TotalTime>
  <ScaleCrop>false</ScaleCrop>
  <LinksUpToDate>false</LinksUpToDate>
  <CharactersWithSpaces>17695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2024-03-28T06:58:00Z</dcterms:created>
  <dc:creator>招标代</dc:creator>
  <cp:lastModifiedBy>kayie~</cp:lastModifiedBy>
  <cp:lastPrinted>2025-05-19T08:45:00Z</cp:lastPrinted>
  <dcterms:modified xsi:type="dcterms:W3CDTF">2026-05-21T08:49:11Z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7760D839FF4A47348C84E313158F0665_13</vt:lpwstr>
  </property>
  <property fmtid="{D5CDD505-2E9C-101B-9397-08002B2CF9AE}" pid="4" name="KSOTemplateDocerSaveRecord">
    <vt:lpwstr>eyJoZGlkIjoiNmQ4MzQyZWVhMThiODFkZmVlZmEyYWI0MWFkN2M5MGEiLCJ1c2VySWQiOiIzMDI0MzIyNDMifQ==</vt:lpwstr>
  </property>
</Properties>
</file>