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b/>
          <w:color w:val="auto"/>
          <w:sz w:val="72"/>
          <w:highlight w:val="none"/>
        </w:rPr>
      </w:pPr>
      <w:r>
        <w:rPr>
          <w:rFonts w:asciiTheme="minorEastAsia" w:hAnsiTheme="minorEastAsia" w:eastAsiaTheme="minorEastAsia"/>
          <w:b/>
          <w:color w:val="auto"/>
          <w:sz w:val="72"/>
          <w:highlight w:val="none"/>
        </w:rPr>
      </w:r>
      <w:r/>
    </w:p>
    <w:p>
      <w:pPr>
        <w:rPr>
          <w:rFonts w:asciiTheme="minorEastAsia" w:hAnsiTheme="minorEastAsia" w:eastAsiaTheme="minorEastAsia"/>
          <w:b/>
          <w:color w:val="auto"/>
          <w:sz w:val="72"/>
          <w:highlight w:val="none"/>
        </w:rPr>
      </w:pPr>
      <w:r>
        <w:rPr>
          <w:rFonts w:asciiTheme="minorEastAsia" w:hAnsiTheme="minorEastAsia" w:eastAsiaTheme="minorEastAsia"/>
          <w:b/>
          <w:color w:val="auto"/>
          <w:sz w:val="72"/>
          <w:highlight w:val="none"/>
        </w:rPr>
      </w:r>
      <w:r/>
    </w:p>
    <w:p>
      <w:pPr>
        <w:pStyle w:val="934"/>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hint="eastAsia" w:asciiTheme="minorEastAsia" w:hAnsiTheme="minorEastAsia" w:eastAsiaTheme="minorEastAsia"/>
          <w:b/>
          <w:color w:val="auto"/>
          <w:sz w:val="84"/>
          <w:szCs w:val="84"/>
          <w:highlight w:val="none"/>
        </w:rPr>
      </w:pPr>
      <w:r>
        <w:rPr>
          <w:rFonts w:hint="eastAsia" w:asciiTheme="minorEastAsia" w:hAnsiTheme="minorEastAsia" w:eastAsiaTheme="minorEastAsia"/>
          <w:b/>
          <w:color w:val="auto"/>
          <w:sz w:val="84"/>
          <w:szCs w:val="84"/>
          <w:highlight w:val="none"/>
        </w:rPr>
        <w:t xml:space="preserve">苏州市政府采购</w:t>
      </w:r>
      <w:r/>
    </w:p>
    <w:p>
      <w:pPr>
        <w:jc w:val="center"/>
        <w:rPr>
          <w:rFonts w:asciiTheme="minorEastAsia" w:hAnsiTheme="minorEastAsia" w:eastAsiaTheme="minorEastAsia"/>
          <w:b/>
          <w:color w:val="auto"/>
          <w:sz w:val="84"/>
          <w:szCs w:val="84"/>
          <w:highlight w:val="none"/>
        </w:rPr>
      </w:pPr>
      <w:r>
        <w:rPr>
          <w:rFonts w:hint="eastAsia" w:asciiTheme="minorEastAsia" w:hAnsiTheme="minorEastAsia" w:eastAsiaTheme="minorEastAsia"/>
          <w:b/>
          <w:color w:val="auto"/>
          <w:sz w:val="84"/>
          <w:szCs w:val="84"/>
          <w:highlight w:val="none"/>
        </w:rPr>
        <w:t xml:space="preserve">竞争性磋商采购文件</w:t>
      </w:r>
      <w:r/>
    </w:p>
    <w:p>
      <w:pPr>
        <w:rPr>
          <w:rFonts w:asciiTheme="minorEastAsia" w:hAnsiTheme="minorEastAsia" w:eastAsiaTheme="minorEastAsia"/>
          <w:b/>
          <w:color w:val="auto"/>
          <w:sz w:val="48"/>
          <w:highlight w:val="none"/>
        </w:rPr>
      </w:pPr>
      <w:r>
        <w:rPr>
          <w:rFonts w:asciiTheme="minorEastAsia" w:hAnsiTheme="minorEastAsia" w:eastAsiaTheme="minorEastAsia"/>
          <w:b/>
          <w:color w:val="auto"/>
          <w:sz w:val="48"/>
          <w:highlight w:val="none"/>
        </w:rPr>
      </w:r>
      <w:r/>
    </w:p>
    <w:p>
      <w:pPr>
        <w:rPr>
          <w:rFonts w:asciiTheme="minorEastAsia" w:hAnsiTheme="minorEastAsia" w:eastAsiaTheme="minorEastAsia"/>
          <w:b/>
          <w:color w:val="auto"/>
          <w:sz w:val="48"/>
          <w:highlight w:val="none"/>
        </w:rPr>
      </w:pPr>
      <w:r>
        <w:rPr>
          <w:rFonts w:asciiTheme="minorEastAsia" w:hAnsiTheme="minorEastAsia" w:eastAsiaTheme="minorEastAsia"/>
          <w:b/>
          <w:color w:val="auto"/>
          <w:sz w:val="48"/>
          <w:highlight w:val="none"/>
        </w:rPr>
      </w:r>
      <w:r/>
    </w:p>
    <w:p>
      <w:pPr>
        <w:pStyle w:val="934"/>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34"/>
        <w:ind w:firstLine="0"/>
        <w:rPr>
          <w:rFonts w:asciiTheme="minorEastAsia" w:hAnsiTheme="minorEastAsia" w:eastAsiaTheme="minorEastAsia"/>
          <w:b/>
          <w:color w:val="auto"/>
          <w:sz w:val="48"/>
          <w:highlight w:val="none"/>
        </w:rPr>
      </w:pPr>
      <w:r>
        <w:rPr>
          <w:rFonts w:asciiTheme="minorEastAsia" w:hAnsiTheme="minorEastAsia" w:eastAsiaTheme="minorEastAsia"/>
          <w:b/>
          <w:color w:val="auto"/>
          <w:sz w:val="48"/>
          <w:highlight w:val="none"/>
        </w:rPr>
      </w:r>
      <w:r/>
    </w:p>
    <w:p>
      <w:pPr>
        <w:rPr>
          <w:color w:val="auto"/>
          <w:highlight w:val="none"/>
        </w:rPr>
      </w:pPr>
      <w:r>
        <w:rPr>
          <w:color w:val="auto"/>
          <w:highlight w:val="none"/>
        </w:rPr>
      </w:r>
      <w:r/>
    </w:p>
    <w:p>
      <w:pPr>
        <w:ind w:firstLine="1928"/>
        <w:rPr>
          <w:rFonts w:hint="eastAsia" w:asciiTheme="minorEastAsia" w:hAnsiTheme="minorEastAsia" w:eastAsiaTheme="minorEastAsia"/>
          <w:b/>
          <w:color w:val="auto"/>
          <w:sz w:val="32"/>
          <w:highlight w:val="none"/>
          <w:lang w:eastAsia="zh-CN"/>
        </w:rPr>
      </w:pPr>
      <w:r>
        <w:rPr>
          <w:rFonts w:hint="eastAsia" w:asciiTheme="minorEastAsia" w:hAnsiTheme="minorEastAsia" w:eastAsiaTheme="minorEastAsia"/>
          <w:b/>
          <w:color w:val="auto"/>
          <w:sz w:val="32"/>
          <w:highlight w:val="none"/>
        </w:rPr>
        <w:t xml:space="preserve">磋商编号</w:t>
      </w:r>
      <w:r>
        <w:rPr>
          <w:rFonts w:hint="eastAsia" w:asciiTheme="minorEastAsia" w:hAnsiTheme="minorEastAsia" w:eastAsiaTheme="minorEastAsia"/>
          <w:b/>
          <w:bCs/>
          <w:color w:val="auto"/>
          <w:sz w:val="32"/>
          <w:szCs w:val="22"/>
          <w:highlight w:val="none"/>
        </w:rPr>
        <w:t xml:space="preserve">：</w:t>
      </w:r>
      <w:r>
        <w:rPr>
          <w:rFonts w:hint="eastAsia" w:asciiTheme="minorEastAsia" w:hAnsiTheme="minorEastAsia" w:eastAsiaTheme="minorEastAsia"/>
          <w:b/>
          <w:bCs/>
          <w:color w:val="auto"/>
          <w:sz w:val="32"/>
          <w:szCs w:val="22"/>
          <w:highlight w:val="none"/>
          <w:lang w:eastAsia="zh-CN"/>
        </w:rPr>
        <w:t xml:space="preserve">JSZC-320505-SZHQ-C2026-0010</w:t>
      </w:r>
      <w:r/>
    </w:p>
    <w:p>
      <w:pPr>
        <w:numPr>
          <w:ilvl w:val="0"/>
          <w:numId w:val="2"/>
        </w:numPr>
        <w:ind w:left="0"/>
        <w:spacing w:line="270" w:lineRule="atLeast"/>
        <w:widowControl/>
        <w:rPr>
          <w:rFonts w:asciiTheme="minorEastAsia" w:hAnsiTheme="minorEastAsia" w:eastAsiaTheme="minorEastAsia"/>
          <w:b/>
          <w:bCs/>
          <w:color w:val="auto"/>
          <w:sz w:val="32"/>
          <w:highlight w:val="none"/>
        </w:rPr>
      </w:pPr>
      <w:r>
        <w:rPr>
          <w:rFonts w:hint="eastAsia" w:asciiTheme="minorEastAsia" w:hAnsiTheme="minorEastAsia" w:eastAsiaTheme="minorEastAsia"/>
          <w:b/>
          <w:color w:val="auto"/>
          <w:sz w:val="32"/>
          <w:highlight w:val="none"/>
        </w:rPr>
        <w:t xml:space="preserve">            采购单位：</w:t>
      </w:r>
      <w:r>
        <w:rPr>
          <w:rFonts w:hint="eastAsia" w:asciiTheme="minorEastAsia" w:hAnsiTheme="minorEastAsia" w:eastAsiaTheme="minorEastAsia"/>
          <w:b/>
          <w:color w:val="auto"/>
          <w:sz w:val="32"/>
          <w:highlight w:val="none"/>
          <w:lang w:eastAsia="zh-CN"/>
        </w:rPr>
        <w:t xml:space="preserve">苏州高新区狮山商务创新区管理办公室</w:t>
      </w:r>
      <w:r>
        <w:rPr>
          <w:rFonts w:hint="eastAsia" w:asciiTheme="minorEastAsia" w:hAnsiTheme="minorEastAsia" w:eastAsiaTheme="minorEastAsia"/>
          <w:b/>
          <w:color w:val="auto"/>
          <w:sz w:val="32"/>
          <w:szCs w:val="22"/>
          <w:highlight w:val="none"/>
        </w:rPr>
        <w:t xml:space="preserve">               </w:t>
      </w:r>
      <w:r/>
    </w:p>
    <w:p>
      <w:pPr>
        <w:ind w:left="3534" w:hanging="1606"/>
        <w:spacing w:line="360" w:lineRule="auto"/>
        <w:rPr>
          <w:rFonts w:hint="eastAsia" w:asciiTheme="minorEastAsia" w:hAnsiTheme="minorEastAsia" w:eastAsiaTheme="minorEastAsia"/>
          <w:b/>
          <w:color w:val="auto"/>
          <w:sz w:val="32"/>
          <w:szCs w:val="22"/>
          <w:highlight w:val="none"/>
          <w:lang w:eastAsia="zh-CN"/>
        </w:rPr>
      </w:pPr>
      <w:r>
        <w:rPr>
          <w:rFonts w:hint="eastAsia" w:asciiTheme="minorEastAsia" w:hAnsiTheme="minorEastAsia" w:eastAsiaTheme="minorEastAsia"/>
          <w:b/>
          <w:color w:val="auto"/>
          <w:sz w:val="32"/>
          <w:highlight w:val="none"/>
        </w:rPr>
        <w:t xml:space="preserve">磋商内容：</w:t>
      </w:r>
      <w:r>
        <w:rPr>
          <w:rFonts w:hint="eastAsia" w:asciiTheme="minorEastAsia" w:hAnsiTheme="minorEastAsia" w:eastAsiaTheme="minorEastAsia"/>
          <w:b/>
          <w:color w:val="auto"/>
          <w:sz w:val="32"/>
          <w:highlight w:val="none"/>
          <w:lang w:eastAsia="zh-CN"/>
        </w:rPr>
        <w:t xml:space="preserve">狮山商务创新区所属小学、幼儿园、社区财务第三方代理记账服务</w:t>
      </w:r>
      <w:r/>
    </w:p>
    <w:p>
      <w:pPr>
        <w:ind w:firstLine="1928"/>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采购类别：服务类</w:t>
      </w:r>
      <w:r/>
    </w:p>
    <w:p>
      <w:pPr>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pStyle w:val="934"/>
        <w:ind w:firstLine="560"/>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rPr>
          <w:color w:val="auto"/>
          <w:highlight w:val="none"/>
        </w:rPr>
      </w:pPr>
      <w:r>
        <w:rPr>
          <w:color w:val="auto"/>
          <w:highlight w:val="none"/>
        </w:rPr>
      </w:r>
      <w:r/>
    </w:p>
    <w:p>
      <w:pPr>
        <w:pStyle w:val="961"/>
        <w:ind w:left="0" w:firstLine="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r>
      <w:r/>
    </w:p>
    <w:p>
      <w:pPr>
        <w:jc w:val="cente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苏州海企国际工程咨询有限公司</w:t>
      </w:r>
      <w:r/>
    </w:p>
    <w:p>
      <w:pPr>
        <w:jc w:val="cente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2026年</w:t>
      </w:r>
      <w:r>
        <w:rPr>
          <w:rFonts w:hint="eastAsia" w:asciiTheme="minorEastAsia" w:hAnsiTheme="minorEastAsia" w:eastAsiaTheme="minorEastAsia"/>
          <w:b/>
          <w:color w:val="auto"/>
          <w:sz w:val="32"/>
          <w:highlight w:val="none"/>
          <w:lang w:val="en-US" w:eastAsia="zh-CN"/>
        </w:rPr>
        <w:t xml:space="preserve">5</w:t>
      </w:r>
      <w:r>
        <w:rPr>
          <w:rFonts w:hint="eastAsia" w:asciiTheme="minorEastAsia" w:hAnsiTheme="minorEastAsia" w:eastAsiaTheme="minorEastAsia"/>
          <w:b/>
          <w:color w:val="auto"/>
          <w:sz w:val="32"/>
          <w:highlight w:val="none"/>
        </w:rPr>
        <w:t xml:space="preserve">月</w:t>
      </w:r>
      <w:r/>
    </w:p>
    <w:p>
      <w:pPr>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一、竞争性磋商公告</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38"/>
      </w:tblGrid>
      <w:tr>
        <w:trPr/>
        <w:tc>
          <w:tcPr>
            <w:tcW w:w="5000" w:type="pct"/>
            <w:textDirection w:val="lrTb"/>
            <w:noWrap w:val="false"/>
          </w:tcPr>
          <w:p>
            <w:pPr>
              <w:ind w:firstLine="480"/>
              <w:spacing w:line="360" w:lineRule="auto"/>
              <w:rPr>
                <w:rFonts w:ascii="宋体" w:hAnsi="宋体"/>
                <w:color w:val="auto"/>
                <w:sz w:val="24"/>
                <w:szCs w:val="24"/>
                <w:highlight w:val="none"/>
              </w:rPr>
            </w:pPr>
            <w:r/>
            <w:bookmarkStart w:id="0" w:name="_Hlk512243531"/>
            <w:r>
              <w:rPr>
                <w:rFonts w:hint="eastAsia" w:ascii="宋体" w:hAnsi="宋体"/>
                <w:color w:val="auto"/>
                <w:sz w:val="24"/>
                <w:szCs w:val="24"/>
                <w:highlight w:val="none"/>
              </w:rPr>
              <w:t xml:space="preserve">项目概况</w:t>
            </w:r>
            <w:r/>
          </w:p>
          <w:p>
            <w:pPr>
              <w:ind w:firstLine="480"/>
              <w:spacing w:line="360" w:lineRule="auto"/>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u w:val="single"/>
                <w:lang w:eastAsia="zh-CN"/>
              </w:rPr>
              <w:t xml:space="preserve">狮山商务创新区所属小学、幼儿园、社区财务第三方代理记账服务</w:t>
            </w:r>
            <w:r>
              <w:rPr>
                <w:rFonts w:hint="eastAsia" w:ascii="宋体" w:hAnsi="宋体"/>
                <w:color w:val="auto"/>
                <w:sz w:val="24"/>
                <w:szCs w:val="24"/>
                <w:highlight w:val="none"/>
              </w:rPr>
              <w:t xml:space="preserve">招标项目的潜在供应商应在</w:t>
            </w:r>
            <w:r>
              <w:rPr>
                <w:rFonts w:hint="eastAsia" w:ascii="宋体" w:hAnsi="宋体"/>
                <w:color w:val="auto"/>
                <w:sz w:val="24"/>
                <w:szCs w:val="24"/>
                <w:highlight w:val="none"/>
                <w:u w:val="single"/>
              </w:rPr>
              <w:t xml:space="preserve">“苏采云系统”</w:t>
            </w:r>
            <w:r>
              <w:rPr>
                <w:rFonts w:hint="eastAsia" w:ascii="宋体" w:hAnsi="宋体" w:cs="宋体"/>
                <w:color w:val="auto"/>
                <w:sz w:val="24"/>
                <w:szCs w:val="24"/>
                <w:highlight w:val="none"/>
              </w:rPr>
              <w:t xml:space="preserve">获取采购文件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val="en-US" w:eastAsia="zh-CN"/>
              </w:rPr>
              <w:t xml:space="preserve">5</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25</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时30分</w:t>
            </w:r>
            <w:r>
              <w:rPr>
                <w:rFonts w:hint="eastAsia" w:ascii="宋体" w:hAnsi="宋体"/>
                <w:color w:val="auto"/>
                <w:sz w:val="24"/>
                <w:szCs w:val="24"/>
                <w:highlight w:val="none"/>
              </w:rPr>
              <w:t xml:space="preserve">（北京时间）前递交响应文件。</w:t>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JSZC-320505-SZHQ-C2026-0010</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cs="宋体" w:asciiTheme="minorEastAsia" w:hAnsiTheme="minorEastAsia" w:eastAsiaTheme="minorEastAsia"/>
          <w:color w:val="auto"/>
          <w:sz w:val="24"/>
          <w:szCs w:val="24"/>
          <w:highlight w:val="none"/>
          <w:lang w:eastAsia="zh-CN"/>
        </w:rPr>
        <w:t xml:space="preserve">狮山商务创新区所属小学、幼儿园、社区财务第三方代理记账服务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eastAsia="zh-CN"/>
        </w:rPr>
        <w:t xml:space="preserve">3552000.00</w:t>
      </w:r>
      <w:r>
        <w:rPr>
          <w:rFonts w:hint="eastAsia" w:ascii="宋体" w:hAnsi="宋体" w:cs="宋体"/>
          <w:color w:val="auto"/>
          <w:sz w:val="24"/>
          <w:szCs w:val="24"/>
          <w:highlight w:val="none"/>
        </w:rPr>
        <w:t xml:space="preserve">元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355</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000.00</w:t>
      </w:r>
      <w:r>
        <w:rPr>
          <w:rFonts w:hint="eastAsia" w:ascii="宋体" w:hAnsi="宋体" w:cs="宋体"/>
          <w:color w:val="auto"/>
          <w:sz w:val="24"/>
          <w:szCs w:val="24"/>
          <w:highlight w:val="none"/>
        </w:rPr>
        <w:t xml:space="preserve">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p>
    <w:p>
      <w:pPr>
        <w:ind w:firstLine="480"/>
        <w:spacing w:line="360" w:lineRule="auto"/>
        <w:rPr>
          <w:rFonts w:ascii="宋体" w:hAnsi="宋体" w:cs="宋体"/>
          <w:color w:val="auto"/>
          <w:sz w:val="24"/>
          <w:szCs w:val="24"/>
          <w:highlight w:val="none"/>
          <w:shd w:val="clear" w:color="auto" w:fill="ffffff"/>
        </w:rPr>
      </w:pPr>
      <w:r>
        <w:rPr>
          <w:rFonts w:hint="eastAsia" w:eastAsia="宋体"/>
          <w:color w:val="auto"/>
          <w:sz w:val="24"/>
          <w:highlight w:val="none"/>
          <w:lang w:val="zh-CN"/>
        </w:rPr>
        <w:t xml:space="preserve">代理服务小学、幼儿园、</w:t>
      </w:r>
      <w:r>
        <w:rPr>
          <w:rFonts w:hint="eastAsia" w:eastAsia="宋体"/>
          <w:color w:val="auto"/>
          <w:sz w:val="24"/>
          <w:highlight w:val="none"/>
        </w:rPr>
        <w:t xml:space="preserve">社区</w:t>
      </w:r>
      <w:r>
        <w:rPr>
          <w:rFonts w:hint="eastAsia" w:eastAsia="宋体"/>
          <w:color w:val="auto"/>
          <w:sz w:val="24"/>
          <w:highlight w:val="none"/>
          <w:lang w:val="zh-CN"/>
        </w:rPr>
        <w:t xml:space="preserve">的财务会计账目、资料档案、各类报表等财务核算业务和财务管理业务。具体内容包括：审核支付申请单及发票合同等原始凭证；填报年初预算、调整预算、决算报告、教育年报、资产年报等；填报资产月报、统计月报及无债务申报等；填制分月用款计划表、固定资产明细表及无形资产明细表及每月摊销核算；配合学校填制教育部门的各类统计表格； 配合</w:t>
      </w:r>
      <w:r>
        <w:rPr>
          <w:rFonts w:hint="eastAsia" w:eastAsia="宋体"/>
          <w:color w:val="auto"/>
          <w:sz w:val="24"/>
          <w:highlight w:val="none"/>
        </w:rPr>
        <w:t xml:space="preserve">小学、</w:t>
      </w:r>
      <w:r>
        <w:rPr>
          <w:rFonts w:hint="eastAsia" w:eastAsia="宋体"/>
          <w:color w:val="auto"/>
          <w:sz w:val="24"/>
          <w:highlight w:val="none"/>
          <w:lang w:val="zh-CN"/>
        </w:rPr>
        <w:t xml:space="preserve">幼儿园、</w:t>
      </w:r>
      <w:r>
        <w:rPr>
          <w:rFonts w:hint="eastAsia" w:eastAsia="宋体"/>
          <w:color w:val="auto"/>
          <w:sz w:val="24"/>
          <w:highlight w:val="none"/>
        </w:rPr>
        <w:t xml:space="preserve">社区</w:t>
      </w:r>
      <w:r>
        <w:rPr>
          <w:rFonts w:hint="eastAsia" w:eastAsia="宋体"/>
          <w:color w:val="auto"/>
          <w:sz w:val="24"/>
          <w:highlight w:val="none"/>
          <w:lang w:val="zh-CN"/>
        </w:rPr>
        <w:t xml:space="preserve">安排的其他零星事项，包括但不限于审计、行政事业单位内控编报等。凡</w:t>
      </w:r>
      <w:r>
        <w:rPr>
          <w:rFonts w:hint="eastAsia" w:eastAsia="宋体"/>
          <w:color w:val="auto"/>
          <w:sz w:val="24"/>
          <w:highlight w:val="none"/>
        </w:rPr>
        <w:t xml:space="preserve">小学、</w:t>
      </w:r>
      <w:r>
        <w:rPr>
          <w:rFonts w:hint="eastAsia" w:eastAsia="宋体"/>
          <w:color w:val="auto"/>
          <w:sz w:val="24"/>
          <w:highlight w:val="none"/>
          <w:lang w:val="zh-CN"/>
        </w:rPr>
        <w:t xml:space="preserve">幼儿园、</w:t>
      </w:r>
      <w:r>
        <w:rPr>
          <w:rFonts w:hint="eastAsia" w:eastAsia="宋体"/>
          <w:color w:val="auto"/>
          <w:sz w:val="24"/>
          <w:highlight w:val="none"/>
        </w:rPr>
        <w:t xml:space="preserve">社区</w:t>
      </w:r>
      <w:r>
        <w:rPr>
          <w:rFonts w:hint="eastAsia" w:eastAsia="宋体"/>
          <w:color w:val="auto"/>
          <w:sz w:val="24"/>
          <w:highlight w:val="none"/>
          <w:lang w:val="zh-CN"/>
        </w:rPr>
        <w:t xml:space="preserve">发生的各项经济业务的会计核算，均由中介代理机构统一代理</w:t>
      </w:r>
      <w:r>
        <w:rPr>
          <w:rFonts w:hint="eastAsia" w:ascii="宋体" w:hAnsi="宋体" w:cs="宋体"/>
          <w:color w:val="auto"/>
          <w:sz w:val="24"/>
          <w:szCs w:val="24"/>
          <w:highlight w:val="none"/>
          <w:shd w:val="clear" w:color="auto" w:fill="ffffff"/>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eastAsia="zh-CN"/>
        </w:rPr>
        <w:t xml:space="preserve">3年，具体开始时间以甲方通知为准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（4）具有依法缴纳税收和社会保障资金的良好记录；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（5）参加政府采购活动近三年内，在经营活动中没有重大违法记录；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（7）法律、行政法规规定的其他条件；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u w:val="single"/>
        </w:rPr>
        <w:t xml:space="preserve">专门面向中小企业采购</w:t>
      </w:r>
      <w:r>
        <w:rPr>
          <w:rFonts w:hint="eastAsia" w:ascii="宋体" w:hAnsi="宋体" w:cs="宋体"/>
          <w:b/>
          <w:bCs/>
          <w:color w:val="auto"/>
          <w:sz w:val="24"/>
          <w:szCs w:val="24"/>
          <w:highlight w:val="none"/>
        </w:rPr>
        <w:t xml:space="preserve">，所属行业为</w:t>
      </w:r>
      <w:r>
        <w:rPr>
          <w:rFonts w:hint="eastAsia" w:ascii="宋体" w:hAnsi="宋体" w:cs="宋体"/>
          <w:b/>
          <w:bCs/>
          <w:color w:val="auto"/>
          <w:sz w:val="24"/>
          <w:szCs w:val="24"/>
          <w:highlight w:val="none"/>
          <w:u w:val="single"/>
        </w:rPr>
        <w:t xml:space="preserve">其他</w:t>
      </w:r>
      <w:r>
        <w:rPr>
          <w:rFonts w:hint="eastAsia" w:ascii="宋体" w:hAnsi="宋体" w:cs="宋体"/>
          <w:b/>
          <w:bCs/>
          <w:color w:val="auto"/>
          <w:sz w:val="24"/>
          <w:szCs w:val="24"/>
          <w:highlight w:val="none"/>
          <w:u w:val="single"/>
          <w:lang w:val="en-US" w:eastAsia="zh-CN"/>
        </w:rPr>
        <w:t xml:space="preserve">未</w:t>
      </w:r>
      <w:r>
        <w:rPr>
          <w:rFonts w:hint="eastAsia" w:ascii="宋体" w:hAnsi="宋体" w:cs="宋体"/>
          <w:b/>
          <w:bCs/>
          <w:color w:val="auto"/>
          <w:sz w:val="24"/>
          <w:szCs w:val="24"/>
          <w:highlight w:val="none"/>
          <w:u w:val="single"/>
        </w:rPr>
        <w:t xml:space="preserve">列明行业</w:t>
      </w:r>
      <w:r>
        <w:rPr>
          <w:rFonts w:hint="eastAsia" w:ascii="宋体" w:hAnsi="宋体" w:cs="宋体"/>
          <w:b/>
          <w:bCs/>
          <w:color w:val="auto"/>
          <w:sz w:val="24"/>
          <w:szCs w:val="24"/>
          <w:highlight w:val="none"/>
        </w:rPr>
        <w:t xml:space="preserve">，供应商应为中小微企业、监狱企业、残疾人福利性单位。</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b/>
          <w:bCs/>
          <w:color w:val="auto"/>
          <w:sz w:val="24"/>
          <w:szCs w:val="24"/>
          <w:highlight w:val="none"/>
        </w:rPr>
        <w:t xml:space="preserve">响应单位须持有有效的会计师事务所执业证书或有效的代理记账许可证书。</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三、获取采购文件：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2.地点：“苏采云”系统（网址：http://jszfcg.jsczt.cn/）</w:t>
      </w:r>
      <w:r/>
    </w:p>
    <w:p>
      <w:pPr>
        <w:ind w:firstLine="480"/>
        <w:spacing w:line="360" w:lineRule="auto"/>
        <w:tabs>
          <w:tab w:val="left" w:pos="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w:t>
      </w:r>
      <w:r>
        <w:rPr>
          <w:rFonts w:ascii="宋体" w:hAnsi="宋体" w:cs="宋体"/>
          <w:color w:val="auto"/>
          <w:sz w:val="24"/>
          <w:highlight w:val="none"/>
        </w:rPr>
        <w:t xml:space="preserve">线上获取，详见其他补充事项</w:t>
      </w:r>
      <w:r/>
    </w:p>
    <w:p>
      <w:pPr>
        <w:ind w:firstLine="480"/>
        <w:spacing w:line="360" w:lineRule="auto"/>
        <w:tabs>
          <w:tab w:val="left" w:pos="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售价：0.00元</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ind w:firstLine="480"/>
        <w:spacing w:line="360" w:lineRule="auto"/>
        <w:tabs>
          <w:tab w:val="left" w:pos="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截止时间</w:t>
      </w:r>
      <w:r>
        <w:rPr>
          <w:rFonts w:hint="eastAsia" w:ascii="宋体" w:hAnsi="宋体" w:cs="宋体"/>
          <w:color w:val="auto"/>
          <w:sz w:val="24"/>
          <w:szCs w:val="24"/>
          <w:highlight w:val="none"/>
        </w:rPr>
        <w:t xml:space="preserve">：</w:t>
      </w:r>
      <w:r>
        <w:rPr>
          <w:rFonts w:ascii="宋体" w:hAnsi="宋体" w:cs="宋体"/>
          <w:color w:val="auto"/>
          <w:sz w:val="24"/>
          <w:highlight w:val="none"/>
        </w:rPr>
        <w:t xml:space="preserve">202</w:t>
      </w:r>
      <w:r>
        <w:rPr>
          <w:rFonts w:hint="eastAsia" w:ascii="宋体" w:hAnsi="宋体" w:cs="宋体"/>
          <w:color w:val="auto"/>
          <w:sz w:val="24"/>
          <w:highlight w:val="none"/>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5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25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:30（北京时间）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highlight w:val="none"/>
        </w:rPr>
        <w:t xml:space="preserve">2026-</w:t>
      </w:r>
      <w:r>
        <w:rPr>
          <w:rFonts w:hint="eastAsia" w:ascii="宋体" w:hAnsi="宋体" w:cs="宋体"/>
          <w:color w:val="auto"/>
          <w:sz w:val="24"/>
          <w:highlight w:val="none"/>
          <w:lang w:val="en-US" w:eastAsia="zh-CN"/>
        </w:rPr>
        <w:t xml:space="preserve"> 5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25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:30</w:t>
      </w:r>
      <w:r>
        <w:rPr>
          <w:rFonts w:hint="eastAsia" w:ascii="宋体" w:hAnsi="宋体" w:cs="宋体"/>
          <w:color w:val="auto"/>
          <w:sz w:val="24"/>
          <w:szCs w:val="24"/>
          <w:highlight w:val="none"/>
        </w:rPr>
        <w:t xml:space="preserve">（北京时间）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numPr>
          <w:ilvl w:val="0"/>
          <w:numId w:val="3"/>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其他补充事宜</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1、线上获取方式：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（2）参与采购活动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rPr>
          <w:rFonts w:hint="eastAsia" w:ascii="宋体" w:hAnsi="宋体" w:cs="宋体"/>
          <w:color w:val="auto"/>
          <w:sz w:val="24"/>
          <w:highlight w:val="none"/>
        </w:rPr>
        <w:t xml:space="preserve">。</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本项目为不见面磋商项目，</w:t>
      </w:r>
      <w:r>
        <w:rPr>
          <w:rFonts w:hint="eastAsia" w:ascii="宋体" w:hAnsi="宋体" w:cs="宋体"/>
          <w:b/>
          <w:color w:val="auto"/>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 xml:space="preserve">。</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请供应商确保电脑、系统及其他设备（视频输入输出设备等）无误，且开启直至项目结束始终保持系统在线状态。</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tabs>
          <w:tab w:val="left" w:pos="0" w:leader="none"/>
        </w:tabs>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7．请贵单位领取本次采购文件后，认真阅读各项内容，进行必要的磋商准备，按文件的要求详细填写和编制响应文件。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8.本次采购的相关信息刊登在苏州市政府采购网、江苏政府采购网、中国政府采购网。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9.政府采购监督管理电话：</w:t>
      </w:r>
      <w:r>
        <w:rPr>
          <w:rFonts w:hint="eastAsia" w:ascii="宋体" w:hAnsi="宋体"/>
          <w:color w:val="auto"/>
          <w:sz w:val="24"/>
          <w:highlight w:val="none"/>
          <w:lang w:val="zh-CN"/>
        </w:rPr>
        <w:t xml:space="preserve">0512-68751335</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八、凡对本次采购提出询问，请按以下方式联系。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 </w:t>
      </w:r>
      <w:r/>
    </w:p>
    <w:p>
      <w:pPr>
        <w:ind w:firstLine="480"/>
        <w:spacing w:line="360" w:lineRule="auto"/>
        <w:tabs>
          <w:tab w:val="left" w:pos="1890" w:leader="none"/>
        </w:tabs>
        <w:rPr>
          <w:rFonts w:eastAsia="宋体"/>
          <w:color w:val="auto"/>
          <w:sz w:val="24"/>
          <w:highlight w:val="none"/>
        </w:rPr>
      </w:pPr>
      <w:r>
        <w:rPr>
          <w:rFonts w:hint="eastAsia" w:eastAsia="宋体"/>
          <w:color w:val="auto"/>
          <w:sz w:val="24"/>
          <w:highlight w:val="none"/>
        </w:rPr>
        <w:t xml:space="preserve">名    称：苏州高新区狮山商务创新区管理办公室</w:t>
      </w:r>
      <w:r/>
    </w:p>
    <w:p>
      <w:pPr>
        <w:ind w:firstLine="480"/>
        <w:spacing w:line="360" w:lineRule="auto"/>
        <w:tabs>
          <w:tab w:val="left" w:pos="1890" w:leader="none"/>
        </w:tabs>
        <w:rPr>
          <w:rFonts w:eastAsia="宋体"/>
          <w:color w:val="auto"/>
          <w:sz w:val="24"/>
          <w:highlight w:val="none"/>
        </w:rPr>
      </w:pPr>
      <w:r>
        <w:rPr>
          <w:rFonts w:hint="eastAsia" w:eastAsia="宋体"/>
          <w:color w:val="auto"/>
          <w:sz w:val="24"/>
          <w:highlight w:val="none"/>
        </w:rPr>
        <w:t xml:space="preserve">地    址：</w:t>
      </w:r>
      <w:bookmarkStart w:id="1" w:name="_Hlk44924103"/>
      <w:r>
        <w:rPr>
          <w:rFonts w:hint="eastAsia" w:eastAsia="宋体"/>
          <w:color w:val="auto"/>
          <w:sz w:val="24"/>
          <w:highlight w:val="none"/>
        </w:rPr>
        <w:t xml:space="preserve">苏州虎丘区金山东路10号</w:t>
      </w:r>
      <w:bookmarkEnd w:id="1"/>
      <w:r/>
      <w:r/>
    </w:p>
    <w:p>
      <w:pPr>
        <w:ind w:firstLine="480"/>
        <w:spacing w:line="360" w:lineRule="auto"/>
        <w:tabs>
          <w:tab w:val="left" w:pos="1890" w:leader="none"/>
        </w:tabs>
        <w:rPr>
          <w:rFonts w:eastAsia="宋体"/>
          <w:color w:val="auto"/>
          <w:sz w:val="24"/>
          <w:highlight w:val="none"/>
        </w:rPr>
      </w:pPr>
      <w:r>
        <w:rPr>
          <w:rFonts w:hint="eastAsia" w:eastAsia="宋体"/>
          <w:color w:val="auto"/>
          <w:sz w:val="24"/>
          <w:highlight w:val="none"/>
        </w:rPr>
        <w:t xml:space="preserve">电    话：0512-68712933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称：苏州海企国际工程咨询有限公司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址：苏州市高新区灵岩街6号9层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联系方式：0512-68087208</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王雨</w:t>
      </w:r>
      <w:r>
        <w:rPr>
          <w:rFonts w:hint="eastAsia" w:ascii="宋体" w:hAnsi="宋体" w:cs="宋体"/>
          <w:color w:val="auto"/>
          <w:sz w:val="24"/>
          <w:szCs w:val="24"/>
          <w:highlight w:val="none"/>
        </w:rPr>
        <w:t xml:space="preserve">、张茂松、赵猛 </w:t>
      </w:r>
      <w:r/>
    </w:p>
    <w:p>
      <w:pPr>
        <w:ind w:firstLine="480"/>
        <w:spacing w:line="360" w:lineRule="auto"/>
        <w:rPr>
          <w:color w:val="auto"/>
          <w:highlight w:val="none"/>
        </w:rPr>
      </w:pPr>
      <w:r>
        <w:rPr>
          <w:rFonts w:hint="eastAsia" w:ascii="宋体" w:hAnsi="宋体" w:cs="宋体"/>
          <w:color w:val="auto"/>
          <w:sz w:val="24"/>
          <w:szCs w:val="24"/>
          <w:highlight w:val="none"/>
        </w:rPr>
        <w:t xml:space="preserve">电   话：0512-68087208</w:t>
      </w:r>
      <w:bookmarkEnd w:id="0"/>
      <w:r/>
      <w:r/>
    </w:p>
    <w:p>
      <w:pPr>
        <w:jc w:val="center"/>
        <w:spacing w:line="440" w:lineRule="exact"/>
        <w:rPr>
          <w:rFonts w:hint="eastAsia" w:asciiTheme="minorEastAsia" w:hAnsiTheme="minorEastAsia" w:eastAsiaTheme="minorEastAsia"/>
          <w:b/>
          <w:color w:val="auto"/>
          <w:sz w:val="32"/>
          <w:highlight w:val="none"/>
          <w:lang w:val="en-US" w:eastAsia="zh-CN"/>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32"/>
          <w:highlight w:val="none"/>
        </w:rPr>
        <w:t xml:space="preserve">二、磋商</w:t>
      </w:r>
      <w:r>
        <w:rPr>
          <w:rFonts w:hint="eastAsia" w:asciiTheme="minorEastAsia" w:hAnsiTheme="minorEastAsia" w:eastAsiaTheme="minorEastAsia"/>
          <w:b/>
          <w:color w:val="auto"/>
          <w:sz w:val="32"/>
          <w:highlight w:val="none"/>
          <w:lang w:val="en-US" w:eastAsia="zh-CN"/>
        </w:rPr>
        <w:t xml:space="preserve">内容</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苏州海企国际工程咨询有限公司受</w:t>
      </w:r>
      <w:r>
        <w:rPr>
          <w:rFonts w:hint="eastAsia" w:cs="宋体" w:asciiTheme="minorEastAsia" w:hAnsiTheme="minorEastAsia" w:eastAsiaTheme="minorEastAsia"/>
          <w:color w:val="auto"/>
          <w:sz w:val="24"/>
          <w:szCs w:val="24"/>
          <w:highlight w:val="none"/>
          <w:lang w:eastAsia="zh-CN"/>
        </w:rPr>
        <w:t xml:space="preserve">苏州高新区狮山商务创新区管理办公室</w:t>
      </w:r>
      <w:r>
        <w:rPr>
          <w:rFonts w:hint="eastAsia" w:asciiTheme="minorEastAsia" w:hAnsiTheme="minorEastAsia" w:eastAsiaTheme="minorEastAsia"/>
          <w:color w:val="auto"/>
          <w:sz w:val="24"/>
          <w:szCs w:val="24"/>
          <w:highlight w:val="none"/>
        </w:rPr>
        <w:t xml:space="preserve">委托，就其所需的</w:t>
      </w:r>
      <w:r>
        <w:rPr>
          <w:rFonts w:hint="eastAsia" w:asciiTheme="minorEastAsia" w:hAnsiTheme="minorEastAsia" w:eastAsiaTheme="minorEastAsia"/>
          <w:color w:val="auto"/>
          <w:sz w:val="24"/>
          <w:highlight w:val="none"/>
          <w:lang w:eastAsia="zh-CN"/>
        </w:rPr>
        <w:t xml:space="preserve">狮山商务创新区所属小学、幼儿园、社区财务第三方代理记账服务</w:t>
      </w:r>
      <w:r>
        <w:rPr>
          <w:rFonts w:hint="eastAsia" w:asciiTheme="minorEastAsia" w:hAnsiTheme="minorEastAsia" w:eastAsiaTheme="minorEastAsia"/>
          <w:color w:val="auto"/>
          <w:sz w:val="24"/>
          <w:szCs w:val="24"/>
          <w:highlight w:val="none"/>
        </w:rPr>
        <w:t xml:space="preserve">采用竞争性磋商方式进行采购。欢迎符合磋商文件资格条件的供应商前来参加磋商。</w:t>
      </w:r>
      <w:r/>
    </w:p>
    <w:p>
      <w:pPr>
        <w:ind w:left="420"/>
        <w:jc w:val="left"/>
        <w:spacing w:line="360" w:lineRule="auto"/>
        <w:tabs>
          <w:tab w:val="left" w:pos="567"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 xml:space="preserve">一、采购编号：</w:t>
      </w:r>
      <w:r>
        <w:rPr>
          <w:rFonts w:hint="eastAsia" w:asciiTheme="minorEastAsia" w:hAnsiTheme="minorEastAsia" w:eastAsiaTheme="minorEastAsia"/>
          <w:bCs/>
          <w:color w:val="auto"/>
          <w:sz w:val="24"/>
          <w:szCs w:val="24"/>
          <w:highlight w:val="none"/>
          <w:lang w:eastAsia="zh-CN"/>
        </w:rPr>
        <w:t xml:space="preserve">JSZC-320505-SZHQ-C2026-0010</w:t>
      </w:r>
      <w:r/>
    </w:p>
    <w:p>
      <w:pPr>
        <w:ind w:left="420"/>
        <w:jc w:val="left"/>
        <w:spacing w:line="360" w:lineRule="auto"/>
        <w:tabs>
          <w:tab w:val="left" w:pos="567"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 xml:space="preserve">二、项目名称：</w:t>
      </w:r>
      <w:r>
        <w:rPr>
          <w:rFonts w:hint="eastAsia" w:asciiTheme="minorEastAsia" w:hAnsiTheme="minorEastAsia" w:eastAsiaTheme="minorEastAsia"/>
          <w:color w:val="auto"/>
          <w:sz w:val="24"/>
          <w:highlight w:val="none"/>
          <w:lang w:eastAsia="zh-CN"/>
        </w:rPr>
        <w:t xml:space="preserve">狮山商务创新区所属小学、幼儿园、社区财务第三方代理记账服务</w:t>
      </w:r>
      <w:r/>
    </w:p>
    <w:p>
      <w:pPr>
        <w:ind w:left="420"/>
        <w:jc w:val="left"/>
        <w:spacing w:line="360" w:lineRule="auto"/>
        <w:tabs>
          <w:tab w:val="left" w:pos="567"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三、</w:t>
      </w:r>
      <w:r>
        <w:rPr>
          <w:rFonts w:hint="eastAsia" w:asciiTheme="minorEastAsia" w:hAnsiTheme="minorEastAsia" w:eastAsiaTheme="minorEastAsia"/>
          <w:b/>
          <w:color w:val="auto"/>
          <w:sz w:val="24"/>
          <w:szCs w:val="24"/>
          <w:highlight w:val="none"/>
          <w:lang w:val="en-US" w:eastAsia="zh-CN"/>
        </w:rPr>
        <w:t xml:space="preserve">最高限价</w:t>
      </w:r>
      <w:r>
        <w:rPr>
          <w:rFonts w:hint="eastAsia" w:asciiTheme="minorEastAsia" w:hAnsiTheme="minorEastAsia" w:eastAsiaTheme="minorEastAsia"/>
          <w:b/>
          <w:color w:val="auto"/>
          <w:sz w:val="24"/>
          <w:szCs w:val="24"/>
          <w:highlight w:val="none"/>
        </w:rPr>
        <w:t xml:space="preserve">：</w:t>
      </w:r>
      <w:r>
        <w:rPr>
          <w:rFonts w:hint="eastAsia" w:ascii="宋体" w:hAnsi="宋体" w:cs="宋体" w:eastAsiaTheme="minorEastAsia"/>
          <w:color w:val="auto"/>
          <w:sz w:val="24"/>
          <w:szCs w:val="24"/>
          <w:highlight w:val="none"/>
          <w:lang w:eastAsia="zh-CN"/>
        </w:rPr>
        <w:t xml:space="preserve">355</w:t>
      </w:r>
      <w:r>
        <w:rPr>
          <w:rFonts w:hint="eastAsia" w:ascii="宋体" w:hAnsi="宋体" w:cs="宋体" w:eastAsiaTheme="minorEastAsia"/>
          <w:color w:val="auto"/>
          <w:sz w:val="24"/>
          <w:szCs w:val="24"/>
          <w:highlight w:val="none"/>
          <w:lang w:val="en-US" w:eastAsia="zh-CN"/>
        </w:rPr>
        <w:t xml:space="preserve">0</w:t>
      </w:r>
      <w:r>
        <w:rPr>
          <w:rFonts w:hint="eastAsia" w:ascii="宋体" w:hAnsi="宋体" w:cs="宋体" w:eastAsiaTheme="minorEastAsia"/>
          <w:color w:val="auto"/>
          <w:sz w:val="24"/>
          <w:szCs w:val="24"/>
          <w:highlight w:val="none"/>
          <w:lang w:eastAsia="zh-CN"/>
        </w:rPr>
        <w:t xml:space="preserve">000.00</w:t>
      </w:r>
      <w:r>
        <w:rPr>
          <w:rFonts w:hint="eastAsia" w:asciiTheme="minorEastAsia" w:hAnsiTheme="minorEastAsia" w:eastAsiaTheme="minorEastAsia"/>
          <w:color w:val="auto"/>
          <w:sz w:val="24"/>
          <w:szCs w:val="22"/>
          <w:highlight w:val="none"/>
        </w:rPr>
        <w:t xml:space="preserve">元</w:t>
      </w:r>
      <w:r/>
    </w:p>
    <w:p>
      <w:pPr>
        <w:ind w:left="420"/>
        <w:jc w:val="left"/>
        <w:spacing w:line="360" w:lineRule="auto"/>
        <w:tabs>
          <w:tab w:val="left" w:pos="567"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四、采购需求：</w:t>
      </w:r>
      <w:r/>
    </w:p>
    <w:p>
      <w:pPr>
        <w:ind w:firstLine="482"/>
        <w:spacing w:line="360" w:lineRule="auto"/>
        <w:widowControl/>
        <w:rPr>
          <w:rFonts w:eastAsia="宋体"/>
          <w:b/>
          <w:bCs/>
          <w:color w:val="auto"/>
          <w:sz w:val="24"/>
          <w:highlight w:val="none"/>
        </w:rPr>
      </w:pPr>
      <w:r>
        <w:rPr>
          <w:rFonts w:hint="eastAsia" w:eastAsia="宋体"/>
          <w:b/>
          <w:bCs/>
          <w:color w:val="auto"/>
          <w:sz w:val="24"/>
          <w:highlight w:val="none"/>
        </w:rPr>
        <w:t xml:space="preserve">（一）项目背景：</w:t>
      </w:r>
      <w:r/>
    </w:p>
    <w:p>
      <w:pPr>
        <w:ind w:firstLine="480"/>
        <w:spacing w:line="360" w:lineRule="auto"/>
        <w:widowControl/>
        <w:rPr>
          <w:rFonts w:eastAsia="宋体"/>
          <w:color w:val="auto"/>
          <w:sz w:val="24"/>
          <w:highlight w:val="none"/>
        </w:rPr>
      </w:pPr>
      <w:r>
        <w:rPr>
          <w:rFonts w:hint="eastAsia" w:eastAsia="宋体"/>
          <w:color w:val="auto"/>
          <w:sz w:val="24"/>
          <w:highlight w:val="none"/>
        </w:rPr>
        <w:t xml:space="preserve">为进一步提升苏州高新区狮山商务创新区管理办公室辖下小学、幼儿园、社区的资金、资产管理水平，规范学校、社区财务管理，现就小学、幼儿园、社区单位会计代理项目进行竞争性磋商采购，择优选定中介服务单位。</w:t>
      </w:r>
      <w:r/>
    </w:p>
    <w:p>
      <w:pPr>
        <w:ind w:firstLine="482"/>
        <w:spacing w:line="360" w:lineRule="auto"/>
        <w:widowControl/>
        <w:rPr>
          <w:rFonts w:eastAsia="宋体"/>
          <w:b/>
          <w:bCs/>
          <w:color w:val="auto"/>
          <w:sz w:val="24"/>
          <w:highlight w:val="none"/>
        </w:rPr>
      </w:pPr>
      <w:r>
        <w:rPr>
          <w:rFonts w:hint="eastAsia" w:eastAsia="宋体"/>
          <w:b/>
          <w:bCs/>
          <w:color w:val="auto"/>
          <w:sz w:val="24"/>
          <w:highlight w:val="none"/>
        </w:rPr>
        <w:t xml:space="preserve">（二）项目概况：</w:t>
      </w:r>
      <w:r/>
    </w:p>
    <w:p>
      <w:pPr>
        <w:ind w:firstLine="480"/>
        <w:spacing w:line="360" w:lineRule="auto"/>
        <w:widowControl/>
        <w:rPr>
          <w:rFonts w:eastAsia="宋体"/>
          <w:color w:val="auto"/>
          <w:sz w:val="24"/>
          <w:highlight w:val="none"/>
        </w:rPr>
      </w:pPr>
      <w:r>
        <w:rPr>
          <w:rFonts w:hint="eastAsia" w:eastAsia="宋体"/>
          <w:color w:val="auto"/>
          <w:sz w:val="24"/>
          <w:highlight w:val="none"/>
        </w:rPr>
        <w:t xml:space="preserve">1、服务于狮山商务创新区所属9个小学校（18个校区），15个幼儿园（19个校区），2</w:t>
      </w:r>
      <w:r>
        <w:rPr>
          <w:rFonts w:eastAsia="宋体"/>
          <w:color w:val="auto"/>
          <w:sz w:val="24"/>
          <w:highlight w:val="none"/>
        </w:rPr>
        <w:t xml:space="preserve">5</w:t>
      </w:r>
      <w:r>
        <w:rPr>
          <w:rFonts w:hint="eastAsia" w:eastAsia="宋体"/>
          <w:color w:val="auto"/>
          <w:sz w:val="24"/>
          <w:highlight w:val="none"/>
        </w:rPr>
        <w:t xml:space="preserve">个社区和3个中心，名单如下：</w:t>
      </w:r>
      <w:r/>
    </w:p>
    <w:tbl>
      <w:tblPr>
        <w:tblStyle w:val="889"/>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87"/>
        <w:gridCol w:w="5067"/>
      </w:tblGrid>
      <w:tr>
        <w:trPr>
          <w:trHeight w:val="57"/>
        </w:trPr>
        <w:tc>
          <w:tcPr>
            <w:gridSpan w:val="2"/>
            <w:tcW w:w="5000" w:type="pct"/>
            <w:vAlign w:val="center"/>
            <w:textDirection w:val="lrTb"/>
            <w:noWrap/>
          </w:tcPr>
          <w:p>
            <w:pPr>
              <w:ind w:firstLine="482"/>
              <w:jc w:val="center"/>
              <w:spacing w:line="240" w:lineRule="auto"/>
              <w:widowControl/>
              <w:rPr>
                <w:rFonts w:eastAsia="宋体"/>
                <w:b/>
                <w:bCs/>
                <w:color w:val="auto"/>
                <w:sz w:val="24"/>
                <w:highlight w:val="none"/>
              </w:rPr>
            </w:pPr>
            <w:r>
              <w:rPr>
                <w:rFonts w:hint="eastAsia" w:eastAsia="宋体"/>
                <w:b/>
                <w:bCs/>
                <w:color w:val="auto"/>
                <w:sz w:val="24"/>
                <w:highlight w:val="none"/>
              </w:rPr>
              <w:t xml:space="preserve">狮山商务创新区所属小学、幼儿园及社区</w:t>
            </w:r>
            <w:r/>
          </w:p>
        </w:tc>
      </w:tr>
      <w:tr>
        <w:trPr>
          <w:trHeight w:val="57"/>
        </w:trPr>
        <w:tc>
          <w:tcPr>
            <w:gridSpan w:val="2"/>
            <w:tcW w:w="5000" w:type="pct"/>
            <w:vAlign w:val="center"/>
            <w:textDirection w:val="lrTb"/>
            <w:noWrap/>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单位名称</w:t>
            </w:r>
            <w:r/>
          </w:p>
        </w:tc>
      </w:tr>
      <w:tr>
        <w:trPr>
          <w:trHeight w:val="57"/>
        </w:trPr>
        <w:tc>
          <w:tcPr>
            <w:tcW w:w="2505" w:type="pct"/>
            <w:vAlign w:val="center"/>
            <w:vMerge w:val="restart"/>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苏州高新区实验小学校</w:t>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金山路校区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珠江路校区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竹园路校区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滨河路校区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邓尉路校区</w:t>
            </w:r>
            <w:r/>
          </w:p>
        </w:tc>
      </w:tr>
      <w:tr>
        <w:trPr>
          <w:trHeight w:val="57"/>
        </w:trPr>
        <w:tc>
          <w:tcPr>
            <w:tcW w:w="2505" w:type="pct"/>
            <w:vAlign w:val="center"/>
            <w:vMerge w:val="restart"/>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苏州高新区狮山实验小学校</w:t>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乐星校区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馨泰校区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竹园校区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苏州高新区新升实验小学校</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苏州高新区金色小学校</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苏州高新区成大实验小学校</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苏州学府实验小学校</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苏州新区枫桥实验小学</w:t>
            </w:r>
            <w:r/>
          </w:p>
        </w:tc>
      </w:tr>
      <w:tr>
        <w:trPr>
          <w:trHeight w:val="57"/>
        </w:trPr>
        <w:tc>
          <w:tcPr>
            <w:tcW w:w="2505" w:type="pct"/>
            <w:vAlign w:val="center"/>
            <w:vMerge w:val="restart"/>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苏州市枫桥中心小学</w:t>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塔园校区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寒山校区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西津校区</w:t>
            </w:r>
            <w:r/>
          </w:p>
        </w:tc>
      </w:tr>
      <w:tr>
        <w:trPr>
          <w:trHeight w:val="57"/>
        </w:trPr>
        <w:tc>
          <w:tcPr>
            <w:tcW w:w="2505" w:type="pct"/>
            <w:vAlign w:val="center"/>
            <w:vMerge w:val="restart"/>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苏州高新区白马涧小学</w:t>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马涧校区</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龙池校区</w:t>
            </w:r>
            <w:r/>
          </w:p>
        </w:tc>
      </w:tr>
      <w:tr>
        <w:trPr>
          <w:trHeight w:val="57"/>
        </w:trPr>
        <w:tc>
          <w:tcPr>
            <w:tcW w:w="2505" w:type="pct"/>
            <w:vAlign w:val="center"/>
            <w:vMerge w:val="restart"/>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苏州高新区实验幼儿园</w:t>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滨河园</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御园</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何山园</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金山园</w:t>
            </w:r>
            <w:r/>
          </w:p>
        </w:tc>
      </w:tr>
      <w:tr>
        <w:trPr>
          <w:trHeight w:val="57"/>
        </w:trPr>
        <w:tc>
          <w:tcPr>
            <w:tcW w:w="2505" w:type="pct"/>
            <w:vAlign w:val="center"/>
            <w:vMerge w:val="restart"/>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苏州高新区狮山中心幼儿园</w:t>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馨泰园</w:t>
            </w:r>
            <w:r/>
          </w:p>
        </w:tc>
      </w:tr>
      <w:tr>
        <w:trPr>
          <w:trHeight w:val="57"/>
        </w:trPr>
        <w:tc>
          <w:tcPr>
            <w:tcW w:w="2505" w:type="pct"/>
            <w:vAlign w:val="center"/>
            <w:vMerge w:val="continue"/>
            <w:textDirection w:val="lrTb"/>
            <w:noWrap w:val="false"/>
          </w:tcPr>
          <w:p>
            <w:pPr>
              <w:ind w:firstLine="480"/>
              <w:jc w:val="left"/>
              <w:spacing w:line="240" w:lineRule="auto"/>
              <w:widowControl/>
              <w:rPr>
                <w:rFonts w:eastAsia="宋体"/>
                <w:color w:val="auto"/>
                <w:sz w:val="24"/>
                <w:highlight w:val="none"/>
              </w:rPr>
            </w:pPr>
            <w:r>
              <w:rPr>
                <w:rFonts w:eastAsia="宋体"/>
                <w:color w:val="auto"/>
                <w:sz w:val="24"/>
                <w:highlight w:val="none"/>
              </w:rPr>
            </w:r>
            <w:r/>
          </w:p>
        </w:tc>
        <w:tc>
          <w:tcPr>
            <w:tcW w:w="2495"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乐星园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苏州高新区新升幼儿园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苏州高新区竹园幼儿园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苏州高新区天都幼儿园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苏州高新区星韵幼儿园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苏州高新区成大实验幼儿园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苏州高新区玉山幼儿园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苏州高新区上方山实验幼儿园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苏州高新区枫桥实验幼儿园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苏州高新区枫桥中心幼儿园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苏州高新区枫桥天之运幼儿园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苏州高新区枫桥天籁城幼儿园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苏州高新区枫桥观枫幼儿园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苏州高新区枫桥枫华幼儿园</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新升社区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馨泰社区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狮山二社区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新狮社区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金色社区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万枫社区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横山社区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青春社区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狮山一社区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何山社区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横塘社区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学府社区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石湖社区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枫津社区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马涧社区服务中心</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康佳社区服务中心</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江枫社区服务中心</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枫华社区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康佳社区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东浜社区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西津桥社区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马浜社区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白马涧社区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龙池社区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寒山社区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景山社区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木桥社区</w:t>
            </w:r>
            <w:r/>
          </w:p>
        </w:tc>
      </w:tr>
      <w:tr>
        <w:trPr>
          <w:trHeight w:val="57"/>
        </w:trPr>
        <w:tc>
          <w:tcPr>
            <w:gridSpan w:val="2"/>
            <w:tcW w:w="5000" w:type="pct"/>
            <w:vAlign w:val="center"/>
            <w:textDirection w:val="lrTb"/>
            <w:noWrap w:val="false"/>
          </w:tcPr>
          <w:p>
            <w:pPr>
              <w:ind w:firstLine="480"/>
              <w:jc w:val="center"/>
              <w:spacing w:line="240" w:lineRule="auto"/>
              <w:widowControl/>
              <w:rPr>
                <w:rFonts w:eastAsia="宋体"/>
                <w:color w:val="auto"/>
                <w:sz w:val="24"/>
                <w:highlight w:val="none"/>
              </w:rPr>
            </w:pPr>
            <w:r>
              <w:rPr>
                <w:rFonts w:hint="eastAsia" w:eastAsia="宋体"/>
                <w:color w:val="auto"/>
                <w:sz w:val="24"/>
                <w:highlight w:val="none"/>
              </w:rPr>
              <w:t xml:space="preserve">支英社区</w:t>
            </w:r>
            <w:r/>
          </w:p>
        </w:tc>
      </w:tr>
    </w:tbl>
    <w:p>
      <w:pPr>
        <w:ind w:firstLine="480"/>
        <w:spacing w:line="360" w:lineRule="auto"/>
        <w:widowControl/>
        <w:rPr>
          <w:rFonts w:eastAsia="宋体"/>
          <w:color w:val="auto"/>
          <w:sz w:val="24"/>
          <w:highlight w:val="none"/>
        </w:rPr>
      </w:pPr>
      <w:r>
        <w:rPr>
          <w:rFonts w:hint="eastAsia" w:eastAsia="宋体"/>
          <w:color w:val="auto"/>
          <w:sz w:val="24"/>
          <w:highlight w:val="none"/>
        </w:rPr>
        <w:t xml:space="preserve">2、服务内容：</w:t>
      </w:r>
      <w:r>
        <w:rPr>
          <w:rFonts w:hint="eastAsia" w:eastAsia="宋体"/>
          <w:color w:val="auto"/>
          <w:sz w:val="24"/>
          <w:highlight w:val="none"/>
        </w:rPr>
        <w:t xml:space="preserve">代理服务小学、幼儿园、社区的财务会计账目、资料档案、各类报表等财务核算业务和财务管理业务。具体内容包括：审核支付申请单及发票合同等原始凭证；填报年初预算、调整预算、决算报告、教育年报、资产年报等；填报资产月报、统计月报及无债务申报等；填制分月用款计划表、固定资产明细表及无形资产明细表及每月摊销核算；配合学校填制教育部门的各类统计表格及社区各类统计表格；配合学校幼儿园、社区安排的其他零星事项，包括但不限于审计、行政事业单位内控编报等。凡小学、幼儿园、社区发生的各项经济业务的会计核算，均由中介代理机构统一代理。</w:t>
      </w:r>
      <w:r/>
    </w:p>
    <w:p>
      <w:pPr>
        <w:ind w:firstLine="482"/>
        <w:spacing w:line="360" w:lineRule="auto"/>
        <w:widowControl/>
        <w:rPr>
          <w:rFonts w:eastAsia="宋体"/>
          <w:b/>
          <w:bCs/>
          <w:color w:val="auto"/>
          <w:sz w:val="24"/>
          <w:highlight w:val="none"/>
        </w:rPr>
      </w:pPr>
      <w:r>
        <w:rPr>
          <w:rFonts w:hint="eastAsia" w:eastAsia="宋体"/>
          <w:b/>
          <w:bCs/>
          <w:color w:val="auto"/>
          <w:sz w:val="24"/>
          <w:highlight w:val="none"/>
        </w:rPr>
        <w:t xml:space="preserve">（三）受聘条件和职责：</w:t>
      </w:r>
      <w:r/>
    </w:p>
    <w:p>
      <w:pPr>
        <w:ind w:firstLine="480"/>
        <w:spacing w:line="360" w:lineRule="auto"/>
        <w:rPr>
          <w:rFonts w:eastAsia="宋体"/>
          <w:color w:val="auto"/>
          <w:sz w:val="24"/>
          <w:highlight w:val="none"/>
        </w:rPr>
      </w:pPr>
      <w:r>
        <w:rPr>
          <w:rFonts w:hint="eastAsia" w:eastAsia="宋体"/>
          <w:color w:val="auto"/>
          <w:sz w:val="24"/>
          <w:highlight w:val="none"/>
        </w:rPr>
        <w:t xml:space="preserve">1、本服务项目成交的第三方代理机构负责代理狮山商务创新区所属小学、幼儿园、社区的各项会计核算和财务管理业务，向小学、幼儿园、社区负责，接受狮山商务创新区财政和资产管理局的指导和监督。</w:t>
      </w:r>
      <w:r/>
    </w:p>
    <w:p>
      <w:pPr>
        <w:ind w:firstLine="480"/>
        <w:spacing w:line="360" w:lineRule="auto"/>
        <w:rPr>
          <w:rFonts w:eastAsia="宋体"/>
          <w:color w:val="auto"/>
          <w:sz w:val="24"/>
          <w:highlight w:val="none"/>
        </w:rPr>
      </w:pPr>
      <w:r>
        <w:rPr>
          <w:rFonts w:hint="eastAsia" w:eastAsia="宋体"/>
          <w:color w:val="auto"/>
          <w:sz w:val="24"/>
          <w:highlight w:val="none"/>
        </w:rPr>
        <w:t xml:space="preserve">2、第三方代理记账机构办公场所由狮山商务创新区财政和资产管理局提供（含：办公设备、低值易耗品等）。</w:t>
      </w:r>
      <w:r/>
    </w:p>
    <w:p>
      <w:pPr>
        <w:ind w:firstLine="480"/>
        <w:spacing w:line="360" w:lineRule="auto"/>
        <w:rPr>
          <w:rFonts w:eastAsia="宋体"/>
          <w:color w:val="auto"/>
          <w:sz w:val="24"/>
          <w:highlight w:val="none"/>
        </w:rPr>
      </w:pPr>
      <w:r>
        <w:rPr>
          <w:rFonts w:hint="eastAsia" w:eastAsia="宋体"/>
          <w:color w:val="auto"/>
          <w:sz w:val="24"/>
          <w:highlight w:val="none"/>
        </w:rPr>
        <w:t xml:space="preserve">3、第三方代理记账机构提供的主管代理记账业务的负责人（会计主管）负责对代理记账会计进行监督管理。代理记账会计由成交单位聘用。第三方代理记账机构应具备健全的业务操作规范和管理制度。</w:t>
      </w:r>
      <w:r/>
    </w:p>
    <w:p>
      <w:pPr>
        <w:ind w:firstLine="480"/>
        <w:spacing w:line="360" w:lineRule="auto"/>
        <w:rPr>
          <w:rFonts w:eastAsia="宋体"/>
          <w:color w:val="auto"/>
          <w:sz w:val="24"/>
          <w:highlight w:val="none"/>
        </w:rPr>
      </w:pPr>
      <w:r>
        <w:rPr>
          <w:rFonts w:hint="eastAsia" w:eastAsia="宋体"/>
          <w:color w:val="auto"/>
          <w:sz w:val="24"/>
          <w:highlight w:val="none"/>
        </w:rPr>
        <w:t xml:space="preserve">4、第三方代理机构对在执行业务过程中知悉的经济业务秘密负有保密责任。除法律另有规定外，未经委托单位同意，不得将委托单位提供的资料外泄。</w:t>
      </w:r>
      <w:r/>
    </w:p>
    <w:p>
      <w:pPr>
        <w:ind w:firstLine="480"/>
        <w:spacing w:line="360" w:lineRule="auto"/>
        <w:rPr>
          <w:rFonts w:eastAsia="宋体"/>
          <w:color w:val="auto"/>
          <w:sz w:val="24"/>
          <w:highlight w:val="none"/>
        </w:rPr>
      </w:pPr>
      <w:r>
        <w:rPr>
          <w:rFonts w:hint="eastAsia" w:eastAsia="宋体"/>
          <w:color w:val="auto"/>
          <w:sz w:val="24"/>
          <w:highlight w:val="none"/>
        </w:rPr>
        <w:t xml:space="preserve">5、在代理过程中，成交单位如有违反有关规定或违约行为的，根据委托协议约定的条款进行处罚，违反法律法规的移交司法部门处理。</w:t>
      </w:r>
      <w:r/>
    </w:p>
    <w:p>
      <w:pPr>
        <w:ind w:firstLine="480"/>
        <w:spacing w:line="360" w:lineRule="auto"/>
        <w:rPr>
          <w:rFonts w:eastAsia="宋体"/>
          <w:color w:val="auto"/>
          <w:sz w:val="24"/>
          <w:highlight w:val="none"/>
        </w:rPr>
      </w:pPr>
      <w:r>
        <w:rPr>
          <w:rFonts w:hint="eastAsia" w:eastAsia="宋体"/>
          <w:color w:val="auto"/>
          <w:sz w:val="24"/>
          <w:highlight w:val="none"/>
        </w:rPr>
        <w:t xml:space="preserve">6、统一使用财务管理系统平台进行会计核算、资金管理、固定资产管理和合同管理等。 </w:t>
      </w:r>
      <w:r/>
    </w:p>
    <w:p>
      <w:pPr>
        <w:ind w:firstLine="482"/>
        <w:spacing w:line="360" w:lineRule="auto"/>
        <w:widowControl/>
        <w:rPr>
          <w:rFonts w:eastAsia="宋体"/>
          <w:b/>
          <w:bCs/>
          <w:color w:val="auto"/>
          <w:sz w:val="24"/>
          <w:highlight w:val="none"/>
        </w:rPr>
      </w:pPr>
      <w:r>
        <w:rPr>
          <w:rFonts w:hint="eastAsia" w:eastAsia="宋体"/>
          <w:b/>
          <w:bCs/>
          <w:color w:val="auto"/>
          <w:sz w:val="24"/>
          <w:highlight w:val="none"/>
        </w:rPr>
        <w:t xml:space="preserve">（四）工作职责：</w:t>
      </w:r>
      <w:r/>
    </w:p>
    <w:p>
      <w:pPr>
        <w:ind w:firstLine="480"/>
        <w:spacing w:line="360" w:lineRule="auto"/>
        <w:rPr>
          <w:rFonts w:eastAsia="宋体"/>
          <w:color w:val="auto"/>
          <w:sz w:val="24"/>
          <w:highlight w:val="none"/>
        </w:rPr>
      </w:pPr>
      <w:r>
        <w:rPr>
          <w:rFonts w:hint="eastAsia" w:eastAsia="宋体"/>
          <w:color w:val="auto"/>
          <w:sz w:val="24"/>
          <w:highlight w:val="none"/>
        </w:rPr>
        <w:t xml:space="preserve">1、第三方机构代理项目前，要将代理的财务管理、会计核算等工作制定详尽的业务操作规范和内部管理制度，并报狮山商务创新区财政和资产管理局备案，代理事项后，按照规定的业务范围完成各项工作任务。</w:t>
      </w:r>
      <w:r/>
    </w:p>
    <w:p>
      <w:pPr>
        <w:ind w:firstLine="480"/>
        <w:spacing w:line="360" w:lineRule="auto"/>
        <w:rPr>
          <w:rFonts w:eastAsia="宋体"/>
          <w:color w:val="auto"/>
          <w:sz w:val="24"/>
          <w:highlight w:val="none"/>
        </w:rPr>
      </w:pPr>
      <w:r>
        <w:rPr>
          <w:rFonts w:hint="eastAsia" w:eastAsia="宋体"/>
          <w:color w:val="auto"/>
          <w:sz w:val="24"/>
          <w:highlight w:val="none"/>
        </w:rPr>
        <w:t xml:space="preserve">2、负责做好委托代理的小学、幼儿园、社区各项经济业务的会计核算、财务管理工作及其他委托事项。</w:t>
      </w:r>
      <w:r/>
    </w:p>
    <w:p>
      <w:pPr>
        <w:ind w:firstLine="480"/>
        <w:spacing w:line="360" w:lineRule="auto"/>
        <w:rPr>
          <w:rFonts w:eastAsia="宋体"/>
          <w:color w:val="auto"/>
          <w:sz w:val="24"/>
          <w:highlight w:val="none"/>
        </w:rPr>
      </w:pPr>
      <w:r>
        <w:rPr>
          <w:rFonts w:hint="eastAsia" w:eastAsia="宋体"/>
          <w:color w:val="auto"/>
          <w:sz w:val="24"/>
          <w:highlight w:val="none"/>
        </w:rPr>
        <w:t xml:space="preserve">3、以全国人大及财政部制定的《中华人民共和国会计法》、《</w:t>
      </w:r>
      <w:r>
        <w:rPr>
          <w:color w:val="auto"/>
          <w:highlight w:val="none"/>
        </w:rPr>
        <w:fldChar w:fldCharType="begin"/>
      </w:r>
      <w:r>
        <w:rPr>
          <w:color w:val="auto"/>
          <w:highlight w:val="none"/>
        </w:rPr>
        <w:instrText xml:space="preserve"> HYPERLINK "https://baike.baidu.com/item/%E4%BA%8B%E4%B8%9A%E5%8D%95%E4%BD%8D%E4%BC%9A%E8%AE%A1%E5%87%86%E5%88%99/10973431?fromModule=lemma_inlink" \t "_blank" </w:instrText>
      </w:r>
      <w:r>
        <w:rPr>
          <w:color w:val="auto"/>
          <w:highlight w:val="none"/>
        </w:rPr>
        <w:fldChar w:fldCharType="separate"/>
      </w:r>
      <w:r>
        <w:rPr>
          <w:rFonts w:hint="eastAsia" w:eastAsia="宋体"/>
          <w:color w:val="auto"/>
          <w:sz w:val="24"/>
          <w:highlight w:val="none"/>
        </w:rPr>
        <w:t xml:space="preserve">事业单位会计准则</w:t>
      </w:r>
      <w:r>
        <w:rPr>
          <w:rFonts w:hint="eastAsia" w:eastAsia="宋体"/>
          <w:color w:val="auto"/>
          <w:sz w:val="24"/>
          <w:highlight w:val="none"/>
        </w:rPr>
        <w:fldChar w:fldCharType="end"/>
      </w:r>
      <w:r>
        <w:rPr>
          <w:rFonts w:hint="eastAsia" w:eastAsia="宋体"/>
          <w:color w:val="auto"/>
          <w:sz w:val="24"/>
          <w:highlight w:val="none"/>
        </w:rPr>
        <w:t xml:space="preserve">》、《事业单位财务规则》、《事业单位会计制度》等国家有关法律法规为准则，严格对委托代理的小学、幼儿园、社区的报账原始凭证是否符合有关规定、审批程序是否符合要求、各项收入和资金使用是否合理等情况进行审核并进行会计核算，及时编制财务报表。</w:t>
      </w:r>
      <w:r/>
    </w:p>
    <w:p>
      <w:pPr>
        <w:ind w:firstLine="480"/>
        <w:spacing w:line="360" w:lineRule="auto"/>
        <w:rPr>
          <w:rFonts w:eastAsia="宋体"/>
          <w:color w:val="auto"/>
          <w:sz w:val="24"/>
          <w:highlight w:val="none"/>
        </w:rPr>
      </w:pPr>
      <w:r>
        <w:rPr>
          <w:rFonts w:hint="eastAsia" w:eastAsia="宋体"/>
          <w:color w:val="auto"/>
          <w:sz w:val="24"/>
          <w:highlight w:val="none"/>
        </w:rPr>
        <w:t xml:space="preserve">4、每年年末，按照小学、幼儿园、社区下一年的工作计划和资金使用的有关规定，编制下一年度预算方案及本年度的决算编制方案。</w:t>
      </w:r>
      <w:r/>
    </w:p>
    <w:p>
      <w:pPr>
        <w:ind w:firstLine="480"/>
        <w:spacing w:line="360" w:lineRule="auto"/>
        <w:rPr>
          <w:rFonts w:eastAsia="宋体"/>
          <w:color w:val="auto"/>
          <w:sz w:val="24"/>
          <w:highlight w:val="none"/>
        </w:rPr>
      </w:pPr>
      <w:r>
        <w:rPr>
          <w:rFonts w:hint="eastAsia" w:eastAsia="宋体"/>
          <w:color w:val="auto"/>
          <w:sz w:val="24"/>
          <w:highlight w:val="none"/>
        </w:rPr>
        <w:t xml:space="preserve">5、履行会计职责，配合学校开展日常的财务管理活动，并对学校、社区财务管理活动的合法合规性进行监督。对财务管理中存在的不合理情况、问题等，提出建设性意见和合理性建议。</w:t>
      </w:r>
      <w:r/>
    </w:p>
    <w:p>
      <w:pPr>
        <w:ind w:firstLine="480"/>
        <w:spacing w:line="360" w:lineRule="auto"/>
        <w:rPr>
          <w:rFonts w:eastAsia="宋体"/>
          <w:color w:val="auto"/>
          <w:sz w:val="24"/>
          <w:highlight w:val="none"/>
        </w:rPr>
      </w:pPr>
      <w:r>
        <w:rPr>
          <w:rFonts w:hint="eastAsia" w:eastAsia="宋体"/>
          <w:color w:val="auto"/>
          <w:sz w:val="24"/>
          <w:highlight w:val="none"/>
        </w:rPr>
        <w:t xml:space="preserve">6、每月结账前与总预算会计核对往来明细，对存在往来明细与预算账务不符合的，及时调整账务。</w:t>
      </w:r>
      <w:r/>
    </w:p>
    <w:p>
      <w:pPr>
        <w:ind w:firstLine="480"/>
        <w:spacing w:line="360" w:lineRule="auto"/>
        <w:rPr>
          <w:rFonts w:eastAsia="宋体"/>
          <w:color w:val="auto"/>
          <w:sz w:val="24"/>
          <w:highlight w:val="none"/>
        </w:rPr>
      </w:pPr>
      <w:r>
        <w:rPr>
          <w:rFonts w:hint="eastAsia" w:eastAsia="宋体"/>
          <w:color w:val="auto"/>
          <w:sz w:val="24"/>
          <w:highlight w:val="none"/>
        </w:rPr>
        <w:t xml:space="preserve">7、支付前审核。第三方机构在支付前，要对所取得的原始凭证进行逐笔审核其合理性、合法性和真实性，对不符合规定的予以退回并提出处理意见。</w:t>
      </w:r>
      <w:r/>
    </w:p>
    <w:p>
      <w:pPr>
        <w:ind w:firstLine="480"/>
        <w:spacing w:line="360" w:lineRule="auto"/>
        <w:rPr>
          <w:rFonts w:eastAsia="宋体"/>
          <w:color w:val="auto"/>
          <w:sz w:val="24"/>
          <w:highlight w:val="none"/>
        </w:rPr>
      </w:pPr>
      <w:r>
        <w:rPr>
          <w:rFonts w:hint="eastAsia" w:eastAsia="宋体"/>
          <w:color w:val="auto"/>
          <w:sz w:val="24"/>
          <w:highlight w:val="none"/>
        </w:rPr>
        <w:t xml:space="preserve">8、编制财务报告。每月账务处理完毕，编制预算内、预算外分月用款计划表，债务监测服务平台月度申报，资产月报，统计月报等，出具月度财务报表（资产负债表、收入费用表、经费支出明细表、预算收入支出表）并将财务会计资料装订成册，归档管理。每月10日前(遇节假日顺延)向业务主管部门和财政部门反馈各类财务报表、会计数据等。</w:t>
      </w:r>
      <w:r/>
    </w:p>
    <w:p>
      <w:pPr>
        <w:ind w:firstLine="480"/>
        <w:spacing w:line="360" w:lineRule="auto"/>
        <w:rPr>
          <w:rFonts w:eastAsia="宋体"/>
          <w:color w:val="auto"/>
          <w:sz w:val="24"/>
          <w:highlight w:val="none"/>
        </w:rPr>
      </w:pPr>
      <w:r>
        <w:rPr>
          <w:rFonts w:hint="eastAsia" w:eastAsia="宋体"/>
          <w:color w:val="auto"/>
          <w:sz w:val="24"/>
          <w:highlight w:val="none"/>
        </w:rPr>
        <w:t xml:space="preserve">9、配合采购方做好小学、幼儿园、社区各种财务数据等的统计汇总工作。</w:t>
      </w:r>
      <w:r/>
    </w:p>
    <w:p>
      <w:pPr>
        <w:ind w:firstLine="480"/>
        <w:spacing w:line="360" w:lineRule="auto"/>
        <w:rPr>
          <w:rFonts w:eastAsia="宋体"/>
          <w:color w:val="auto"/>
          <w:sz w:val="24"/>
          <w:highlight w:val="none"/>
        </w:rPr>
      </w:pPr>
      <w:r>
        <w:rPr>
          <w:rFonts w:hint="eastAsia" w:eastAsia="宋体"/>
          <w:color w:val="auto"/>
          <w:sz w:val="24"/>
          <w:highlight w:val="none"/>
        </w:rPr>
        <w:t xml:space="preserve">10、为委托代理的小学、幼儿园、社区的经济业务往来、对外投资、工程建设、税务业务等经济活动提供咨询服务，并对国家有关新法律法规政策、财经制度等做好宣传、指导、培训工作。</w:t>
      </w:r>
      <w:r/>
    </w:p>
    <w:p>
      <w:pPr>
        <w:ind w:firstLine="480"/>
        <w:spacing w:line="360" w:lineRule="auto"/>
        <w:rPr>
          <w:rFonts w:eastAsia="宋体"/>
          <w:color w:val="auto"/>
          <w:sz w:val="24"/>
          <w:highlight w:val="none"/>
        </w:rPr>
      </w:pPr>
      <w:r>
        <w:rPr>
          <w:rFonts w:hint="eastAsia" w:eastAsia="宋体"/>
          <w:color w:val="auto"/>
          <w:sz w:val="24"/>
          <w:highlight w:val="none"/>
        </w:rPr>
        <w:t xml:space="preserve">11、第三方代理机构必须实行会计电算化，并统一使用财务管理系统平台，会计电算化软件和硬件设施由狮山商务创新区统一提供。</w:t>
      </w:r>
      <w:r/>
    </w:p>
    <w:p>
      <w:pPr>
        <w:ind w:firstLine="480"/>
        <w:spacing w:line="360" w:lineRule="auto"/>
        <w:rPr>
          <w:rFonts w:eastAsia="宋体"/>
          <w:color w:val="auto"/>
          <w:sz w:val="24"/>
          <w:highlight w:val="none"/>
        </w:rPr>
      </w:pPr>
      <w:r>
        <w:rPr>
          <w:rFonts w:hint="eastAsia" w:eastAsia="宋体"/>
          <w:color w:val="auto"/>
          <w:sz w:val="24"/>
          <w:highlight w:val="none"/>
        </w:rPr>
        <w:t xml:space="preserve">12、统一设置固定资产台账进行管理资产，认真做好资产的分类，每年定期对代理单位的固定资产进行全面清查，以确保资产不流失。</w:t>
      </w:r>
      <w:r/>
    </w:p>
    <w:p>
      <w:pPr>
        <w:ind w:firstLine="480"/>
        <w:spacing w:line="360" w:lineRule="auto"/>
        <w:rPr>
          <w:rFonts w:eastAsia="宋体"/>
          <w:color w:val="auto"/>
          <w:sz w:val="24"/>
          <w:highlight w:val="none"/>
        </w:rPr>
      </w:pPr>
      <w:r>
        <w:rPr>
          <w:rFonts w:hint="eastAsia" w:eastAsia="宋体"/>
          <w:color w:val="auto"/>
          <w:sz w:val="24"/>
          <w:highlight w:val="none"/>
        </w:rPr>
        <w:t xml:space="preserve">13、编制行政事业单位政府财务报告、债务监测服务平台年度债务事项年报、资产年报、统计年报，全国教育经费统计年报等各类报表，并按照财政部《会计档案管理办法》的有关规定，整理各类财务会计资料并装订成册，会计档案的交接按相关文件规定执行。</w:t>
      </w:r>
      <w:r/>
    </w:p>
    <w:p>
      <w:pPr>
        <w:ind w:firstLine="480"/>
        <w:spacing w:line="360" w:lineRule="auto"/>
        <w:rPr>
          <w:rFonts w:eastAsia="宋体"/>
          <w:color w:val="auto"/>
          <w:sz w:val="24"/>
          <w:highlight w:val="none"/>
        </w:rPr>
      </w:pPr>
      <w:r>
        <w:rPr>
          <w:rFonts w:hint="eastAsia" w:eastAsia="宋体"/>
          <w:color w:val="auto"/>
          <w:sz w:val="24"/>
          <w:highlight w:val="none"/>
        </w:rPr>
        <w:t xml:space="preserve">14、监督代理单位是否有发生违反财经制度、相关规定，或妨碍财务管理的行为，要及时向代理单位的主管部门及狮山商务创新区财政和资产管理局反映情况。</w:t>
      </w:r>
      <w:r/>
    </w:p>
    <w:p>
      <w:pPr>
        <w:ind w:firstLine="480"/>
        <w:spacing w:line="360" w:lineRule="auto"/>
        <w:rPr>
          <w:rFonts w:eastAsia="宋体"/>
          <w:color w:val="auto"/>
          <w:sz w:val="24"/>
          <w:highlight w:val="none"/>
        </w:rPr>
      </w:pPr>
      <w:r>
        <w:rPr>
          <w:rFonts w:hint="eastAsia" w:eastAsia="宋体"/>
          <w:color w:val="auto"/>
          <w:sz w:val="24"/>
          <w:highlight w:val="none"/>
        </w:rPr>
        <w:t xml:space="preserve">15、接受代理单位对业务政策的咨询，要耐心、细致解答和认真予以解决。</w:t>
      </w:r>
      <w:r/>
    </w:p>
    <w:p>
      <w:pPr>
        <w:ind w:firstLine="480"/>
        <w:spacing w:line="360" w:lineRule="auto"/>
        <w:rPr>
          <w:rFonts w:eastAsia="宋体"/>
          <w:color w:val="auto"/>
          <w:sz w:val="24"/>
          <w:highlight w:val="none"/>
        </w:rPr>
      </w:pPr>
      <w:r>
        <w:rPr>
          <w:rFonts w:hint="eastAsia" w:eastAsia="宋体"/>
          <w:color w:val="auto"/>
          <w:sz w:val="24"/>
          <w:highlight w:val="none"/>
        </w:rPr>
        <w:t xml:space="preserve">16、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firstLine="480"/>
        <w:spacing w:line="360" w:lineRule="auto"/>
        <w:rPr>
          <w:rFonts w:eastAsia="宋体"/>
          <w:color w:val="auto"/>
          <w:sz w:val="24"/>
          <w:highlight w:val="none"/>
        </w:rPr>
      </w:pPr>
      <w:r>
        <w:rPr>
          <w:rFonts w:hint="eastAsia" w:eastAsia="宋体"/>
          <w:color w:val="auto"/>
          <w:sz w:val="24"/>
          <w:highlight w:val="none"/>
        </w:rPr>
        <w:t xml:space="preserve">17、成交的第三方机构不得以任何理由转委托第三方代为从事上述业务。</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（五）服务团队配备要求：</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主管代理记账业务的负责人不少于1人并具有中级及以上会计师职称；财务会计不少于</w:t>
      </w:r>
      <w:r>
        <w:rPr>
          <w:rFonts w:hint="eastAsia"/>
          <w:b/>
          <w:bCs/>
          <w:color w:val="auto"/>
          <w:sz w:val="24"/>
          <w:highlight w:val="none"/>
          <w:lang w:val="en-US" w:eastAsia="zh-CN"/>
        </w:rPr>
        <w:t xml:space="preserve">7</w:t>
      </w:r>
      <w:r>
        <w:rPr>
          <w:rFonts w:hint="eastAsia" w:eastAsia="宋体"/>
          <w:b/>
          <w:bCs/>
          <w:color w:val="auto"/>
          <w:sz w:val="24"/>
          <w:highlight w:val="none"/>
        </w:rPr>
        <w:t xml:space="preserve">人</w:t>
      </w:r>
      <w:r>
        <w:rPr>
          <w:rFonts w:hint="eastAsia" w:eastAsia="宋体"/>
          <w:b/>
          <w:bCs/>
          <w:color w:val="auto"/>
          <w:sz w:val="24"/>
          <w:highlight w:val="none"/>
        </w:rPr>
        <w:t xml:space="preserve">（不包括主管代理记账业务的负责人）并具有初级及以上会计师职称；其中小学、幼儿园财务会计不少于</w:t>
      </w:r>
      <w:r>
        <w:rPr>
          <w:rFonts w:hint="eastAsia"/>
          <w:b/>
          <w:bCs/>
          <w:color w:val="auto"/>
          <w:sz w:val="24"/>
          <w:highlight w:val="none"/>
          <w:lang w:val="en-US" w:eastAsia="zh-CN"/>
        </w:rPr>
        <w:t xml:space="preserve">5</w:t>
      </w:r>
      <w:r>
        <w:rPr>
          <w:rFonts w:hint="eastAsia" w:eastAsia="宋体"/>
          <w:b/>
          <w:bCs/>
          <w:color w:val="auto"/>
          <w:sz w:val="24"/>
          <w:highlight w:val="none"/>
        </w:rPr>
        <w:t xml:space="preserve">人，社区财务会计不少于2人。</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（六）服务要求与验收标准：</w:t>
      </w:r>
      <w:r/>
    </w:p>
    <w:p>
      <w:pPr>
        <w:ind w:firstLine="480"/>
        <w:spacing w:line="360" w:lineRule="auto"/>
        <w:rPr>
          <w:rFonts w:eastAsia="宋体"/>
          <w:color w:val="auto"/>
          <w:sz w:val="24"/>
          <w:highlight w:val="none"/>
        </w:rPr>
      </w:pPr>
      <w:r>
        <w:rPr>
          <w:rFonts w:hint="eastAsia" w:eastAsia="宋体"/>
          <w:color w:val="auto"/>
          <w:sz w:val="24"/>
          <w:highlight w:val="none"/>
        </w:rPr>
        <w:t xml:space="preserve">1、供应商成交后根据甲方通知到岗，在狮山商务创新区财政和资产管理局安排的办公场所工作</w:t>
      </w:r>
      <w:r>
        <w:rPr>
          <w:rFonts w:hint="eastAsia" w:eastAsia="宋体"/>
          <w:color w:val="auto"/>
          <w:sz w:val="24"/>
          <w:highlight w:val="none"/>
          <w:lang w:eastAsia="zh-CN"/>
        </w:rPr>
        <w:t xml:space="preserve">，</w:t>
      </w:r>
      <w:r>
        <w:rPr>
          <w:rFonts w:hint="eastAsia" w:eastAsia="宋体"/>
          <w:color w:val="auto"/>
          <w:sz w:val="24"/>
          <w:highlight w:val="none"/>
          <w:lang w:val="en-US" w:eastAsia="zh-CN"/>
        </w:rPr>
        <w:t xml:space="preserve">到岗人员伙食由</w:t>
      </w:r>
      <w:r>
        <w:rPr>
          <w:rFonts w:hint="eastAsia"/>
          <w:color w:val="auto"/>
          <w:sz w:val="24"/>
          <w:highlight w:val="none"/>
          <w:lang w:val="en-US" w:eastAsia="zh-CN"/>
        </w:rPr>
        <w:t xml:space="preserve">采购人提供并承担相应费用</w:t>
      </w:r>
      <w:r>
        <w:rPr>
          <w:rFonts w:hint="eastAsia" w:eastAsia="宋体"/>
          <w:color w:val="auto"/>
          <w:sz w:val="24"/>
          <w:highlight w:val="none"/>
        </w:rPr>
        <w:t xml:space="preserve">。</w:t>
      </w:r>
      <w:r/>
    </w:p>
    <w:p>
      <w:pPr>
        <w:ind w:firstLine="480"/>
        <w:spacing w:line="360" w:lineRule="auto"/>
        <w:rPr>
          <w:rFonts w:eastAsia="宋体"/>
          <w:color w:val="auto"/>
          <w:sz w:val="24"/>
          <w:highlight w:val="none"/>
        </w:rPr>
      </w:pPr>
      <w:r>
        <w:rPr>
          <w:rFonts w:hint="eastAsia" w:eastAsia="宋体"/>
          <w:color w:val="auto"/>
          <w:sz w:val="24"/>
          <w:highlight w:val="none"/>
        </w:rPr>
        <w:t xml:space="preserve">2、全体代理记账业务派驻人员（含主管代理记账业务的负责人）应遵照狮山商务创新区工作作息时间上下班。服务期间，所派驻人员不可随意更换，如需更换需获得采购方同意，否则采购方有权单方面取消采购合同。</w:t>
      </w:r>
      <w:r/>
    </w:p>
    <w:p>
      <w:pPr>
        <w:ind w:firstLine="480"/>
        <w:spacing w:line="360" w:lineRule="auto"/>
        <w:rPr>
          <w:rFonts w:eastAsia="宋体"/>
          <w:color w:val="auto"/>
          <w:sz w:val="24"/>
          <w:highlight w:val="none"/>
        </w:rPr>
      </w:pPr>
      <w:r>
        <w:rPr>
          <w:rFonts w:hint="eastAsia" w:eastAsia="宋体"/>
          <w:color w:val="auto"/>
          <w:sz w:val="24"/>
          <w:highlight w:val="none"/>
        </w:rPr>
        <w:t xml:space="preserve">3、递交的成果内容必须符合采购文件的有关要求和国家有关标准。</w:t>
      </w:r>
      <w:r/>
    </w:p>
    <w:p>
      <w:pPr>
        <w:ind w:firstLine="480"/>
        <w:spacing w:line="360" w:lineRule="auto"/>
        <w:rPr>
          <w:rFonts w:eastAsia="宋体"/>
          <w:color w:val="auto"/>
          <w:sz w:val="24"/>
          <w:highlight w:val="none"/>
        </w:rPr>
      </w:pPr>
      <w:r>
        <w:rPr>
          <w:rFonts w:hint="eastAsia" w:eastAsia="宋体"/>
          <w:color w:val="auto"/>
          <w:sz w:val="24"/>
          <w:highlight w:val="none"/>
        </w:rPr>
        <w:t xml:space="preserve">4、技术依据：为保证本项目实施的科学性、规范性和准确性，技术操作、服务需要严格遵照国家有关法律、法规、规章制度以及国家和行业颁布的相关技术标准和规范。</w:t>
      </w:r>
      <w:r/>
    </w:p>
    <w:p>
      <w:pPr>
        <w:ind w:firstLine="480"/>
        <w:spacing w:line="360" w:lineRule="auto"/>
        <w:rPr>
          <w:rFonts w:eastAsia="宋体"/>
          <w:color w:val="auto"/>
          <w:sz w:val="24"/>
          <w:highlight w:val="none"/>
        </w:rPr>
      </w:pPr>
      <w:r>
        <w:rPr>
          <w:rFonts w:hint="eastAsia" w:eastAsia="宋体"/>
          <w:color w:val="auto"/>
          <w:sz w:val="24"/>
          <w:highlight w:val="none"/>
        </w:rPr>
        <w:t xml:space="preserve">5、每月15日前（遇节假日顺延），提供财务报表（资产负债表、收入费用表、经费支出明细表、预算收入支出表）、会计数据等，进行归档。</w:t>
      </w:r>
      <w:r/>
    </w:p>
    <w:p>
      <w:pPr>
        <w:ind w:firstLine="480"/>
        <w:spacing w:line="360" w:lineRule="auto"/>
        <w:rPr>
          <w:rFonts w:eastAsia="宋体"/>
          <w:color w:val="auto"/>
          <w:sz w:val="24"/>
          <w:highlight w:val="none"/>
        </w:rPr>
      </w:pPr>
      <w:r>
        <w:rPr>
          <w:rFonts w:hint="eastAsia" w:eastAsia="宋体"/>
          <w:color w:val="auto"/>
          <w:sz w:val="24"/>
          <w:highlight w:val="none"/>
        </w:rPr>
        <w:t xml:space="preserve">6、每年末，提供下一年度预算方案及本年度的决算编制方案。</w:t>
      </w:r>
      <w:r/>
    </w:p>
    <w:p>
      <w:pPr>
        <w:ind w:firstLine="480"/>
        <w:spacing w:line="360" w:lineRule="auto"/>
        <w:rPr>
          <w:rFonts w:eastAsia="宋体"/>
          <w:color w:val="auto"/>
          <w:sz w:val="24"/>
          <w:highlight w:val="none"/>
        </w:rPr>
      </w:pPr>
      <w:r>
        <w:rPr>
          <w:rFonts w:hint="eastAsia" w:eastAsia="宋体"/>
          <w:color w:val="auto"/>
          <w:sz w:val="24"/>
          <w:highlight w:val="none"/>
        </w:rPr>
        <w:t xml:space="preserve">7、每年期间，根据代理单位需要，提供包括但不限于行政事业单位政府财务报告、债务监测服务平台年度债务事项年报、资产年报、统计年报，全国教育经费统计年报等各类报表。</w:t>
      </w:r>
      <w:r/>
    </w:p>
    <w:p>
      <w:pPr>
        <w:ind w:firstLine="480"/>
        <w:spacing w:line="360" w:lineRule="auto"/>
        <w:rPr>
          <w:rFonts w:eastAsia="宋体"/>
          <w:color w:val="auto"/>
          <w:sz w:val="24"/>
          <w:highlight w:val="none"/>
        </w:rPr>
      </w:pPr>
      <w:r>
        <w:rPr>
          <w:rFonts w:hint="eastAsia" w:eastAsia="宋体"/>
          <w:color w:val="auto"/>
          <w:sz w:val="24"/>
          <w:highlight w:val="none"/>
        </w:rPr>
        <w:t xml:space="preserve">8、每年期间，根据代理单位需要，对涉及财务事项的工作予以配合。</w:t>
      </w:r>
      <w:r/>
    </w:p>
    <w:p>
      <w:pPr>
        <w:ind w:firstLine="482"/>
        <w:spacing w:line="360" w:lineRule="auto"/>
        <w:rPr>
          <w:rFonts w:eastAsia="宋体"/>
          <w:color w:val="auto"/>
          <w:sz w:val="24"/>
          <w:highlight w:val="none"/>
        </w:rPr>
      </w:pPr>
      <w:r>
        <w:rPr>
          <w:rFonts w:hint="eastAsia" w:eastAsia="宋体"/>
          <w:b/>
          <w:bCs/>
          <w:color w:val="auto"/>
          <w:sz w:val="24"/>
          <w:highlight w:val="none"/>
        </w:rPr>
        <w:t xml:space="preserve">（七）服务考核：</w:t>
      </w:r>
      <w:r>
        <w:rPr>
          <w:rFonts w:hint="eastAsia" w:eastAsia="宋体"/>
          <w:color w:val="auto"/>
          <w:sz w:val="24"/>
          <w:highlight w:val="none"/>
        </w:rPr>
        <w:t xml:space="preserve">采购单位根据考核细则（详见附件）每季度对成交单位工作进行考核，成交单位每季度考核得分在</w:t>
      </w:r>
      <w:r>
        <w:rPr>
          <w:rFonts w:hint="eastAsia"/>
          <w:color w:val="auto"/>
          <w:sz w:val="24"/>
          <w:highlight w:val="none"/>
          <w:lang w:val="en-US" w:eastAsia="zh-CN"/>
        </w:rPr>
        <w:t xml:space="preserve">90</w:t>
      </w:r>
      <w:r>
        <w:rPr>
          <w:rFonts w:hint="eastAsia" w:eastAsia="宋体"/>
          <w:color w:val="auto"/>
          <w:sz w:val="24"/>
          <w:highlight w:val="none"/>
        </w:rPr>
        <w:t xml:space="preserve">分（含</w:t>
      </w:r>
      <w:r>
        <w:rPr>
          <w:rFonts w:hint="eastAsia"/>
          <w:color w:val="auto"/>
          <w:sz w:val="24"/>
          <w:highlight w:val="none"/>
          <w:lang w:val="en-US" w:eastAsia="zh-CN"/>
        </w:rPr>
        <w:t xml:space="preserve">90</w:t>
      </w:r>
      <w:r>
        <w:rPr>
          <w:rFonts w:hint="eastAsia" w:eastAsia="宋体"/>
          <w:color w:val="auto"/>
          <w:sz w:val="24"/>
          <w:highlight w:val="none"/>
        </w:rPr>
        <w:t xml:space="preserve">分）以上的为合格，按合同约定足额支付服务费用；考核得分在8</w:t>
      </w:r>
      <w:r>
        <w:rPr>
          <w:rFonts w:hint="eastAsia"/>
          <w:color w:val="auto"/>
          <w:sz w:val="24"/>
          <w:highlight w:val="none"/>
          <w:lang w:val="en-US" w:eastAsia="zh-CN"/>
        </w:rPr>
        <w:t xml:space="preserve">5</w:t>
      </w:r>
      <w:r>
        <w:rPr>
          <w:rFonts w:hint="eastAsia" w:eastAsia="宋体"/>
          <w:color w:val="auto"/>
          <w:sz w:val="24"/>
          <w:highlight w:val="none"/>
        </w:rPr>
        <w:t xml:space="preserve">分（含8</w:t>
      </w:r>
      <w:r>
        <w:rPr>
          <w:rFonts w:hint="eastAsia"/>
          <w:color w:val="auto"/>
          <w:sz w:val="24"/>
          <w:highlight w:val="none"/>
          <w:lang w:val="en-US" w:eastAsia="zh-CN"/>
        </w:rPr>
        <w:t xml:space="preserve">5</w:t>
      </w:r>
      <w:r>
        <w:rPr>
          <w:rFonts w:hint="eastAsia" w:eastAsia="宋体"/>
          <w:color w:val="auto"/>
          <w:sz w:val="24"/>
          <w:highlight w:val="none"/>
        </w:rPr>
        <w:t xml:space="preserve">分）-</w:t>
      </w:r>
      <w:r>
        <w:rPr>
          <w:rFonts w:hint="eastAsia"/>
          <w:color w:val="auto"/>
          <w:sz w:val="24"/>
          <w:highlight w:val="none"/>
          <w:lang w:val="en-US" w:eastAsia="zh-CN"/>
        </w:rPr>
        <w:t xml:space="preserve">90</w:t>
      </w:r>
      <w:r>
        <w:rPr>
          <w:rFonts w:hint="eastAsia" w:eastAsia="宋体"/>
          <w:color w:val="auto"/>
          <w:sz w:val="24"/>
          <w:highlight w:val="none"/>
        </w:rPr>
        <w:t xml:space="preserve">分的，采购单位有权更换相关人员并相应扣除当期服务费用的</w:t>
      </w:r>
      <w:r>
        <w:rPr>
          <w:rFonts w:hint="eastAsia"/>
          <w:color w:val="auto"/>
          <w:sz w:val="24"/>
          <w:highlight w:val="none"/>
          <w:lang w:val="en-US" w:eastAsia="zh-CN"/>
        </w:rPr>
        <w:t xml:space="preserve">2</w:t>
      </w:r>
      <w:r>
        <w:rPr>
          <w:rFonts w:hint="eastAsia" w:eastAsia="宋体"/>
          <w:color w:val="auto"/>
          <w:sz w:val="24"/>
          <w:highlight w:val="none"/>
        </w:rPr>
        <w:t xml:space="preserve">%；考核得分在8</w:t>
      </w:r>
      <w:r>
        <w:rPr>
          <w:rFonts w:hint="eastAsia"/>
          <w:color w:val="auto"/>
          <w:sz w:val="24"/>
          <w:highlight w:val="none"/>
          <w:lang w:val="en-US" w:eastAsia="zh-CN"/>
        </w:rPr>
        <w:t xml:space="preserve">5</w:t>
      </w:r>
      <w:r>
        <w:rPr>
          <w:rFonts w:hint="eastAsia" w:eastAsia="宋体"/>
          <w:color w:val="auto"/>
          <w:sz w:val="24"/>
          <w:highlight w:val="none"/>
        </w:rPr>
        <w:t xml:space="preserve">分以下的为不合格，采购单位有权终止合同并扣除当期应付服务费用的</w:t>
      </w:r>
      <w:r>
        <w:rPr>
          <w:rFonts w:hint="eastAsia"/>
          <w:color w:val="auto"/>
          <w:sz w:val="24"/>
          <w:highlight w:val="none"/>
          <w:lang w:val="en-US" w:eastAsia="zh-CN"/>
        </w:rPr>
        <w:t xml:space="preserve">5</w:t>
      </w:r>
      <w:r>
        <w:rPr>
          <w:rFonts w:hint="eastAsia" w:eastAsia="宋体"/>
          <w:color w:val="auto"/>
          <w:sz w:val="24"/>
          <w:highlight w:val="none"/>
        </w:rPr>
        <w:t xml:space="preserve">%；</w:t>
      </w:r>
      <w:r>
        <w:rPr>
          <w:rFonts w:hint="eastAsia"/>
          <w:color w:val="auto"/>
          <w:sz w:val="24"/>
          <w:highlight w:val="none"/>
          <w:lang w:val="en-US" w:eastAsia="zh-CN"/>
        </w:rPr>
        <w:t xml:space="preserve">如同类问题多次重复出现，或</w:t>
      </w:r>
      <w:r>
        <w:rPr>
          <w:rFonts w:hint="eastAsia" w:eastAsia="宋体"/>
          <w:color w:val="auto"/>
          <w:sz w:val="24"/>
          <w:highlight w:val="none"/>
        </w:rPr>
        <w:t xml:space="preserve">情况恶劣</w:t>
      </w:r>
      <w:r>
        <w:rPr>
          <w:rFonts w:hint="eastAsia"/>
          <w:color w:val="auto"/>
          <w:sz w:val="24"/>
          <w:highlight w:val="none"/>
          <w:lang w:val="en-US" w:eastAsia="zh-CN"/>
        </w:rPr>
        <w:t xml:space="preserve">及</w:t>
      </w:r>
      <w:r>
        <w:rPr>
          <w:rFonts w:hint="eastAsia" w:eastAsia="宋体"/>
          <w:color w:val="auto"/>
          <w:sz w:val="24"/>
          <w:highlight w:val="none"/>
        </w:rPr>
        <w:t xml:space="preserve">造成严重后果的可以</w:t>
      </w:r>
      <w:r>
        <w:rPr>
          <w:rFonts w:hint="eastAsia"/>
          <w:color w:val="auto"/>
          <w:sz w:val="24"/>
          <w:highlight w:val="none"/>
          <w:lang w:val="en-US" w:eastAsia="zh-CN"/>
        </w:rPr>
        <w:t xml:space="preserve">扣除当期应付服务费用的10%或</w:t>
      </w:r>
      <w:r>
        <w:rPr>
          <w:rFonts w:hint="eastAsia" w:eastAsia="宋体"/>
          <w:color w:val="auto"/>
          <w:sz w:val="24"/>
          <w:highlight w:val="none"/>
        </w:rPr>
        <w:t xml:space="preserve">不付服务费用，造成损失的照价赔偿。</w:t>
      </w:r>
      <w:r/>
    </w:p>
    <w:p>
      <w:pPr>
        <w:ind w:firstLine="482"/>
        <w:spacing w:line="360" w:lineRule="auto"/>
        <w:rPr>
          <w:rFonts w:eastAsia="宋体"/>
          <w:color w:val="auto"/>
          <w:sz w:val="24"/>
          <w:highlight w:val="none"/>
        </w:rPr>
      </w:pPr>
      <w:r>
        <w:rPr>
          <w:rFonts w:hint="eastAsia" w:eastAsia="宋体"/>
          <w:b/>
          <w:bCs/>
          <w:color w:val="auto"/>
          <w:sz w:val="24"/>
          <w:highlight w:val="none"/>
        </w:rPr>
        <w:t xml:space="preserve">（八）服务期限：</w:t>
      </w:r>
      <w:r>
        <w:rPr>
          <w:rFonts w:hint="eastAsia" w:eastAsia="宋体"/>
          <w:color w:val="auto"/>
          <w:sz w:val="24"/>
          <w:highlight w:val="none"/>
          <w:lang w:val="en-US" w:eastAsia="zh-CN"/>
        </w:rPr>
        <w:t xml:space="preserve">3</w:t>
      </w:r>
      <w:r>
        <w:rPr>
          <w:rFonts w:hint="eastAsia" w:eastAsia="宋体"/>
          <w:color w:val="auto"/>
          <w:sz w:val="24"/>
          <w:highlight w:val="none"/>
        </w:rPr>
        <w:t xml:space="preserve">年，</w:t>
      </w:r>
      <w:r>
        <w:rPr>
          <w:rFonts w:hint="eastAsia" w:eastAsia="宋体"/>
          <w:color w:val="auto"/>
          <w:sz w:val="24"/>
          <w:highlight w:val="none"/>
          <w:lang w:val="en-US" w:eastAsia="zh-CN"/>
        </w:rPr>
        <w:t xml:space="preserve">具体开始时间</w:t>
      </w:r>
      <w:r>
        <w:rPr>
          <w:rFonts w:hint="eastAsia" w:eastAsia="宋体"/>
          <w:color w:val="auto"/>
          <w:sz w:val="24"/>
          <w:highlight w:val="none"/>
        </w:rPr>
        <w:t xml:space="preserve">以甲方通知时间为准。 </w:t>
      </w:r>
      <w:r/>
    </w:p>
    <w:p>
      <w:pPr>
        <w:ind w:firstLine="482"/>
        <w:spacing w:line="360" w:lineRule="auto"/>
        <w:rPr>
          <w:rFonts w:eastAsia="宋体"/>
          <w:b w:val="0"/>
          <w:bCs w:val="0"/>
          <w:color w:val="auto"/>
          <w:sz w:val="24"/>
          <w:highlight w:val="none"/>
        </w:rPr>
      </w:pPr>
      <w:r>
        <w:rPr>
          <w:rFonts w:hint="eastAsia" w:eastAsia="宋体"/>
          <w:b/>
          <w:bCs/>
          <w:color w:val="auto"/>
          <w:sz w:val="24"/>
          <w:highlight w:val="none"/>
        </w:rPr>
        <w:t xml:space="preserve">（九）服务地点：</w:t>
      </w:r>
      <w:r>
        <w:rPr>
          <w:rFonts w:hint="eastAsia" w:eastAsia="宋体"/>
          <w:b w:val="0"/>
          <w:bCs w:val="0"/>
          <w:color w:val="auto"/>
          <w:sz w:val="24"/>
          <w:highlight w:val="none"/>
        </w:rPr>
        <w:t xml:space="preserve">苏州高新区狮山商务创新区管理办公室指定地点。</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（十）其他要求：</w:t>
      </w:r>
      <w:r/>
    </w:p>
    <w:p>
      <w:pPr>
        <w:ind w:firstLine="480"/>
        <w:spacing w:line="360" w:lineRule="auto"/>
        <w:rPr>
          <w:rFonts w:eastAsia="宋体"/>
          <w:color w:val="auto"/>
          <w:sz w:val="24"/>
          <w:highlight w:val="none"/>
        </w:rPr>
      </w:pPr>
      <w:r>
        <w:rPr>
          <w:rFonts w:hint="eastAsia" w:eastAsia="宋体"/>
          <w:color w:val="auto"/>
          <w:sz w:val="24"/>
          <w:highlight w:val="none"/>
        </w:rPr>
        <w:t xml:space="preserve">1、验收标准：经采购单位考核确认后即视为验收通过。</w:t>
      </w:r>
      <w:r/>
    </w:p>
    <w:p>
      <w:pPr>
        <w:ind w:firstLine="480"/>
        <w:spacing w:line="360" w:lineRule="auto"/>
        <w:rPr>
          <w:rFonts w:hint="eastAsia" w:eastAsia="宋体"/>
          <w:color w:val="auto"/>
          <w:sz w:val="24"/>
          <w:highlight w:val="none"/>
          <w:lang w:eastAsia="zh-CN"/>
        </w:rPr>
      </w:pPr>
      <w:r>
        <w:rPr>
          <w:rFonts w:hint="eastAsia" w:eastAsia="宋体"/>
          <w:color w:val="auto"/>
          <w:sz w:val="24"/>
          <w:highlight w:val="none"/>
        </w:rPr>
        <w:t xml:space="preserve">2、知识产权：成交单位应保证采购方免除且成交单位承担由于采购方在其本国使用时而引起第三方提出的侵犯专利权、商标权或工业设计权的起诉、行动、行政程序索赔、请求等以及采购方为此而产生的损失和损害、费用和支出（包括律师费）</w:t>
      </w:r>
      <w:r>
        <w:rPr>
          <w:rFonts w:hint="eastAsia"/>
          <w:color w:val="auto"/>
          <w:sz w:val="24"/>
          <w:highlight w:val="none"/>
          <w:lang w:eastAsia="zh-CN"/>
        </w:rPr>
        <w:t xml:space="preserve">。</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3、</w:t>
      </w:r>
      <w:r>
        <w:rPr>
          <w:rFonts w:hint="eastAsia" w:eastAsia="宋体"/>
          <w:color w:val="auto"/>
          <w:sz w:val="24"/>
          <w:highlight w:val="none"/>
          <w:lang w:val="zh-CN"/>
        </w:rPr>
        <w:t xml:space="preserve">保密要求：</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1）</w:t>
      </w:r>
      <w:r>
        <w:rPr>
          <w:rFonts w:hint="eastAsia" w:eastAsia="宋体"/>
          <w:color w:val="auto"/>
          <w:sz w:val="24"/>
          <w:highlight w:val="none"/>
          <w:lang w:val="zh-CN"/>
        </w:rPr>
        <w:t xml:space="preserve">成交单位负责对采购单位所提供资料及最终成果的保密，成交单位（包含工作人员）需遵守采购单位的保密规定，不以任何形式将收集的所有资料、数据等进行泄漏、传播，以及不得将项目成果转让给第三方重复使用。</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2）</w:t>
      </w:r>
      <w:r>
        <w:rPr>
          <w:rFonts w:hint="eastAsia" w:eastAsia="宋体"/>
          <w:color w:val="auto"/>
          <w:sz w:val="24"/>
          <w:highlight w:val="none"/>
          <w:lang w:val="zh-CN"/>
        </w:rPr>
        <w:t xml:space="preserve">项目服务人员需签署相关保密协议，承担工作中接触相关内容的保密义务；</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3）</w:t>
      </w:r>
      <w:r>
        <w:rPr>
          <w:rFonts w:hint="eastAsia" w:eastAsia="宋体"/>
          <w:color w:val="auto"/>
          <w:sz w:val="24"/>
          <w:highlight w:val="none"/>
          <w:lang w:val="zh-CN"/>
        </w:rPr>
        <w:t xml:space="preserve">项目成果最终所有权属采购单位，在项目完成时成交单位必须全部移交；</w:t>
      </w:r>
      <w:r/>
    </w:p>
    <w:p>
      <w:pPr>
        <w:ind w:firstLine="480"/>
        <w:spacing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4）</w:t>
      </w:r>
      <w:r>
        <w:rPr>
          <w:rFonts w:hint="eastAsia" w:eastAsia="宋体"/>
          <w:color w:val="auto"/>
          <w:sz w:val="24"/>
          <w:highlight w:val="none"/>
          <w:lang w:val="zh-CN"/>
        </w:rPr>
        <w:t xml:space="preserve">以上保密规定如有违反，采购单位有权追究成交单位相关法律责任。</w:t>
      </w:r>
      <w:r/>
    </w:p>
    <w:p>
      <w:pPr>
        <w:ind w:firstLine="482"/>
        <w:spacing w:line="360" w:lineRule="auto"/>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六、综合说明：</w:t>
      </w:r>
      <w:r/>
    </w:p>
    <w:p>
      <w:pPr>
        <w:ind w:firstLine="480"/>
        <w:spacing w:line="360" w:lineRule="auto"/>
        <w:rPr>
          <w:rFonts w:eastAsia="宋体"/>
          <w:color w:val="auto"/>
          <w:sz w:val="24"/>
          <w:highlight w:val="none"/>
        </w:rPr>
      </w:pPr>
      <w:r>
        <w:rPr>
          <w:rFonts w:hint="eastAsia" w:eastAsia="宋体"/>
          <w:color w:val="auto"/>
          <w:sz w:val="24"/>
          <w:highlight w:val="none"/>
        </w:rPr>
        <w:t xml:space="preserve">1、供应商提供的服务能够至少达到以上要求，同时明确详细的服务方案。</w:t>
      </w:r>
      <w:r/>
    </w:p>
    <w:p>
      <w:pPr>
        <w:ind w:firstLine="480"/>
        <w:spacing w:line="360" w:lineRule="auto"/>
        <w:rPr>
          <w:rFonts w:eastAsia="宋体"/>
          <w:color w:val="auto"/>
          <w:sz w:val="24"/>
          <w:highlight w:val="none"/>
        </w:rPr>
      </w:pPr>
      <w:r>
        <w:rPr>
          <w:rFonts w:hint="eastAsia" w:eastAsia="宋体"/>
          <w:color w:val="auto"/>
          <w:sz w:val="24"/>
          <w:highlight w:val="none"/>
        </w:rPr>
        <w:t xml:space="preserve">2、供应商必须承诺磋商文件中提出的全部要求，如果其中某些条款不响应时，应在文件中逐条列出，未列出的视同响应。</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3、供应商应对所投项目的全部内容进行报价，只投其中部分内容者，其响应文件将被拒绝。成交单位对服务缺陷不予更正，采购方有权另请其他单位更正，所发生的费用由成交单位承担。</w:t>
      </w:r>
      <w:r/>
    </w:p>
    <w:p>
      <w:pPr>
        <w:ind w:firstLine="480"/>
        <w:jc w:val="left"/>
        <w:spacing w:line="360" w:lineRule="auto"/>
        <w:tabs>
          <w:tab w:val="left" w:pos="567" w:leader="none"/>
          <w:tab w:val="left" w:pos="709" w:leader="none"/>
        </w:tabs>
        <w:rPr>
          <w:rFonts w:eastAsia="宋体"/>
          <w:color w:val="auto"/>
          <w:sz w:val="24"/>
          <w:highlight w:val="none"/>
        </w:rPr>
      </w:pPr>
      <w:r>
        <w:rPr>
          <w:rFonts w:hint="eastAsia" w:eastAsia="宋体"/>
          <w:color w:val="auto"/>
          <w:sz w:val="24"/>
          <w:highlight w:val="none"/>
        </w:rPr>
        <w:t xml:space="preserve">4、本项目实行总价包干,在服务期限内，根据实际实施需求，实际服务单位的数量可能发生变化（增加或减少），结算价不变。成交单位不得就实际服务单位数量的变化（增加或减少）要求采购单位进行赔偿。</w:t>
      </w:r>
      <w:r/>
    </w:p>
    <w:p>
      <w:pPr>
        <w:ind w:firstLine="480"/>
        <w:jc w:val="left"/>
        <w:spacing w:line="360" w:lineRule="auto"/>
        <w:tabs>
          <w:tab w:val="left" w:pos="0" w:leader="none"/>
          <w:tab w:val="left" w:pos="567" w:leader="none"/>
        </w:tabs>
        <w:rPr>
          <w:rFonts w:eastAsia="宋体"/>
          <w:color w:val="auto"/>
          <w:sz w:val="24"/>
          <w:highlight w:val="none"/>
        </w:rPr>
      </w:pPr>
      <w:r>
        <w:rPr>
          <w:rFonts w:hint="eastAsia" w:eastAsia="宋体"/>
          <w:color w:val="auto"/>
          <w:sz w:val="24"/>
          <w:highlight w:val="none"/>
        </w:rPr>
        <w:t xml:space="preserve">5、采购要求规格中所涉及的人员配备原则上不得随意改动，人员到岗时间按照采购单位要求，人员更换频次不得多于一年两人次。</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6、采购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7、成交单位工作人员在岗履行职责期间（包括上下班途中），发生自身的人身伤害、伤亡，均由成交单位负责处理并承担经济和道义上的责任，采购单位不承担任何责任。</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8、外包服务费管理方案：成交单位与采购方签订外包服务合同，并根据外包服务合同条款支付服务费（成交价格）。</w:t>
      </w:r>
      <w:r/>
    </w:p>
    <w:p>
      <w:pPr>
        <w:ind w:firstLine="480"/>
        <w:spacing w:line="360" w:lineRule="auto"/>
        <w:rPr>
          <w:rFonts w:eastAsia="宋体"/>
          <w:color w:val="auto"/>
          <w:sz w:val="24"/>
          <w:highlight w:val="none"/>
        </w:rPr>
      </w:pPr>
      <w:r>
        <w:rPr>
          <w:rFonts w:hint="eastAsia" w:eastAsia="宋体"/>
          <w:color w:val="auto"/>
          <w:sz w:val="24"/>
          <w:highlight w:val="none"/>
        </w:rPr>
        <w:t xml:space="preserve">9、政府采购合同履行中，采购人需追加与合同标的物相同的服务的，在不改变合同其他条款的前提下，采购人可以与供应商签订补充合同，但所有补充合同的采购金额不得超过原合同采购金额的百分之十。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10、成交单位对服务缺陷不予更正，甲方有权另请其他单位更正，所发生的费用由成交单位承担。</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11、若成交单位在服务期间，违反下列规定将被解除服务合同，并扣除剩余待支付费用：</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11.1、严禁将服务转包他人。</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11.2、出现重大责任问题。</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11.3、泄露相关保密信息。</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12、付款方式：详见合同特殊条款。</w:t>
      </w:r>
      <w:r/>
    </w:p>
    <w:p>
      <w:pPr>
        <w:ind w:firstLine="480"/>
        <w:jc w:val="left"/>
        <w:spacing w:line="360" w:lineRule="auto"/>
        <w:rPr>
          <w:rFonts w:asciiTheme="minorEastAsia" w:hAnsiTheme="minorEastAsia" w:eastAsiaTheme="minorEastAsia"/>
          <w:color w:val="auto"/>
          <w:sz w:val="24"/>
          <w:szCs w:val="24"/>
          <w:highlight w:val="none"/>
        </w:rPr>
      </w:pPr>
      <w:r>
        <w:rPr>
          <w:rFonts w:hint="eastAsia" w:eastAsia="宋体"/>
          <w:color w:val="auto"/>
          <w:sz w:val="24"/>
          <w:highlight w:val="none"/>
        </w:rPr>
        <w:t xml:space="preserve">13、凡涉及采购文件的补充说明和修改，均以苏州政府采购网发布的内容为准</w:t>
      </w:r>
      <w:r>
        <w:rPr>
          <w:rFonts w:hint="eastAsia" w:asciiTheme="minorEastAsia" w:hAnsiTheme="minorEastAsia" w:eastAsiaTheme="minorEastAsia"/>
          <w:color w:val="auto"/>
          <w:sz w:val="24"/>
          <w:szCs w:val="24"/>
          <w:highlight w:val="none"/>
        </w:rPr>
        <w:t xml:space="preserve">。</w:t>
      </w:r>
      <w:r/>
    </w:p>
    <w:p>
      <w:pPr>
        <w:ind w:left="420"/>
        <w:jc w:val="left"/>
        <w:spacing w:line="360" w:lineRule="auto"/>
        <w:tabs>
          <w:tab w:val="left" w:pos="360" w:leader="none"/>
          <w:tab w:val="left" w:pos="540"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五、磋商响应文件的组成及要求：</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（一）基本目录：</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1、封面</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2、开标一览表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3、磋商响应单位基本情况表；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4、拟配备人员一览表；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5、服务方案；</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6、招标文件技术部分规定提交的其他相关材料；</w:t>
      </w:r>
      <w:r/>
    </w:p>
    <w:p>
      <w:pPr>
        <w:ind w:firstLine="470"/>
        <w:spacing w:line="360" w:lineRule="auto"/>
        <w:rPr>
          <w:rFonts w:asciiTheme="minorEastAsia" w:hAnsiTheme="minorEastAsia" w:eastAsiaTheme="minorEastAsia"/>
          <w:b/>
          <w:bCs/>
          <w:color w:val="auto"/>
          <w:sz w:val="24"/>
          <w:szCs w:val="24"/>
          <w:highlight w:val="none"/>
        </w:rPr>
      </w:pPr>
      <w:r>
        <w:rPr>
          <w:rFonts w:hint="eastAsia" w:ascii="宋体" w:hAnsi="宋体" w:cs="宋体"/>
          <w:b/>
          <w:bCs/>
          <w:color w:val="auto"/>
          <w:spacing w:val="-3"/>
          <w:sz w:val="24"/>
          <w:szCs w:val="24"/>
          <w:highlight w:val="none"/>
          <w:lang w:val="en-AU"/>
        </w:rPr>
        <w:t xml:space="preserve">资格条件：</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7、具有独立承担民事责任的能力。提供包括法人或者其他组织的营业执照等证明文件，自然人的身份证明；</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8、具有良好的商业信誉和健全的财务会计制度。提供202</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年度或202</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年度经审计的财务报告，其他组织、自然人及成立未满一年的法人应提供银行出具的资信证明；</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9、具有履行合同所必需的设备和专业技术能力。提供证明材料或承诺；</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11、参加政府采购活动前三年内在经营活动中没有重大违法记录</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提供书面声明函；</w:t>
      </w:r>
      <w:r/>
    </w:p>
    <w:p>
      <w:pPr>
        <w:ind w:firstLine="480"/>
        <w:spacing w:line="360" w:lineRule="auto"/>
        <w:rPr>
          <w:rFonts w:ascii="宋体" w:hAnsi="宋体"/>
          <w:b/>
          <w:bCs/>
          <w:color w:val="auto"/>
          <w:sz w:val="24"/>
          <w:szCs w:val="24"/>
          <w:highlight w:val="none"/>
        </w:rPr>
      </w:pPr>
      <w:r>
        <w:rPr>
          <w:rFonts w:hint="eastAsia" w:asciiTheme="minorEastAsia" w:hAnsiTheme="minorEastAsia" w:eastAsiaTheme="minorEastAsia"/>
          <w:color w:val="auto"/>
          <w:sz w:val="24"/>
          <w:szCs w:val="24"/>
          <w:highlight w:val="none"/>
        </w:rPr>
        <w:t xml:space="preserve">12、</w:t>
      </w:r>
      <w:r>
        <w:rPr>
          <w:rFonts w:hint="eastAsia" w:ascii="宋体" w:hAnsi="宋体"/>
          <w:color w:val="auto"/>
          <w:sz w:val="24"/>
          <w:szCs w:val="24"/>
          <w:highlight w:val="none"/>
        </w:rPr>
        <w:t xml:space="preserve">单位负责人为同一人或者存在直接控股、管理关系的不同供应商，不得参加同一合同项下的政府采购活动,提供</w:t>
      </w:r>
      <w:r>
        <w:rPr>
          <w:rFonts w:ascii="宋体" w:hAnsi="宋体"/>
          <w:color w:val="auto"/>
          <w:sz w:val="24"/>
          <w:szCs w:val="24"/>
          <w:highlight w:val="none"/>
        </w:rPr>
        <w:t xml:space="preserve">关于资格文件的声明函</w:t>
      </w:r>
      <w:r>
        <w:rPr>
          <w:rFonts w:hint="eastAsia" w:ascii="宋体" w:hAnsi="宋体"/>
          <w:color w:val="auto"/>
          <w:sz w:val="24"/>
          <w:szCs w:val="24"/>
          <w:highlight w:val="none"/>
        </w:rPr>
        <w:t xml:space="preserve">及与其他单位存在控股、管理关系承诺及情况表</w:t>
      </w:r>
      <w:r>
        <w:rPr>
          <w:rFonts w:ascii="宋体" w:hAnsi="宋体"/>
          <w:color w:val="auto"/>
          <w:sz w:val="24"/>
          <w:szCs w:val="24"/>
          <w:highlight w:val="none"/>
        </w:rPr>
        <w:t xml:space="preserve">（详见投标文件格式）；</w:t>
      </w:r>
      <w:r/>
    </w:p>
    <w:p>
      <w:pPr>
        <w:ind w:firstLine="480"/>
        <w:jc w:val="left"/>
        <w:spacing w:line="360" w:lineRule="auto"/>
        <w:tabs>
          <w:tab w:val="left" w:pos="425"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 13、落实政府采购政策需满足的资格要求：本项目专门面向中小企业，所属行业为</w:t>
      </w:r>
      <w:r>
        <w:rPr>
          <w:rFonts w:hint="eastAsia" w:asciiTheme="minorEastAsia" w:hAnsiTheme="minorEastAsia" w:eastAsiaTheme="minorEastAsia"/>
          <w:color w:val="auto"/>
          <w:sz w:val="24"/>
          <w:szCs w:val="24"/>
          <w:highlight w:val="none"/>
          <w:lang w:eastAsia="zh-CN"/>
        </w:rPr>
        <w:t xml:space="preserve">其他未列明行业</w:t>
      </w:r>
      <w:r>
        <w:rPr>
          <w:rFonts w:hint="eastAsia" w:asciiTheme="minorEastAsia" w:hAnsiTheme="minorEastAsia" w:eastAsiaTheme="minorEastAsia"/>
          <w:color w:val="auto"/>
          <w:sz w:val="24"/>
          <w:szCs w:val="24"/>
          <w:highlight w:val="none"/>
        </w:rPr>
        <w:t xml:space="preserve">，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rPr>
          <w:rFonts w:hint="eastAsia" w:asciiTheme="minorEastAsia" w:hAnsiTheme="minorEastAsia" w:eastAsiaTheme="minorEastAsia"/>
          <w:color w:val="auto"/>
          <w:sz w:val="24"/>
          <w:szCs w:val="24"/>
          <w:highlight w:val="none"/>
          <w:lang w:eastAsia="zh-CN"/>
        </w:rPr>
        <w:t xml:space="preserve">；</w:t>
      </w:r>
      <w:r/>
    </w:p>
    <w:p>
      <w:pPr>
        <w:ind w:firstLine="480"/>
        <w:jc w:val="left"/>
        <w:spacing w:line="360" w:lineRule="auto"/>
        <w:tabs>
          <w:tab w:val="left" w:pos="425" w:leader="none"/>
        </w:tabs>
        <w:rPr>
          <w:rFonts w:hint="eastAsia" w:eastAsia="宋体" w:asciiTheme="minorEastAsia" w:hAnsi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rPr>
        <w:t xml:space="preserve">持有有效的会计师事务所执业证书或有效的代理记账许可证书</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rPr>
        <w:t xml:space="preserve">会计师事务所执业证书或有效的代理记账许可证书</w:t>
      </w:r>
      <w:r>
        <w:rPr>
          <w:rFonts w:hint="eastAsia" w:ascii="宋体" w:hAnsi="宋体" w:cs="宋体"/>
          <w:b w:val="0"/>
          <w:bCs w:val="0"/>
          <w:color w:val="auto"/>
          <w:sz w:val="24"/>
          <w:szCs w:val="24"/>
          <w:highlight w:val="none"/>
          <w:lang w:val="en-US" w:eastAsia="zh-CN"/>
        </w:rPr>
        <w:t xml:space="preserve">扫描件。</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符合条件：</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、磋商响应报价表；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、磋商响应函；</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、磋商响应单位法定代表人身份证扫描件；</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、法定代表人授权委托书（如有授权）；</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、磋商响应单位授权代理人身份证扫描件（如有授权）</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20</w:t>
      </w:r>
      <w:r>
        <w:rPr>
          <w:rFonts w:hint="eastAsia" w:asciiTheme="minorEastAsia" w:hAnsiTheme="minorEastAsia" w:eastAsiaTheme="minorEastAsia"/>
          <w:color w:val="auto"/>
          <w:sz w:val="24"/>
          <w:szCs w:val="24"/>
          <w:highlight w:val="none"/>
        </w:rPr>
        <w:t xml:space="preserve">、服务要求偏离表；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rPr>
        <w:t xml:space="preserve">、商务条款偏离表；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w:t>
      </w:r>
      <w:r>
        <w:rPr>
          <w:rFonts w:hint="eastAsia" w:ascii="宋体" w:hAnsi="宋体" w:eastAsiaTheme="minorEastAsia"/>
          <w:color w:val="auto"/>
          <w:sz w:val="24"/>
          <w:szCs w:val="24"/>
          <w:highlight w:val="none"/>
        </w:rPr>
        <w:t xml:space="preserve">响应</w:t>
      </w:r>
      <w:r>
        <w:rPr>
          <w:rFonts w:hint="eastAsia" w:ascii="宋体" w:hAnsi="宋体"/>
          <w:color w:val="auto"/>
          <w:sz w:val="24"/>
          <w:szCs w:val="24"/>
          <w:highlight w:val="none"/>
        </w:rPr>
        <w:t xml:space="preserve">对招标文件其他符合性条款的响应情况；</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综合评审评分项：</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、磋商文件评分标准中</w:t>
      </w:r>
      <w:r>
        <w:rPr>
          <w:rFonts w:hint="eastAsia" w:ascii="宋体" w:hAnsi="宋体" w:cs="宋体"/>
          <w:color w:val="auto"/>
          <w:sz w:val="24"/>
          <w:szCs w:val="24"/>
          <w:highlight w:val="none"/>
          <w:shd w:val="clear" w:color="auto" w:fill="ffffff"/>
        </w:rPr>
        <w:t xml:space="preserve">所涉及到针对本项目的证明材料等</w:t>
      </w:r>
      <w:r>
        <w:rPr>
          <w:rFonts w:hint="eastAsia" w:ascii="宋体" w:hAnsi="宋体"/>
          <w:color w:val="auto"/>
          <w:sz w:val="24"/>
          <w:szCs w:val="24"/>
          <w:highlight w:val="none"/>
        </w:rPr>
        <w:t xml:space="preserve">；</w:t>
      </w:r>
      <w:r/>
    </w:p>
    <w:p>
      <w:pPr>
        <w:ind w:firstLine="470"/>
        <w:spacing w:line="360" w:lineRule="auto"/>
        <w:rPr>
          <w:rFonts w:ascii="宋体" w:hAnsi="宋体" w:cs="宋体"/>
          <w:b/>
          <w:bCs/>
          <w:color w:val="auto"/>
          <w:spacing w:val="-3"/>
          <w:sz w:val="24"/>
          <w:szCs w:val="24"/>
          <w:highlight w:val="none"/>
          <w:lang w:val="en-AU"/>
        </w:rPr>
      </w:pPr>
      <w:r>
        <w:rPr>
          <w:rFonts w:hint="eastAsia" w:ascii="宋体" w:hAnsi="宋体" w:cs="宋体"/>
          <w:b/>
          <w:bCs/>
          <w:color w:val="auto"/>
          <w:spacing w:val="-3"/>
          <w:sz w:val="24"/>
          <w:szCs w:val="24"/>
          <w:highlight w:val="none"/>
          <w:lang w:val="en-AU"/>
        </w:rPr>
        <w:t xml:space="preserve">价格折扣文件：</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提供对应的《中小企业声明函》或《残疾人福利性单位声明函》或省级以上监狱管理局、戒毒管理局（含新疆生产建设兵团）出具的属于监狱企业的证明文件，否则不享受相应政府采购政策。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注：（1）</w:t>
      </w:r>
      <w:r>
        <w:rPr>
          <w:rFonts w:hint="eastAsia" w:asciiTheme="minorEastAsia" w:hAnsiTheme="minorEastAsia" w:eastAsiaTheme="minorEastAsia"/>
          <w:b/>
          <w:bCs/>
          <w:color w:val="auto"/>
          <w:sz w:val="24"/>
          <w:szCs w:val="24"/>
          <w:highlight w:val="none"/>
        </w:rPr>
        <w:t xml:space="preserve">以上7-1</w:t>
      </w:r>
      <w:r>
        <w:rPr>
          <w:rFonts w:hint="eastAsia" w:asciiTheme="minorEastAsia" w:hAnsiTheme="minorEastAsia" w:eastAsiaTheme="minorEastAsia"/>
          <w:b/>
          <w:bCs/>
          <w:color w:val="auto"/>
          <w:sz w:val="24"/>
          <w:szCs w:val="24"/>
          <w:highlight w:val="none"/>
          <w:lang w:val="en-US" w:eastAsia="zh-CN"/>
        </w:rPr>
        <w:t xml:space="preserve">4</w:t>
      </w:r>
      <w:r>
        <w:rPr>
          <w:rFonts w:hint="eastAsia" w:asciiTheme="minorEastAsia" w:hAnsiTheme="minorEastAsia" w:eastAsiaTheme="minorEastAsia"/>
          <w:b/>
          <w:bCs/>
          <w:color w:val="auto"/>
          <w:sz w:val="24"/>
          <w:szCs w:val="24"/>
          <w:highlight w:val="none"/>
        </w:rPr>
        <w:t xml:space="preserve">为资格审查要求提供的材料，是作为对供应商资格审查的依据，响应供应商必须提供并按格式要求签字或盖章（电子印章视同）</w:t>
      </w:r>
      <w:r>
        <w:rPr>
          <w:rFonts w:hint="eastAsia" w:asciiTheme="minorEastAsia" w:hAnsiTheme="minorEastAsia" w:eastAsiaTheme="minorEastAsia"/>
          <w:color w:val="auto"/>
          <w:sz w:val="24"/>
          <w:szCs w:val="24"/>
          <w:highlight w:val="none"/>
        </w:rPr>
        <w:t xml:space="preserve">。否则，磋商响应文件将被认定为不符合资格审查要求。</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b/>
          <w:bCs/>
          <w:color w:val="auto"/>
          <w:sz w:val="24"/>
          <w:szCs w:val="24"/>
          <w:highlight w:val="none"/>
        </w:rPr>
        <w:t xml:space="preserve">以上1</w:t>
      </w:r>
      <w:r>
        <w:rPr>
          <w:rFonts w:hint="eastAsia" w:asciiTheme="minorEastAsia" w:hAnsiTheme="minorEastAsia" w:eastAsiaTheme="minorEastAsia"/>
          <w:b/>
          <w:bCs/>
          <w:color w:val="auto"/>
          <w:sz w:val="24"/>
          <w:szCs w:val="24"/>
          <w:highlight w:val="none"/>
          <w:lang w:val="en-US" w:eastAsia="zh-CN"/>
        </w:rPr>
        <w:t xml:space="preserve">5</w:t>
      </w:r>
      <w:r>
        <w:rPr>
          <w:rFonts w:hint="eastAsia" w:asciiTheme="minorEastAsia" w:hAnsiTheme="minorEastAsia" w:eastAsiaTheme="minorEastAsia"/>
          <w:b/>
          <w:bCs/>
          <w:color w:val="auto"/>
          <w:sz w:val="24"/>
          <w:szCs w:val="24"/>
          <w:highlight w:val="none"/>
        </w:rPr>
        <w:t xml:space="preserve">-2</w:t>
      </w:r>
      <w:r>
        <w:rPr>
          <w:rFonts w:hint="eastAsia" w:asciiTheme="minorEastAsia" w:hAnsiTheme="minorEastAsia" w:eastAsiaTheme="minorEastAsia"/>
          <w:b/>
          <w:bCs/>
          <w:color w:val="auto"/>
          <w:sz w:val="24"/>
          <w:szCs w:val="24"/>
          <w:highlight w:val="none"/>
          <w:lang w:val="en-US" w:eastAsia="zh-CN"/>
        </w:rPr>
        <w:t xml:space="preserve">2</w:t>
      </w:r>
      <w:r>
        <w:rPr>
          <w:rFonts w:hint="eastAsia" w:asciiTheme="minorEastAsia" w:hAnsiTheme="minorEastAsia" w:eastAsiaTheme="minorEastAsia"/>
          <w:b/>
          <w:bCs/>
          <w:color w:val="auto"/>
          <w:sz w:val="24"/>
          <w:szCs w:val="24"/>
          <w:highlight w:val="none"/>
        </w:rPr>
        <w:t xml:space="preserve">为符合性审查须提供的资料，响应供应商必须提供并按格式要求签字或盖章（电子印章视同）。否则，磋商响应文件将被认定为未实质性响应。</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b/>
          <w:bCs/>
          <w:color w:val="auto"/>
          <w:sz w:val="24"/>
          <w:szCs w:val="24"/>
          <w:highlight w:val="none"/>
        </w:rPr>
        <w:t xml:space="preserve">制作电子响应文件时必须与响应文件制作软件目录一一对应，将相关资料上传至相应模块。</w:t>
      </w:r>
      <w:r>
        <w:rPr>
          <w:rFonts w:hint="eastAsia" w:asciiTheme="minorEastAsia" w:hAnsiTheme="minorEastAsia" w:eastAsiaTheme="minorEastAsia"/>
          <w:color w:val="auto"/>
          <w:sz w:val="24"/>
          <w:szCs w:val="24"/>
          <w:highlight w:val="none"/>
        </w:rPr>
        <w:t xml:space="preserve">注意不要漏项。如有不确定上传的位置的，可以上传至其他资料或上传至符合性审查资料。</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rPr>
          <w:rFonts w:hint="eastAsia" w:asciiTheme="minorEastAsia" w:hAnsiTheme="minorEastAsia" w:eastAsiaTheme="minorEastAsia"/>
          <w:b/>
          <w:bCs/>
          <w:color w:val="auto"/>
          <w:sz w:val="24"/>
          <w:szCs w:val="24"/>
          <w:highlight w:val="none"/>
        </w:rPr>
        <w:t xml:space="preserve">磋商响应文件编制要求</w:t>
      </w:r>
      <w:r>
        <w:rPr>
          <w:rFonts w:hint="eastAsia" w:asciiTheme="minorEastAsia" w:hAnsiTheme="minorEastAsia" w:eastAsiaTheme="minorEastAsia"/>
          <w:color w:val="auto"/>
          <w:sz w:val="24"/>
          <w:szCs w:val="24"/>
          <w:highlight w:val="none"/>
        </w:rPr>
        <w:t xml:space="preserve">：本项目采用电子招投标形式，请供应商按照《苏采云系统供应商操作手册》进行制作、上传电子响应文件。</w:t>
      </w:r>
      <w:r>
        <w:rPr>
          <w:rFonts w:hint="eastAsia" w:asciiTheme="minorEastAsia" w:hAnsiTheme="minorEastAsia" w:eastAsiaTheme="minorEastAsia"/>
          <w:b/>
          <w:bCs/>
          <w:color w:val="auto"/>
          <w:sz w:val="24"/>
          <w:szCs w:val="24"/>
          <w:highlight w:val="none"/>
        </w:rPr>
        <w:t xml:space="preserve">电子响应文件制作完成后请于响应文件递交截止时间前成功上传至“苏采云”系统，否则视为放弃参加该采购项目</w:t>
      </w:r>
      <w:r>
        <w:rPr>
          <w:rFonts w:hint="eastAsia" w:asciiTheme="minorEastAsia" w:hAnsiTheme="minorEastAsia" w:eastAsiaTheme="minorEastAsia"/>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2"/>
        <w:jc w:val="left"/>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（二）文件要求：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本项目采用电子招投标形式，请供应商按照《苏采云系统供应商操作手册》进行制作、上传电子投标文件。</w:t>
      </w:r>
      <w:r>
        <w:rPr>
          <w:rFonts w:hint="eastAsia" w:ascii="宋体" w:hAnsi="宋体" w:cs="宋体"/>
          <w:color w:val="auto"/>
          <w:sz w:val="24"/>
          <w:szCs w:val="24"/>
          <w:highlight w:val="none"/>
        </w:rPr>
        <w:t xml:space="preserve">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（三）电子投标（响应）文件的编制与递交</w:t>
      </w:r>
      <w:r/>
    </w:p>
    <w:p>
      <w:pPr>
        <w:ind w:firstLine="480"/>
        <w:spacing w:line="360" w:lineRule="auto"/>
        <w:rPr>
          <w:rFonts w:ascii="宋体" w:hAnsi="宋体" w:cs="宋体"/>
          <w:color w:val="auto"/>
          <w:sz w:val="24"/>
          <w:szCs w:val="24"/>
          <w:highlight w:val="none"/>
        </w:rPr>
      </w:pPr>
      <w:r/>
      <w:bookmarkStart w:id="2" w:name="_Hlk132648568"/>
      <w:r>
        <w:rPr>
          <w:rFonts w:hint="eastAsia" w:ascii="宋体" w:hAnsi="宋体" w:cs="宋体"/>
          <w:color w:val="auto"/>
          <w:sz w:val="24"/>
          <w:szCs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2、电子投标（响应)文件递交：供应商应当按照《操作手册》指引，</w:t>
      </w:r>
      <w:r>
        <w:rPr>
          <w:rFonts w:hint="eastAsia" w:ascii="宋体" w:hAnsi="宋体" w:cs="宋体"/>
          <w:b/>
          <w:color w:val="auto"/>
          <w:sz w:val="24"/>
          <w:szCs w:val="24"/>
          <w:highlight w:val="none"/>
        </w:rPr>
        <w:t xml:space="preserve">在投标（响应）文件提交截止时间前完成电子投标（响应）文件的上传，未按要求成功上传的投标（响应）文件视为未递交。</w:t>
      </w:r>
      <w:r>
        <w:rPr>
          <w:rFonts w:hint="eastAsia" w:ascii="宋体" w:hAnsi="宋体" w:cs="宋体"/>
          <w:color w:val="auto"/>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3、 </w:t>
      </w:r>
      <w:r>
        <w:rPr>
          <w:rFonts w:hint="eastAsia" w:ascii="宋体" w:hAnsi="宋体" w:cs="宋体"/>
          <w:b/>
          <w:color w:val="auto"/>
          <w:sz w:val="24"/>
          <w:szCs w:val="24"/>
          <w:highlight w:val="none"/>
        </w:rPr>
        <w:t xml:space="preserve">响应文件未按照磋商文件要求加盖CA电子公章的，响应无效。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4、联合体投标：如招标（采购）公告中允许联合体投标，联合体投标的投标（响应）文件制作上传操作如下：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第一步：在投标（响应）文件中上传联合体投标协议书。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第二步；在投标（响应）文件中，由联合体中的牵头人制作投标（响应）文件。</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5、如投标（响应）文件制作机器码信息一致，视为不同投标供应商使用同一台电脑编制投标（响应）文件，投标（响应）无效。</w:t>
      </w:r>
      <w:r/>
    </w:p>
    <w:p>
      <w:pPr>
        <w:ind w:firstLine="482"/>
        <w:spacing w:line="360" w:lineRule="auto"/>
        <w:tabs>
          <w:tab w:val="left" w:pos="142" w:leader="none"/>
          <w:tab w:val="left" w:pos="60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响应文件的修改和撤回</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jc w:val="left"/>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（四）磋商综合说明：</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1、供应商提供的服务能够至少达到以上要求，同时明确详细的服务方案。</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2、供应商必须承诺磋商文件中提出的全部要求，如果其中某些条款不响应时，应在文件中逐条列出，未列出的视同响应。</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3、供应商应对所投项目的全部内容进行报价，只投其中部分内容者，其响应文件将被拒绝。成交供应商对服务缺陷不予更正，采购方有权另请其他单位更正，所发生的费用由成交供应商承担。</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本次</w:t>
      </w:r>
      <w:r>
        <w:rPr>
          <w:rFonts w:hint="eastAsia" w:asciiTheme="minorEastAsia" w:hAnsiTheme="minorEastAsia" w:eastAsiaTheme="minorEastAsia"/>
          <w:color w:val="auto"/>
          <w:sz w:val="24"/>
          <w:szCs w:val="24"/>
          <w:highlight w:val="none"/>
        </w:rPr>
        <w:t xml:space="preserve">竞争性磋商</w:t>
      </w:r>
      <w:r>
        <w:rPr>
          <w:rFonts w:asciiTheme="minorEastAsia" w:hAnsiTheme="minorEastAsia" w:eastAsiaTheme="minorEastAsia"/>
          <w:color w:val="auto"/>
          <w:sz w:val="24"/>
          <w:szCs w:val="24"/>
          <w:highlight w:val="none"/>
        </w:rPr>
        <w:t xml:space="preserve">各供应商须对全部内容进行响应，只报其中部分内容的，为无效报价，并不得出现选择性报价。</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供应商须具备独立完成本项目的能力。因此各供应商可在投标前自行进行调研，了解项目情况及详细需求，但响应不得因此使招标单位承担有关的责任和蒙受损失。响应应承担前期调研的责任和风险。响应中标后，不得以不了解项目情况及详细需求为理由而向采购单位提出任何索赔的要求，对此采购单位不再承担任何责任。</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磋商保证金：</w:t>
      </w:r>
      <w:r>
        <w:rPr>
          <w:rFonts w:hint="eastAsia" w:asciiTheme="minorEastAsia" w:hAnsiTheme="minorEastAsia" w:eastAsiaTheme="minorEastAsia"/>
          <w:color w:val="auto"/>
          <w:sz w:val="24"/>
          <w:szCs w:val="24"/>
          <w:highlight w:val="none"/>
        </w:rPr>
        <w:t xml:space="preserve">本项目不提交磋商保证金，文件内关于磋商保证金的相关规定均不适用。</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lang w:val="en-US" w:eastAsia="zh-CN"/>
        </w:rPr>
        <w:t xml:space="preserve">代理</w:t>
      </w:r>
      <w:r>
        <w:rPr>
          <w:rFonts w:hint="eastAsia" w:asciiTheme="minorEastAsia" w:hAnsiTheme="minorEastAsia" w:eastAsiaTheme="minorEastAsia"/>
          <w:color w:val="auto"/>
          <w:sz w:val="24"/>
          <w:szCs w:val="24"/>
          <w:highlight w:val="none"/>
        </w:rPr>
        <w:t xml:space="preserve">服务费</w:t>
      </w:r>
      <w:r>
        <w:rPr>
          <w:rFonts w:hint="eastAsia" w:asciiTheme="minorEastAsia" w:hAnsiTheme="minorEastAsia" w:eastAsiaTheme="minorEastAsia"/>
          <w:color w:val="auto"/>
          <w:sz w:val="24"/>
          <w:szCs w:val="24"/>
          <w:highlight w:val="none"/>
          <w:lang w:eastAsia="zh-CN"/>
        </w:rPr>
        <w:t xml:space="preserve">：本项目采购预算内含代理服务费，为优化采购资金使用效率，依据《政府采购代理机构管理暂行办法》（财库〔2018〕2号）第十五条</w:t>
      </w:r>
      <w:r>
        <w:rPr>
          <w:rFonts w:hint="eastAsia" w:asciiTheme="minorEastAsia" w:hAnsiTheme="minorEastAsia" w:eastAsiaTheme="minorEastAsia"/>
          <w:color w:val="auto"/>
          <w:sz w:val="24"/>
          <w:szCs w:val="24"/>
          <w:highlight w:val="none"/>
          <w:lang w:eastAsia="zh-CN"/>
        </w:rPr>
        <w:t xml:space="preserve">规定，经采购人研究确定，本项目代理服务费由中标（成交）人支付，投标人报价内须包含代理服务费，支付金额的收费标准为预算金额100万以下费率为预算金额的1.5%；预算金额100万-500万费率为预算金额的1.1%；预算金额500万-1000万费率为预算金额的0.8%；预算金额1000万-5000万费率为预算金额的0.5%；低于3000元的按照3000元计取，确定收费标准的依据是苏州市级政府采购代理服务收费公告；收取方式：中标（成交）人在领取中标（成交）通知书前，一次性向采购代理机构足额支付；支付方式为银行转账。</w:t>
      </w:r>
      <w:r/>
    </w:p>
    <w:p>
      <w:pPr>
        <w:pStyle w:val="1015"/>
        <w:ind w:firstLine="480"/>
        <w:spacing w:line="360" w:lineRule="auto"/>
        <w:tabs>
          <w:tab w:val="left" w:pos="189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本项目代理服务费：</w:t>
      </w:r>
      <w:r>
        <w:rPr>
          <w:rFonts w:hint="eastAsia" w:hAnsi="宋体" w:cs="宋体"/>
          <w:color w:val="auto"/>
          <w:sz w:val="24"/>
          <w:szCs w:val="24"/>
          <w:highlight w:val="none"/>
          <w:lang w:val="en-US" w:eastAsia="zh-CN"/>
        </w:rPr>
        <w:t xml:space="preserve">42581</w:t>
      </w:r>
      <w:r>
        <w:rPr>
          <w:rFonts w:hint="eastAsia" w:hAnsi="宋体" w:eastAsia="宋体" w:cs="宋体"/>
          <w:color w:val="auto"/>
          <w:sz w:val="24"/>
          <w:szCs w:val="24"/>
          <w:highlight w:val="none"/>
        </w:rPr>
        <w:t xml:space="preserve">.00元。</w:t>
      </w:r>
      <w:r/>
    </w:p>
    <w:p>
      <w:pPr>
        <w:pStyle w:val="1015"/>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服务费交纳账户：</w:t>
      </w:r>
      <w:r/>
    </w:p>
    <w:p>
      <w:pPr>
        <w:pStyle w:val="1015"/>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名称：苏州海企国际工程咨询有限公司</w:t>
      </w:r>
      <w:r/>
    </w:p>
    <w:p>
      <w:pPr>
        <w:pStyle w:val="1015"/>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账号：512909799610701</w:t>
      </w:r>
      <w:r/>
    </w:p>
    <w:p>
      <w:pPr>
        <w:pStyle w:val="1015"/>
        <w:ind w:firstLine="480"/>
        <w:spacing w:line="360" w:lineRule="auto"/>
        <w:tabs>
          <w:tab w:val="left" w:pos="189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开户行：【招商银行股份有限公司苏州城西支行】</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w:t>
      </w:r>
      <w:r>
        <w:rPr>
          <w:rFonts w:asciiTheme="minorEastAsia" w:hAnsiTheme="minorEastAsia" w:eastAsiaTheme="minorEastAsia"/>
          <w:color w:val="auto"/>
          <w:sz w:val="24"/>
          <w:szCs w:val="24"/>
          <w:highlight w:val="none"/>
        </w:rPr>
        <w:t xml:space="preserve">、有下列情形之一的，磋商保证金不予退还：</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1）供应商在提交响应文件截止时间后撤回响应文件的；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2）供应商在响应文件中提供虚假材料的；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3）除因不可抗力或</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文件认可的情形以外，</w:t>
      </w:r>
      <w:r>
        <w:rPr>
          <w:rFonts w:hint="eastAsia" w:asciiTheme="minorEastAsia" w:hAnsiTheme="minorEastAsia" w:eastAsiaTheme="minorEastAsia"/>
          <w:color w:val="auto"/>
          <w:sz w:val="24"/>
          <w:szCs w:val="24"/>
          <w:highlight w:val="none"/>
        </w:rPr>
        <w:t xml:space="preserve">成交单位</w:t>
      </w:r>
      <w:r>
        <w:rPr>
          <w:rFonts w:asciiTheme="minorEastAsia" w:hAnsiTheme="minorEastAsia" w:eastAsiaTheme="minorEastAsia"/>
          <w:color w:val="auto"/>
          <w:sz w:val="24"/>
          <w:szCs w:val="24"/>
          <w:highlight w:val="none"/>
        </w:rPr>
        <w:t xml:space="preserve">不与采购人签订合同的；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4）供应商与采购人、其他供应商或者采购代理机构恶意串通的；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文件规定的其他情形。</w:t>
      </w:r>
      <w:r/>
    </w:p>
    <w:p>
      <w:pPr>
        <w:ind w:firstLine="480"/>
        <w:jc w:val="left"/>
        <w:spacing w:line="360" w:lineRule="auto"/>
        <w:tabs>
          <w:tab w:val="left" w:pos="425" w:leader="none"/>
          <w:tab w:val="left" w:pos="993"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w:t>
      </w:r>
      <w:r>
        <w:rPr>
          <w:rFonts w:asciiTheme="minorEastAsia" w:hAnsiTheme="minorEastAsia" w:eastAsiaTheme="minorEastAsia"/>
          <w:color w:val="auto"/>
          <w:sz w:val="24"/>
          <w:szCs w:val="24"/>
          <w:highlight w:val="none"/>
        </w:rPr>
        <w:t xml:space="preserve">知识产权：</w:t>
      </w:r>
      <w:r/>
    </w:p>
    <w:p>
      <w:pPr>
        <w:pStyle w:val="896"/>
        <w:ind w:firstLine="480"/>
        <w:spacing w:line="360" w:lineRule="auto"/>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采购人与成交人签署采购合同后，采购人在该项目中拥有成交方案的使用权。成交人应保护采购人一旦使用其成交方案不能受到来自第三方的侵权诉讼或索赔，否则成交人应承担由此而产生的一切责任。</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9.磋商说明：</w:t>
      </w:r>
      <w:r/>
    </w:p>
    <w:p>
      <w:pPr>
        <w:ind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参加磋商的供应商必须提供磋商代表的身份证明原件和法定代表人授权委托书原件（法定代表人为磋商代表的可不提供）；</w:t>
      </w:r>
      <w:r/>
    </w:p>
    <w:p>
      <w:pPr>
        <w:ind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磋商响应文件的签署不符合要求的，磋商响应文件将被拒绝；</w:t>
      </w:r>
      <w:r/>
    </w:p>
    <w:p>
      <w:pPr>
        <w:ind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供应商的响应报价（包括最后报价）均超过采购预算的，磋商采购失败。</w:t>
      </w:r>
      <w:r/>
    </w:p>
    <w:p>
      <w:pPr>
        <w:ind w:firstLine="480"/>
        <w:jc w:val="left"/>
        <w:spacing w:line="360" w:lineRule="auto"/>
        <w:tabs>
          <w:tab w:val="left" w:pos="420" w:leader="none"/>
        </w:tabs>
        <w:rPr>
          <w:rFonts w:ascii="宋体" w:hAnsi="宋体"/>
          <w:color w:val="auto"/>
          <w:sz w:val="24"/>
          <w:highlight w:val="none"/>
        </w:rPr>
      </w:pPr>
      <w:r>
        <w:rPr>
          <w:rFonts w:hint="eastAsia" w:ascii="宋体" w:hAnsi="宋体"/>
          <w:bCs/>
          <w:color w:val="auto"/>
          <w:sz w:val="24"/>
          <w:highlight w:val="none"/>
        </w:rPr>
        <w:t xml:space="preserve">（4）响应文件属下列情况之一的，磋商小组将按无效投标处理：</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1）响应文件载明的投标有效期短于磋商文件规定；</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2）响应文件载明的招标项目完成期限不满足磋商文件规定；</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3）响应文件载明的履约保证、付款方式不满足磋商文件规定；</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5）不同供应商的响应文件以及响应文件制作过程出现了磋商小组认为不应当雷同的情况的；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6）不同供应商的响应文件存在“视为串通投标”的情形；</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cs="宋体"/>
          <w:bCs/>
          <w:color w:val="auto"/>
          <w:sz w:val="24"/>
          <w:szCs w:val="24"/>
          <w:highlight w:val="none"/>
        </w:rPr>
        <w:t xml:space="preserve">不同供应商响应文件“机器码一致”的情形；</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8）供应商的报价存在选择性的；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9）供应商的报价或响应只响应了项目中部分招标内容；</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10）供应商拒绝修正错误影响评标的；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11）响应文件不符合磋商文件规定的其他实质性条款；</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12）响应文件存在磋商文件规定的其他无效投标情形的；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13）供应商的响应报价（含最后报价）超过采购预算的；</w:t>
      </w:r>
      <w:r/>
    </w:p>
    <w:p>
      <w:pPr>
        <w:ind w:firstLine="480"/>
        <w:jc w:val="left"/>
        <w:spacing w:line="360" w:lineRule="auto"/>
        <w:tabs>
          <w:tab w:val="left" w:pos="420" w:leader="none"/>
        </w:tabs>
        <w:rPr>
          <w:rFonts w:ascii="宋体" w:hAnsi="宋体" w:cs="宋体"/>
          <w:color w:val="auto"/>
          <w:sz w:val="24"/>
          <w:szCs w:val="24"/>
          <w:highlight w:val="none"/>
        </w:rPr>
      </w:pPr>
      <w:r>
        <w:rPr>
          <w:rFonts w:hint="eastAsia" w:ascii="宋体" w:hAnsi="宋体"/>
          <w:bCs/>
          <w:color w:val="auto"/>
          <w:sz w:val="24"/>
          <w:szCs w:val="24"/>
          <w:highlight w:val="none"/>
        </w:rPr>
        <w:t xml:space="preserve">14）供应商资格不符合磋商文件要求的。</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10.项目的终止</w:t>
      </w:r>
      <w:r/>
    </w:p>
    <w:p>
      <w:pPr>
        <w:ind w:firstLine="480"/>
        <w:jc w:val="left"/>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出现下列情形之一的，</w:t>
      </w:r>
      <w:r>
        <w:rPr>
          <w:rFonts w:hint="eastAsia" w:asciiTheme="minorEastAsia" w:hAnsiTheme="minorEastAsia" w:eastAsiaTheme="minorEastAsia"/>
          <w:color w:val="auto"/>
          <w:sz w:val="24"/>
          <w:szCs w:val="24"/>
          <w:highlight w:val="none"/>
        </w:rPr>
        <w:t xml:space="preserve">将</w:t>
      </w:r>
      <w:r>
        <w:rPr>
          <w:rFonts w:asciiTheme="minorEastAsia" w:hAnsiTheme="minorEastAsia" w:eastAsiaTheme="minorEastAsia"/>
          <w:color w:val="auto"/>
          <w:sz w:val="24"/>
          <w:szCs w:val="24"/>
          <w:highlight w:val="none"/>
        </w:rPr>
        <w:t xml:space="preserve">终止采购活动：</w:t>
      </w:r>
      <w:r/>
    </w:p>
    <w:p>
      <w:pPr>
        <w:ind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因情况变化，不再符合规定的</w:t>
      </w:r>
      <w:r>
        <w:rPr>
          <w:rFonts w:hint="eastAsia" w:asciiTheme="minorEastAsia" w:hAnsiTheme="minorEastAsia" w:eastAsiaTheme="minorEastAsia"/>
          <w:color w:val="auto"/>
          <w:sz w:val="24"/>
          <w:szCs w:val="24"/>
          <w:highlight w:val="none"/>
        </w:rPr>
        <w:t xml:space="preserve">竞争性磋商</w:t>
      </w:r>
      <w:r>
        <w:rPr>
          <w:rFonts w:asciiTheme="minorEastAsia" w:hAnsiTheme="minorEastAsia" w:eastAsiaTheme="minorEastAsia"/>
          <w:color w:val="auto"/>
          <w:sz w:val="24"/>
          <w:szCs w:val="24"/>
          <w:highlight w:val="none"/>
        </w:rPr>
        <w:t xml:space="preserve">采购方式适用情形的；</w:t>
      </w:r>
      <w:r/>
    </w:p>
    <w:p>
      <w:pPr>
        <w:ind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出现影响采购公正的违法、违规行为的；</w:t>
      </w:r>
      <w:r/>
    </w:p>
    <w:p>
      <w:pPr>
        <w:ind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在采购过程中符合竞争要求的供应商或者报价未超过采购预算的供应商不足</w:t>
      </w: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家的。</w:t>
      </w:r>
      <w:r/>
    </w:p>
    <w:p>
      <w:pPr>
        <w:ind w:firstLine="480"/>
        <w:jc w:val="left"/>
        <w:spacing w:line="360" w:lineRule="auto"/>
        <w:tabs>
          <w:tab w:val="left" w:pos="425" w:leader="none"/>
        </w:tabs>
        <w:rPr>
          <w:rFonts w:ascii="宋体" w:hAnsi="宋体" w:cs="宋体"/>
          <w:color w:val="auto"/>
          <w:sz w:val="24"/>
          <w:highlight w:val="none"/>
        </w:rPr>
      </w:pPr>
      <w:r>
        <w:rPr>
          <w:rFonts w:hint="eastAsia" w:ascii="宋体" w:hAnsi="宋体" w:cs="宋体"/>
          <w:color w:val="auto"/>
          <w:sz w:val="24"/>
          <w:highlight w:val="none"/>
        </w:rPr>
        <w:t xml:space="preserve">11.采购单位或其委托的代理机构根据相关规定发布成交公告，成交公告发出的同时应当向</w:t>
      </w:r>
      <w:r>
        <w:rPr>
          <w:rFonts w:hint="eastAsia" w:ascii="宋体" w:hAnsi="宋体" w:cs="宋体"/>
          <w:color w:val="auto"/>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12.</w:t>
      </w:r>
      <w:r>
        <w:rPr>
          <w:rFonts w:asciiTheme="minorEastAsia" w:hAnsiTheme="minorEastAsia" w:eastAsiaTheme="minorEastAsia"/>
          <w:color w:val="auto"/>
          <w:sz w:val="24"/>
          <w:szCs w:val="24"/>
          <w:highlight w:val="none"/>
        </w:rPr>
        <w:t xml:space="preserve">凡涉及</w:t>
      </w:r>
      <w:r>
        <w:rPr>
          <w:rFonts w:hint="eastAsia" w:asciiTheme="minorEastAsia" w:hAnsiTheme="minorEastAsia" w:eastAsiaTheme="minorEastAsia"/>
          <w:color w:val="auto"/>
          <w:sz w:val="24"/>
          <w:szCs w:val="24"/>
          <w:highlight w:val="none"/>
        </w:rPr>
        <w:t xml:space="preserve">磋商采购文件</w:t>
      </w:r>
      <w:r>
        <w:rPr>
          <w:rFonts w:asciiTheme="minorEastAsia" w:hAnsiTheme="minorEastAsia" w:eastAsiaTheme="minorEastAsia"/>
          <w:color w:val="auto"/>
          <w:sz w:val="24"/>
          <w:szCs w:val="24"/>
          <w:highlight w:val="none"/>
        </w:rPr>
        <w:t xml:space="preserve">的补充说明和修改，均以</w:t>
      </w:r>
      <w:r>
        <w:rPr>
          <w:rFonts w:hint="eastAsia" w:asciiTheme="minorEastAsia" w:hAnsiTheme="minorEastAsia" w:eastAsiaTheme="minorEastAsia"/>
          <w:color w:val="auto"/>
          <w:sz w:val="24"/>
          <w:szCs w:val="24"/>
          <w:highlight w:val="none"/>
        </w:rPr>
        <w:t xml:space="preserve">苏州政府采购网上发布的</w:t>
      </w:r>
      <w:r>
        <w:rPr>
          <w:rFonts w:asciiTheme="minorEastAsia" w:hAnsiTheme="minorEastAsia" w:eastAsiaTheme="minorEastAsia"/>
          <w:color w:val="auto"/>
          <w:sz w:val="24"/>
          <w:szCs w:val="24"/>
          <w:highlight w:val="none"/>
        </w:rPr>
        <w:t xml:space="preserve">通知为准</w:t>
      </w:r>
      <w:r>
        <w:rPr>
          <w:rFonts w:hint="eastAsia" w:asciiTheme="minorEastAsia" w:hAnsiTheme="minorEastAsia" w:eastAsiaTheme="minorEastAsia"/>
          <w:color w:val="auto"/>
          <w:sz w:val="24"/>
          <w:szCs w:val="24"/>
          <w:highlight w:val="none"/>
        </w:rPr>
        <w:t xml:space="preserve">。</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13.落实政府采购政策：</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13.1、</w:t>
      </w:r>
      <w:r>
        <w:rPr>
          <w:rFonts w:hint="eastAsia" w:ascii="宋体" w:hAnsi="宋体"/>
          <w:color w:val="auto"/>
          <w:sz w:val="24"/>
          <w:szCs w:val="24"/>
          <w:highlight w:val="none"/>
        </w:rPr>
        <w:t xml:space="preserve">根据政府采购法及相关法规，以及</w:t>
      </w:r>
      <w:r>
        <w:rPr>
          <w:rFonts w:hint="eastAsia" w:ascii="宋体" w:hAnsi="宋体"/>
          <w:bCs/>
          <w:color w:val="auto"/>
          <w:sz w:val="24"/>
          <w:szCs w:val="24"/>
          <w:highlight w:val="none"/>
        </w:rPr>
        <w:t xml:space="preserve">苏州市财政局《</w:t>
      </w:r>
      <w:r>
        <w:rPr>
          <w:rFonts w:hint="eastAsia" w:ascii="宋体" w:hAnsi="宋体"/>
          <w:bCs/>
          <w:color w:val="auto"/>
          <w:sz w:val="24"/>
          <w:szCs w:val="24"/>
          <w:highlight w:val="none"/>
        </w:rPr>
        <w:t xml:space="preserve">关于苏州市政府采购网下线“供应商信用查询”功能的通知</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12.1.1查询时间：</w:t>
      </w:r>
      <w:r>
        <w:rPr>
          <w:rFonts w:hint="eastAsia" w:ascii="宋体" w:hAnsi="宋体"/>
          <w:color w:val="auto"/>
          <w:sz w:val="24"/>
          <w:szCs w:val="24"/>
          <w:highlight w:val="none"/>
        </w:rPr>
        <w:t xml:space="preserve">响应文件递交截止时间。</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12.1.2查询渠道：采购代理机构会在接收响应文件截止时间后，登录“信用中国”和“中国政府采购网”查询供应商的信用记录。</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12.1.3查询证据留存方式：</w:t>
      </w:r>
      <w:r>
        <w:rPr>
          <w:rFonts w:hint="eastAsia" w:ascii="宋体" w:hAnsi="宋体"/>
          <w:color w:val="auto"/>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12.1.4</w:t>
      </w:r>
      <w:r>
        <w:rPr>
          <w:rFonts w:hint="eastAsia" w:ascii="宋体" w:hAnsi="宋体"/>
          <w:bCs/>
          <w:color w:val="auto"/>
          <w:sz w:val="24"/>
          <w:szCs w:val="24"/>
          <w:highlight w:val="none"/>
        </w:rPr>
        <w:t xml:space="preserve">信用记录使用规则：</w:t>
      </w:r>
      <w:r/>
    </w:p>
    <w:p>
      <w:pPr>
        <w:ind w:firstLine="549"/>
        <w:spacing w:line="360" w:lineRule="auto"/>
        <w:rPr>
          <w:rFonts w:ascii="宋体" w:hAnsi="宋体" w:cs="宋体"/>
          <w:b/>
          <w:color w:val="auto"/>
          <w:sz w:val="24"/>
          <w:szCs w:val="24"/>
          <w:highlight w:val="none"/>
        </w:rPr>
      </w:pPr>
      <w:r>
        <w:rPr>
          <w:rFonts w:hint="eastAsia" w:ascii="宋体" w:hAnsi="宋体"/>
          <w:bCs/>
          <w:color w:val="auto"/>
          <w:sz w:val="24"/>
          <w:szCs w:val="24"/>
          <w:highlight w:val="none"/>
        </w:rPr>
        <w:t xml:space="preserve">评审</w:t>
      </w:r>
      <w:r>
        <w:rPr>
          <w:rFonts w:hint="eastAsia" w:ascii="宋体" w:hAnsi="宋体"/>
          <w:color w:val="auto"/>
          <w:sz w:val="24"/>
          <w:szCs w:val="24"/>
          <w:highlight w:val="none"/>
        </w:rPr>
        <w:t xml:space="preserve">小组在对供应商进行资格性审查时，应根据查询结果对供应商的不良信用记录逐项甄别确认。</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13.2、针对中小型企业的评审：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（1）本项目为</w:t>
      </w:r>
      <w:r>
        <w:rPr>
          <w:rFonts w:hint="eastAsia" w:ascii="宋体" w:hAnsi="宋体" w:cs="宋体"/>
          <w:b/>
          <w:bCs/>
          <w:color w:val="auto"/>
          <w:sz w:val="24"/>
          <w:szCs w:val="24"/>
          <w:highlight w:val="none"/>
          <w:u w:val="single"/>
        </w:rPr>
        <w:t xml:space="preserve">专门面向中小企业采购</w:t>
      </w:r>
      <w:r>
        <w:rPr>
          <w:rFonts w:hint="eastAsia" w:ascii="宋体" w:hAnsi="宋体" w:cs="宋体"/>
          <w:color w:val="auto"/>
          <w:sz w:val="24"/>
          <w:szCs w:val="24"/>
          <w:highlight w:val="none"/>
        </w:rPr>
        <w:t xml:space="preserve">。</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 xml:space="preserve">服务类项目中供应商若使用退休人员，将不享受相关扶持政策。</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highlight w:val="none"/>
        </w:rPr>
        <w:t xml:space="preserve">监狱企业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14、采购文件的质疑、澄清</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.2本次采购文件要求供应商在法定质疑期内一次性提出针对同一采购程序环节的质疑。</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.4供应商提出质疑应当提交质疑函和必要的证明材料。质疑函应当包括下列内容：</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.4.1供应商的姓名或者名称、地址、邮编、联系人及联系电话；</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.4.2质疑项目的名称、编号；</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.4.3具体、明确的质疑事项和与质疑事项相关的请求；</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.4.4事实依据；</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.4.5必要的法律依据；</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.4.6提出质疑的日期。</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rPr>
          <w:rFonts w:asciiTheme="minorEastAsia" w:hAnsiTheme="minorEastAsia" w:eastAsiaTheme="minorEastAsia"/>
          <w:color w:val="auto"/>
          <w:sz w:val="24"/>
          <w:szCs w:val="24"/>
          <w:highlight w:val="none"/>
        </w:rPr>
        <w:t xml:space="preserve">.4.7质疑联系方式详见采购公告。</w:t>
      </w:r>
      <w:r/>
    </w:p>
    <w:p>
      <w:pPr>
        <w:ind w:firstLine="241"/>
        <w:jc w:val="left"/>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（五）磋商程序：</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1、磋商活动由采购代理机构在线主持，邀请供应商在线参加。供应商应当按照《苏采云系统供应商操作手册》规定，</w:t>
      </w:r>
      <w:r>
        <w:rPr>
          <w:rFonts w:hint="eastAsia" w:ascii="宋体" w:hAnsi="宋体" w:cs="宋体"/>
          <w:b/>
          <w:bCs/>
          <w:color w:val="auto"/>
          <w:sz w:val="24"/>
          <w:szCs w:val="24"/>
          <w:highlight w:val="none"/>
        </w:rPr>
        <w:t xml:space="preserve">参加磋商活动和在“苏采云”系统规定的时间内对响应文件进行解密。</w:t>
      </w:r>
      <w:r>
        <w:rPr>
          <w:rFonts w:hint="eastAsia" w:ascii="宋体" w:hAnsi="宋体" w:cs="宋体"/>
          <w:color w:val="auto"/>
          <w:sz w:val="24"/>
          <w:szCs w:val="24"/>
          <w:highlight w:val="none"/>
        </w:rPr>
        <w:t xml:space="preserve">评审小组不得参加磋商采购活动。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2、由磋商小组审查供应商解密的响应文件，此磋商响应文件的报价为第一次报价。</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none"/>
          <w:lang w:val="zh-CN"/>
        </w:rPr>
        <w:t xml:space="preserve">具体操作方式见《操作手册》。</w:t>
      </w:r>
      <w:r>
        <w:rPr>
          <w:rFonts w:hint="eastAsia" w:ascii="宋体" w:hAnsi="宋体" w:cs="宋体"/>
          <w:b/>
          <w:color w:val="auto"/>
          <w:sz w:val="24"/>
          <w:szCs w:val="24"/>
          <w:highlight w:val="none"/>
          <w:lang w:val="zh-CN"/>
        </w:rPr>
        <w:t xml:space="preserve">未加盖CA电子公章的澄清无效。</w:t>
      </w:r>
      <w:r/>
    </w:p>
    <w:p>
      <w:pPr>
        <w:spacing w:line="360" w:lineRule="auto"/>
        <w:rPr>
          <w:rFonts w:ascii="宋体" w:hAnsi="宋体" w:cs="宋体"/>
          <w:b/>
          <w:color w:val="auto"/>
          <w:sz w:val="24"/>
          <w:szCs w:val="24"/>
          <w:highlight w:val="none"/>
          <w:lang w:val="zh-CN"/>
        </w:rPr>
      </w:pP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8、供应商应当按照磋商文件的变动情况和磋商小组的要求在“苏采云”系统中重新提交响应文件，并加盖CA电子公章。重新提交的响应文件按磋商文件进行评审。</w:t>
      </w:r>
      <w:r>
        <w:rPr>
          <w:rFonts w:hint="eastAsia" w:ascii="宋体" w:hAnsi="宋体" w:cs="宋体"/>
          <w:b/>
          <w:bCs/>
          <w:color w:val="auto"/>
          <w:sz w:val="24"/>
          <w:szCs w:val="24"/>
          <w:highlight w:val="none"/>
          <w:lang w:val="zh-CN"/>
        </w:rPr>
        <w:t xml:space="preserve">未按要求重新提交响应文件的按响应无效处理。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9、最后报价</w:t>
      </w:r>
      <w:r/>
    </w:p>
    <w:p>
      <w:pPr>
        <w:numPr>
          <w:ilvl w:val="2"/>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9.1、磋商结束后，磋商小组应当要求所有继续参加磋商的供应商在规定时间内提交最后报价（</w:t>
      </w:r>
      <w:r>
        <w:rPr>
          <w:rFonts w:hint="eastAsia" w:ascii="宋体" w:hAnsi="宋体" w:cs="宋体"/>
          <w:b/>
          <w:color w:val="auto"/>
          <w:sz w:val="24"/>
          <w:szCs w:val="24"/>
          <w:highlight w:val="none"/>
        </w:rPr>
        <w:t xml:space="preserve">除因磋商文件修改导致成本增加，二次报价不得超过第一次报价，否则为无效响应报价</w:t>
      </w:r>
      <w:r>
        <w:rPr>
          <w:rFonts w:hint="eastAsia" w:ascii="宋体" w:hAnsi="宋体" w:cs="宋体"/>
          <w:color w:val="auto"/>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cs="宋体"/>
          <w:color w:val="auto"/>
          <w:sz w:val="24"/>
          <w:szCs w:val="24"/>
          <w:highlight w:val="none"/>
          <w:lang w:val="zh-CN"/>
        </w:rPr>
        <w:t xml:space="preserve">最后报价是供应商响应文件的有效组成部分。</w:t>
      </w:r>
      <w:r/>
    </w:p>
    <w:p>
      <w:pPr>
        <w:numPr>
          <w:ilvl w:val="2"/>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w:t>
      </w:r>
      <w:r>
        <w:rPr>
          <w:rFonts w:hint="eastAsia" w:ascii="宋体" w:hAnsi="宋体" w:cs="宋体"/>
          <w:b/>
          <w:bCs/>
          <w:color w:val="auto"/>
          <w:sz w:val="24"/>
          <w:szCs w:val="24"/>
          <w:highlight w:val="none"/>
        </w:rPr>
        <w:t xml:space="preserve">本项目采用线上最后报价：</w:t>
      </w:r>
      <w:r>
        <w:rPr>
          <w:rFonts w:hint="eastAsia" w:ascii="宋体" w:hAnsi="宋体" w:cs="宋体"/>
          <w:bCs/>
          <w:color w:val="auto"/>
          <w:sz w:val="24"/>
          <w:szCs w:val="24"/>
          <w:highlight w:val="none"/>
        </w:rPr>
        <w:t xml:space="preserve">磋商小组将在</w:t>
      </w:r>
      <w:r>
        <w:rPr>
          <w:rFonts w:hint="eastAsia" w:ascii="宋体" w:hAnsi="宋体" w:cs="宋体"/>
          <w:color w:val="auto"/>
          <w:sz w:val="24"/>
          <w:szCs w:val="24"/>
          <w:highlight w:val="none"/>
        </w:rPr>
        <w:t xml:space="preserve">“苏采云”</w:t>
      </w:r>
      <w:r>
        <w:rPr>
          <w:rFonts w:hint="eastAsia" w:ascii="宋体" w:hAnsi="宋体" w:cs="宋体"/>
          <w:bCs/>
          <w:color w:val="auto"/>
          <w:sz w:val="24"/>
          <w:szCs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auto"/>
          <w:sz w:val="24"/>
          <w:szCs w:val="24"/>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bCs/>
          <w:color w:val="auto"/>
          <w:sz w:val="24"/>
          <w:szCs w:val="24"/>
          <w:highlight w:val="none"/>
        </w:rPr>
        <w:t xml:space="preserve">在提交最后报价之前，可以根据磋商情况退出磋商，并在“苏采云”系统中提交“退出磋商函”并加盖CA电子公章。</w:t>
      </w:r>
      <w:r/>
    </w:p>
    <w:p>
      <w:pPr>
        <w:numPr>
          <w:ilvl w:val="2"/>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w:t>
      </w:r>
      <w:r>
        <w:rPr>
          <w:rFonts w:hint="eastAsia" w:ascii="宋体" w:hAnsi="宋体" w:cs="宋体"/>
          <w:bCs/>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jc w:val="left"/>
        <w:spacing w:line="360" w:lineRule="auto"/>
        <w:tabs>
          <w:tab w:val="left" w:pos="420" w:leader="none"/>
        </w:tabs>
        <w:rPr>
          <w:rFonts w:ascii="宋体" w:hAnsi="宋体" w:cs="宋体"/>
          <w:color w:val="auto"/>
          <w:sz w:val="24"/>
          <w:highlight w:val="none"/>
        </w:rPr>
      </w:pPr>
      <w:r>
        <w:rPr>
          <w:rFonts w:hint="eastAsia" w:ascii="宋体" w:hAnsi="宋体" w:cs="宋体"/>
          <w:color w:val="auto"/>
          <w:sz w:val="24"/>
          <w:szCs w:val="24"/>
          <w:highlight w:val="none"/>
        </w:rPr>
        <w:t xml:space="preserve">9.4、</w:t>
      </w:r>
      <w:r>
        <w:rPr>
          <w:rFonts w:hint="eastAsia" w:ascii="宋体" w:hAnsi="宋体" w:cs="宋体"/>
          <w:color w:val="auto"/>
          <w:sz w:val="24"/>
          <w:highlight w:val="none"/>
        </w:rPr>
        <w:t xml:space="preserve">采购评审中出现下列情形之一的，评审委员会应当启动异常低价投标（响应）审查程序</w:t>
      </w:r>
      <w:r>
        <w:rPr>
          <w:rFonts w:hint="eastAsia" w:ascii="宋体" w:hAnsi="宋体" w:cs="宋体"/>
          <w:color w:val="auto"/>
          <w:sz w:val="24"/>
          <w:highlight w:val="none"/>
        </w:rPr>
        <w:t xml:space="preserve">：</w:t>
      </w:r>
      <w:r/>
    </w:p>
    <w:p>
      <w:pPr>
        <w:ind w:firstLine="480"/>
        <w:jc w:val="left"/>
        <w:spacing w:line="360" w:lineRule="auto"/>
        <w:tabs>
          <w:tab w:val="left" w:pos="420" w:leader="none"/>
        </w:tabs>
        <w:rPr>
          <w:rFonts w:ascii="宋体" w:hAnsi="宋体" w:cs="宋体"/>
          <w:color w:val="auto"/>
          <w:sz w:val="24"/>
          <w:highlight w:val="none"/>
        </w:rPr>
      </w:pPr>
      <w:r>
        <w:rPr>
          <w:rFonts w:hint="eastAsia" w:ascii="宋体" w:hAnsi="宋体" w:cs="宋体"/>
          <w:color w:val="auto"/>
          <w:sz w:val="24"/>
          <w:szCs w:val="24"/>
          <w:highlight w:val="none"/>
        </w:rPr>
        <w:t xml:space="preserve">9.4</w:t>
      </w: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0" w:leader="none"/>
        </w:tabs>
        <w:rPr>
          <w:rFonts w:ascii="宋体" w:hAnsi="宋体" w:cs="宋体"/>
          <w:color w:val="auto"/>
          <w:sz w:val="24"/>
          <w:highlight w:val="none"/>
        </w:rPr>
      </w:pPr>
      <w:r>
        <w:rPr>
          <w:rFonts w:hint="eastAsia" w:ascii="宋体" w:hAnsi="宋体" w:cs="宋体"/>
          <w:color w:val="auto"/>
          <w:sz w:val="24"/>
          <w:szCs w:val="24"/>
          <w:highlight w:val="none"/>
        </w:rPr>
        <w:t xml:space="preserve">9.4</w:t>
      </w: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0" w:leader="none"/>
        </w:tabs>
        <w:rPr>
          <w:rFonts w:ascii="宋体" w:hAnsi="宋体" w:cs="宋体"/>
          <w:color w:val="auto"/>
          <w:sz w:val="24"/>
          <w:highlight w:val="none"/>
        </w:rPr>
      </w:pPr>
      <w:r>
        <w:rPr>
          <w:rFonts w:hint="eastAsia" w:ascii="宋体" w:hAnsi="宋体" w:cs="宋体"/>
          <w:color w:val="auto"/>
          <w:sz w:val="24"/>
          <w:szCs w:val="24"/>
          <w:highlight w:val="none"/>
        </w:rPr>
        <w:t xml:space="preserve">9.4</w:t>
      </w:r>
      <w:r>
        <w:rPr>
          <w:rFonts w:hint="eastAsia" w:ascii="宋体" w:hAnsi="宋体" w:cs="宋体"/>
          <w:color w:val="auto"/>
          <w:sz w:val="24"/>
          <w:highlight w:val="none"/>
        </w:rPr>
        <w:t xml:space="preserve">.3.投标（响应）报价低于采购项目最高限价45%的，即投标（响应）报价&lt;采购项目最高限价×45%；</w:t>
      </w:r>
      <w:r/>
    </w:p>
    <w:p>
      <w:pPr>
        <w:ind w:firstLine="480"/>
        <w:jc w:val="left"/>
        <w:spacing w:line="360" w:lineRule="auto"/>
        <w:tabs>
          <w:tab w:val="left" w:pos="420" w:leader="none"/>
        </w:tabs>
        <w:rPr>
          <w:rFonts w:ascii="宋体" w:hAnsi="宋体" w:cs="宋体"/>
          <w:color w:val="auto"/>
          <w:sz w:val="24"/>
          <w:highlight w:val="none"/>
        </w:rPr>
      </w:pPr>
      <w:r>
        <w:rPr>
          <w:rFonts w:hint="eastAsia" w:ascii="宋体" w:hAnsi="宋体" w:cs="宋体"/>
          <w:color w:val="auto"/>
          <w:sz w:val="24"/>
          <w:szCs w:val="24"/>
          <w:highlight w:val="none"/>
        </w:rPr>
        <w:t xml:space="preserve">9.4</w:t>
      </w: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jc w:val="left"/>
        <w:spacing w:line="360" w:lineRule="auto"/>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评审委员会启动异常低价投标（响应）审查后，属于前述第9.4.</w:t>
      </w:r>
      <w:r>
        <w:rPr>
          <w:rFonts w:ascii="宋体" w:hAnsi="宋体" w:cs="宋体"/>
          <w:color w:val="auto"/>
          <w:sz w:val="24"/>
          <w:highlight w:val="none"/>
        </w:rPr>
        <w:t xml:space="preserve">1项至第</w:t>
      </w:r>
      <w:r>
        <w:rPr>
          <w:rFonts w:hint="eastAsia" w:ascii="宋体" w:hAnsi="宋体" w:cs="宋体"/>
          <w:color w:val="auto"/>
          <w:sz w:val="24"/>
          <w:highlight w:val="none"/>
        </w:rPr>
        <w:t xml:space="preserve">9.4.</w:t>
      </w:r>
      <w:r>
        <w:rPr>
          <w:rFonts w:ascii="宋体" w:hAnsi="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rPr>
        <w:t xml:space="preserve">为</w:t>
      </w:r>
      <w:r>
        <w:rPr>
          <w:rFonts w:ascii="宋体" w:hAnsi="宋体" w:cs="宋体"/>
          <w:color w:val="auto"/>
          <w:sz w:val="24"/>
          <w:highlight w:val="none"/>
        </w:rPr>
        <w:t xml:space="preserve">30分钟。其中，属于第</w:t>
      </w:r>
      <w:r>
        <w:rPr>
          <w:rFonts w:hint="eastAsia" w:ascii="宋体" w:hAnsi="宋体" w:cs="宋体"/>
          <w:color w:val="auto"/>
          <w:sz w:val="24"/>
          <w:highlight w:val="none"/>
        </w:rPr>
        <w:t xml:space="preserve">9.4.</w:t>
      </w:r>
      <w:r>
        <w:rPr>
          <w:rFonts w:ascii="宋体" w:hAnsi="宋体" w:cs="宋体"/>
          <w:color w:val="auto"/>
          <w:sz w:val="24"/>
          <w:highlight w:val="none"/>
        </w:rPr>
        <w:t xml:space="preserve">3项情形，供应商已随投标（响应）文件一并提交相关书面说明及必要的证明材料的，在评审现场可不再重复提交。</w:t>
      </w:r>
      <w:r/>
    </w:p>
    <w:p>
      <w:pPr>
        <w:ind w:firstLine="480"/>
        <w:jc w:val="left"/>
        <w:spacing w:line="360" w:lineRule="auto"/>
        <w:tabs>
          <w:tab w:val="left" w:pos="420" w:leader="none"/>
        </w:tabs>
        <w:rPr>
          <w:rFonts w:ascii="宋体" w:hAnsi="宋体" w:cs="宋体"/>
          <w:color w:val="auto"/>
          <w:sz w:val="24"/>
          <w:szCs w:val="24"/>
          <w:highlight w:val="none"/>
        </w:rPr>
      </w:pPr>
      <w:r>
        <w:rPr>
          <w:rFonts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b/>
          <w:color w:val="auto"/>
          <w:sz w:val="24"/>
          <w:szCs w:val="24"/>
          <w:highlight w:val="none"/>
        </w:rPr>
        <w:t xml:space="preserve">响应报价（包括最后报价）超过采购预算者不成交</w:t>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12、磋商小组根据磋商成交原则确定成交供应商，并将结果通知所有参加磋商的供应商。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13、如磋商过程中出现本采购文件未尽事宜，由磋商小组根据有关法律、法规讨论决定。</w:t>
      </w:r>
      <w:r/>
    </w:p>
    <w:p>
      <w:pPr>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br w:type="page" w:clear="all"/>
      </w:r>
      <w:r/>
    </w:p>
    <w:p>
      <w:pPr>
        <w:jc w:val="cente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三、磋商成交原则及评分标准</w:t>
      </w:r>
      <w:r/>
    </w:p>
    <w:p>
      <w:pPr>
        <w:ind w:firstLine="482"/>
        <w:jc w:val="left"/>
        <w:spacing w:line="360" w:lineRule="auto"/>
        <w:tabs>
          <w:tab w:val="left" w:pos="0"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 xml:space="preserve">一、</w:t>
      </w:r>
      <w:r>
        <w:rPr>
          <w:rFonts w:hint="eastAsia" w:asciiTheme="minorEastAsia" w:hAnsiTheme="minorEastAsia" w:eastAsiaTheme="minorEastAsia"/>
          <w:b/>
          <w:bCs/>
          <w:color w:val="auto"/>
          <w:sz w:val="24"/>
          <w:szCs w:val="24"/>
          <w:highlight w:val="none"/>
        </w:rPr>
        <w:t xml:space="preserve">成交原则</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1、本次磋商采用综合评分法，即在</w:t>
      </w:r>
      <w:r>
        <w:rPr>
          <w:rFonts w:asciiTheme="minorEastAsia" w:hAnsiTheme="minorEastAsia" w:eastAsiaTheme="minorEastAsia"/>
          <w:color w:val="auto"/>
          <w:sz w:val="24"/>
          <w:szCs w:val="24"/>
          <w:highlight w:val="none"/>
        </w:rPr>
        <w:t xml:space="preserve">响应文件满足</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文件全部实质性要求且按评审因素的量化指标评审得分最高的供应商为</w:t>
      </w:r>
      <w:r>
        <w:rPr>
          <w:rFonts w:hint="eastAsia" w:asciiTheme="minorEastAsia" w:hAnsiTheme="minorEastAsia" w:eastAsiaTheme="minorEastAsia"/>
          <w:color w:val="auto"/>
          <w:sz w:val="24"/>
          <w:szCs w:val="24"/>
          <w:highlight w:val="none"/>
        </w:rPr>
        <w:t xml:space="preserve">成交候选人。采购人书面授权磋商小组直接确定成交单位</w:t>
      </w:r>
      <w:r>
        <w:rPr>
          <w:rFonts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2"/>
        <w:jc w:val="left"/>
        <w:spacing w:line="360" w:lineRule="auto"/>
        <w:tabs>
          <w:tab w:val="left" w:pos="0"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 xml:space="preserve">二、</w:t>
      </w:r>
      <w:r>
        <w:rPr>
          <w:rFonts w:asciiTheme="minorEastAsia" w:hAnsiTheme="minorEastAsia" w:eastAsiaTheme="minorEastAsia"/>
          <w:b/>
          <w:bCs/>
          <w:color w:val="auto"/>
          <w:sz w:val="24"/>
          <w:szCs w:val="24"/>
          <w:highlight w:val="none"/>
        </w:rPr>
        <w:t xml:space="preserve">评分标准</w:t>
      </w:r>
      <w:r/>
    </w:p>
    <w:p>
      <w:pPr>
        <w:ind w:firstLine="482"/>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w:t>
      </w:r>
      <w:r>
        <w:rPr>
          <w:rFonts w:hint="eastAsia" w:asciiTheme="minorEastAsia" w:hAnsiTheme="minorEastAsia" w:eastAsiaTheme="minorEastAsia" w:cstheme="minorEastAsia"/>
          <w:b/>
          <w:color w:val="auto"/>
          <w:sz w:val="24"/>
          <w:szCs w:val="24"/>
          <w:highlight w:val="none"/>
        </w:rPr>
        <w:t xml:space="preserve">价格分：10分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第一步：磋商报价低于或等于财政预算价格的，为有效磋商报价。超财政预算的磋商报价为无效磋商报价。无效磋商报价的磋商响应文件不进行评审，也不得成交。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磋商报价得分＝（评标基准价/磋商报价）×10%×100</w:t>
      </w:r>
      <w:r/>
    </w:p>
    <w:p>
      <w:pPr>
        <w:numPr>
          <w:ilvl w:val="0"/>
          <w:numId w:val="4"/>
        </w:numPr>
        <w:ind w:firstLine="482"/>
        <w:spacing w:line="360" w:lineRule="auto"/>
        <w:tabs>
          <w:tab w:val="left" w:pos="1890" w:leader="none"/>
        </w:tabs>
        <w:rPr>
          <w:rFonts w:eastAsia="宋体"/>
          <w:b/>
          <w:bCs/>
          <w:color w:val="auto"/>
          <w:sz w:val="24"/>
          <w:highlight w:val="none"/>
        </w:rPr>
      </w:pPr>
      <w:r>
        <w:rPr>
          <w:rFonts w:hint="eastAsia" w:eastAsia="宋体"/>
          <w:b/>
          <w:bCs/>
          <w:color w:val="auto"/>
          <w:sz w:val="24"/>
          <w:highlight w:val="none"/>
        </w:rPr>
        <w:t xml:space="preserve">技术方案：36分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1、项目的实施方案：6分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方案完整、精准、科学、合理、全面的，得6分。方案较完整、准确、科学、合理的，得4分。方案完整性、科学性、合理性一般的，得2分。无此项内容，则不得分。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2、项目组人员配备及岗位职责方案：6分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方案完整、精准、科学、合理、全面的，得6分。方案较完整、准确、科学、合理的，得4分。方案完整性、科学性、合理性一般的，得2分。未明确列出项目组人员姓名及岗位的，则不得分。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3、服务推进时间安排方案：6分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方案完整、精准、科学、合理、全面的，得6分。方案较完整、准确、科学、合理的，得4分。方案完整性、科学性、合理性一般的，得2分。无此项内容，则不得分。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4、服务质量保证措施：6分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措施完整、精准、科学、合理、全面的，得6分。措施较完整、准确、科学、合理的，得4分。方案完整性、科学性、合理性一般的，得2分。无此项内容，则不得分。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5、与采购单位的日常配合方案：6分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方案完整、精准、科学、合理、全面的，得6分。方案较完整、准确、科学、合理的，得4分。方案完整性、科学性、合理性一般的，得2分。无此项内容，则不得分。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6、进退场交接措施：6分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供应商有针对本项目专门的进退场交接方案，方案能体现相关的交接要求、无缝衔接采购方的财务管理工作，保证交接工作顺利进行,确保交接期服务质量。根据措施的合理性、完善性、规范性、清晰性、可操作性进行打分，措施合理、完善、规范、清晰、可操作性强的得6分；措施合理、可操作的得4分；措施不合理、可操作性差的得2分；其他不得分。</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（三）响应单位综合能力比较：54分。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1、响应单位具备技术力量比较：</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A.中级及以上会计师职称或注册会计师：响应单位内</w:t>
      </w:r>
      <w:r>
        <w:rPr>
          <w:rFonts w:hint="eastAsia" w:asciiTheme="minorEastAsia" w:hAnsiTheme="minorEastAsia" w:eastAsiaTheme="minorEastAsia" w:cstheme="minorEastAsia"/>
          <w:b/>
          <w:bCs/>
          <w:color w:val="auto"/>
          <w:sz w:val="24"/>
          <w:szCs w:val="24"/>
          <w:highlight w:val="none"/>
        </w:rPr>
        <w:t xml:space="preserve">可调配</w:t>
      </w:r>
      <w:r>
        <w:rPr>
          <w:rFonts w:hint="eastAsia" w:asciiTheme="minorEastAsia" w:hAnsiTheme="minorEastAsia" w:eastAsiaTheme="minorEastAsia" w:cstheme="minorEastAsia"/>
          <w:color w:val="auto"/>
          <w:sz w:val="24"/>
          <w:szCs w:val="24"/>
          <w:highlight w:val="none"/>
        </w:rPr>
        <w:t xml:space="preserve">的具备中级及以上会计师职称或注册会计师人员，每有1人得2分，最高得1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B.初级会计师职称人员：响应单位内</w:t>
      </w:r>
      <w:r>
        <w:rPr>
          <w:rFonts w:hint="eastAsia" w:asciiTheme="minorEastAsia" w:hAnsiTheme="minorEastAsia" w:eastAsiaTheme="minorEastAsia" w:cstheme="minorEastAsia"/>
          <w:b/>
          <w:bCs/>
          <w:color w:val="auto"/>
          <w:sz w:val="24"/>
          <w:szCs w:val="24"/>
          <w:highlight w:val="none"/>
        </w:rPr>
        <w:t xml:space="preserve">可调配</w:t>
      </w:r>
      <w:r>
        <w:rPr>
          <w:rFonts w:hint="eastAsia" w:asciiTheme="minorEastAsia" w:hAnsiTheme="minorEastAsia" w:eastAsiaTheme="minorEastAsia" w:cstheme="minorEastAsia"/>
          <w:color w:val="auto"/>
          <w:sz w:val="24"/>
          <w:szCs w:val="24"/>
          <w:highlight w:val="none"/>
        </w:rPr>
        <w:t xml:space="preserve">的具备初级会计师职称人员，每有1人得1分，最高得10分。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注：以上人员须提供证明材料：职称证书或注册会计师全科合格证书或注册会计师会员证的扫描件以及响应单位为其缴纳的</w:t>
      </w:r>
      <w:r>
        <w:rPr>
          <w:rFonts w:hint="eastAsia" w:asciiTheme="minorEastAsia" w:hAnsiTheme="minorEastAsia" w:eastAsiaTheme="minorEastAsia" w:cstheme="minorEastAsia"/>
          <w:color w:val="auto"/>
          <w:sz w:val="24"/>
          <w:szCs w:val="24"/>
          <w:highlight w:val="none"/>
        </w:rPr>
        <w:t xml:space="preserve">最近一期</w:t>
      </w:r>
      <w:r>
        <w:rPr>
          <w:rFonts w:hint="eastAsia" w:asciiTheme="minorEastAsia" w:hAnsiTheme="minorEastAsia" w:eastAsiaTheme="minorEastAsia" w:cstheme="minorEastAsia"/>
          <w:color w:val="auto"/>
          <w:sz w:val="24"/>
          <w:szCs w:val="24"/>
          <w:highlight w:val="none"/>
        </w:rPr>
        <w:t xml:space="preserve">社保证明材料，不提供或提供不全的，不得分。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2、响应单位近三年（202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1月1日至今）从事过与本次采购项目类似单位的代理记账业务，每有1份业务合同的，得2分，最高得10分。（响应文件内提供代理记账业务合同扫描件及任意一期发票扫描件，合同执行中未达开具发票环节的应提供业主单位证明，不提供或提供不全的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3、拟投入服务团队人员配置比较：</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派驻人员能力：响应单位拟派驻本项目服务团队人员中，具备注册会计师资格人员，每有1人得4分；具备中级及以上会计师职称人员，每有1人得2分，最高得12分。单个人员同时满足前述两个条件的，只计算较高的一次得分，不重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B.派驻人员经验：响应单位拟派驻本项目主管代理记账业务的负责人（财务总监），有主持过与本次采购项目相关的类似单位代理记账工作经验一次的，得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分，在此基础上，主持过类似单位代理记账工作经验的每增加一次的，加2分，最高得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分。响应文件内提供主持过类似单位代理记账工作经验的相关证明材料，不提供的不得分。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注：以上人员须提供证明材料：职称证书或注册会计师全科合格证书或注册会计师会员证的扫描件以及响应单位为其缴纳的最近一期社保证明材料，不提供或提供不全的，不得分。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2、响应单位必须保证全部投标资料的真实性，如有虚假或对招标文件所要求说明的情况故意隐瞒或虚报，将按《中华人民共和国政府采购法》第七十七条“提供虚假材料谋取中标、成交”相关处理办法处理。</w:t>
      </w:r>
      <w:bookmarkStart w:id="5" w:name="_GoBack"/>
      <w:r/>
      <w:bookmarkEnd w:id="5"/>
      <w:r/>
      <w:r/>
    </w:p>
    <w:p>
      <w:pPr>
        <w:ind w:firstLine="420"/>
        <w:jc w:val="left"/>
        <w:spacing w:line="360" w:lineRule="auto"/>
        <w:widowControl/>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895"/>
        <w:rPr>
          <w:color w:val="auto"/>
          <w:highlight w:val="none"/>
        </w:rPr>
      </w:pPr>
      <w:r>
        <w:rPr>
          <w:color w:val="auto"/>
          <w:highlight w:val="none"/>
        </w:rPr>
      </w:r>
      <w:r/>
    </w:p>
    <w:p>
      <w:pP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br w:type="page" w:clear="all"/>
      </w:r>
      <w:r/>
    </w:p>
    <w:p>
      <w:pPr>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color w:val="auto"/>
          <w:sz w:val="32"/>
          <w:highlight w:val="none"/>
        </w:rPr>
        <w:t xml:space="preserve">四、合同主要条款</w:t>
      </w:r>
      <w:r/>
    </w:p>
    <w:p>
      <w:pPr>
        <w:ind w:firstLine="482"/>
        <w:spacing w:line="360" w:lineRule="auto"/>
        <w:tabs>
          <w:tab w:val="left" w:pos="1890" w:leader="none"/>
        </w:tabs>
        <w:rPr>
          <w:rFonts w:eastAsia="宋体"/>
          <w:b/>
          <w:color w:val="auto"/>
          <w:sz w:val="24"/>
          <w:highlight w:val="none"/>
        </w:rPr>
      </w:pPr>
      <w:r>
        <w:rPr>
          <w:rFonts w:hint="eastAsia" w:eastAsia="宋体"/>
          <w:b/>
          <w:color w:val="auto"/>
          <w:sz w:val="24"/>
          <w:highlight w:val="none"/>
        </w:rPr>
        <w:t xml:space="preserve">甲方（采购人）：</w:t>
      </w:r>
      <w:r/>
    </w:p>
    <w:p>
      <w:pPr>
        <w:ind w:firstLine="480"/>
        <w:spacing w:line="360" w:lineRule="auto"/>
        <w:tabs>
          <w:tab w:val="left" w:pos="1890" w:leader="none"/>
          <w:tab w:val="left" w:pos="3600" w:leader="none"/>
        </w:tabs>
        <w:rPr>
          <w:rFonts w:eastAsia="宋体"/>
          <w:color w:val="auto"/>
          <w:sz w:val="24"/>
          <w:highlight w:val="none"/>
        </w:rPr>
      </w:pPr>
      <w:r>
        <w:rPr>
          <w:rFonts w:hint="eastAsia" w:eastAsia="宋体"/>
          <w:color w:val="auto"/>
          <w:sz w:val="24"/>
          <w:highlight w:val="none"/>
        </w:rPr>
        <w:t xml:space="preserve">联系人：</w:t>
      </w:r>
      <w:r/>
    </w:p>
    <w:p>
      <w:pPr>
        <w:ind w:firstLine="480"/>
        <w:spacing w:line="360" w:lineRule="auto"/>
        <w:tabs>
          <w:tab w:val="left" w:pos="1890" w:leader="none"/>
        </w:tabs>
        <w:rPr>
          <w:rFonts w:eastAsia="宋体"/>
          <w:color w:val="auto"/>
          <w:sz w:val="24"/>
          <w:highlight w:val="none"/>
        </w:rPr>
      </w:pPr>
      <w:r>
        <w:rPr>
          <w:rFonts w:hint="eastAsia" w:eastAsia="宋体"/>
          <w:color w:val="auto"/>
          <w:sz w:val="24"/>
          <w:highlight w:val="none"/>
        </w:rPr>
        <w:t xml:space="preserve">联系电话：</w:t>
      </w:r>
      <w:r/>
    </w:p>
    <w:p>
      <w:pPr>
        <w:ind w:firstLine="480"/>
        <w:spacing w:line="360" w:lineRule="auto"/>
        <w:tabs>
          <w:tab w:val="left" w:pos="1890" w:leader="none"/>
          <w:tab w:val="left" w:pos="3600" w:leader="none"/>
        </w:tabs>
        <w:rPr>
          <w:rFonts w:eastAsia="宋体"/>
          <w:color w:val="auto"/>
          <w:sz w:val="24"/>
          <w:highlight w:val="none"/>
        </w:rPr>
      </w:pPr>
      <w:r>
        <w:rPr>
          <w:rFonts w:hint="eastAsia" w:eastAsia="宋体"/>
          <w:color w:val="auto"/>
          <w:sz w:val="24"/>
          <w:highlight w:val="none"/>
        </w:rPr>
        <w:t xml:space="preserve">地址：</w:t>
      </w:r>
      <w:r/>
    </w:p>
    <w:p>
      <w:pPr>
        <w:ind w:firstLine="480"/>
        <w:spacing w:line="360" w:lineRule="auto"/>
        <w:tabs>
          <w:tab w:val="left" w:pos="1890" w:leader="none"/>
        </w:tabs>
        <w:rPr>
          <w:rFonts w:eastAsia="宋体"/>
          <w:color w:val="auto"/>
          <w:sz w:val="24"/>
          <w:highlight w:val="none"/>
        </w:rPr>
      </w:pPr>
      <w:r>
        <w:rPr>
          <w:rFonts w:eastAsia="宋体"/>
          <w:color w:val="auto"/>
          <w:sz w:val="24"/>
          <w:highlight w:val="none"/>
        </w:rPr>
      </w:r>
      <w:r/>
    </w:p>
    <w:p>
      <w:pPr>
        <w:ind w:firstLine="482"/>
        <w:spacing w:line="360" w:lineRule="auto"/>
        <w:tabs>
          <w:tab w:val="left" w:pos="1890" w:leader="none"/>
        </w:tabs>
        <w:rPr>
          <w:rFonts w:eastAsia="宋体"/>
          <w:b/>
          <w:color w:val="auto"/>
          <w:sz w:val="24"/>
          <w:highlight w:val="none"/>
        </w:rPr>
      </w:pPr>
      <w:r>
        <w:rPr>
          <w:rFonts w:hint="eastAsia" w:eastAsia="宋体"/>
          <w:b/>
          <w:color w:val="auto"/>
          <w:sz w:val="24"/>
          <w:highlight w:val="none"/>
        </w:rPr>
        <w:t xml:space="preserve">乙方（成交供应商）：</w:t>
      </w:r>
      <w:r/>
    </w:p>
    <w:p>
      <w:pPr>
        <w:ind w:firstLine="480"/>
        <w:spacing w:line="360" w:lineRule="auto"/>
        <w:tabs>
          <w:tab w:val="left" w:pos="1890" w:leader="none"/>
          <w:tab w:val="left" w:pos="3600" w:leader="none"/>
        </w:tabs>
        <w:rPr>
          <w:rFonts w:eastAsia="宋体"/>
          <w:color w:val="auto"/>
          <w:sz w:val="24"/>
          <w:highlight w:val="none"/>
        </w:rPr>
      </w:pPr>
      <w:r>
        <w:rPr>
          <w:rFonts w:hint="eastAsia" w:eastAsia="宋体"/>
          <w:color w:val="auto"/>
          <w:sz w:val="24"/>
          <w:highlight w:val="none"/>
        </w:rPr>
        <w:t xml:space="preserve">联系人：</w:t>
      </w:r>
      <w:r/>
    </w:p>
    <w:p>
      <w:pPr>
        <w:ind w:firstLine="480"/>
        <w:spacing w:line="360" w:lineRule="auto"/>
        <w:tabs>
          <w:tab w:val="left" w:pos="1890" w:leader="none"/>
          <w:tab w:val="left" w:pos="3600" w:leader="none"/>
        </w:tabs>
        <w:rPr>
          <w:rFonts w:eastAsia="宋体"/>
          <w:color w:val="auto"/>
          <w:sz w:val="24"/>
          <w:highlight w:val="none"/>
        </w:rPr>
      </w:pPr>
      <w:r>
        <w:rPr>
          <w:rFonts w:hint="eastAsia" w:eastAsia="宋体"/>
          <w:color w:val="auto"/>
          <w:sz w:val="24"/>
          <w:highlight w:val="none"/>
        </w:rPr>
        <w:t xml:space="preserve">联系电话：</w:t>
      </w:r>
      <w:r/>
    </w:p>
    <w:p>
      <w:pPr>
        <w:ind w:firstLine="480"/>
        <w:spacing w:line="360" w:lineRule="auto"/>
        <w:tabs>
          <w:tab w:val="left" w:pos="1890" w:leader="none"/>
          <w:tab w:val="left" w:pos="3600" w:leader="none"/>
        </w:tabs>
        <w:rPr>
          <w:rFonts w:eastAsia="宋体"/>
          <w:color w:val="auto"/>
          <w:sz w:val="24"/>
          <w:highlight w:val="none"/>
        </w:rPr>
      </w:pPr>
      <w:r>
        <w:rPr>
          <w:rFonts w:hint="eastAsia" w:eastAsia="宋体"/>
          <w:color w:val="auto"/>
          <w:sz w:val="24"/>
          <w:highlight w:val="none"/>
        </w:rPr>
        <w:t xml:space="preserve">地址：</w:t>
      </w:r>
      <w:r/>
    </w:p>
    <w:p>
      <w:pPr>
        <w:ind w:firstLine="480"/>
        <w:spacing w:line="360" w:lineRule="auto"/>
        <w:widowControl/>
        <w:tabs>
          <w:tab w:val="left" w:pos="1890" w:leader="none"/>
        </w:tabs>
        <w:rPr>
          <w:rFonts w:eastAsia="宋体"/>
          <w:bCs/>
          <w:color w:val="auto"/>
          <w:sz w:val="24"/>
          <w:highlight w:val="none"/>
        </w:rPr>
      </w:pPr>
      <w:r>
        <w:rPr>
          <w:rFonts w:eastAsia="宋体"/>
          <w:bCs/>
          <w:color w:val="auto"/>
          <w:sz w:val="24"/>
          <w:highlight w:val="none"/>
        </w:rPr>
      </w:r>
      <w:r/>
    </w:p>
    <w:p>
      <w:pPr>
        <w:pStyle w:val="900"/>
        <w:ind w:firstLine="480"/>
        <w:spacing w:line="360" w:lineRule="auto"/>
        <w:tabs>
          <w:tab w:val="left" w:pos="1890" w:leader="none"/>
        </w:tabs>
        <w:rPr>
          <w:rFonts w:hAnsi="宋体" w:eastAsia="宋体"/>
          <w:color w:val="auto"/>
          <w:sz w:val="24"/>
          <w:szCs w:val="24"/>
          <w:highlight w:val="none"/>
        </w:rPr>
      </w:pPr>
      <w:r>
        <w:rPr>
          <w:rFonts w:hint="eastAsia" w:hAnsi="宋体" w:eastAsia="宋体"/>
          <w:color w:val="auto"/>
          <w:sz w:val="24"/>
          <w:szCs w:val="24"/>
          <w:highlight w:val="none"/>
        </w:rPr>
        <w:t xml:space="preserve">根据</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号采购文件及乙方的响应文件和成交通知书，甲乙双方就此次成交的</w:t>
      </w:r>
      <w:r>
        <w:rPr>
          <w:rFonts w:hint="eastAsia" w:hAnsi="宋体" w:eastAsia="宋体"/>
          <w:color w:val="auto"/>
          <w:sz w:val="24"/>
          <w:highlight w:val="none"/>
          <w:u w:val="single"/>
        </w:rPr>
        <w:t xml:space="preserve"> </w:t>
      </w:r>
      <w:r>
        <w:rPr>
          <w:rFonts w:hint="eastAsia" w:eastAsia="宋体"/>
          <w:color w:val="auto"/>
          <w:sz w:val="24"/>
          <w:highlight w:val="none"/>
          <w:u w:val="single"/>
          <w:lang w:eastAsia="zh-CN"/>
        </w:rPr>
        <w:t xml:space="preserve">狮山商务创新区所属小学、幼儿园、社区财务第三方代理记账服务</w:t>
      </w:r>
      <w:r>
        <w:rPr>
          <w:rFonts w:hint="eastAsia" w:hAnsi="宋体" w:eastAsia="宋体"/>
          <w:color w:val="auto"/>
          <w:sz w:val="24"/>
          <w:highlight w:val="none"/>
          <w:u w:val="single"/>
        </w:rPr>
        <w:t xml:space="preserve"> </w:t>
      </w:r>
      <w:r>
        <w:rPr>
          <w:rFonts w:hint="eastAsia" w:hAnsi="宋体" w:eastAsia="宋体"/>
          <w:color w:val="auto"/>
          <w:sz w:val="24"/>
          <w:szCs w:val="24"/>
          <w:highlight w:val="none"/>
        </w:rPr>
        <w:t xml:space="preserve">事宜，签订本合同书。</w:t>
      </w:r>
      <w:r/>
    </w:p>
    <w:p>
      <w:pPr>
        <w:numPr>
          <w:ilvl w:val="0"/>
          <w:numId w:val="5"/>
        </w:numPr>
        <w:ind w:firstLine="482"/>
        <w:jc w:val="left"/>
        <w:spacing w:line="360" w:lineRule="auto"/>
        <w:rPr>
          <w:rFonts w:eastAsia="宋体"/>
          <w:b/>
          <w:bCs/>
          <w:color w:val="auto"/>
          <w:sz w:val="24"/>
          <w:highlight w:val="none"/>
        </w:rPr>
      </w:pPr>
      <w:r>
        <w:rPr>
          <w:rFonts w:hint="eastAsia" w:eastAsia="宋体"/>
          <w:b/>
          <w:bCs/>
          <w:color w:val="auto"/>
          <w:sz w:val="24"/>
          <w:highlight w:val="none"/>
        </w:rPr>
        <w:t xml:space="preserve">合同价格</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1.1.合同价格（大写）人民币</w:t>
      </w:r>
      <w:r>
        <w:rPr>
          <w:rFonts w:hint="eastAsia" w:eastAsia="宋体"/>
          <w:color w:val="auto"/>
          <w:sz w:val="24"/>
          <w:highlight w:val="none"/>
          <w:u w:val="single"/>
        </w:rPr>
        <w:t xml:space="preserve">         </w:t>
      </w:r>
      <w:r>
        <w:rPr>
          <w:rFonts w:hint="eastAsia" w:eastAsia="宋体"/>
          <w:color w:val="auto"/>
          <w:sz w:val="24"/>
          <w:highlight w:val="none"/>
        </w:rPr>
        <w:t xml:space="preserve"> 元整（￥</w:t>
      </w:r>
      <w:r>
        <w:rPr>
          <w:rFonts w:hint="eastAsia" w:eastAsia="宋体"/>
          <w:color w:val="auto"/>
          <w:sz w:val="24"/>
          <w:highlight w:val="none"/>
          <w:u w:val="single"/>
        </w:rPr>
        <w:t xml:space="preserve">           </w:t>
      </w:r>
      <w:r>
        <w:rPr>
          <w:rFonts w:hint="eastAsia" w:eastAsia="宋体"/>
          <w:color w:val="auto"/>
          <w:sz w:val="24"/>
          <w:highlight w:val="none"/>
        </w:rPr>
        <w:t xml:space="preserve">元）。完成本项目全部服务内容所需的制作成果、方案费、实施费通讯、咨询费、培训费、第三方成果验收费、差旅费、文印费、资料费、设备、加班费、管理、人工、保险、劳保、相关劳务支出以及相关知识产权和所需缴纳的任何税费（办公用品、低值易耗品、办公设备由甲方提供）等工作所发生的全部费用以及</w:t>
      </w:r>
      <w:r>
        <w:rPr>
          <w:rFonts w:hint="eastAsia" w:eastAsia="宋体"/>
          <w:color w:val="auto"/>
          <w:sz w:val="24"/>
          <w:highlight w:val="none"/>
          <w:lang w:val="en-US" w:eastAsia="zh-CN"/>
        </w:rPr>
        <w:t xml:space="preserve">乙方</w:t>
      </w:r>
      <w:r>
        <w:rPr>
          <w:rFonts w:hint="eastAsia" w:eastAsia="宋体"/>
          <w:color w:val="auto"/>
          <w:sz w:val="24"/>
          <w:highlight w:val="none"/>
        </w:rPr>
        <w:t xml:space="preserve">企业利润、税金、</w:t>
      </w:r>
      <w:r>
        <w:rPr>
          <w:rFonts w:hint="eastAsia" w:eastAsia="宋体"/>
          <w:color w:val="auto"/>
          <w:sz w:val="24"/>
          <w:highlight w:val="none"/>
        </w:rPr>
        <w:t xml:space="preserve">代理服务费</w:t>
      </w:r>
      <w:r>
        <w:rPr>
          <w:rFonts w:hint="eastAsia" w:eastAsia="宋体"/>
          <w:color w:val="auto"/>
          <w:sz w:val="24"/>
          <w:highlight w:val="none"/>
        </w:rPr>
        <w:t xml:space="preserve">和政策性文件规定及合同包含的所有风险、责任等各项应有费用。</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1.2.本项目实行总价包干,在服务期限内，根据实际实施需求，实际服务单位的数量可能发生变化（增加或减少），结算价不变。成交单位不得就实际服务单位数量的变化（增加或减少）要求采购单位进行赔偿。</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1.3.根据现行税法对甲方征收的与本合同有关的一切税费均由甲方承担；根据现行税法对乙方征收的与本合同有关的一切税费均由乙方承担。</w:t>
      </w:r>
      <w:r/>
    </w:p>
    <w:p>
      <w:pPr>
        <w:numPr>
          <w:ilvl w:val="0"/>
          <w:numId w:val="5"/>
        </w:numPr>
        <w:ind w:firstLine="482"/>
        <w:jc w:val="left"/>
        <w:spacing w:line="360" w:lineRule="auto"/>
        <w:rPr>
          <w:rFonts w:eastAsia="宋体"/>
          <w:b/>
          <w:bCs/>
          <w:color w:val="auto"/>
          <w:sz w:val="24"/>
          <w:highlight w:val="none"/>
        </w:rPr>
      </w:pPr>
      <w:r>
        <w:rPr>
          <w:rFonts w:hint="eastAsia" w:eastAsia="宋体"/>
          <w:b/>
          <w:bCs/>
          <w:color w:val="auto"/>
          <w:sz w:val="24"/>
          <w:highlight w:val="none"/>
        </w:rPr>
        <w:t xml:space="preserve">服务范围</w:t>
      </w:r>
      <w:r/>
    </w:p>
    <w:p>
      <w:pPr>
        <w:ind w:firstLine="480"/>
        <w:spacing w:line="360" w:lineRule="auto"/>
        <w:widowControl/>
        <w:rPr>
          <w:rFonts w:eastAsia="宋体"/>
          <w:color w:val="auto"/>
          <w:sz w:val="24"/>
          <w:highlight w:val="none"/>
        </w:rPr>
      </w:pPr>
      <w:r>
        <w:rPr>
          <w:rFonts w:hint="eastAsia" w:eastAsia="宋体"/>
          <w:color w:val="auto"/>
          <w:sz w:val="24"/>
          <w:highlight w:val="none"/>
        </w:rPr>
        <w:t xml:space="preserve">2.1服务于狮山商务创新区所属9个小学校（18个校区），15个幼儿园（19个校区），</w:t>
      </w:r>
      <w:r>
        <w:rPr>
          <w:rFonts w:eastAsia="宋体"/>
          <w:color w:val="auto"/>
          <w:sz w:val="24"/>
          <w:highlight w:val="none"/>
        </w:rPr>
        <w:t xml:space="preserve">25</w:t>
      </w:r>
      <w:r>
        <w:rPr>
          <w:rFonts w:hint="eastAsia" w:eastAsia="宋体"/>
          <w:color w:val="auto"/>
          <w:sz w:val="24"/>
          <w:highlight w:val="none"/>
        </w:rPr>
        <w:t xml:space="preserve">个社区和</w:t>
      </w:r>
      <w:r>
        <w:rPr>
          <w:rFonts w:eastAsia="宋体"/>
          <w:color w:val="auto"/>
          <w:sz w:val="24"/>
          <w:highlight w:val="none"/>
        </w:rPr>
        <w:t xml:space="preserve">3个中心</w:t>
      </w:r>
      <w:r>
        <w:rPr>
          <w:rFonts w:hint="eastAsia" w:eastAsia="宋体"/>
          <w:color w:val="auto"/>
          <w:sz w:val="24"/>
          <w:highlight w:val="none"/>
        </w:rPr>
        <w:t xml:space="preserve">，名单如下：</w:t>
      </w:r>
      <w:r/>
    </w:p>
    <w:tbl>
      <w:tblPr>
        <w:tblStyle w:val="88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83"/>
        <w:gridCol w:w="5155"/>
      </w:tblGrid>
      <w:tr>
        <w:trPr>
          <w:trHeight w:val="69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tcPr>
          <w:p>
            <w:pPr>
              <w:ind w:firstLine="482"/>
              <w:jc w:val="center"/>
              <w:widowControl/>
              <w:rPr>
                <w:rFonts w:eastAsia="宋体"/>
                <w:b/>
                <w:bCs/>
                <w:color w:val="auto"/>
                <w:sz w:val="24"/>
                <w:highlight w:val="none"/>
              </w:rPr>
            </w:pPr>
            <w:r>
              <w:rPr>
                <w:rFonts w:hint="eastAsia" w:eastAsia="宋体"/>
                <w:b/>
                <w:bCs/>
                <w:color w:val="auto"/>
                <w:sz w:val="24"/>
                <w:highlight w:val="none"/>
              </w:rPr>
              <w:t xml:space="preserve">狮山商务创新区所属小学及幼儿园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480"/>
              <w:jc w:val="center"/>
              <w:widowControl/>
              <w:rPr>
                <w:rFonts w:eastAsia="宋体"/>
                <w:color w:val="auto"/>
                <w:sz w:val="24"/>
                <w:highlight w:val="none"/>
              </w:rPr>
            </w:pPr>
            <w:r>
              <w:rPr>
                <w:rFonts w:hint="eastAsia" w:eastAsia="宋体"/>
                <w:color w:val="auto"/>
                <w:sz w:val="24"/>
                <w:highlight w:val="none"/>
              </w:rPr>
              <w:t xml:space="preserve">单位名称</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restart"/>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苏州高新区实验小学校</w:t>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金山路校区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珠江路校区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竹园路校区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滨河路校区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邓尉路校区</w:t>
            </w:r>
            <w:r/>
          </w:p>
        </w:tc>
      </w:tr>
      <w:tr>
        <w:trPr>
          <w:trHeight w:val="525"/>
        </w:trPr>
        <w:tc>
          <w:tcPr>
            <w:tcBorders>
              <w:top w:val="none" w:color="000000" w:sz="4" w:space="0"/>
              <w:left w:val="single" w:color="000000" w:sz="4" w:space="0"/>
              <w:bottom w:val="single" w:color="000000" w:sz="4" w:space="0"/>
              <w:right w:val="single" w:color="000000" w:sz="4" w:space="0"/>
            </w:tcBorders>
            <w:tcW w:w="2507" w:type="pct"/>
            <w:vAlign w:val="center"/>
            <w:vMerge w:val="restart"/>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苏州高新区狮山实验小学校</w:t>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乐星校区</w:t>
            </w:r>
            <w:r/>
          </w:p>
        </w:tc>
      </w:tr>
      <w:tr>
        <w:trPr>
          <w:trHeight w:val="450"/>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馨泰校区</w:t>
            </w:r>
            <w:r/>
          </w:p>
        </w:tc>
      </w:tr>
      <w:tr>
        <w:trPr>
          <w:trHeight w:val="510"/>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竹园校区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苏州高新区新升实验小学校</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苏州高新区金色小学校</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苏州高新区成大实验小学校</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苏州学府实验小学校</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苏州新区枫桥实验小学</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restart"/>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苏州市枫桥中心小学</w:t>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塔园校区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寒山校区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西津校区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restart"/>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苏州高新区白马涧小学</w:t>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马涧校区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龙池校区</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restart"/>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苏州高新区实验幼儿园</w:t>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滨河园</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御园</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何山园</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金山园</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restart"/>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苏州高新区狮山中心幼儿园</w:t>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馨泰园</w:t>
            </w:r>
            <w:r/>
          </w:p>
        </w:tc>
      </w:tr>
      <w:tr>
        <w:trPr>
          <w:trHeight w:val="402"/>
        </w:trPr>
        <w:tc>
          <w:tcPr>
            <w:tcBorders>
              <w:top w:val="none" w:color="000000" w:sz="4" w:space="0"/>
              <w:left w:val="single" w:color="000000" w:sz="4" w:space="0"/>
              <w:bottom w:val="single" w:color="000000" w:sz="4" w:space="0"/>
              <w:right w:val="single" w:color="000000" w:sz="4" w:space="0"/>
            </w:tcBorders>
            <w:tcW w:w="2507" w:type="pct"/>
            <w:vAlign w:val="center"/>
            <w:vMerge w:val="continue"/>
            <w:textDirection w:val="lrTb"/>
            <w:noWrap w:val="false"/>
          </w:tcPr>
          <w:p>
            <w:pPr>
              <w:ind w:firstLine="480"/>
              <w:jc w:val="left"/>
              <w:widowControl/>
              <w:rPr>
                <w:rFonts w:eastAsia="宋体"/>
                <w:color w:val="auto"/>
                <w:sz w:val="24"/>
                <w:highlight w:val="none"/>
              </w:rPr>
            </w:pPr>
            <w:r>
              <w:rPr>
                <w:rFonts w:eastAsia="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2493"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乐星园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苏州高新区新升幼儿园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苏州高新区竹园幼儿园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苏州高新区天都幼儿园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苏州高新区星韵幼儿园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苏州高新区成大实验幼儿园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苏州高新区玉山幼儿园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苏州高新区上方山实验幼儿园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苏州高新区枫桥实验幼儿园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苏州高新区枫桥中心幼儿园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苏州高新区枫桥天之运幼儿园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苏州高新区枫桥天籁城幼儿园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苏州高新区枫桥观枫幼儿园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苏州高新区枫桥枫华幼儿园</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新升社区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馨泰社区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狮山二社区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新狮社区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金色社区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万枫社区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横山社区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青春社区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狮山一社区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何山社区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横塘社区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学府社区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石湖社区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枫津社区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马涧社区服务中心</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康佳社区服务中心</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江枫社区服务中心</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枫华社区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康佳社区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东浜社区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西津桥社区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马浜社区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白马涧社区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龙池社区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寒山社区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景山社区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木桥社区</w:t>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center"/>
              <w:widowControl/>
              <w:rPr>
                <w:rFonts w:eastAsia="宋体"/>
                <w:color w:val="auto"/>
                <w:sz w:val="24"/>
                <w:highlight w:val="none"/>
              </w:rPr>
            </w:pPr>
            <w:r>
              <w:rPr>
                <w:rFonts w:hint="eastAsia" w:eastAsia="宋体"/>
                <w:color w:val="auto"/>
                <w:sz w:val="24"/>
                <w:highlight w:val="none"/>
              </w:rPr>
              <w:t xml:space="preserve">支英社区</w:t>
            </w:r>
            <w:r/>
          </w:p>
        </w:tc>
      </w:tr>
    </w:tbl>
    <w:p>
      <w:pPr>
        <w:ind w:firstLine="480"/>
        <w:spacing w:line="360" w:lineRule="auto"/>
        <w:widowControl/>
        <w:rPr>
          <w:rFonts w:eastAsia="宋体"/>
          <w:color w:val="auto"/>
          <w:sz w:val="24"/>
          <w:highlight w:val="none"/>
        </w:rPr>
      </w:pPr>
      <w:r>
        <w:rPr>
          <w:rFonts w:eastAsia="宋体"/>
          <w:color w:val="auto"/>
          <w:sz w:val="24"/>
          <w:highlight w:val="none"/>
        </w:rPr>
      </w:r>
      <w:r/>
    </w:p>
    <w:p>
      <w:pPr>
        <w:ind w:firstLine="480"/>
        <w:spacing w:line="360" w:lineRule="auto"/>
        <w:widowControl/>
        <w:rPr>
          <w:rFonts w:eastAsia="宋体"/>
          <w:color w:val="auto"/>
          <w:sz w:val="24"/>
          <w:highlight w:val="none"/>
        </w:rPr>
      </w:pPr>
      <w:r>
        <w:rPr>
          <w:rFonts w:hint="eastAsia" w:eastAsia="宋体"/>
          <w:color w:val="auto"/>
          <w:sz w:val="24"/>
          <w:highlight w:val="none"/>
        </w:rPr>
        <w:t xml:space="preserve">3.服务内容：代理服务小学、幼儿园、社区的财务会计账目、资料档案、各类报表等财务核算业务和财务管理业务。具体内容包括：审核支付申请单及发票合同等原始凭证；填报年初预算、调整预算、决算报告、教育年报、资产年报等；填报资产月报、统计月报及无债务申报等；填制分月用款计划表、固定资产明细表及无形资产明细表及每月摊销核算；配合学校填制教育部门的各类统计表格； 配合学校幼儿园、社区安排的其他零星事项，包括但不限于审计、行政事业单位内控编报等。凡学校幼儿园、社区发生的各项经济业务的会计核算，均由中介代理机构统一代理。</w:t>
      </w:r>
      <w:r/>
    </w:p>
    <w:p>
      <w:pPr>
        <w:ind w:firstLine="482"/>
        <w:spacing w:line="360" w:lineRule="auto"/>
        <w:widowControl/>
        <w:rPr>
          <w:rFonts w:eastAsia="宋体"/>
          <w:b/>
          <w:bCs/>
          <w:color w:val="auto"/>
          <w:sz w:val="24"/>
          <w:highlight w:val="none"/>
        </w:rPr>
      </w:pPr>
      <w:r>
        <w:rPr>
          <w:rFonts w:hint="eastAsia" w:eastAsia="宋体"/>
          <w:b/>
          <w:bCs/>
          <w:color w:val="auto"/>
          <w:sz w:val="24"/>
          <w:highlight w:val="none"/>
        </w:rPr>
        <w:t xml:space="preserve">4.受聘条件和职责</w:t>
      </w:r>
      <w:r/>
    </w:p>
    <w:p>
      <w:pPr>
        <w:ind w:firstLine="480"/>
        <w:spacing w:line="360" w:lineRule="auto"/>
        <w:rPr>
          <w:rFonts w:eastAsia="宋体"/>
          <w:color w:val="auto"/>
          <w:sz w:val="24"/>
          <w:highlight w:val="none"/>
        </w:rPr>
      </w:pPr>
      <w:r>
        <w:rPr>
          <w:rFonts w:hint="eastAsia" w:eastAsia="宋体"/>
          <w:color w:val="auto"/>
          <w:sz w:val="24"/>
          <w:highlight w:val="none"/>
        </w:rPr>
        <w:t xml:space="preserve">（1）本服务项目成交的第三方代理机构负责代理狮山商务创新区所属小学、幼儿园、社区的各项会计核算和财务管理业务，向小学、幼儿园、社区负责，接受狮山商务创新区财政和资产管理局的指导和监督。</w:t>
      </w:r>
      <w:r/>
    </w:p>
    <w:p>
      <w:pPr>
        <w:ind w:firstLine="480"/>
        <w:spacing w:line="360" w:lineRule="auto"/>
        <w:rPr>
          <w:rFonts w:eastAsia="宋体"/>
          <w:color w:val="auto"/>
          <w:sz w:val="24"/>
          <w:highlight w:val="none"/>
        </w:rPr>
      </w:pPr>
      <w:r>
        <w:rPr>
          <w:rFonts w:hint="eastAsia" w:eastAsia="宋体"/>
          <w:color w:val="auto"/>
          <w:sz w:val="24"/>
          <w:highlight w:val="none"/>
        </w:rPr>
        <w:t xml:space="preserve">（2）第三方代理记账机构办公场所由狮山商务创新区财政和资产管理局提供（含：办公设备、低值易耗品等）。</w:t>
      </w:r>
      <w:r/>
    </w:p>
    <w:p>
      <w:pPr>
        <w:ind w:firstLine="480"/>
        <w:spacing w:line="360" w:lineRule="auto"/>
        <w:rPr>
          <w:rFonts w:eastAsia="宋体"/>
          <w:color w:val="auto"/>
          <w:sz w:val="24"/>
          <w:highlight w:val="none"/>
        </w:rPr>
      </w:pPr>
      <w:r>
        <w:rPr>
          <w:rFonts w:hint="eastAsia" w:eastAsia="宋体"/>
          <w:color w:val="auto"/>
          <w:sz w:val="24"/>
          <w:highlight w:val="none"/>
        </w:rPr>
        <w:t xml:space="preserve">（3）第三方代理记账机构提供的主管代理记账业务的负责人（会计主管）负责对代理记账会计进行监督管理。代理记账会计由成交单位聘用。第三方代理记账机构应具备健全的业务操作规范和管理制度。</w:t>
      </w:r>
      <w:r/>
    </w:p>
    <w:p>
      <w:pPr>
        <w:ind w:firstLine="480"/>
        <w:spacing w:line="360" w:lineRule="auto"/>
        <w:rPr>
          <w:rFonts w:eastAsia="宋体"/>
          <w:color w:val="auto"/>
          <w:sz w:val="24"/>
          <w:highlight w:val="none"/>
        </w:rPr>
      </w:pPr>
      <w:r>
        <w:rPr>
          <w:rFonts w:hint="eastAsia" w:eastAsia="宋体"/>
          <w:color w:val="auto"/>
          <w:sz w:val="24"/>
          <w:highlight w:val="none"/>
        </w:rPr>
        <w:t xml:space="preserve">（4）第三方代理机构对在执行业务过程中知悉的经济业务秘密负有保密责任。除法律另有规定外，未经委托单位同意，不得将委托单位提供的资料外泄。</w:t>
      </w:r>
      <w:r/>
    </w:p>
    <w:p>
      <w:pPr>
        <w:ind w:firstLine="480"/>
        <w:spacing w:line="360" w:lineRule="auto"/>
        <w:rPr>
          <w:rFonts w:eastAsia="宋体"/>
          <w:color w:val="auto"/>
          <w:sz w:val="24"/>
          <w:highlight w:val="none"/>
        </w:rPr>
      </w:pPr>
      <w:r>
        <w:rPr>
          <w:rFonts w:hint="eastAsia" w:eastAsia="宋体"/>
          <w:color w:val="auto"/>
          <w:sz w:val="24"/>
          <w:highlight w:val="none"/>
        </w:rPr>
        <w:t xml:space="preserve">（5）在代理过程中，成交单位如有违反有关规定或违约行为的，根据委托协议约定的条款进行处罚，违反法律法规的移交司法部门处理。</w:t>
      </w:r>
      <w:r/>
    </w:p>
    <w:p>
      <w:pPr>
        <w:ind w:firstLine="480"/>
        <w:spacing w:line="360" w:lineRule="auto"/>
        <w:rPr>
          <w:rFonts w:eastAsia="宋体"/>
          <w:color w:val="auto"/>
          <w:sz w:val="24"/>
          <w:highlight w:val="none"/>
        </w:rPr>
      </w:pPr>
      <w:r>
        <w:rPr>
          <w:rFonts w:hint="eastAsia" w:eastAsia="宋体"/>
          <w:color w:val="auto"/>
          <w:sz w:val="24"/>
          <w:highlight w:val="none"/>
        </w:rPr>
        <w:t xml:space="preserve">（6）统一使用财务管理系统平台进行会计核算、资金管理、固定资产管理和合同管理等。 </w:t>
      </w:r>
      <w:r/>
    </w:p>
    <w:p>
      <w:pPr>
        <w:ind w:firstLine="482"/>
        <w:spacing w:line="360" w:lineRule="auto"/>
        <w:widowControl/>
        <w:rPr>
          <w:rFonts w:eastAsia="宋体"/>
          <w:b/>
          <w:bCs/>
          <w:color w:val="auto"/>
          <w:sz w:val="24"/>
          <w:highlight w:val="none"/>
        </w:rPr>
      </w:pPr>
      <w:r>
        <w:rPr>
          <w:rFonts w:hint="eastAsia" w:eastAsia="宋体"/>
          <w:b/>
          <w:bCs/>
          <w:color w:val="auto"/>
          <w:sz w:val="24"/>
          <w:highlight w:val="none"/>
        </w:rPr>
        <w:t xml:space="preserve">5.工作职责：</w:t>
      </w:r>
      <w:r/>
    </w:p>
    <w:p>
      <w:pPr>
        <w:ind w:firstLine="480"/>
        <w:spacing w:line="360" w:lineRule="auto"/>
        <w:rPr>
          <w:rFonts w:eastAsia="宋体"/>
          <w:color w:val="auto"/>
          <w:sz w:val="24"/>
          <w:highlight w:val="none"/>
        </w:rPr>
      </w:pPr>
      <w:r>
        <w:rPr>
          <w:rFonts w:hint="eastAsia" w:eastAsia="宋体"/>
          <w:color w:val="auto"/>
          <w:sz w:val="24"/>
          <w:highlight w:val="none"/>
        </w:rPr>
        <w:t xml:space="preserve">（1）第三方机构代理项目前，要将代理的财务管理、会计核算等工作制定详尽的业务操作规范和内部管理制度，并报狮山商务创新区财政和资产管理局备案，代理事项后，按照规定的业务范围完成各项工作任务。</w:t>
      </w:r>
      <w:r/>
    </w:p>
    <w:p>
      <w:pPr>
        <w:ind w:firstLine="480"/>
        <w:spacing w:line="360" w:lineRule="auto"/>
        <w:rPr>
          <w:rFonts w:eastAsia="宋体"/>
          <w:color w:val="auto"/>
          <w:sz w:val="24"/>
          <w:highlight w:val="none"/>
        </w:rPr>
      </w:pPr>
      <w:r>
        <w:rPr>
          <w:rFonts w:hint="eastAsia" w:eastAsia="宋体"/>
          <w:color w:val="auto"/>
          <w:sz w:val="24"/>
          <w:highlight w:val="none"/>
        </w:rPr>
        <w:t xml:space="preserve">（2）负责做好委托代理的小学、幼儿园、社区各项经济业务的会计核算、财务管理工作及其他委托事项。</w:t>
      </w:r>
      <w:r/>
    </w:p>
    <w:p>
      <w:pPr>
        <w:ind w:firstLine="480"/>
        <w:spacing w:line="360" w:lineRule="auto"/>
        <w:rPr>
          <w:rFonts w:eastAsia="宋体"/>
          <w:color w:val="auto"/>
          <w:sz w:val="24"/>
          <w:highlight w:val="none"/>
        </w:rPr>
      </w:pPr>
      <w:r>
        <w:rPr>
          <w:rFonts w:hint="eastAsia" w:eastAsia="宋体"/>
          <w:color w:val="auto"/>
          <w:sz w:val="24"/>
          <w:highlight w:val="none"/>
        </w:rPr>
        <w:t xml:space="preserve">（3）以全国人大及财政部制定的《中华人民共和国会计法》、《</w:t>
      </w:r>
      <w:r>
        <w:rPr>
          <w:color w:val="auto"/>
          <w:highlight w:val="none"/>
        </w:rPr>
        <w:fldChar w:fldCharType="begin"/>
      </w:r>
      <w:r>
        <w:rPr>
          <w:color w:val="auto"/>
          <w:highlight w:val="none"/>
        </w:rPr>
        <w:instrText xml:space="preserve"> HYPERLINK "https://baike.baidu.com/item/%E4%BA%8B%E4%B8%9A%E5%8D%95%E4%BD%8D%E4%BC%9A%E8%AE%A1%E5%87%86%E5%88%99/10973431?fromModule=lemma_inlink" \t "_blank" </w:instrText>
      </w:r>
      <w:r>
        <w:rPr>
          <w:color w:val="auto"/>
          <w:highlight w:val="none"/>
        </w:rPr>
        <w:fldChar w:fldCharType="separate"/>
      </w:r>
      <w:r>
        <w:rPr>
          <w:rFonts w:hint="eastAsia" w:eastAsia="宋体"/>
          <w:color w:val="auto"/>
          <w:sz w:val="24"/>
          <w:highlight w:val="none"/>
        </w:rPr>
        <w:t xml:space="preserve">事业单位会计准则</w:t>
      </w:r>
      <w:r>
        <w:rPr>
          <w:rFonts w:hint="eastAsia" w:eastAsia="宋体"/>
          <w:color w:val="auto"/>
          <w:sz w:val="24"/>
          <w:highlight w:val="none"/>
        </w:rPr>
        <w:fldChar w:fldCharType="end"/>
      </w:r>
      <w:r>
        <w:rPr>
          <w:rFonts w:hint="eastAsia" w:eastAsia="宋体"/>
          <w:color w:val="auto"/>
          <w:sz w:val="24"/>
          <w:highlight w:val="none"/>
        </w:rPr>
        <w:t xml:space="preserve">》、《事业单位财务规则》、《事业单位会计制度》等国家有关法律法规为准则，严格对委托代理的小学、幼儿园、社区的报账原始凭证是否符合有关规定、审批程序是否符合要求、各项收入和资金使用是否合理等情况进行审核并进行会计核算，及时编制财务报表。</w:t>
      </w:r>
      <w:r/>
    </w:p>
    <w:p>
      <w:pPr>
        <w:ind w:firstLine="480"/>
        <w:spacing w:line="360" w:lineRule="auto"/>
        <w:rPr>
          <w:rFonts w:eastAsia="宋体"/>
          <w:color w:val="auto"/>
          <w:sz w:val="24"/>
          <w:highlight w:val="none"/>
        </w:rPr>
      </w:pPr>
      <w:r>
        <w:rPr>
          <w:rFonts w:hint="eastAsia" w:eastAsia="宋体"/>
          <w:color w:val="auto"/>
          <w:sz w:val="24"/>
          <w:highlight w:val="none"/>
        </w:rPr>
        <w:t xml:space="preserve">（4）每年年末，按照小学、幼儿园、社区下一年的工作计划和资金使用的有关规定，编制下一年度预算方案及本年度的决算编制方案。</w:t>
      </w:r>
      <w:r/>
    </w:p>
    <w:p>
      <w:pPr>
        <w:ind w:firstLine="480"/>
        <w:spacing w:line="360" w:lineRule="auto"/>
        <w:rPr>
          <w:rFonts w:eastAsia="宋体"/>
          <w:color w:val="auto"/>
          <w:sz w:val="24"/>
          <w:highlight w:val="none"/>
        </w:rPr>
      </w:pPr>
      <w:r>
        <w:rPr>
          <w:rFonts w:hint="eastAsia" w:eastAsia="宋体"/>
          <w:color w:val="auto"/>
          <w:sz w:val="24"/>
          <w:highlight w:val="none"/>
        </w:rPr>
        <w:t xml:space="preserve">（5）履行会计职责，配合学校开展日常的财务管理活动，并对学校财务管理活动的合法合规性进行监督。对财务管理中存在的不合理情况、问题等，提出建设性意见和合理性建议。</w:t>
      </w:r>
      <w:r/>
    </w:p>
    <w:p>
      <w:pPr>
        <w:ind w:firstLine="480"/>
        <w:spacing w:line="360" w:lineRule="auto"/>
        <w:rPr>
          <w:rFonts w:eastAsia="宋体"/>
          <w:color w:val="auto"/>
          <w:sz w:val="24"/>
          <w:highlight w:val="none"/>
        </w:rPr>
      </w:pPr>
      <w:r>
        <w:rPr>
          <w:rFonts w:hint="eastAsia" w:eastAsia="宋体"/>
          <w:color w:val="auto"/>
          <w:sz w:val="24"/>
          <w:highlight w:val="none"/>
        </w:rPr>
        <w:t xml:space="preserve">（6）每月结账前与总预算会计核对往来明细，对存在往来明细与预算账务不符合的，及时调整账务。</w:t>
      </w:r>
      <w:r/>
    </w:p>
    <w:p>
      <w:pPr>
        <w:ind w:firstLine="480"/>
        <w:spacing w:line="360" w:lineRule="auto"/>
        <w:rPr>
          <w:rFonts w:eastAsia="宋体"/>
          <w:color w:val="auto"/>
          <w:sz w:val="24"/>
          <w:highlight w:val="none"/>
        </w:rPr>
      </w:pPr>
      <w:r>
        <w:rPr>
          <w:rFonts w:hint="eastAsia" w:eastAsia="宋体"/>
          <w:color w:val="auto"/>
          <w:sz w:val="24"/>
          <w:highlight w:val="none"/>
        </w:rPr>
        <w:t xml:space="preserve">（7）支付前审核。第三方机构在支付前，要对所取得的原始凭证进行逐笔审核其合理性、合法性和真实性，对不符合规定的予以退回并提出处理意见。</w:t>
      </w:r>
      <w:r/>
    </w:p>
    <w:p>
      <w:pPr>
        <w:ind w:firstLine="480"/>
        <w:spacing w:line="360" w:lineRule="auto"/>
        <w:rPr>
          <w:rFonts w:eastAsia="宋体"/>
          <w:color w:val="auto"/>
          <w:sz w:val="24"/>
          <w:highlight w:val="none"/>
        </w:rPr>
      </w:pPr>
      <w:r>
        <w:rPr>
          <w:rFonts w:hint="eastAsia" w:eastAsia="宋体"/>
          <w:color w:val="auto"/>
          <w:sz w:val="24"/>
          <w:highlight w:val="none"/>
        </w:rPr>
        <w:t xml:space="preserve">（8）编制财务报告。每月账务处理完毕，编制预算内、预算外分月用款计划表，债务监测服务平台月度申报，资产月报，统计月报等，出具月度财务报表（资产负债表、收入费用表、经费支出明细表、预算收入支出表）并将财务会计资料装订成册，归档管理。每月10日前(遇节假日顺延)向教育部门和财政部门反馈各类财务报表、会计数据等。</w:t>
      </w:r>
      <w:r/>
    </w:p>
    <w:p>
      <w:pPr>
        <w:ind w:firstLine="480"/>
        <w:spacing w:line="360" w:lineRule="auto"/>
        <w:rPr>
          <w:rFonts w:eastAsia="宋体"/>
          <w:color w:val="auto"/>
          <w:sz w:val="24"/>
          <w:highlight w:val="none"/>
        </w:rPr>
      </w:pPr>
      <w:r>
        <w:rPr>
          <w:rFonts w:hint="eastAsia" w:eastAsia="宋体"/>
          <w:color w:val="auto"/>
          <w:sz w:val="24"/>
          <w:highlight w:val="none"/>
        </w:rPr>
        <w:t xml:space="preserve">（9）配合采购方做好学校幼儿园各种财务数据等的统计汇总工作。</w:t>
      </w:r>
      <w:r/>
    </w:p>
    <w:p>
      <w:pPr>
        <w:ind w:firstLine="480"/>
        <w:spacing w:line="360" w:lineRule="auto"/>
        <w:rPr>
          <w:rFonts w:eastAsia="宋体"/>
          <w:color w:val="auto"/>
          <w:sz w:val="24"/>
          <w:highlight w:val="none"/>
        </w:rPr>
      </w:pPr>
      <w:r>
        <w:rPr>
          <w:rFonts w:hint="eastAsia" w:eastAsia="宋体"/>
          <w:color w:val="auto"/>
          <w:sz w:val="24"/>
          <w:highlight w:val="none"/>
        </w:rPr>
        <w:t xml:space="preserve">（10）为委托代理的学校幼儿园的经济业务往来、对外投资、工程建设、税务业务等经济活动提供咨询服务，并对国家有关新法律法规政策、财经制度等做好宣传、指导、培训工作。</w:t>
      </w:r>
      <w:r/>
    </w:p>
    <w:p>
      <w:pPr>
        <w:ind w:firstLine="480"/>
        <w:spacing w:line="360" w:lineRule="auto"/>
        <w:rPr>
          <w:rFonts w:eastAsia="宋体"/>
          <w:color w:val="auto"/>
          <w:sz w:val="24"/>
          <w:highlight w:val="none"/>
        </w:rPr>
      </w:pPr>
      <w:r>
        <w:rPr>
          <w:rFonts w:hint="eastAsia" w:eastAsia="宋体"/>
          <w:color w:val="auto"/>
          <w:sz w:val="24"/>
          <w:highlight w:val="none"/>
        </w:rPr>
        <w:t xml:space="preserve">（11）第三方代理机构必须实行会计电算化，并统一使用财务管理系统平台，会计电算化软件和硬件设施由狮山商务创新区统一提供。</w:t>
      </w:r>
      <w:r/>
    </w:p>
    <w:p>
      <w:pPr>
        <w:ind w:firstLine="480"/>
        <w:spacing w:line="360" w:lineRule="auto"/>
        <w:rPr>
          <w:rFonts w:eastAsia="宋体"/>
          <w:color w:val="auto"/>
          <w:sz w:val="24"/>
          <w:highlight w:val="none"/>
        </w:rPr>
      </w:pPr>
      <w:r>
        <w:rPr>
          <w:rFonts w:hint="eastAsia" w:eastAsia="宋体"/>
          <w:color w:val="auto"/>
          <w:sz w:val="24"/>
          <w:highlight w:val="none"/>
        </w:rPr>
        <w:t xml:space="preserve">（12）统一设置固定资产台账进行管理资产，认真做好资产的分类，每年定期对代理单位的固定资产进行全面清查，以确保资产的不流失。</w:t>
      </w:r>
      <w:r/>
    </w:p>
    <w:p>
      <w:pPr>
        <w:ind w:firstLine="480"/>
        <w:spacing w:line="360" w:lineRule="auto"/>
        <w:rPr>
          <w:rFonts w:eastAsia="宋体"/>
          <w:color w:val="auto"/>
          <w:sz w:val="24"/>
          <w:highlight w:val="none"/>
        </w:rPr>
      </w:pPr>
      <w:r>
        <w:rPr>
          <w:rFonts w:hint="eastAsia" w:eastAsia="宋体"/>
          <w:color w:val="auto"/>
          <w:sz w:val="24"/>
          <w:highlight w:val="none"/>
        </w:rPr>
        <w:t xml:space="preserve">（13）编制行政事业单位政府财务报告、债务监测服务平台年度债务事项年报、资产年报、统计年报，全国教育经费统计年报等各类报表，并按照财政部《会计档案管理办法》的有关规定，整理各类财务会计资料并装订成册，会计档案的交接按相关文件规定执行。</w:t>
      </w:r>
      <w:r/>
    </w:p>
    <w:p>
      <w:pPr>
        <w:ind w:firstLine="480"/>
        <w:spacing w:line="360" w:lineRule="auto"/>
        <w:rPr>
          <w:rFonts w:eastAsia="宋体"/>
          <w:color w:val="auto"/>
          <w:sz w:val="24"/>
          <w:highlight w:val="none"/>
        </w:rPr>
      </w:pPr>
      <w:r>
        <w:rPr>
          <w:rFonts w:hint="eastAsia" w:eastAsia="宋体"/>
          <w:color w:val="auto"/>
          <w:sz w:val="24"/>
          <w:highlight w:val="none"/>
        </w:rPr>
        <w:t xml:space="preserve">（14）监督代理单位是否有发生违反财经制度、相关规定，或妨碍财务管理的行为，要及时向代理单位的主管部门及狮山商务创新区财政和资产管理局反映情况。</w:t>
      </w:r>
      <w:r/>
    </w:p>
    <w:p>
      <w:pPr>
        <w:ind w:firstLine="480"/>
        <w:spacing w:line="360" w:lineRule="auto"/>
        <w:rPr>
          <w:rFonts w:eastAsia="宋体"/>
          <w:color w:val="auto"/>
          <w:sz w:val="24"/>
          <w:highlight w:val="none"/>
        </w:rPr>
      </w:pPr>
      <w:r>
        <w:rPr>
          <w:rFonts w:hint="eastAsia" w:eastAsia="宋体"/>
          <w:color w:val="auto"/>
          <w:sz w:val="24"/>
          <w:highlight w:val="none"/>
        </w:rPr>
        <w:t xml:space="preserve">（15）接受学校对业务政策的咨询，要耐心、细致解答和认真予以解决。</w:t>
      </w:r>
      <w:r/>
    </w:p>
    <w:p>
      <w:pPr>
        <w:ind w:firstLine="480"/>
        <w:spacing w:line="360" w:lineRule="auto"/>
        <w:rPr>
          <w:rFonts w:eastAsia="宋体"/>
          <w:color w:val="auto"/>
          <w:sz w:val="24"/>
          <w:highlight w:val="none"/>
        </w:rPr>
      </w:pPr>
      <w:r>
        <w:rPr>
          <w:rFonts w:hint="eastAsia" w:eastAsia="宋体"/>
          <w:color w:val="auto"/>
          <w:sz w:val="24"/>
          <w:highlight w:val="none"/>
        </w:rPr>
        <w:t xml:space="preserve">（16）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firstLine="480"/>
        <w:spacing w:line="360" w:lineRule="auto"/>
        <w:rPr>
          <w:rFonts w:eastAsia="宋体"/>
          <w:color w:val="auto"/>
          <w:sz w:val="24"/>
          <w:highlight w:val="none"/>
        </w:rPr>
      </w:pPr>
      <w:r>
        <w:rPr>
          <w:rFonts w:hint="eastAsia" w:eastAsia="宋体"/>
          <w:color w:val="auto"/>
          <w:sz w:val="24"/>
          <w:highlight w:val="none"/>
        </w:rPr>
        <w:t xml:space="preserve">（17）成交的第三方机构不得以任何理由转委托第三方代为从事上述业务。</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6.服务团队配备要求：</w:t>
      </w:r>
      <w:r/>
    </w:p>
    <w:p>
      <w:pPr>
        <w:ind w:firstLine="480"/>
        <w:spacing w:line="360" w:lineRule="auto"/>
        <w:rPr>
          <w:rFonts w:eastAsia="宋体"/>
          <w:color w:val="auto"/>
          <w:sz w:val="24"/>
          <w:highlight w:val="none"/>
        </w:rPr>
      </w:pPr>
      <w:r>
        <w:rPr>
          <w:rFonts w:hint="eastAsia" w:eastAsia="宋体"/>
          <w:color w:val="auto"/>
          <w:sz w:val="24"/>
          <w:highlight w:val="none"/>
        </w:rPr>
        <w:t xml:space="preserve">（1）主管代理记账业务的负责人不少于1人并具有中级及以上会计师职称；</w:t>
      </w:r>
      <w:r/>
    </w:p>
    <w:p>
      <w:pPr>
        <w:ind w:firstLine="480"/>
        <w:spacing w:line="360" w:lineRule="auto"/>
        <w:rPr>
          <w:rFonts w:eastAsia="宋体"/>
          <w:color w:val="auto"/>
          <w:sz w:val="24"/>
          <w:highlight w:val="none"/>
        </w:rPr>
      </w:pPr>
      <w:r>
        <w:rPr>
          <w:rFonts w:hint="eastAsia" w:eastAsia="宋体"/>
          <w:color w:val="auto"/>
          <w:sz w:val="24"/>
          <w:highlight w:val="none"/>
        </w:rPr>
        <w:t xml:space="preserve">（2）财务会计不少于</w:t>
      </w:r>
      <w:r>
        <w:rPr>
          <w:rFonts w:hint="eastAsia"/>
          <w:color w:val="auto"/>
          <w:sz w:val="24"/>
          <w:highlight w:val="none"/>
          <w:lang w:val="en-US" w:eastAsia="zh-CN"/>
        </w:rPr>
        <w:t xml:space="preserve">7</w:t>
      </w:r>
      <w:r>
        <w:rPr>
          <w:rFonts w:hint="eastAsia" w:eastAsia="宋体"/>
          <w:color w:val="auto"/>
          <w:sz w:val="24"/>
          <w:highlight w:val="none"/>
        </w:rPr>
        <w:t xml:space="preserve">人（不包括主管代理记账业务的负责人）并具有初级及以上会计师职称；其中小学、幼儿园财务会计不少于</w:t>
      </w:r>
      <w:r>
        <w:rPr>
          <w:rFonts w:hint="eastAsia"/>
          <w:color w:val="auto"/>
          <w:sz w:val="24"/>
          <w:highlight w:val="none"/>
          <w:lang w:val="en-US" w:eastAsia="zh-CN"/>
        </w:rPr>
        <w:t xml:space="preserve">5</w:t>
      </w:r>
      <w:r>
        <w:rPr>
          <w:rFonts w:hint="eastAsia" w:eastAsia="宋体"/>
          <w:color w:val="auto"/>
          <w:sz w:val="24"/>
          <w:highlight w:val="none"/>
        </w:rPr>
        <w:t xml:space="preserve">人，社区财务会计不少于2人。</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7.服务要求与验收标准：</w:t>
      </w:r>
      <w:r/>
    </w:p>
    <w:p>
      <w:pPr>
        <w:ind w:firstLine="480"/>
        <w:spacing w:line="360" w:lineRule="auto"/>
        <w:rPr>
          <w:rFonts w:eastAsia="宋体"/>
          <w:color w:val="auto"/>
          <w:sz w:val="24"/>
          <w:highlight w:val="none"/>
        </w:rPr>
      </w:pPr>
      <w:r>
        <w:rPr>
          <w:rFonts w:hint="eastAsia" w:eastAsia="宋体"/>
          <w:color w:val="auto"/>
          <w:sz w:val="24"/>
          <w:highlight w:val="none"/>
        </w:rPr>
        <w:t xml:space="preserve">（1）</w:t>
      </w:r>
      <w:r>
        <w:rPr>
          <w:rFonts w:hint="eastAsia" w:eastAsia="宋体"/>
          <w:color w:val="auto"/>
          <w:sz w:val="24"/>
          <w:highlight w:val="none"/>
          <w:lang w:val="en-US" w:eastAsia="zh-CN"/>
        </w:rPr>
        <w:t xml:space="preserve">乙方派驻人员</w:t>
      </w:r>
      <w:r>
        <w:rPr>
          <w:rFonts w:hint="eastAsia" w:eastAsia="宋体"/>
          <w:color w:val="auto"/>
          <w:sz w:val="24"/>
          <w:highlight w:val="none"/>
        </w:rPr>
        <w:t xml:space="preserve">根据甲方通知到岗，在狮山商务创新区财政和资产管理局安排的办公场所工作</w:t>
      </w:r>
      <w:r>
        <w:rPr>
          <w:rFonts w:hint="eastAsia" w:eastAsia="宋体"/>
          <w:color w:val="auto"/>
          <w:sz w:val="24"/>
          <w:highlight w:val="none"/>
          <w:lang w:eastAsia="zh-CN"/>
        </w:rPr>
        <w:t xml:space="preserve">，</w:t>
      </w:r>
      <w:r>
        <w:rPr>
          <w:rFonts w:hint="eastAsia" w:eastAsia="宋体"/>
          <w:color w:val="auto"/>
          <w:sz w:val="24"/>
          <w:highlight w:val="none"/>
          <w:lang w:val="en-US" w:eastAsia="zh-CN"/>
        </w:rPr>
        <w:t xml:space="preserve">到岗人员伙食由</w:t>
      </w:r>
      <w:r>
        <w:rPr>
          <w:rFonts w:hint="eastAsia"/>
          <w:color w:val="auto"/>
          <w:sz w:val="24"/>
          <w:highlight w:val="none"/>
          <w:lang w:val="en-US" w:eastAsia="zh-CN"/>
        </w:rPr>
        <w:t xml:space="preserve">采购人提供并承担相应费用</w:t>
      </w:r>
      <w:r>
        <w:rPr>
          <w:rFonts w:hint="eastAsia" w:eastAsia="宋体"/>
          <w:color w:val="auto"/>
          <w:sz w:val="24"/>
          <w:highlight w:val="none"/>
        </w:rPr>
        <w:t xml:space="preserve">。</w:t>
      </w:r>
      <w:r/>
    </w:p>
    <w:p>
      <w:pPr>
        <w:ind w:firstLine="480"/>
        <w:spacing w:line="360" w:lineRule="auto"/>
        <w:rPr>
          <w:rFonts w:eastAsia="宋体"/>
          <w:color w:val="auto"/>
          <w:sz w:val="24"/>
          <w:highlight w:val="none"/>
        </w:rPr>
      </w:pPr>
      <w:r>
        <w:rPr>
          <w:rFonts w:hint="eastAsia" w:eastAsia="宋体"/>
          <w:color w:val="auto"/>
          <w:sz w:val="24"/>
          <w:highlight w:val="none"/>
        </w:rPr>
        <w:t xml:space="preserve">（2）全体代理记账业务派驻人员（含主管代理记账业务的负责人）应遵照狮山商务创新区工作作息时间上下班。服务期间，所派驻人员不可随意更换，如需更换需获得采购方同意，否则采购方有权单方面取消采购合同。</w:t>
      </w:r>
      <w:r/>
    </w:p>
    <w:p>
      <w:pPr>
        <w:ind w:firstLine="480"/>
        <w:spacing w:line="360" w:lineRule="auto"/>
        <w:rPr>
          <w:rFonts w:eastAsia="宋体"/>
          <w:color w:val="auto"/>
          <w:sz w:val="24"/>
          <w:highlight w:val="none"/>
        </w:rPr>
      </w:pPr>
      <w:r>
        <w:rPr>
          <w:rFonts w:hint="eastAsia" w:eastAsia="宋体"/>
          <w:color w:val="auto"/>
          <w:sz w:val="24"/>
          <w:highlight w:val="none"/>
        </w:rPr>
        <w:t xml:space="preserve">（3）递交的成果内容必须符合采购文件的有关要求和国家有关标准。</w:t>
      </w:r>
      <w:r/>
    </w:p>
    <w:p>
      <w:pPr>
        <w:ind w:firstLine="480"/>
        <w:spacing w:line="360" w:lineRule="auto"/>
        <w:rPr>
          <w:rFonts w:eastAsia="宋体"/>
          <w:color w:val="auto"/>
          <w:sz w:val="24"/>
          <w:highlight w:val="none"/>
        </w:rPr>
      </w:pPr>
      <w:r>
        <w:rPr>
          <w:rFonts w:hint="eastAsia" w:eastAsia="宋体"/>
          <w:color w:val="auto"/>
          <w:sz w:val="24"/>
          <w:highlight w:val="none"/>
        </w:rPr>
        <w:t xml:space="preserve">（4）技术依据：为保证本项目实施的科学性、规范性和准确性，技术操作、服务需要严格遵照国家有关法律、法规、规章制度以及国家和行业颁布的相关技术标准和规范。</w:t>
      </w:r>
      <w:r/>
    </w:p>
    <w:p>
      <w:pPr>
        <w:ind w:firstLine="480"/>
        <w:spacing w:line="360" w:lineRule="auto"/>
        <w:rPr>
          <w:rFonts w:eastAsia="宋体"/>
          <w:color w:val="auto"/>
          <w:sz w:val="24"/>
          <w:highlight w:val="none"/>
        </w:rPr>
      </w:pPr>
      <w:r>
        <w:rPr>
          <w:rFonts w:hint="eastAsia" w:eastAsia="宋体"/>
          <w:color w:val="auto"/>
          <w:sz w:val="24"/>
          <w:highlight w:val="none"/>
        </w:rPr>
        <w:t xml:space="preserve">（5）每月15日前（遇节假日顺延），提供财务报表（资产负债表、收入费用表、经费支出明细表、预算收入支出表）、会计数据等，进行归档。</w:t>
      </w:r>
      <w:r/>
    </w:p>
    <w:p>
      <w:pPr>
        <w:ind w:firstLine="480"/>
        <w:spacing w:line="360" w:lineRule="auto"/>
        <w:rPr>
          <w:rFonts w:eastAsia="宋体"/>
          <w:color w:val="auto"/>
          <w:sz w:val="24"/>
          <w:highlight w:val="none"/>
        </w:rPr>
      </w:pPr>
      <w:r>
        <w:rPr>
          <w:rFonts w:hint="eastAsia" w:eastAsia="宋体"/>
          <w:color w:val="auto"/>
          <w:sz w:val="24"/>
          <w:highlight w:val="none"/>
        </w:rPr>
        <w:t xml:space="preserve">（6）每年末，提供下一年度预算方案及本年度的决算编制方案。</w:t>
      </w:r>
      <w:r/>
    </w:p>
    <w:p>
      <w:pPr>
        <w:ind w:firstLine="480"/>
        <w:spacing w:line="360" w:lineRule="auto"/>
        <w:rPr>
          <w:rFonts w:eastAsia="宋体"/>
          <w:color w:val="auto"/>
          <w:sz w:val="24"/>
          <w:highlight w:val="none"/>
        </w:rPr>
      </w:pPr>
      <w:r>
        <w:rPr>
          <w:rFonts w:hint="eastAsia" w:eastAsia="宋体"/>
          <w:color w:val="auto"/>
          <w:sz w:val="24"/>
          <w:highlight w:val="none"/>
        </w:rPr>
        <w:t xml:space="preserve">（7）每年期间，根据代理单位需要，提供包括但不限于行政事业单位政府财务报告、债务监测服务平台年度债务事项年报、资产年报、统计年报，全国教育经费统计年报等各类报表。</w:t>
      </w:r>
      <w:r/>
    </w:p>
    <w:p>
      <w:pPr>
        <w:ind w:firstLine="480"/>
        <w:spacing w:line="360" w:lineRule="auto"/>
        <w:rPr>
          <w:rFonts w:eastAsia="宋体"/>
          <w:color w:val="auto"/>
          <w:sz w:val="24"/>
          <w:highlight w:val="none"/>
        </w:rPr>
      </w:pPr>
      <w:r>
        <w:rPr>
          <w:rFonts w:hint="eastAsia" w:eastAsia="宋体"/>
          <w:color w:val="auto"/>
          <w:sz w:val="24"/>
          <w:highlight w:val="none"/>
        </w:rPr>
        <w:t xml:space="preserve">（8）每年期间，根据代理单位需要，对涉及财务事项的工作予以配合。</w:t>
      </w:r>
      <w:r/>
    </w:p>
    <w:p>
      <w:pPr>
        <w:ind w:firstLine="482"/>
        <w:spacing w:line="360" w:lineRule="auto"/>
        <w:rPr>
          <w:rFonts w:eastAsia="宋体"/>
          <w:color w:val="auto"/>
          <w:sz w:val="24"/>
          <w:highlight w:val="none"/>
        </w:rPr>
      </w:pPr>
      <w:r>
        <w:rPr>
          <w:rFonts w:hint="eastAsia" w:eastAsia="宋体"/>
          <w:b/>
          <w:bCs/>
          <w:color w:val="auto"/>
          <w:sz w:val="24"/>
          <w:highlight w:val="none"/>
        </w:rPr>
        <w:t xml:space="preserve">8.服务考核：</w:t>
      </w:r>
      <w:r>
        <w:rPr>
          <w:rFonts w:hint="eastAsia" w:eastAsia="宋体"/>
          <w:color w:val="auto"/>
          <w:sz w:val="24"/>
          <w:highlight w:val="none"/>
        </w:rPr>
        <w:t xml:space="preserve">采购单位根据考核细则（详见附件）每季度对成交单位工作进行考核，成交单位每季度考核得分在</w:t>
      </w:r>
      <w:r>
        <w:rPr>
          <w:rFonts w:hint="eastAsia"/>
          <w:color w:val="auto"/>
          <w:sz w:val="24"/>
          <w:highlight w:val="none"/>
          <w:lang w:val="en-US" w:eastAsia="zh-CN"/>
        </w:rPr>
        <w:t xml:space="preserve">90</w:t>
      </w:r>
      <w:r>
        <w:rPr>
          <w:rFonts w:hint="eastAsia" w:eastAsia="宋体"/>
          <w:color w:val="auto"/>
          <w:sz w:val="24"/>
          <w:highlight w:val="none"/>
        </w:rPr>
        <w:t xml:space="preserve">分（含</w:t>
      </w:r>
      <w:r>
        <w:rPr>
          <w:rFonts w:hint="eastAsia"/>
          <w:color w:val="auto"/>
          <w:sz w:val="24"/>
          <w:highlight w:val="none"/>
          <w:lang w:val="en-US" w:eastAsia="zh-CN"/>
        </w:rPr>
        <w:t xml:space="preserve">90</w:t>
      </w:r>
      <w:r>
        <w:rPr>
          <w:rFonts w:hint="eastAsia" w:eastAsia="宋体"/>
          <w:color w:val="auto"/>
          <w:sz w:val="24"/>
          <w:highlight w:val="none"/>
        </w:rPr>
        <w:t xml:space="preserve">分）以上的为合格，按合同约定足额支付服务费用；考核得分在8</w:t>
      </w:r>
      <w:r>
        <w:rPr>
          <w:rFonts w:hint="eastAsia"/>
          <w:color w:val="auto"/>
          <w:sz w:val="24"/>
          <w:highlight w:val="none"/>
          <w:lang w:val="en-US" w:eastAsia="zh-CN"/>
        </w:rPr>
        <w:t xml:space="preserve">5</w:t>
      </w:r>
      <w:r>
        <w:rPr>
          <w:rFonts w:hint="eastAsia" w:eastAsia="宋体"/>
          <w:color w:val="auto"/>
          <w:sz w:val="24"/>
          <w:highlight w:val="none"/>
        </w:rPr>
        <w:t xml:space="preserve">分（含8</w:t>
      </w:r>
      <w:r>
        <w:rPr>
          <w:rFonts w:hint="eastAsia"/>
          <w:color w:val="auto"/>
          <w:sz w:val="24"/>
          <w:highlight w:val="none"/>
          <w:lang w:val="en-US" w:eastAsia="zh-CN"/>
        </w:rPr>
        <w:t xml:space="preserve">5</w:t>
      </w:r>
      <w:r>
        <w:rPr>
          <w:rFonts w:hint="eastAsia" w:eastAsia="宋体"/>
          <w:color w:val="auto"/>
          <w:sz w:val="24"/>
          <w:highlight w:val="none"/>
        </w:rPr>
        <w:t xml:space="preserve">分）-</w:t>
      </w:r>
      <w:r>
        <w:rPr>
          <w:rFonts w:hint="eastAsia"/>
          <w:color w:val="auto"/>
          <w:sz w:val="24"/>
          <w:highlight w:val="none"/>
          <w:lang w:val="en-US" w:eastAsia="zh-CN"/>
        </w:rPr>
        <w:t xml:space="preserve">90</w:t>
      </w:r>
      <w:r>
        <w:rPr>
          <w:rFonts w:hint="eastAsia" w:eastAsia="宋体"/>
          <w:color w:val="auto"/>
          <w:sz w:val="24"/>
          <w:highlight w:val="none"/>
        </w:rPr>
        <w:t xml:space="preserve">分的，采购单位有权更换相关人员并相应扣除当期服务费用的</w:t>
      </w:r>
      <w:r>
        <w:rPr>
          <w:rFonts w:hint="eastAsia"/>
          <w:color w:val="auto"/>
          <w:sz w:val="24"/>
          <w:highlight w:val="none"/>
          <w:lang w:val="en-US" w:eastAsia="zh-CN"/>
        </w:rPr>
        <w:t xml:space="preserve">2</w:t>
      </w:r>
      <w:r>
        <w:rPr>
          <w:rFonts w:hint="eastAsia" w:eastAsia="宋体"/>
          <w:color w:val="auto"/>
          <w:sz w:val="24"/>
          <w:highlight w:val="none"/>
        </w:rPr>
        <w:t xml:space="preserve">%；考核得分在8</w:t>
      </w:r>
      <w:r>
        <w:rPr>
          <w:rFonts w:hint="eastAsia"/>
          <w:color w:val="auto"/>
          <w:sz w:val="24"/>
          <w:highlight w:val="none"/>
          <w:lang w:val="en-US" w:eastAsia="zh-CN"/>
        </w:rPr>
        <w:t xml:space="preserve">5</w:t>
      </w:r>
      <w:r>
        <w:rPr>
          <w:rFonts w:hint="eastAsia" w:eastAsia="宋体"/>
          <w:color w:val="auto"/>
          <w:sz w:val="24"/>
          <w:highlight w:val="none"/>
        </w:rPr>
        <w:t xml:space="preserve">分以下的为不合格，采购单位有权终止合同并扣除当期应付服务费用的</w:t>
      </w:r>
      <w:r>
        <w:rPr>
          <w:rFonts w:hint="eastAsia"/>
          <w:color w:val="auto"/>
          <w:sz w:val="24"/>
          <w:highlight w:val="none"/>
          <w:lang w:val="en-US" w:eastAsia="zh-CN"/>
        </w:rPr>
        <w:t xml:space="preserve">5</w:t>
      </w:r>
      <w:r>
        <w:rPr>
          <w:rFonts w:hint="eastAsia" w:eastAsia="宋体"/>
          <w:color w:val="auto"/>
          <w:sz w:val="24"/>
          <w:highlight w:val="none"/>
        </w:rPr>
        <w:t xml:space="preserve">%；</w:t>
      </w:r>
      <w:r>
        <w:rPr>
          <w:rFonts w:hint="eastAsia"/>
          <w:color w:val="auto"/>
          <w:sz w:val="24"/>
          <w:highlight w:val="none"/>
          <w:lang w:val="en-US" w:eastAsia="zh-CN"/>
        </w:rPr>
        <w:t xml:space="preserve">如同类问题多次重复出现，或</w:t>
      </w:r>
      <w:r>
        <w:rPr>
          <w:rFonts w:hint="eastAsia" w:eastAsia="宋体"/>
          <w:color w:val="auto"/>
          <w:sz w:val="24"/>
          <w:highlight w:val="none"/>
        </w:rPr>
        <w:t xml:space="preserve">情况恶劣</w:t>
      </w:r>
      <w:r>
        <w:rPr>
          <w:rFonts w:hint="eastAsia"/>
          <w:color w:val="auto"/>
          <w:sz w:val="24"/>
          <w:highlight w:val="none"/>
          <w:lang w:val="en-US" w:eastAsia="zh-CN"/>
        </w:rPr>
        <w:t xml:space="preserve">及</w:t>
      </w:r>
      <w:r>
        <w:rPr>
          <w:rFonts w:hint="eastAsia" w:eastAsia="宋体"/>
          <w:color w:val="auto"/>
          <w:sz w:val="24"/>
          <w:highlight w:val="none"/>
        </w:rPr>
        <w:t xml:space="preserve">造成严重后果的可以</w:t>
      </w:r>
      <w:r>
        <w:rPr>
          <w:rFonts w:hint="eastAsia"/>
          <w:color w:val="auto"/>
          <w:sz w:val="24"/>
          <w:highlight w:val="none"/>
          <w:lang w:val="en-US" w:eastAsia="zh-CN"/>
        </w:rPr>
        <w:t xml:space="preserve">扣除当期应付服务费用的10%或</w:t>
      </w:r>
      <w:r>
        <w:rPr>
          <w:rFonts w:hint="eastAsia" w:eastAsia="宋体"/>
          <w:color w:val="auto"/>
          <w:sz w:val="24"/>
          <w:highlight w:val="none"/>
        </w:rPr>
        <w:t xml:space="preserve">不付服务费用，造成损失的照价赔偿。</w:t>
      </w:r>
      <w:r/>
    </w:p>
    <w:p>
      <w:pPr>
        <w:ind w:firstLine="482"/>
        <w:spacing w:line="360" w:lineRule="auto"/>
        <w:rPr>
          <w:rFonts w:eastAsia="宋体"/>
          <w:color w:val="auto"/>
          <w:sz w:val="24"/>
          <w:highlight w:val="none"/>
        </w:rPr>
      </w:pPr>
      <w:r>
        <w:rPr>
          <w:rFonts w:hint="eastAsia" w:eastAsia="宋体"/>
          <w:b/>
          <w:bCs/>
          <w:color w:val="auto"/>
          <w:sz w:val="24"/>
          <w:highlight w:val="none"/>
        </w:rPr>
        <w:t xml:space="preserve">9.服务期限：</w:t>
      </w:r>
      <w:r>
        <w:rPr>
          <w:rFonts w:hint="eastAsia" w:eastAsia="宋体"/>
          <w:color w:val="auto"/>
          <w:sz w:val="24"/>
          <w:highlight w:val="none"/>
        </w:rPr>
        <w:t xml:space="preserve">合同签订之日起</w:t>
      </w:r>
      <w:r>
        <w:rPr>
          <w:rFonts w:hint="eastAsia" w:eastAsia="宋体"/>
          <w:color w:val="auto"/>
          <w:sz w:val="24"/>
          <w:highlight w:val="none"/>
          <w:lang w:val="en-US" w:eastAsia="zh-CN"/>
        </w:rPr>
        <w:t xml:space="preserve">3</w:t>
      </w:r>
      <w:r>
        <w:rPr>
          <w:rFonts w:hint="eastAsia" w:eastAsia="宋体"/>
          <w:color w:val="auto"/>
          <w:sz w:val="24"/>
          <w:highlight w:val="none"/>
        </w:rPr>
        <w:t xml:space="preserve">年</w:t>
      </w:r>
      <w:r>
        <w:rPr>
          <w:rFonts w:hint="eastAsia" w:eastAsia="宋体"/>
          <w:color w:val="auto"/>
          <w:sz w:val="24"/>
          <w:highlight w:val="none"/>
          <w:lang w:eastAsia="zh-CN"/>
        </w:rPr>
        <w:t xml:space="preserve">。</w:t>
      </w:r>
      <w:r>
        <w:rPr>
          <w:rFonts w:hint="eastAsia" w:eastAsia="宋体"/>
          <w:color w:val="auto"/>
          <w:sz w:val="24"/>
          <w:highlight w:val="none"/>
        </w:rPr>
        <w:t xml:space="preserve"> </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10.服务地点：</w:t>
      </w:r>
      <w:r>
        <w:rPr>
          <w:rFonts w:hint="eastAsia" w:eastAsia="宋体"/>
          <w:b w:val="0"/>
          <w:bCs w:val="0"/>
          <w:color w:val="auto"/>
          <w:sz w:val="24"/>
          <w:highlight w:val="none"/>
        </w:rPr>
        <w:t xml:space="preserve">苏州高新区狮山商务创新区管理办公室指定地点。</w:t>
      </w:r>
      <w:r/>
    </w:p>
    <w:p>
      <w:pPr>
        <w:ind w:firstLine="482"/>
        <w:spacing w:line="360" w:lineRule="auto"/>
        <w:rPr>
          <w:rFonts w:eastAsia="宋体"/>
          <w:b/>
          <w:bCs/>
          <w:color w:val="auto"/>
          <w:sz w:val="24"/>
          <w:highlight w:val="none"/>
        </w:rPr>
      </w:pPr>
      <w:r>
        <w:rPr>
          <w:rFonts w:hint="eastAsia" w:eastAsia="宋体"/>
          <w:b/>
          <w:bCs/>
          <w:color w:val="auto"/>
          <w:sz w:val="24"/>
          <w:highlight w:val="none"/>
        </w:rPr>
        <w:t xml:space="preserve">11.其他要求：</w:t>
      </w:r>
      <w:r/>
    </w:p>
    <w:p>
      <w:pPr>
        <w:ind w:firstLine="480"/>
        <w:spacing w:line="360" w:lineRule="auto"/>
        <w:rPr>
          <w:rFonts w:eastAsia="宋体"/>
          <w:color w:val="auto"/>
          <w:sz w:val="24"/>
          <w:highlight w:val="none"/>
        </w:rPr>
      </w:pPr>
      <w:r>
        <w:rPr>
          <w:rFonts w:hint="eastAsia" w:eastAsia="宋体"/>
          <w:color w:val="auto"/>
          <w:sz w:val="24"/>
          <w:highlight w:val="none"/>
        </w:rPr>
        <w:t xml:space="preserve">（1）验收标准：经采购单位确认后即视为验收通过。</w:t>
      </w:r>
      <w:r/>
    </w:p>
    <w:p>
      <w:pPr>
        <w:ind w:firstLine="480"/>
        <w:spacing w:line="360" w:lineRule="auto"/>
        <w:rPr>
          <w:rFonts w:eastAsia="宋体"/>
          <w:color w:val="auto"/>
          <w:sz w:val="24"/>
          <w:highlight w:val="none"/>
        </w:rPr>
      </w:pPr>
      <w:r>
        <w:rPr>
          <w:rFonts w:hint="eastAsia" w:eastAsia="宋体"/>
          <w:color w:val="auto"/>
          <w:sz w:val="24"/>
          <w:highlight w:val="none"/>
        </w:rPr>
        <w:t xml:space="preserve">（2）知识产权：成交单位应保证采购方免除且成交单位承担由于采购方在其本国使用时而引起第三方提出的侵犯专利权、商标权或工业设计权的起诉、行动、行政程序索赔、请求等以及采购方为此而产生的损失和损害、费用和支出（包括律师费）</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（3）</w:t>
      </w:r>
      <w:r>
        <w:rPr>
          <w:rFonts w:hint="eastAsia" w:eastAsia="宋体"/>
          <w:color w:val="auto"/>
          <w:sz w:val="24"/>
          <w:highlight w:val="none"/>
          <w:lang w:val="zh-CN"/>
        </w:rPr>
        <w:t xml:space="preserve">保密要求：</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1）</w:t>
      </w:r>
      <w:r>
        <w:rPr>
          <w:rFonts w:hint="eastAsia" w:eastAsia="宋体"/>
          <w:color w:val="auto"/>
          <w:sz w:val="24"/>
          <w:highlight w:val="none"/>
          <w:lang w:val="zh-CN"/>
        </w:rPr>
        <w:t xml:space="preserve">成交单位负责对采购单位所提供资料及最终成果的保密，成交单位（包含工作人员）需遵守采购单位的保密规定，不以任何形式将收集的所有资料、数据等进行泄漏、传播，以及不得将项目成果转让给第三方重复使用。</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2）</w:t>
      </w:r>
      <w:r>
        <w:rPr>
          <w:rFonts w:hint="eastAsia" w:eastAsia="宋体"/>
          <w:color w:val="auto"/>
          <w:sz w:val="24"/>
          <w:highlight w:val="none"/>
          <w:lang w:val="zh-CN"/>
        </w:rPr>
        <w:t xml:space="preserve">项目服务人员需签署相关保密协议，承担工作中接触相关内容的保密义务；</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3）</w:t>
      </w:r>
      <w:r>
        <w:rPr>
          <w:rFonts w:hint="eastAsia" w:eastAsia="宋体"/>
          <w:color w:val="auto"/>
          <w:sz w:val="24"/>
          <w:highlight w:val="none"/>
          <w:lang w:val="zh-CN"/>
        </w:rPr>
        <w:t xml:space="preserve">项目成果最终所有权属采购单位，在项目完成时成交单位必须全部移交；</w:t>
      </w:r>
      <w:r/>
    </w:p>
    <w:p>
      <w:pPr>
        <w:ind w:firstLine="480"/>
        <w:jc w:val="left"/>
        <w:spacing w:line="360" w:lineRule="auto"/>
        <w:rPr>
          <w:rFonts w:eastAsia="宋体"/>
          <w:color w:val="auto"/>
          <w:sz w:val="24"/>
          <w:highlight w:val="none"/>
          <w:lang w:val="zh-CN"/>
        </w:rPr>
      </w:pPr>
      <w:r>
        <w:rPr>
          <w:rFonts w:hint="eastAsia" w:eastAsia="宋体"/>
          <w:color w:val="auto"/>
          <w:sz w:val="24"/>
          <w:highlight w:val="none"/>
        </w:rPr>
        <w:t xml:space="preserve">4）</w:t>
      </w:r>
      <w:r>
        <w:rPr>
          <w:rFonts w:hint="eastAsia" w:eastAsia="宋体"/>
          <w:color w:val="auto"/>
          <w:sz w:val="24"/>
          <w:highlight w:val="none"/>
          <w:lang w:val="zh-CN"/>
        </w:rPr>
        <w:t xml:space="preserve">以上保密规定如有违反，采购单位有权追究成交单位相关法律责任。</w:t>
      </w:r>
      <w:r/>
    </w:p>
    <w:p>
      <w:pPr>
        <w:ind w:firstLine="482"/>
        <w:spacing w:line="360" w:lineRule="auto"/>
        <w:tabs>
          <w:tab w:val="left" w:pos="567" w:leader="none"/>
        </w:tabs>
        <w:rPr>
          <w:rFonts w:eastAsia="宋体"/>
          <w:b/>
          <w:color w:val="auto"/>
          <w:sz w:val="24"/>
          <w:highlight w:val="none"/>
        </w:rPr>
      </w:pPr>
      <w:r>
        <w:rPr>
          <w:rFonts w:hint="eastAsia" w:eastAsia="宋体"/>
          <w:b/>
          <w:color w:val="auto"/>
          <w:sz w:val="24"/>
          <w:highlight w:val="none"/>
        </w:rPr>
        <w:t xml:space="preserve">12.合同价格支付</w:t>
      </w:r>
      <w:r/>
    </w:p>
    <w:p>
      <w:pPr>
        <w:ind w:firstLine="468"/>
        <w:spacing w:line="360" w:lineRule="auto"/>
        <w:rPr>
          <w:rFonts w:ascii="宋体" w:hAnsi="宋体" w:cs="宋体"/>
          <w:color w:val="auto"/>
          <w:sz w:val="24"/>
          <w:szCs w:val="24"/>
          <w:highlight w:val="none"/>
        </w:rPr>
      </w:pPr>
      <w:r>
        <w:rPr>
          <w:rFonts w:hint="eastAsia" w:ascii="宋体" w:hAnsi="宋体" w:cs="宋体"/>
          <w:color w:val="auto"/>
          <w:spacing w:val="-3"/>
          <w:sz w:val="24"/>
          <w:szCs w:val="24"/>
          <w:highlight w:val="none"/>
          <w:lang w:val="en-US" w:eastAsia="zh-CN"/>
        </w:rPr>
        <w:t xml:space="preserve">12.1</w:t>
      </w:r>
      <w:r>
        <w:rPr>
          <w:rFonts w:ascii="宋体" w:hAnsi="宋体" w:cs="宋体"/>
          <w:color w:val="auto"/>
          <w:spacing w:val="-3"/>
          <w:sz w:val="24"/>
          <w:szCs w:val="24"/>
          <w:highlight w:val="none"/>
        </w:rPr>
        <w:t xml:space="preserve">预付款：</w:t>
      </w:r>
      <w:r/>
    </w:p>
    <w:p>
      <w:pPr>
        <w:ind w:firstLine="464"/>
        <w:spacing w:line="360" w:lineRule="auto"/>
        <w:rPr>
          <w:rFonts w:ascii="宋体" w:hAnsi="宋体" w:cs="宋体"/>
          <w:color w:val="auto"/>
          <w:spacing w:val="-4"/>
          <w:sz w:val="24"/>
          <w:szCs w:val="24"/>
          <w:highlight w:val="none"/>
        </w:rPr>
      </w:pPr>
      <w:r>
        <w:rPr>
          <w:rFonts w:hint="eastAsia" w:ascii="宋体" w:hAnsi="宋体" w:cs="宋体"/>
          <w:color w:val="auto"/>
          <w:spacing w:val="-4"/>
          <w:sz w:val="24"/>
          <w:szCs w:val="24"/>
          <w:highlight w:val="none"/>
          <w:lang w:eastAsia="zh-CN"/>
        </w:rPr>
        <w:t xml:space="preserve">□</w:t>
      </w:r>
      <w:r>
        <w:rPr>
          <w:rFonts w:ascii="宋体" w:hAnsi="宋体" w:cs="宋体"/>
          <w:color w:val="auto"/>
          <w:spacing w:val="-4"/>
          <w:sz w:val="24"/>
          <w:szCs w:val="24"/>
          <w:highlight w:val="none"/>
        </w:rPr>
        <w:t xml:space="preserve">乙方明确表示无需预付款；</w:t>
      </w:r>
      <w:r/>
    </w:p>
    <w:p>
      <w:pPr>
        <w:ind w:firstLine="466"/>
        <w:spacing w:line="360" w:lineRule="auto"/>
        <w:rPr>
          <w:rFonts w:ascii="宋体" w:hAnsi="宋体" w:cs="宋体"/>
          <w:b/>
          <w:bCs/>
          <w:color w:val="auto"/>
          <w:spacing w:val="-4"/>
          <w:sz w:val="24"/>
          <w:szCs w:val="24"/>
          <w:highlight w:val="none"/>
        </w:rPr>
      </w:pPr>
      <w:r>
        <w:rPr>
          <w:rFonts w:hint="eastAsia" w:ascii="宋体" w:hAnsi="宋体" w:cs="宋体"/>
          <w:b/>
          <w:bCs/>
          <w:color w:val="auto"/>
          <w:spacing w:val="-4"/>
          <w:sz w:val="24"/>
          <w:szCs w:val="24"/>
          <w:highlight w:val="none"/>
        </w:rPr>
        <w:t xml:space="preserve">注：在签订合同时，乙方明确表示无需预付款或者主动要求降低预付款比例的，甲方可不适用上述关于预付款的规定。</w:t>
      </w:r>
      <w:r/>
    </w:p>
    <w:p>
      <w:pPr>
        <w:ind w:firstLine="476"/>
        <w:spacing w:line="360" w:lineRule="auto"/>
        <w:rPr>
          <w:rFonts w:ascii="宋体" w:hAnsi="宋体" w:cs="宋体"/>
          <w:color w:val="auto"/>
          <w:sz w:val="24"/>
          <w:szCs w:val="24"/>
          <w:highlight w:val="none"/>
        </w:rPr>
      </w:pPr>
      <w:r>
        <w:rPr>
          <w:rFonts w:hint="eastAsia" w:ascii="宋体" w:hAnsi="宋体" w:cs="宋体"/>
          <w:color w:val="auto"/>
          <w:spacing w:val="-1"/>
          <w:sz w:val="24"/>
          <w:szCs w:val="24"/>
          <w:highlight w:val="none"/>
        </w:rPr>
        <w:t xml:space="preserve">口</w:t>
      </w:r>
      <w:r>
        <w:rPr>
          <w:rFonts w:ascii="宋体" w:hAnsi="宋体" w:cs="宋体"/>
          <w:color w:val="auto"/>
          <w:spacing w:val="-1"/>
          <w:sz w:val="24"/>
          <w:szCs w:val="24"/>
          <w:highlight w:val="none"/>
        </w:rPr>
        <w:t xml:space="preserve">有预付款：合同签订生效后，甲方支付合同金额的</w:t>
      </w:r>
      <w:r>
        <w:rPr>
          <w:rFonts w:ascii="宋体" w:hAnsi="宋体" w:cs="宋体"/>
          <w:color w:val="auto"/>
          <w:spacing w:val="-40"/>
          <w:sz w:val="24"/>
          <w:szCs w:val="24"/>
          <w:highlight w:val="none"/>
        </w:rPr>
        <w:t xml:space="preserve"> </w:t>
      </w:r>
      <w:r>
        <w:rPr>
          <w:rFonts w:ascii="宋体" w:hAnsi="宋体" w:cs="宋体"/>
          <w:color w:val="auto"/>
          <w:spacing w:val="-1"/>
          <w:sz w:val="24"/>
          <w:szCs w:val="24"/>
          <w:highlight w:val="none"/>
        </w:rPr>
        <w:t xml:space="preserve">3</w:t>
      </w:r>
      <w:r>
        <w:rPr>
          <w:rFonts w:ascii="宋体" w:hAnsi="宋体" w:cs="宋体"/>
          <w:color w:val="auto"/>
          <w:spacing w:val="-2"/>
          <w:sz w:val="24"/>
          <w:szCs w:val="24"/>
          <w:highlight w:val="none"/>
        </w:rPr>
        <w:t xml:space="preserve">0%的预付款，预付款将从第 一 笔（期）待支付的进</w:t>
      </w:r>
      <w:r>
        <w:rPr>
          <w:rFonts w:ascii="宋体" w:hAnsi="宋体" w:cs="宋体"/>
          <w:color w:val="auto"/>
          <w:sz w:val="24"/>
          <w:szCs w:val="24"/>
          <w:highlight w:val="none"/>
        </w:rPr>
        <w:t xml:space="preserve">度款款项中扣除。如第一笔（期）</w:t>
      </w:r>
      <w:r>
        <w:rPr>
          <w:rFonts w:ascii="宋体" w:hAnsi="宋体" w:cs="宋体"/>
          <w:color w:val="auto"/>
          <w:spacing w:val="-45"/>
          <w:sz w:val="24"/>
          <w:szCs w:val="24"/>
          <w:highlight w:val="none"/>
        </w:rPr>
        <w:t xml:space="preserve"> </w:t>
      </w:r>
      <w:r>
        <w:rPr>
          <w:rFonts w:ascii="宋体" w:hAnsi="宋体" w:cs="宋体"/>
          <w:color w:val="auto"/>
          <w:sz w:val="24"/>
          <w:szCs w:val="24"/>
          <w:highlight w:val="none"/>
        </w:rPr>
        <w:t xml:space="preserve">待支付的进度款不足扣除的，不足部分在下一笔（期）</w:t>
      </w:r>
      <w:r>
        <w:rPr>
          <w:rFonts w:ascii="宋体" w:hAnsi="宋体" w:cs="宋体"/>
          <w:color w:val="auto"/>
          <w:spacing w:val="-58"/>
          <w:sz w:val="24"/>
          <w:szCs w:val="24"/>
          <w:highlight w:val="none"/>
        </w:rPr>
        <w:t xml:space="preserve"> </w:t>
      </w:r>
      <w:r>
        <w:rPr>
          <w:rFonts w:ascii="宋体" w:hAnsi="宋体" w:cs="宋体"/>
          <w:color w:val="auto"/>
          <w:sz w:val="24"/>
          <w:szCs w:val="24"/>
          <w:highlight w:val="none"/>
        </w:rPr>
        <w:t xml:space="preserve">待支付进度款中扣</w:t>
      </w:r>
      <w:r>
        <w:rPr>
          <w:rFonts w:ascii="宋体" w:hAnsi="宋体" w:cs="宋体"/>
          <w:color w:val="auto"/>
          <w:spacing w:val="-3"/>
          <w:sz w:val="24"/>
          <w:szCs w:val="24"/>
          <w:highlight w:val="none"/>
        </w:rPr>
        <w:t xml:space="preserve">除，以此类推。</w:t>
      </w:r>
      <w:r/>
    </w:p>
    <w:p>
      <w:pPr>
        <w:ind w:firstLine="480"/>
        <w:spacing w:line="360" w:lineRule="auto"/>
        <w:tabs>
          <w:tab w:val="left" w:pos="567" w:leader="none"/>
        </w:tabs>
        <w:rPr>
          <w:rFonts w:eastAsia="宋体"/>
          <w:color w:val="auto"/>
          <w:sz w:val="24"/>
          <w:highlight w:val="none"/>
        </w:rPr>
      </w:pPr>
      <w:r>
        <w:rPr>
          <w:rFonts w:hint="eastAsia" w:eastAsia="宋体"/>
          <w:color w:val="auto"/>
          <w:sz w:val="24"/>
          <w:highlight w:val="none"/>
        </w:rPr>
        <w:t xml:space="preserve">12.</w:t>
      </w:r>
      <w:r>
        <w:rPr>
          <w:rFonts w:hint="eastAsia" w:eastAsia="宋体"/>
          <w:color w:val="auto"/>
          <w:sz w:val="24"/>
          <w:highlight w:val="none"/>
          <w:lang w:val="en-US" w:eastAsia="zh-CN"/>
        </w:rPr>
        <w:t xml:space="preserve">2</w:t>
      </w:r>
      <w:r>
        <w:rPr>
          <w:rFonts w:hint="eastAsia" w:eastAsia="宋体"/>
          <w:color w:val="auto"/>
          <w:sz w:val="24"/>
          <w:highlight w:val="none"/>
        </w:rPr>
        <w:t xml:space="preserve">项目付款方式：合同签订生效后，每季度末甲方向乙方支付合同金额的</w:t>
      </w:r>
      <w:r>
        <w:rPr>
          <w:rFonts w:hint="eastAsia" w:eastAsia="宋体"/>
          <w:color w:val="auto"/>
          <w:sz w:val="24"/>
          <w:highlight w:val="none"/>
          <w:lang w:val="en-US" w:eastAsia="zh-CN"/>
        </w:rPr>
        <w:t xml:space="preserve">8.33</w:t>
      </w:r>
      <w:r>
        <w:rPr>
          <w:rFonts w:hint="eastAsia" w:eastAsia="宋体"/>
          <w:color w:val="auto"/>
          <w:sz w:val="24"/>
          <w:highlight w:val="none"/>
        </w:rPr>
        <w:t xml:space="preserve">%，甲方每次付款前，乙方应提供等额且符合甲方要求的增值税发票，甲方接收后21天内支付，最后一季度在合同履行结束且完成考核后结算支付</w:t>
      </w:r>
      <w:r>
        <w:rPr>
          <w:rFonts w:hint="eastAsia" w:eastAsia="宋体"/>
          <w:color w:val="auto"/>
          <w:sz w:val="24"/>
          <w:highlight w:val="none"/>
          <w:lang w:val="en-US" w:eastAsia="zh-CN"/>
        </w:rPr>
        <w:t xml:space="preserve">合同剩余款项</w:t>
      </w:r>
      <w:r>
        <w:rPr>
          <w:rFonts w:hint="eastAsia" w:eastAsia="宋体"/>
          <w:color w:val="auto"/>
          <w:sz w:val="24"/>
          <w:highlight w:val="none"/>
        </w:rPr>
        <w:t xml:space="preserve">。</w:t>
      </w:r>
      <w:r/>
    </w:p>
    <w:p>
      <w:pPr>
        <w:ind w:firstLine="480"/>
        <w:spacing w:line="360" w:lineRule="auto"/>
        <w:tabs>
          <w:tab w:val="left" w:pos="567" w:leader="none"/>
        </w:tabs>
        <w:rPr>
          <w:rFonts w:eastAsia="宋体"/>
          <w:color w:val="auto"/>
          <w:sz w:val="24"/>
          <w:highlight w:val="none"/>
        </w:rPr>
      </w:pPr>
      <w:r>
        <w:rPr>
          <w:rFonts w:hint="eastAsia" w:eastAsia="宋体"/>
          <w:color w:val="auto"/>
          <w:sz w:val="24"/>
          <w:highlight w:val="none"/>
        </w:rPr>
        <w:t xml:space="preserve">12.</w:t>
      </w:r>
      <w:r>
        <w:rPr>
          <w:rFonts w:hint="eastAsia" w:eastAsia="宋体"/>
          <w:color w:val="auto"/>
          <w:sz w:val="24"/>
          <w:highlight w:val="none"/>
          <w:lang w:val="en-US" w:eastAsia="zh-CN"/>
        </w:rPr>
        <w:t xml:space="preserve">3</w:t>
      </w:r>
      <w:r>
        <w:rPr>
          <w:rFonts w:hint="eastAsia" w:eastAsia="宋体"/>
          <w:color w:val="auto"/>
          <w:sz w:val="24"/>
          <w:highlight w:val="none"/>
        </w:rPr>
        <w:t xml:space="preserve">乙方要求付款应提供以下资料：</w:t>
      </w:r>
      <w:r/>
    </w:p>
    <w:p>
      <w:pPr>
        <w:ind w:firstLine="480"/>
        <w:spacing w:line="360" w:lineRule="auto"/>
        <w:rPr>
          <w:rFonts w:eastAsia="宋体"/>
          <w:color w:val="auto"/>
          <w:sz w:val="24"/>
          <w:highlight w:val="none"/>
        </w:rPr>
      </w:pPr>
      <w:r>
        <w:rPr>
          <w:rFonts w:hint="eastAsia" w:eastAsia="宋体"/>
          <w:color w:val="auto"/>
          <w:sz w:val="24"/>
          <w:highlight w:val="none"/>
        </w:rPr>
        <w:t xml:space="preserve">（1）合格的发票。</w:t>
      </w:r>
      <w:r/>
    </w:p>
    <w:p>
      <w:pPr>
        <w:ind w:firstLine="480"/>
        <w:spacing w:line="360" w:lineRule="auto"/>
        <w:rPr>
          <w:rFonts w:eastAsia="宋体"/>
          <w:color w:val="auto"/>
          <w:sz w:val="24"/>
          <w:highlight w:val="none"/>
        </w:rPr>
      </w:pPr>
      <w:r>
        <w:rPr>
          <w:rFonts w:hint="eastAsia" w:eastAsia="宋体"/>
          <w:color w:val="auto"/>
          <w:sz w:val="24"/>
          <w:highlight w:val="none"/>
        </w:rPr>
        <w:t xml:space="preserve">（2）由甲乙双方及采购代理机构签章的《政府采购合同履行考核报告》。</w:t>
      </w:r>
      <w:r/>
    </w:p>
    <w:p>
      <w:pPr>
        <w:ind w:firstLine="480"/>
        <w:spacing w:line="360" w:lineRule="auto"/>
        <w:rPr>
          <w:rFonts w:eastAsia="宋体"/>
          <w:color w:val="auto"/>
          <w:sz w:val="24"/>
          <w:highlight w:val="none"/>
        </w:rPr>
      </w:pPr>
      <w:r>
        <w:rPr>
          <w:rFonts w:hint="eastAsia" w:eastAsia="宋体"/>
          <w:color w:val="auto"/>
          <w:sz w:val="24"/>
          <w:highlight w:val="none"/>
        </w:rPr>
        <w:t xml:space="preserve">（3）其他（如有）。</w:t>
      </w:r>
      <w:r/>
    </w:p>
    <w:p>
      <w:pPr>
        <w:ind w:firstLine="480"/>
        <w:spacing w:line="360" w:lineRule="auto"/>
        <w:tabs>
          <w:tab w:val="left" w:pos="567" w:leader="none"/>
        </w:tabs>
        <w:rPr>
          <w:rFonts w:eastAsia="宋体"/>
          <w:color w:val="auto"/>
          <w:sz w:val="24"/>
          <w:highlight w:val="none"/>
        </w:rPr>
      </w:pPr>
      <w:r>
        <w:rPr>
          <w:rFonts w:hint="eastAsia" w:eastAsia="宋体"/>
          <w:color w:val="auto"/>
          <w:sz w:val="24"/>
          <w:highlight w:val="none"/>
        </w:rPr>
        <w:t xml:space="preserve">12.</w:t>
      </w:r>
      <w:r>
        <w:rPr>
          <w:rFonts w:hint="eastAsia" w:eastAsia="宋体"/>
          <w:color w:val="auto"/>
          <w:sz w:val="24"/>
          <w:highlight w:val="none"/>
          <w:lang w:val="en-US" w:eastAsia="zh-CN"/>
        </w:rPr>
        <w:t xml:space="preserve">4</w:t>
      </w:r>
      <w:r>
        <w:rPr>
          <w:rFonts w:hint="eastAsia" w:eastAsia="宋体"/>
          <w:color w:val="auto"/>
          <w:sz w:val="24"/>
          <w:highlight w:val="none"/>
        </w:rPr>
        <w:t xml:space="preserve">支付方式：数字人民币。</w:t>
      </w:r>
      <w:r/>
    </w:p>
    <w:p>
      <w:pPr>
        <w:ind w:firstLine="480"/>
        <w:spacing w:line="360" w:lineRule="auto"/>
        <w:rPr>
          <w:rFonts w:eastAsia="宋体"/>
          <w:color w:val="auto"/>
          <w:sz w:val="24"/>
          <w:highlight w:val="none"/>
        </w:rPr>
      </w:pPr>
      <w:r>
        <w:rPr>
          <w:rFonts w:hint="eastAsia" w:eastAsia="宋体"/>
          <w:color w:val="auto"/>
          <w:sz w:val="24"/>
          <w:highlight w:val="none"/>
        </w:rPr>
        <w:t xml:space="preserve">12.</w:t>
      </w:r>
      <w:r>
        <w:rPr>
          <w:rFonts w:hint="eastAsia" w:eastAsia="宋体"/>
          <w:color w:val="auto"/>
          <w:sz w:val="24"/>
          <w:highlight w:val="none"/>
          <w:lang w:val="en-US" w:eastAsia="zh-CN"/>
        </w:rPr>
        <w:t xml:space="preserve">5</w:t>
      </w:r>
      <w:r>
        <w:rPr>
          <w:rFonts w:hint="eastAsia" w:eastAsia="宋体"/>
          <w:color w:val="auto"/>
          <w:sz w:val="24"/>
          <w:highlight w:val="none"/>
        </w:rPr>
        <w:t xml:space="preserve">乙方数字人民币账户信息：</w:t>
      </w:r>
      <w:r/>
    </w:p>
    <w:p>
      <w:pPr>
        <w:ind w:firstLine="480"/>
        <w:spacing w:line="360" w:lineRule="auto"/>
        <w:rPr>
          <w:rFonts w:eastAsia="宋体"/>
          <w:color w:val="auto"/>
          <w:sz w:val="24"/>
          <w:highlight w:val="none"/>
        </w:rPr>
      </w:pPr>
      <w:r>
        <w:rPr>
          <w:rFonts w:hint="eastAsia" w:eastAsia="宋体"/>
          <w:color w:val="auto"/>
          <w:sz w:val="24"/>
          <w:highlight w:val="none"/>
        </w:rPr>
        <w:t xml:space="preserve">账户：</w:t>
      </w:r>
      <w:r/>
    </w:p>
    <w:p>
      <w:pPr>
        <w:ind w:firstLine="480"/>
        <w:spacing w:line="360" w:lineRule="auto"/>
        <w:rPr>
          <w:rFonts w:eastAsia="宋体"/>
          <w:color w:val="auto"/>
          <w:sz w:val="24"/>
          <w:highlight w:val="none"/>
        </w:rPr>
      </w:pPr>
      <w:r>
        <w:rPr>
          <w:rFonts w:hint="eastAsia" w:eastAsia="宋体"/>
          <w:color w:val="auto"/>
          <w:sz w:val="24"/>
          <w:highlight w:val="none"/>
        </w:rPr>
        <w:t xml:space="preserve">账号：</w:t>
      </w:r>
      <w:r/>
    </w:p>
    <w:p>
      <w:pPr>
        <w:ind w:firstLine="482"/>
        <w:jc w:val="left"/>
        <w:spacing w:line="360" w:lineRule="auto"/>
        <w:rPr>
          <w:rFonts w:eastAsia="宋体"/>
          <w:b/>
          <w:color w:val="auto"/>
          <w:sz w:val="24"/>
          <w:highlight w:val="none"/>
        </w:rPr>
      </w:pPr>
      <w:r>
        <w:rPr>
          <w:rFonts w:hint="eastAsia" w:eastAsia="宋体"/>
          <w:b/>
          <w:color w:val="auto"/>
          <w:sz w:val="24"/>
          <w:highlight w:val="none"/>
        </w:rPr>
        <w:t xml:space="preserve">13.验收标准：</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13.1递交的成果内容必须符合招标文件的有关要求和国家有关标准。</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13.2技术依据：为保证本项目实施的科学性、规范性和准确性，技术操作、服务需要严格遵照国家有关法律、法规、规章制度以及国家和行业颁布的相关技术标准和规范（详见竞争性磋商采购文件）。</w:t>
      </w:r>
      <w:r/>
    </w:p>
    <w:p>
      <w:pPr>
        <w:ind w:firstLine="482"/>
        <w:jc w:val="left"/>
        <w:spacing w:line="360" w:lineRule="auto"/>
        <w:rPr>
          <w:rFonts w:eastAsia="宋体"/>
          <w:b/>
          <w:color w:val="auto"/>
          <w:sz w:val="24"/>
          <w:highlight w:val="none"/>
        </w:rPr>
      </w:pPr>
      <w:r>
        <w:rPr>
          <w:rFonts w:hint="eastAsia" w:eastAsia="宋体"/>
          <w:b/>
          <w:color w:val="auto"/>
          <w:sz w:val="24"/>
          <w:highlight w:val="none"/>
        </w:rPr>
        <w:t xml:space="preserve">14.违约责任：</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14.1违约责任</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合同一方不履行合同义务或者履行合同义务不符合约定的，应当承担继续履行、采取补救措施或者赔偿损失等违约责任。</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14.2甲方违约责任</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（1）在合同生效后，甲方无理由要求终止服务的，应向乙方偿付合同总价款的5%作为违约金，违约金不足以补偿损失的，乙方有权要求甲方补足。</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（2）甲方逾期付款的应按照逾期付款金额的每天万分之四支付逾期付款违约金。</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（3）甲方违反合同规定，拒绝接受乙方提供服务，应当承担乙方由此造成的损失。</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14.3乙方违约责任</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（1）乙方不能提供服务的，或服务不合格从而影响甲方工作正常开展，应向甲方偿付合同总价款5%的违约金，违约金不足以补偿损失的，甲方有权要求乙方补足。</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（2）乙方逾期提供服务的，应与甲方协商，甲方仍有需求的，乙方应立即提供服务并按照逾期服务总金额的每天万分之四支付逾期违约金，同时承担甲方因此遭致的损失费用。</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3）出具的财务报告、会计数据等有失客观性、真实性、合法性，根据其情节轻重。应向甲方偿付合同总价款的20%违约金。若情节严重，涉及到刑事责任的，甲方将按照法律规定追究事务所及事务所相关人员的责任。</w:t>
      </w:r>
      <w:r/>
    </w:p>
    <w:p>
      <w:pPr>
        <w:ind w:firstLine="482"/>
        <w:jc w:val="left"/>
        <w:spacing w:line="360" w:lineRule="auto"/>
        <w:rPr>
          <w:rFonts w:eastAsia="宋体"/>
          <w:b/>
          <w:color w:val="auto"/>
          <w:sz w:val="24"/>
          <w:highlight w:val="none"/>
        </w:rPr>
      </w:pPr>
      <w:r>
        <w:rPr>
          <w:rFonts w:hint="eastAsia" w:eastAsia="宋体"/>
          <w:b/>
          <w:color w:val="auto"/>
          <w:sz w:val="24"/>
          <w:highlight w:val="none"/>
        </w:rPr>
        <w:t xml:space="preserve">15.合同的生效及其他</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15.1合同生效</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本合同经招标代理机构加盖骑缝章，甲乙双方签字盖章后生效。</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15.2其他： </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（1）合同在执行过程中出现的未尽事宜，双方在不违背本合同和招标文件的原则下协商解决，协商结果以书面形式盖章记录在案，作为本合同的附件，与本合同具有同等效力，但需向代理机构备存。</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（2）合同附件：本合同附件、竞争性磋商文件、乙方的响应文件和乙方在磋商过程中所作的承诺以及成交通知书均作本合同的组成部分，与本合同具有同等的法律效力。</w:t>
      </w:r>
      <w:r/>
    </w:p>
    <w:p>
      <w:pPr>
        <w:ind w:firstLine="480"/>
        <w:jc w:val="left"/>
        <w:spacing w:line="360" w:lineRule="auto"/>
        <w:rPr>
          <w:rFonts w:eastAsia="宋体"/>
          <w:color w:val="auto"/>
          <w:sz w:val="24"/>
          <w:highlight w:val="none"/>
        </w:rPr>
      </w:pPr>
      <w:r>
        <w:rPr>
          <w:rFonts w:hint="eastAsia" w:eastAsia="宋体"/>
          <w:color w:val="auto"/>
          <w:sz w:val="24"/>
          <w:highlight w:val="none"/>
        </w:rPr>
        <w:t xml:space="preserve">（3）合同份数：本合同一式肆份，甲方、乙方、政府采购监督管理部门备案及招标代理机构各执一份。</w:t>
      </w:r>
      <w:r/>
    </w:p>
    <w:p>
      <w:pPr>
        <w:ind w:firstLine="482"/>
        <w:jc w:val="left"/>
        <w:spacing w:line="360" w:lineRule="auto"/>
        <w:rPr>
          <w:rFonts w:eastAsia="宋体"/>
          <w:b/>
          <w:color w:val="auto"/>
          <w:sz w:val="24"/>
          <w:highlight w:val="none"/>
        </w:rPr>
      </w:pPr>
      <w:r>
        <w:rPr>
          <w:rFonts w:hint="eastAsia" w:eastAsia="宋体"/>
          <w:b/>
          <w:color w:val="auto"/>
          <w:sz w:val="24"/>
          <w:highlight w:val="none"/>
        </w:rPr>
        <w:t xml:space="preserve">16.合同的解除和转让</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16.1甲方和乙方协商一致，可以解除合同。</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16.2有下列情形之一，合同一方可以解除合同：</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（1）因不可抗力致使不能实现合同目的，未受不可抗力影响的一方有权解除合同；</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（2）因合同一方违约导致合同不能履行，另一方有权解除合同。</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16.3有权解除合同的一方，应当在违约事实或不可抗力发生之后三十天内书面通知对方提出解除合同，合同在书面通知到达对方时解除。</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16.4有下列情形之一，甲方有权单方面终止本合同并要求乙方支付合同总金额的20%的违约金：</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（1）未经甲方同意擅自将服务转包给他人；</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（2）出现重大责任问题；</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（3）泄露相关保密信息。</w:t>
      </w:r>
      <w:r/>
    </w:p>
    <w:p>
      <w:pPr>
        <w:ind w:firstLine="482"/>
        <w:jc w:val="left"/>
        <w:spacing w:line="360" w:lineRule="auto"/>
        <w:rPr>
          <w:rFonts w:eastAsia="宋体"/>
          <w:b/>
          <w:color w:val="auto"/>
          <w:sz w:val="24"/>
          <w:highlight w:val="none"/>
        </w:rPr>
      </w:pPr>
      <w:r>
        <w:rPr>
          <w:rFonts w:hint="eastAsia" w:eastAsia="宋体"/>
          <w:b/>
          <w:color w:val="auto"/>
          <w:sz w:val="24"/>
          <w:highlight w:val="none"/>
        </w:rPr>
        <w:t xml:space="preserve">17.争议解决办法</w:t>
      </w:r>
      <w:r/>
    </w:p>
    <w:p>
      <w:pPr>
        <w:ind w:firstLine="480"/>
        <w:spacing w:line="360" w:lineRule="auto"/>
        <w:rPr>
          <w:rFonts w:eastAsia="宋体"/>
          <w:color w:val="auto"/>
          <w:sz w:val="24"/>
          <w:highlight w:val="none"/>
        </w:rPr>
      </w:pPr>
      <w:r>
        <w:rPr>
          <w:rFonts w:hint="eastAsia" w:eastAsia="宋体"/>
          <w:color w:val="auto"/>
          <w:sz w:val="24"/>
          <w:highlight w:val="none"/>
        </w:rPr>
        <w:t xml:space="preserve">甲乙双方因合同发生争议，可在招标机构的主持下进行调解，协商不成，任何一方可以向甲方所在地人民法院起诉。</w:t>
      </w:r>
      <w:r/>
    </w:p>
    <w:p>
      <w:pPr>
        <w:ind w:firstLine="482"/>
        <w:jc w:val="left"/>
        <w:spacing w:line="360" w:lineRule="auto"/>
        <w:rPr>
          <w:rFonts w:eastAsia="宋体"/>
          <w:b/>
          <w:color w:val="auto"/>
          <w:sz w:val="24"/>
          <w:highlight w:val="none"/>
        </w:rPr>
      </w:pPr>
      <w:r>
        <w:rPr>
          <w:rFonts w:hint="eastAsia" w:eastAsia="宋体"/>
          <w:b/>
          <w:color w:val="auto"/>
          <w:sz w:val="24"/>
          <w:highlight w:val="none"/>
        </w:rPr>
        <w:t xml:space="preserve">18.未尽事宜</w:t>
      </w:r>
      <w:r/>
    </w:p>
    <w:p>
      <w:pPr>
        <w:ind w:firstLine="480"/>
        <w:spacing w:line="360" w:lineRule="auto"/>
        <w:tabs>
          <w:tab w:val="left" w:pos="1080" w:leader="none"/>
        </w:tabs>
        <w:rPr>
          <w:rFonts w:eastAsia="宋体"/>
          <w:color w:val="auto"/>
          <w:sz w:val="24"/>
          <w:highlight w:val="none"/>
        </w:rPr>
      </w:pPr>
      <w:r>
        <w:rPr>
          <w:rFonts w:hint="eastAsia" w:eastAsia="宋体"/>
          <w:color w:val="auto"/>
          <w:sz w:val="24"/>
          <w:highlight w:val="none"/>
        </w:rPr>
        <w:t xml:space="preserve">未尽事宜应按照《中华人民共和国民法典》、《中华人民共和国政府采购法》等相关法律法规之规定解释。</w:t>
      </w:r>
      <w:r/>
    </w:p>
    <w:p>
      <w:pPr>
        <w:pStyle w:val="975"/>
        <w:ind w:firstLine="480"/>
        <w:jc w:val="left"/>
        <w:spacing w:line="360" w:lineRule="auto"/>
        <w:tabs>
          <w:tab w:val="left" w:pos="1890" w:leader="none"/>
        </w:tabs>
        <w:rPr>
          <w:rFonts w:hAnsi="宋体" w:eastAsia="宋体"/>
          <w:color w:val="auto"/>
          <w:sz w:val="24"/>
          <w:highlight w:val="none"/>
        </w:rPr>
      </w:pPr>
      <w:r>
        <w:rPr>
          <w:rFonts w:hint="eastAsia" w:hAnsi="宋体" w:eastAsia="宋体"/>
          <w:color w:val="auto"/>
          <w:sz w:val="24"/>
          <w:highlight w:val="none"/>
          <w:lang w:val="zh-CN" w:eastAsia="zh-Hans"/>
        </w:rPr>
        <w:t xml:space="preserve">（</w:t>
      </w:r>
      <w:r>
        <w:rPr>
          <w:rFonts w:hint="eastAsia" w:hAnsi="宋体" w:eastAsia="宋体"/>
          <w:color w:val="auto"/>
          <w:sz w:val="24"/>
          <w:highlight w:val="none"/>
          <w:lang w:eastAsia="zh-Hans"/>
        </w:rPr>
        <w:t xml:space="preserve">以下无正文</w:t>
      </w:r>
      <w:r>
        <w:rPr>
          <w:rFonts w:hint="eastAsia" w:hAnsi="宋体" w:eastAsia="宋体"/>
          <w:color w:val="auto"/>
          <w:sz w:val="24"/>
          <w:highlight w:val="none"/>
          <w:lang w:val="zh-CN" w:eastAsia="zh-Hans"/>
        </w:rPr>
        <w:t xml:space="preserve">）</w:t>
      </w:r>
      <w:r/>
    </w:p>
    <w:p>
      <w:pPr>
        <w:ind w:left="-199" w:firstLine="480"/>
        <w:spacing w:line="360" w:lineRule="auto"/>
        <w:tabs>
          <w:tab w:val="left" w:pos="1890" w:leader="none"/>
        </w:tabs>
        <w:rPr>
          <w:rFonts w:hint="eastAsia" w:eastAsia="宋体"/>
          <w:color w:val="auto"/>
          <w:sz w:val="24"/>
          <w:highlight w:val="none"/>
          <w:lang w:val="zh-CN"/>
        </w:rPr>
      </w:pPr>
      <w:r>
        <w:rPr>
          <w:rFonts w:hint="eastAsia" w:eastAsia="宋体"/>
          <w:color w:val="auto"/>
          <w:sz w:val="24"/>
          <w:highlight w:val="none"/>
          <w:lang w:val="zh-CN"/>
        </w:rPr>
      </w:r>
      <w:r/>
    </w:p>
    <w:p>
      <w:pPr>
        <w:ind w:left="-199" w:firstLine="480"/>
        <w:spacing w:line="360" w:lineRule="auto"/>
        <w:tabs>
          <w:tab w:val="left" w:pos="1890" w:leader="none"/>
        </w:tabs>
        <w:rPr>
          <w:rFonts w:eastAsia="宋体"/>
          <w:color w:val="auto"/>
          <w:sz w:val="24"/>
          <w:highlight w:val="none"/>
        </w:rPr>
      </w:pPr>
      <w:r>
        <w:rPr>
          <w:rFonts w:hint="eastAsia" w:eastAsia="宋体"/>
          <w:color w:val="auto"/>
          <w:sz w:val="24"/>
          <w:highlight w:val="none"/>
          <w:lang w:val="zh-CN"/>
        </w:rPr>
        <w:t xml:space="preserve">甲方：                 </w:t>
      </w:r>
      <w:r>
        <w:rPr>
          <w:rFonts w:hint="eastAsia" w:eastAsia="宋体"/>
          <w:color w:val="auto"/>
          <w:sz w:val="24"/>
          <w:highlight w:val="none"/>
        </w:rPr>
        <w:t xml:space="preserve">                        </w:t>
      </w:r>
      <w:r>
        <w:rPr>
          <w:rFonts w:hint="eastAsia" w:eastAsia="宋体"/>
          <w:color w:val="auto"/>
          <w:sz w:val="24"/>
          <w:highlight w:val="none"/>
          <w:lang w:val="zh-CN"/>
        </w:rPr>
        <w:t xml:space="preserve">乙方：</w:t>
      </w:r>
      <w:r>
        <w:rPr>
          <w:rFonts w:hint="eastAsia" w:eastAsia="宋体"/>
          <w:color w:val="auto"/>
          <w:sz w:val="24"/>
          <w:highlight w:val="none"/>
        </w:rPr>
        <w:t xml:space="preserve">                     </w:t>
      </w:r>
      <w:r/>
    </w:p>
    <w:p>
      <w:pPr>
        <w:ind w:left="-420" w:firstLine="480"/>
        <w:spacing w:line="360" w:lineRule="auto"/>
        <w:tabs>
          <w:tab w:val="left" w:pos="1890" w:leader="none"/>
        </w:tabs>
        <w:rPr>
          <w:rFonts w:eastAsia="宋体"/>
          <w:color w:val="auto"/>
          <w:sz w:val="24"/>
          <w:highlight w:val="none"/>
        </w:rPr>
      </w:pPr>
      <w:r>
        <w:rPr>
          <w:rFonts w:hint="eastAsia" w:eastAsia="宋体"/>
          <w:color w:val="auto"/>
          <w:sz w:val="24"/>
          <w:highlight w:val="none"/>
          <w:lang w:val="zh-CN"/>
        </w:rPr>
        <w:t xml:space="preserve">（公章或合同专用章）     </w:t>
      </w:r>
      <w:r>
        <w:rPr>
          <w:rFonts w:hint="eastAsia" w:eastAsia="宋体"/>
          <w:color w:val="auto"/>
          <w:sz w:val="24"/>
          <w:highlight w:val="none"/>
        </w:rPr>
        <w:t xml:space="preserve">                       </w:t>
      </w:r>
      <w:r>
        <w:rPr>
          <w:rFonts w:hint="eastAsia" w:eastAsia="宋体"/>
          <w:color w:val="auto"/>
          <w:sz w:val="24"/>
          <w:highlight w:val="none"/>
          <w:lang w:val="zh-CN"/>
        </w:rPr>
        <w:t xml:space="preserve">（公章或合同专用章）</w:t>
      </w:r>
      <w:r>
        <w:rPr>
          <w:rFonts w:hint="eastAsia" w:eastAsia="宋体"/>
          <w:color w:val="auto"/>
          <w:sz w:val="24"/>
          <w:highlight w:val="none"/>
        </w:rPr>
        <w:t xml:space="preserve">       </w:t>
      </w:r>
      <w:r/>
    </w:p>
    <w:p>
      <w:pPr>
        <w:ind w:firstLine="480"/>
        <w:spacing w:line="360" w:lineRule="auto"/>
        <w:tabs>
          <w:tab w:val="left" w:pos="1890" w:leader="none"/>
        </w:tabs>
        <w:rPr>
          <w:rFonts w:eastAsia="宋体"/>
          <w:color w:val="auto"/>
          <w:sz w:val="24"/>
          <w:highlight w:val="none"/>
          <w:lang w:val="zh-CN"/>
        </w:rPr>
      </w:pPr>
      <w:r>
        <w:rPr>
          <w:rFonts w:eastAsia="宋体"/>
          <w:color w:val="auto"/>
          <w:sz w:val="24"/>
          <w:highlight w:val="none"/>
          <w:lang w:val="zh-CN"/>
        </w:rPr>
      </w:r>
      <w:r/>
    </w:p>
    <w:p>
      <w:pPr>
        <w:ind w:left="-420" w:firstLine="480"/>
        <w:spacing w:line="360" w:lineRule="auto"/>
        <w:tabs>
          <w:tab w:val="left" w:pos="1890" w:leader="none"/>
        </w:tabs>
        <w:rPr>
          <w:rFonts w:eastAsia="宋体"/>
          <w:color w:val="auto"/>
          <w:sz w:val="24"/>
          <w:highlight w:val="none"/>
        </w:rPr>
      </w:pPr>
      <w:r>
        <w:rPr>
          <w:rFonts w:hint="eastAsia" w:eastAsia="宋体"/>
          <w:color w:val="auto"/>
          <w:sz w:val="24"/>
          <w:highlight w:val="none"/>
          <w:lang w:val="zh-CN"/>
        </w:rPr>
        <w:t xml:space="preserve">法定代表人（授权代表）：  </w:t>
      </w:r>
      <w:r>
        <w:rPr>
          <w:rFonts w:hint="eastAsia" w:eastAsia="宋体"/>
          <w:color w:val="auto"/>
          <w:sz w:val="24"/>
          <w:highlight w:val="none"/>
        </w:rPr>
        <w:t xml:space="preserve">                       </w:t>
      </w:r>
      <w:r>
        <w:rPr>
          <w:rFonts w:hint="eastAsia" w:eastAsia="宋体"/>
          <w:color w:val="auto"/>
          <w:sz w:val="24"/>
          <w:highlight w:val="none"/>
          <w:lang w:val="zh-CN"/>
        </w:rPr>
        <w:t xml:space="preserve">法定代表人（授权代表）：</w:t>
      </w:r>
      <w:r>
        <w:rPr>
          <w:rFonts w:hint="eastAsia" w:eastAsia="宋体"/>
          <w:color w:val="auto"/>
          <w:sz w:val="24"/>
          <w:highlight w:val="none"/>
        </w:rPr>
        <w:t xml:space="preserve">    </w:t>
      </w:r>
      <w:r/>
    </w:p>
    <w:p>
      <w:pPr>
        <w:ind w:firstLine="480"/>
        <w:spacing w:line="360" w:lineRule="auto"/>
        <w:tabs>
          <w:tab w:val="left" w:pos="1890" w:leader="none"/>
        </w:tabs>
        <w:rPr>
          <w:rFonts w:eastAsia="宋体"/>
          <w:color w:val="auto"/>
          <w:sz w:val="24"/>
          <w:highlight w:val="none"/>
          <w:lang w:val="zh-CN"/>
        </w:rPr>
      </w:pPr>
      <w:r>
        <w:rPr>
          <w:rFonts w:eastAsia="宋体"/>
          <w:color w:val="auto"/>
          <w:sz w:val="24"/>
          <w:highlight w:val="none"/>
          <w:lang w:val="zh-CN"/>
        </w:rPr>
      </w:r>
      <w:r/>
    </w:p>
    <w:p>
      <w:pPr>
        <w:ind w:left="-420" w:firstLine="480"/>
        <w:spacing w:line="360" w:lineRule="auto"/>
        <w:tabs>
          <w:tab w:val="left" w:pos="1890" w:leader="none"/>
        </w:tabs>
        <w:rPr>
          <w:color w:val="auto"/>
          <w:sz w:val="24"/>
          <w:highlight w:val="none"/>
          <w:lang w:val="zh-CN"/>
        </w:rPr>
      </w:pPr>
      <w:r>
        <w:rPr>
          <w:rFonts w:hint="eastAsia" w:eastAsia="宋体"/>
          <w:color w:val="auto"/>
          <w:sz w:val="24"/>
          <w:highlight w:val="none"/>
          <w:lang w:val="zh-CN"/>
        </w:rPr>
        <w:t xml:space="preserve">签约日期：              </w:t>
      </w:r>
      <w:r>
        <w:rPr>
          <w:rFonts w:hint="eastAsia" w:eastAsia="宋体"/>
          <w:color w:val="auto"/>
          <w:sz w:val="24"/>
          <w:highlight w:val="none"/>
        </w:rPr>
        <w:t xml:space="preserve">                         </w:t>
      </w:r>
      <w:r>
        <w:rPr>
          <w:rFonts w:hint="eastAsia" w:eastAsia="宋体"/>
          <w:color w:val="auto"/>
          <w:sz w:val="24"/>
          <w:highlight w:val="none"/>
          <w:lang w:val="zh-CN"/>
        </w:rPr>
        <w:t xml:space="preserve">签约日期：</w:t>
      </w:r>
      <w:r>
        <w:rPr>
          <w:rFonts w:hint="eastAsia"/>
          <w:color w:val="auto"/>
          <w:sz w:val="24"/>
          <w:highlight w:val="none"/>
          <w:lang w:val="zh-CN"/>
        </w:rPr>
        <w:tab/>
      </w:r>
      <w:r>
        <w:rPr>
          <w:rFonts w:hint="eastAsia"/>
          <w:color w:val="auto"/>
          <w:sz w:val="24"/>
          <w:highlight w:val="none"/>
        </w:rPr>
        <w:t xml:space="preserve">              </w:t>
      </w:r>
      <w:r>
        <w:rPr>
          <w:rFonts w:hint="eastAsia" w:eastAsia="宋体"/>
          <w:color w:val="auto"/>
          <w:sz w:val="24"/>
          <w:highlight w:val="none"/>
        </w:rPr>
        <w:t xml:space="preserve"> </w:t>
      </w:r>
      <w:r/>
    </w:p>
    <w:p>
      <w:pPr>
        <w:ind w:firstLine="482"/>
        <w:jc w:val="center"/>
        <w:spacing w:line="360" w:lineRule="auto"/>
        <w:tabs>
          <w:tab w:val="left" w:pos="1890" w:leader="none"/>
        </w:tabs>
        <w:rPr>
          <w:b/>
          <w:color w:val="auto"/>
          <w:sz w:val="24"/>
          <w:highlight w:val="none"/>
        </w:rPr>
      </w:pPr>
      <w:r>
        <w:rPr>
          <w:b/>
          <w:color w:val="auto"/>
          <w:sz w:val="24"/>
          <w:highlight w:val="none"/>
        </w:rPr>
      </w:r>
      <w:r/>
    </w:p>
    <w:p>
      <w:pPr>
        <w:ind w:firstLine="562"/>
        <w:jc w:val="center"/>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ind w:firstLine="562"/>
        <w:jc w:val="center"/>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ind w:firstLine="562"/>
        <w:jc w:val="center"/>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22"/>
        <w:ind w:firstLine="643"/>
        <w:rPr>
          <w:rFonts w:eastAsia="黑体"/>
          <w:b/>
          <w:color w:val="auto"/>
          <w:sz w:val="32"/>
          <w:szCs w:val="32"/>
          <w:highlight w:val="none"/>
        </w:rPr>
      </w:pPr>
      <w:r>
        <w:rPr>
          <w:rFonts w:eastAsia="黑体"/>
          <w:b/>
          <w:color w:val="auto"/>
          <w:sz w:val="32"/>
          <w:szCs w:val="32"/>
          <w:highlight w:val="none"/>
        </w:rPr>
      </w:r>
      <w:r/>
    </w:p>
    <w:p>
      <w:pPr>
        <w:pStyle w:val="922"/>
        <w:ind w:firstLine="643"/>
        <w:rPr>
          <w:rFonts w:eastAsia="黑体"/>
          <w:b/>
          <w:color w:val="auto"/>
          <w:sz w:val="32"/>
          <w:szCs w:val="32"/>
          <w:highlight w:val="none"/>
        </w:rPr>
      </w:pPr>
      <w:r>
        <w:rPr>
          <w:rFonts w:eastAsia="黑体"/>
          <w:b/>
          <w:color w:val="auto"/>
          <w:sz w:val="32"/>
          <w:szCs w:val="32"/>
          <w:highlight w:val="none"/>
        </w:rPr>
      </w:r>
      <w:r/>
    </w:p>
    <w:p>
      <w:pPr>
        <w:pStyle w:val="922"/>
        <w:ind w:firstLine="643"/>
        <w:rPr>
          <w:rFonts w:eastAsia="黑体"/>
          <w:b/>
          <w:bCs/>
          <w:color w:val="auto"/>
          <w:sz w:val="32"/>
          <w:szCs w:val="32"/>
          <w:highlight w:val="none"/>
        </w:rPr>
      </w:pPr>
      <w:r>
        <w:rPr>
          <w:rFonts w:eastAsia="黑体"/>
          <w:b/>
          <w:bCs/>
          <w:color w:val="auto"/>
          <w:sz w:val="32"/>
          <w:szCs w:val="32"/>
          <w:highlight w:val="none"/>
        </w:rPr>
      </w:r>
      <w:r/>
    </w:p>
    <w:p>
      <w:pPr>
        <w:pStyle w:val="922"/>
        <w:ind w:firstLine="643"/>
        <w:rPr>
          <w:rFonts w:eastAsia="黑体"/>
          <w:b/>
          <w:bCs/>
          <w:color w:val="auto"/>
          <w:sz w:val="32"/>
          <w:szCs w:val="32"/>
          <w:highlight w:val="none"/>
        </w:rPr>
      </w:pPr>
      <w:r>
        <w:rPr>
          <w:rFonts w:eastAsia="黑体"/>
          <w:b/>
          <w:bCs/>
          <w:color w:val="auto"/>
          <w:sz w:val="32"/>
          <w:szCs w:val="32"/>
          <w:highlight w:val="none"/>
        </w:rPr>
      </w:r>
      <w:r/>
    </w:p>
    <w:p>
      <w:pPr>
        <w:pStyle w:val="895"/>
        <w:rPr>
          <w:color w:val="auto"/>
          <w:highlight w:val="none"/>
        </w:rPr>
      </w:pPr>
      <w:r>
        <w:rPr>
          <w:color w:val="auto"/>
          <w:highlight w:val="none"/>
        </w:rPr>
      </w:r>
      <w:r/>
    </w:p>
    <w:p>
      <w:pPr>
        <w:rPr>
          <w:color w:val="auto"/>
          <w:highlight w:val="none"/>
        </w:rPr>
      </w:pPr>
      <w:r>
        <w:rPr>
          <w:color w:val="auto"/>
          <w:highlight w:val="none"/>
        </w:rPr>
      </w:r>
      <w:r/>
    </w:p>
    <w:p>
      <w:pPr>
        <w:ind w:firstLine="482"/>
        <w:widowControl/>
        <w:rPr>
          <w:rFonts w:hint="eastAsia" w:eastAsia="宋体"/>
          <w:b/>
          <w:bCs/>
          <w:color w:val="auto"/>
          <w:sz w:val="24"/>
          <w:highlight w:val="none"/>
        </w:rPr>
        <w:sectPr>
          <w:headerReference w:type="default" r:id="rId9"/>
          <w:footerReference w:type="default" r:id="rId10"/>
          <w:footerReference w:type="first" r:id="rId11"/>
          <w:footnotePr/>
          <w:endnotePr/>
          <w:type w:val="nextPage"/>
          <w:pgSz w:w="11906" w:h="16838" w:orient="portrait"/>
          <w:pgMar w:top="907" w:right="907" w:bottom="907" w:left="764" w:header="624" w:footer="510" w:gutter="113"/>
          <w:pgNumType w:start="1"/>
          <w:cols w:num="1" w:sep="0" w:space="720" w:equalWidth="1"/>
          <w:docGrid w:linePitch="360"/>
          <w:titlePg/>
        </w:sectPr>
      </w:pPr>
      <w:r>
        <w:rPr>
          <w:rFonts w:hint="eastAsia" w:eastAsia="宋体"/>
          <w:b/>
          <w:bCs/>
          <w:color w:val="auto"/>
          <w:sz w:val="24"/>
          <w:highlight w:val="none"/>
        </w:rPr>
      </w:r>
      <w:r/>
    </w:p>
    <w:p>
      <w:pPr>
        <w:ind w:firstLine="482"/>
        <w:widowControl/>
        <w:rPr>
          <w:rFonts w:eastAsia="黑体"/>
          <w:b/>
          <w:color w:val="auto"/>
          <w:sz w:val="32"/>
          <w:szCs w:val="32"/>
          <w:highlight w:val="none"/>
        </w:rPr>
      </w:pPr>
      <w:r>
        <w:rPr>
          <w:rFonts w:hint="eastAsia" w:eastAsia="宋体"/>
          <w:b/>
          <w:bCs/>
          <w:color w:val="auto"/>
          <w:sz w:val="24"/>
          <w:highlight w:val="none"/>
        </w:rPr>
        <w:t xml:space="preserve">附件：考核细则</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808"/>
        <w:gridCol w:w="4158"/>
        <w:gridCol w:w="877"/>
        <w:gridCol w:w="2649"/>
        <w:gridCol w:w="1094"/>
      </w:tblGrid>
      <w:tr>
        <w:trPr>
          <w:trHeight w:val="283"/>
        </w:trPr>
        <w:tc>
          <w:tcPr>
            <w:gridSpan w:val="6"/>
            <w:tcW w:w="5000"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考核细则</w:t>
            </w:r>
            <w:r/>
          </w:p>
        </w:tc>
      </w:tr>
      <w:tr>
        <w:trPr>
          <w:trHeight w:val="285"/>
        </w:trPr>
        <w:tc>
          <w:tcPr>
            <w:tcW w:w="364"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序号</w:t>
            </w:r>
            <w:r/>
          </w:p>
        </w:tc>
        <w:tc>
          <w:tcPr>
            <w:tcW w:w="391"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考核类别</w:t>
            </w:r>
            <w:r/>
          </w:p>
        </w:tc>
        <w:tc>
          <w:tcPr>
            <w:tcW w:w="2011"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考核内容</w:t>
            </w:r>
            <w:r/>
          </w:p>
        </w:tc>
        <w:tc>
          <w:tcPr>
            <w:tcW w:w="424"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考核分值</w:t>
            </w:r>
            <w:r/>
          </w:p>
        </w:tc>
        <w:tc>
          <w:tcPr>
            <w:tcW w:w="1281"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评分标准</w:t>
            </w:r>
            <w:r/>
          </w:p>
        </w:tc>
        <w:tc>
          <w:tcPr>
            <w:tcW w:w="527" w:type="pct"/>
            <w:vAlign w:val="center"/>
            <w:textDirection w:val="lrTb"/>
            <w:noWrap w:val="false"/>
          </w:tcPr>
          <w:p>
            <w:pPr>
              <w:jc w:val="center"/>
              <w:widowControl/>
              <w:rPr>
                <w:rFonts w:eastAsia="宋体"/>
                <w:b/>
                <w:bCs/>
                <w:color w:val="auto"/>
                <w:sz w:val="24"/>
                <w:highlight w:val="none"/>
              </w:rPr>
            </w:pPr>
            <w:r>
              <w:rPr>
                <w:rFonts w:hint="eastAsia" w:eastAsia="宋体"/>
                <w:b/>
                <w:bCs/>
                <w:color w:val="auto"/>
                <w:sz w:val="24"/>
                <w:highlight w:val="none"/>
              </w:rPr>
              <w:t xml:space="preserve">考核评分</w:t>
            </w:r>
            <w:r/>
          </w:p>
        </w:tc>
      </w:tr>
      <w:tr>
        <w:trPr>
          <w:trHeight w:val="55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w:t>
            </w:r>
            <w:r/>
          </w:p>
        </w:tc>
        <w:tc>
          <w:tcPr>
            <w:tcW w:w="391" w:type="pct"/>
            <w:vAlign w:val="center"/>
            <w:vMerge w:val="restart"/>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业务管理</w:t>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所代理单位出现干部贪污、挪用、账务侵占等问题被查处的</w:t>
            </w:r>
            <w:r/>
          </w:p>
        </w:tc>
        <w:tc>
          <w:tcPr>
            <w:tcW w:w="424" w:type="pct"/>
            <w:vAlign w:val="center"/>
            <w:textDirection w:val="lrTb"/>
            <w:noWrap w:val="false"/>
          </w:tcPr>
          <w:p>
            <w:pPr>
              <w:jc w:val="center"/>
              <w:widowControl/>
              <w:rPr>
                <w:rFonts w:eastAsia="宋体"/>
                <w:color w:val="auto"/>
                <w:sz w:val="24"/>
                <w:highlight w:val="none"/>
              </w:rPr>
            </w:pPr>
            <w:r>
              <w:rPr>
                <w:rFonts w:hint="eastAsia"/>
                <w:color w:val="auto"/>
                <w:sz w:val="24"/>
                <w:highlight w:val="none"/>
                <w:lang w:val="en-US" w:eastAsia="zh-CN"/>
              </w:rPr>
              <w:t xml:space="preserve">10</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w:t>
            </w:r>
            <w:r>
              <w:rPr>
                <w:rFonts w:hint="eastAsia"/>
                <w:color w:val="auto"/>
                <w:sz w:val="24"/>
                <w:highlight w:val="none"/>
                <w:lang w:val="en-US" w:eastAsia="zh-CN"/>
              </w:rPr>
              <w:t xml:space="preserve">1</w:t>
            </w:r>
            <w:r>
              <w:rPr>
                <w:rFonts w:hint="eastAsia" w:eastAsia="宋体"/>
                <w:color w:val="auto"/>
                <w:sz w:val="24"/>
                <w:highlight w:val="none"/>
              </w:rPr>
              <w:t xml:space="preserve">0分</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55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2</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发现财务管理问题或违规行为未予以制止、未提出整改意见的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55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3</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因核算错误造成经济损失的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55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4</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因所代理业务原因导致学校考核失分的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82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未及时向主管部门、代理单位提供相关资料报表等，造成信息统计、上报、公开延迟的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109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6</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color w:val="auto"/>
                <w:sz w:val="24"/>
                <w:highlight w:val="none"/>
                <w:lang w:val="en-US" w:eastAsia="zh-CN"/>
              </w:rPr>
              <w:t xml:space="preserve">由于会计审核不严，导致票据凭证瑕疵、审批程序不全的凭证入账，或出现账务处理错误、核算规范性不足等不符合会计制度的情况</w:t>
            </w:r>
            <w:r/>
          </w:p>
        </w:tc>
        <w:tc>
          <w:tcPr>
            <w:tcW w:w="424" w:type="pct"/>
            <w:vAlign w:val="center"/>
            <w:textDirection w:val="lrTb"/>
            <w:noWrap w:val="false"/>
          </w:tcPr>
          <w:p>
            <w:pPr>
              <w:jc w:val="center"/>
              <w:widowControl/>
              <w:rPr>
                <w:rFonts w:eastAsia="宋体"/>
                <w:color w:val="auto"/>
                <w:sz w:val="24"/>
                <w:highlight w:val="none"/>
              </w:rPr>
            </w:pPr>
            <w:r>
              <w:rPr>
                <w:rFonts w:hint="eastAsia"/>
                <w:color w:val="auto"/>
                <w:sz w:val="24"/>
                <w:highlight w:val="none"/>
                <w:lang w:val="en-US" w:eastAsia="zh-CN"/>
              </w:rPr>
              <w:t xml:space="preserve">15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w:t>
            </w:r>
            <w:r>
              <w:rPr>
                <w:rFonts w:hint="eastAsia"/>
                <w:color w:val="auto"/>
                <w:sz w:val="24"/>
                <w:highlight w:val="none"/>
                <w:lang w:val="en-US" w:eastAsia="zh-CN"/>
              </w:rPr>
              <w:t xml:space="preserve">一条</w:t>
            </w:r>
            <w:r>
              <w:rPr>
                <w:rFonts w:hint="eastAsia" w:eastAsia="宋体"/>
                <w:color w:val="auto"/>
                <w:sz w:val="24"/>
                <w:highlight w:val="none"/>
              </w:rPr>
              <w:t xml:space="preserve">扣</w:t>
            </w:r>
            <w:r>
              <w:rPr>
                <w:rFonts w:hint="eastAsia"/>
                <w:color w:val="auto"/>
                <w:sz w:val="24"/>
                <w:highlight w:val="none"/>
                <w:lang w:val="en-US" w:eastAsia="zh-CN"/>
              </w:rPr>
              <w:t xml:space="preserve">0.1</w:t>
            </w:r>
            <w:r>
              <w:rPr>
                <w:rFonts w:hint="eastAsia" w:eastAsia="宋体"/>
                <w:color w:val="auto"/>
                <w:sz w:val="24"/>
                <w:highlight w:val="none"/>
              </w:rPr>
              <w:t xml:space="preserve">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82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7</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未按照操作要求开展财务电算化或网络化管理，造成核算错误和电子数据损坏的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55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8</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所代理单位财务台账不齐全，会计档案不完整的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82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9</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违反规定擅自将所代理单位档案外借其他单位的；因保管失误造成资料遭失或损毁的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82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10</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未对报账员的收款收据进行定期核对盘点，统一收款收据领用、保管、使用和核销监管不到位的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586"/>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11</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每季度对所代理单位银行存款记录不完整的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37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12</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在各类审计及检查中发现明显错误的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37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13</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学校</w:t>
            </w:r>
            <w:r>
              <w:rPr>
                <w:rFonts w:hint="eastAsia"/>
                <w:color w:val="auto"/>
                <w:sz w:val="24"/>
                <w:highlight w:val="none"/>
                <w:lang w:eastAsia="zh-CN"/>
              </w:rPr>
              <w:t xml:space="preserve">、</w:t>
            </w:r>
            <w:r>
              <w:rPr>
                <w:rFonts w:hint="eastAsia"/>
                <w:color w:val="auto"/>
                <w:sz w:val="24"/>
                <w:highlight w:val="none"/>
                <w:lang w:val="en-US" w:eastAsia="zh-CN"/>
              </w:rPr>
              <w:t xml:space="preserve">社区</w:t>
            </w:r>
            <w:r>
              <w:rPr>
                <w:rFonts w:hint="eastAsia" w:eastAsia="宋体"/>
                <w:color w:val="auto"/>
                <w:sz w:val="24"/>
                <w:highlight w:val="none"/>
              </w:rPr>
              <w:t xml:space="preserve">工作中对涉及财务工作事项不予配合的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37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14</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违反其他有关工作规定的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发现一次扣0.5分，扣完为止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555"/>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15</w:t>
            </w:r>
            <w:r/>
          </w:p>
        </w:tc>
        <w:tc>
          <w:tcPr>
            <w:tcW w:w="391" w:type="pct"/>
            <w:vAlign w:val="center"/>
            <w:vMerge w:val="restart"/>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工作纪律</w:t>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未遵守上下班工作纪律，迟到、早退、旷工的</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迟到、早退一次扣1分，旷工扣5分。</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419"/>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16</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频繁进行人员更换</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酌情扣分，扣完为止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419"/>
        </w:trPr>
        <w:tc>
          <w:tcPr>
            <w:tcW w:w="36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17</w:t>
            </w:r>
            <w:r/>
          </w:p>
        </w:tc>
        <w:tc>
          <w:tcPr>
            <w:tcW w:w="391" w:type="pct"/>
            <w:vAlign w:val="center"/>
            <w:vMerge w:val="continue"/>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人员未能按照甲方要求及时到岗</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5</w:t>
            </w:r>
            <w:r/>
          </w:p>
        </w:tc>
        <w:tc>
          <w:tcPr>
            <w:tcW w:w="128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酌情扣分，扣完为止</w:t>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345"/>
        </w:trPr>
        <w:tc>
          <w:tcPr>
            <w:tcW w:w="364"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c>
          <w:tcPr>
            <w:tcW w:w="391"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c>
          <w:tcPr>
            <w:tcW w:w="2011"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合  计</w:t>
            </w:r>
            <w:r/>
          </w:p>
        </w:tc>
        <w:tc>
          <w:tcPr>
            <w:tcW w:w="424"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100</w:t>
            </w:r>
            <w:r/>
          </w:p>
        </w:tc>
        <w:tc>
          <w:tcPr>
            <w:tcW w:w="1281"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c>
          <w:tcPr>
            <w:tcW w:w="527"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345"/>
        </w:trPr>
        <w:tc>
          <w:tcPr>
            <w:gridSpan w:val="3"/>
            <w:tcW w:w="2766" w:type="pct"/>
            <w:vAlign w:val="center"/>
            <w:textDirection w:val="lrTb"/>
            <w:noWrap w:val="false"/>
          </w:tcPr>
          <w:p>
            <w:pPr>
              <w:jc w:val="center"/>
              <w:widowControl/>
              <w:rPr>
                <w:rFonts w:eastAsia="宋体"/>
                <w:color w:val="auto"/>
                <w:sz w:val="24"/>
                <w:highlight w:val="none"/>
              </w:rPr>
            </w:pPr>
            <w:r>
              <w:rPr>
                <w:rFonts w:hint="eastAsia" w:eastAsia="宋体"/>
                <w:color w:val="auto"/>
                <w:sz w:val="24"/>
                <w:highlight w:val="none"/>
              </w:rPr>
              <w:t xml:space="preserve">第三方代理公司签字：（盖章）</w:t>
            </w:r>
            <w:r/>
          </w:p>
        </w:tc>
        <w:tc>
          <w:tcPr>
            <w:gridSpan w:val="3"/>
            <w:tcW w:w="2233" w:type="pct"/>
            <w:vAlign w:val="center"/>
            <w:textDirection w:val="lrTb"/>
            <w:noWrap w:val="false"/>
          </w:tcPr>
          <w:p>
            <w:pPr>
              <w:jc w:val="center"/>
              <w:rPr>
                <w:rFonts w:eastAsia="宋体"/>
                <w:color w:val="auto"/>
                <w:sz w:val="24"/>
                <w:highlight w:val="none"/>
              </w:rPr>
            </w:pPr>
            <w:r>
              <w:rPr>
                <w:rFonts w:eastAsia="宋体"/>
                <w:color w:val="auto"/>
                <w:sz w:val="24"/>
                <w:highlight w:val="none"/>
              </w:rPr>
            </w:r>
            <w:r/>
          </w:p>
        </w:tc>
      </w:tr>
      <w:tr>
        <w:trPr>
          <w:trHeight w:val="390"/>
        </w:trPr>
        <w:tc>
          <w:tcPr>
            <w:gridSpan w:val="3"/>
            <w:tcW w:w="2766"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部门负责人考核评分：                                                        </w:t>
            </w:r>
            <w:r/>
          </w:p>
        </w:tc>
        <w:tc>
          <w:tcPr>
            <w:gridSpan w:val="3"/>
            <w:tcW w:w="2233"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分管领导考核评分：</w:t>
            </w:r>
            <w:r/>
          </w:p>
        </w:tc>
      </w:tr>
      <w:tr>
        <w:trPr>
          <w:trHeight w:val="390"/>
        </w:trPr>
        <w:tc>
          <w:tcPr>
            <w:gridSpan w:val="3"/>
            <w:tcW w:w="2766"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签字：</w:t>
            </w:r>
            <w:r/>
          </w:p>
        </w:tc>
        <w:tc>
          <w:tcPr>
            <w:gridSpan w:val="3"/>
            <w:tcW w:w="2233" w:type="pct"/>
            <w:vAlign w:val="center"/>
            <w:textDirection w:val="lrTb"/>
            <w:noWrap w:val="false"/>
          </w:tcPr>
          <w:p>
            <w:pPr>
              <w:jc w:val="left"/>
              <w:widowControl/>
              <w:rPr>
                <w:rFonts w:eastAsia="宋体"/>
                <w:color w:val="auto"/>
                <w:sz w:val="24"/>
                <w:highlight w:val="none"/>
              </w:rPr>
            </w:pPr>
            <w:r>
              <w:rPr>
                <w:rFonts w:hint="eastAsia" w:eastAsia="宋体"/>
                <w:color w:val="auto"/>
                <w:sz w:val="24"/>
                <w:highlight w:val="none"/>
              </w:rPr>
              <w:t xml:space="preserve">签字：</w:t>
            </w:r>
            <w:r/>
          </w:p>
        </w:tc>
      </w:tr>
      <w:tr>
        <w:trPr>
          <w:trHeight w:val="390"/>
        </w:trPr>
        <w:tc>
          <w:tcPr>
            <w:gridSpan w:val="3"/>
            <w:tcW w:w="2766" w:type="pct"/>
            <w:vAlign w:val="center"/>
            <w:textDirection w:val="lrTb"/>
            <w:noWrap w:val="false"/>
          </w:tcPr>
          <w:p>
            <w:pPr>
              <w:jc w:val="right"/>
              <w:widowControl/>
              <w:rPr>
                <w:rFonts w:eastAsia="宋体"/>
                <w:color w:val="auto"/>
                <w:sz w:val="24"/>
                <w:highlight w:val="none"/>
              </w:rPr>
            </w:pPr>
            <w:r>
              <w:rPr>
                <w:rFonts w:hint="eastAsia" w:eastAsia="宋体"/>
                <w:color w:val="auto"/>
                <w:sz w:val="24"/>
                <w:highlight w:val="none"/>
              </w:rPr>
              <w:t xml:space="preserve">年    月    日</w:t>
            </w:r>
            <w:r/>
          </w:p>
        </w:tc>
        <w:tc>
          <w:tcPr>
            <w:gridSpan w:val="3"/>
            <w:tcW w:w="2233" w:type="pct"/>
            <w:vAlign w:val="center"/>
            <w:textDirection w:val="lrTb"/>
            <w:noWrap w:val="false"/>
          </w:tcPr>
          <w:p>
            <w:pPr>
              <w:jc w:val="right"/>
              <w:widowControl/>
              <w:rPr>
                <w:rFonts w:eastAsia="宋体"/>
                <w:color w:val="auto"/>
                <w:sz w:val="24"/>
                <w:highlight w:val="none"/>
              </w:rPr>
            </w:pPr>
            <w:r>
              <w:rPr>
                <w:rFonts w:hint="eastAsia" w:eastAsia="宋体"/>
                <w:color w:val="auto"/>
                <w:sz w:val="24"/>
                <w:highlight w:val="none"/>
              </w:rPr>
              <w:t xml:space="preserve">年    月    日</w:t>
            </w:r>
            <w:r/>
          </w:p>
        </w:tc>
      </w:tr>
    </w:tbl>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五、附 件</w:t>
      </w:r>
      <w:r/>
    </w:p>
    <w:p>
      <w:pP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附件</w:t>
      </w: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、（供应商）授权委托书</w:t>
      </w:r>
      <w:r/>
    </w:p>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授权委托书</w:t>
      </w:r>
      <w:r/>
    </w:p>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本授权委托书声明：我（姓名）系</w:t>
      </w:r>
      <w:r>
        <w:rPr>
          <w:rFonts w:hint="eastAsia" w:asciiTheme="minorEastAsia" w:hAnsiTheme="minorEastAsia" w:eastAsiaTheme="minorEastAsia"/>
          <w:color w:val="auto"/>
          <w:sz w:val="24"/>
          <w:szCs w:val="24"/>
          <w:highlight w:val="none"/>
          <w:u w:val="single"/>
        </w:rPr>
        <w:t xml:space="preserve">（供应商名称）</w:t>
      </w:r>
      <w:r>
        <w:rPr>
          <w:rFonts w:hint="eastAsia" w:asciiTheme="minorEastAsia" w:hAnsiTheme="minorEastAsia" w:eastAsiaTheme="minorEastAsia"/>
          <w:color w:val="auto"/>
          <w:sz w:val="24"/>
          <w:szCs w:val="24"/>
          <w:highlight w:val="none"/>
        </w:rPr>
        <w:t xml:space="preserve">的法定代表人，现授权委托</w:t>
      </w:r>
      <w:r>
        <w:rPr>
          <w:rFonts w:hint="eastAsia" w:asciiTheme="minorEastAsia" w:hAnsiTheme="minorEastAsia" w:eastAsiaTheme="minorEastAsia"/>
          <w:color w:val="auto"/>
          <w:sz w:val="24"/>
          <w:szCs w:val="24"/>
          <w:highlight w:val="none"/>
          <w:u w:val="single"/>
        </w:rPr>
        <w:t xml:space="preserve">（姓名）</w:t>
      </w:r>
      <w:r>
        <w:rPr>
          <w:rFonts w:hint="eastAsia" w:asciiTheme="minorEastAsia" w:hAnsiTheme="minorEastAsia" w:eastAsiaTheme="minorEastAsia"/>
          <w:color w:val="auto"/>
          <w:sz w:val="24"/>
          <w:szCs w:val="24"/>
          <w:highlight w:val="none"/>
        </w:rPr>
        <w:t xml:space="preserve">为我公司授权代表（即代理人），以本公司的名义参加 </w:t>
      </w:r>
      <w:r>
        <w:rPr>
          <w:rFonts w:hint="eastAsia" w:asciiTheme="minorEastAsia" w:hAnsiTheme="minorEastAsia" w:eastAsiaTheme="minorEastAsia"/>
          <w:color w:val="auto"/>
          <w:sz w:val="24"/>
          <w:szCs w:val="24"/>
          <w:highlight w:val="none"/>
          <w:u w:val="single"/>
        </w:rPr>
        <w:t xml:space="preserve"> 苏州海企国际工程咨询有限公司   </w:t>
      </w:r>
      <w:r>
        <w:rPr>
          <w:rFonts w:hint="eastAsia" w:asciiTheme="minorEastAsia" w:hAnsiTheme="minorEastAsia" w:eastAsiaTheme="minorEastAsia"/>
          <w:color w:val="auto"/>
          <w:sz w:val="24"/>
          <w:szCs w:val="24"/>
          <w:highlight w:val="none"/>
        </w:rPr>
        <w:t xml:space="preserve">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号的磋商活动。授权代表在磋商活动过程中所签署的一切文件和处理与这有关的一切事务，我均予以承认。</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授权代表无转委托权。特此委托。</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法定代表人：（签字或盖章）</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代理人：（签字或盖章）</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jc w:val="center"/>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　　日</w:t>
      </w:r>
      <w:r/>
    </w:p>
    <w:p>
      <w:pPr>
        <w:jc w:val="left"/>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jc w:val="left"/>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80" w:lineRule="exact"/>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附件2、磋商响应函</w:t>
      </w:r>
      <w:r/>
    </w:p>
    <w:p>
      <w:pPr>
        <w:jc w:val="center"/>
        <w:spacing w:line="38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磋商响应函</w:t>
      </w:r>
      <w:r/>
    </w:p>
    <w:p>
      <w:pPr>
        <w:jc w:val="center"/>
        <w:spacing w:line="38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8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苏州海企国际工程咨询有限公司   </w:t>
      </w:r>
      <w:r>
        <w:rPr>
          <w:rFonts w:hint="eastAsia" w:asciiTheme="minorEastAsia" w:hAnsiTheme="minorEastAsia" w:eastAsiaTheme="minorEastAsia"/>
          <w:color w:val="auto"/>
          <w:sz w:val="24"/>
          <w:szCs w:val="24"/>
          <w:highlight w:val="none"/>
        </w:rPr>
        <w:t xml:space="preserve">：</w:t>
      </w:r>
      <w:r/>
    </w:p>
    <w:p>
      <w:pPr>
        <w:spacing w:line="38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我们收到贵公司号磋商文件，经仔细阅读和研究，我们决定参加磋商活动。</w:t>
      </w:r>
      <w:r/>
    </w:p>
    <w:p>
      <w:pP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color w:val="auto"/>
          <w:sz w:val="24"/>
          <w:szCs w:val="24"/>
          <w:highlight w:val="none"/>
        </w:rPr>
        <w:t xml:space="preserve">1、我们愿意按照磋商文件的一切要求，完成该项目的全部内容。</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2、如果我们的磋商响应文件被接受，我们将严格履行磋商文件中规定的每一项要求，按期、按质、按量履行合同的义务。</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3、我们已详细阅读全部磋商文件，包括更正公告(如有)，对磋商文件及更正公告(如有)无任何异议。</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4、我们同意按磋商文件中的规定，本响应文件的有效期限自提交响应文件截止时间之日起</w:t>
      </w:r>
      <w:r>
        <w:rPr>
          <w:rFonts w:asciiTheme="minorEastAsia" w:hAnsiTheme="minorEastAsia" w:eastAsiaTheme="minorEastAsia"/>
          <w:color w:val="auto"/>
          <w:sz w:val="24"/>
          <w:szCs w:val="24"/>
          <w:highlight w:val="none"/>
          <w:u w:val="single"/>
        </w:rPr>
        <w:t xml:space="preserve">60</w:t>
      </w:r>
      <w:r>
        <w:rPr>
          <w:rFonts w:asciiTheme="minorEastAsia" w:hAnsiTheme="minorEastAsia" w:eastAsiaTheme="minorEastAsia"/>
          <w:color w:val="auto"/>
          <w:sz w:val="24"/>
          <w:szCs w:val="24"/>
          <w:highlight w:val="none"/>
        </w:rPr>
        <w:t xml:space="preserve">天。</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5、我们愿意提供磋商采购单位在磋商文件中要求的相关资料。</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6、我们愿意遵守磋商文件中所列的收费标准。</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7、我们承诺该响应文件在磋商开始后的全过程中保持有效，不作任何更改和变动。</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8、我们承诺我公司符合磋商文件中“合格供应商的基本、特定条件”的要求，若与真实情况不符，本公司愿意承担由此而产生的一切后果。</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所有有关磋商文件的函电，请按下列地址联系：</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单位：                             联系人：</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地址：                             邮政编码：</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联系电话：                         传真：</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日期：         年     月     日</w:t>
      </w:r>
      <w:r/>
    </w:p>
    <w:p>
      <w:pP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w:t>
      </w:r>
      <w:r>
        <w:rPr>
          <w:rFonts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rPr>
        <w:t xml:space="preserve">、磋商响应报价表</w:t>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磋商</w:t>
      </w:r>
      <w:r>
        <w:rPr>
          <w:rFonts w:hint="eastAsia" w:asciiTheme="minorEastAsia" w:hAnsiTheme="minorEastAsia" w:eastAsiaTheme="minorEastAsia"/>
          <w:b/>
          <w:color w:val="auto"/>
          <w:sz w:val="24"/>
          <w:szCs w:val="24"/>
          <w:highlight w:val="none"/>
        </w:rPr>
        <w:t xml:space="preserve">响应</w:t>
      </w:r>
      <w:r>
        <w:rPr>
          <w:rFonts w:asciiTheme="minorEastAsia" w:hAnsiTheme="minorEastAsia" w:eastAsiaTheme="minorEastAsia"/>
          <w:b/>
          <w:color w:val="auto"/>
          <w:sz w:val="24"/>
          <w:szCs w:val="24"/>
          <w:highlight w:val="none"/>
        </w:rPr>
        <w:t xml:space="preserve">报价表</w:t>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bl>
      <w:tblPr>
        <w:tblStyle w:val="889"/>
        <w:tblW w:w="10210" w:type="dxa"/>
        <w:jc w:val="center"/>
        <w:tblLayout w:type="fixed"/>
        <w:tblCellMar>
          <w:left w:w="0" w:type="dxa"/>
          <w:top w:w="0" w:type="dxa"/>
          <w:right w:w="0"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项目名称</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采购编号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响应总报价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人民币大写：</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；（小写：¥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服务期限</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是否小微企业</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□小型                □微型 </w:t>
            </w:r>
            <w:r/>
          </w:p>
        </w:tc>
      </w:tr>
    </w:tbl>
    <w:p>
      <w:pPr>
        <w:ind w:firstLine="422"/>
        <w:spacing w:line="360" w:lineRule="auto"/>
        <w:widowControl/>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color w:val="auto"/>
          <w:szCs w:val="21"/>
          <w:highlight w:val="none"/>
        </w:rPr>
        <w:t xml:space="preserve">注：</w:t>
      </w:r>
      <w:r>
        <w:rPr>
          <w:rFonts w:hint="eastAsia" w:asciiTheme="minorEastAsia" w:hAnsiTheme="minorEastAsia" w:eastAsiaTheme="minorEastAsia"/>
          <w:b/>
          <w:color w:val="auto"/>
          <w:highlight w:val="none"/>
        </w:rPr>
        <w:t xml:space="preserve">报价金额全部采取人民币表示，响应报价精确到分。</w:t>
      </w:r>
      <w:r/>
    </w:p>
    <w:p>
      <w:pP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spacing w:line="360" w:lineRule="auto"/>
        <w:rPr>
          <w:rFonts w:asciiTheme="minorEastAsia" w:hAnsiTheme="minorEastAsia" w:eastAsiaTheme="minorEastAsia"/>
          <w:color w:val="auto"/>
          <w:sz w:val="24"/>
          <w:szCs w:val="24"/>
          <w:highlight w:val="none"/>
        </w:rPr>
        <w:sectPr>
          <w:footnotePr/>
          <w:endnotePr/>
          <w:type w:val="nextPage"/>
          <w:pgSz w:w="11906" w:h="16838" w:orient="portrait"/>
          <w:pgMar w:top="907" w:right="907" w:bottom="907" w:left="764" w:header="624" w:footer="510" w:gutter="113"/>
          <w:cols w:num="1" w:sep="0" w:space="720" w:equalWidth="1"/>
          <w:docGrid w:linePitch="360"/>
          <w:titlePg/>
        </w:sectPr>
      </w:pPr>
      <w:r>
        <w:rPr>
          <w:rFonts w:hint="eastAsia" w:asciiTheme="minorEastAsia" w:hAnsiTheme="minorEastAsia" w:eastAsiaTheme="minorEastAsia"/>
          <w:color w:val="auto"/>
          <w:sz w:val="24"/>
          <w:szCs w:val="24"/>
          <w:highlight w:val="none"/>
        </w:rPr>
        <w:t xml:space="preserve">日期：   年    月     日</w:t>
      </w:r>
      <w:r/>
    </w:p>
    <w:p>
      <w:pPr>
        <w:spacing w:line="360" w:lineRule="auto"/>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附件4、偏离表</w:t>
      </w:r>
      <w:r/>
    </w:p>
    <w:p>
      <w:pPr>
        <w:jc w:val="cente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服务要求偏离表</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单位名称（盖章）：</w:t>
      </w:r>
      <w:r/>
    </w:p>
    <w:tbl>
      <w:tblPr>
        <w:tblStyle w:val="889"/>
        <w:tblW w:w="10173" w:type="dxa"/>
        <w:tblInd w:w="0" w:type="dxa"/>
        <w:tblLayout w:type="fixed"/>
        <w:tblCellMar>
          <w:left w:w="0" w:type="dxa"/>
          <w:top w:w="0" w:type="dxa"/>
          <w:right w:w="0" w:type="dxa"/>
          <w:bottom w:w="0" w:type="dxa"/>
        </w:tblCellMar>
        <w:tblLook w:val="04A0" w:firstRow="1" w:lastRow="0" w:firstColumn="1" w:lastColumn="0" w:noHBand="0" w:noVBand="1"/>
      </w:tblPr>
      <w:tblGrid>
        <w:gridCol w:w="719"/>
        <w:gridCol w:w="1691"/>
        <w:gridCol w:w="2251"/>
        <w:gridCol w:w="2251"/>
        <w:gridCol w:w="1701"/>
        <w:gridCol w:w="156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注：1、响应单位应对照磋商文件服务要求等要求，所响应标的物与磋商文件的规定有偏离的，应在此表中申明与服务要求条文的偏差和例外。</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供应商：（公章）</w:t>
      </w:r>
      <w:r/>
    </w:p>
    <w:p>
      <w:pP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jc w:val="center"/>
        <w:spacing w:line="36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spacing w:line="360" w:lineRule="auto"/>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商务条款偏离表</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单位名称（盖章）：</w:t>
      </w:r>
      <w:r/>
    </w:p>
    <w:tbl>
      <w:tblPr>
        <w:tblStyle w:val="889"/>
        <w:tblW w:w="998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04"/>
        <w:gridCol w:w="3249"/>
        <w:gridCol w:w="2158"/>
        <w:gridCol w:w="2030"/>
        <w:gridCol w:w="1739"/>
      </w:tblGrid>
      <w:tr>
        <w:trPr>
          <w:cantSplit/>
          <w:jc w:val="center"/>
          <w:trHeight w:val="80"/>
          <w:tblHeader/>
        </w:trPr>
        <w:tc>
          <w:tcPr>
            <w:tcBorders>
              <w:top w:val="single" w:color="auto" w:sz="8" w:space="0"/>
              <w:left w:val="single" w:color="auto" w:sz="8" w:space="0"/>
              <w:bottom w:val="single" w:color="auto" w:sz="8" w:space="0"/>
              <w:right w:val="single" w:color="auto" w:sz="8" w:space="0"/>
            </w:tcBorders>
            <w:tcW w:w="804"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249"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磋商文件要求</w:t>
            </w:r>
            <w:r/>
          </w:p>
        </w:tc>
        <w:tc>
          <w:tcPr>
            <w:tcBorders>
              <w:top w:val="single" w:color="auto" w:sz="8" w:space="0"/>
              <w:left w:val="single" w:color="auto" w:sz="8" w:space="0"/>
              <w:bottom w:val="single" w:color="auto" w:sz="8" w:space="0"/>
              <w:right w:val="single" w:color="auto" w:sz="8" w:space="0"/>
            </w:tcBorders>
            <w:tcW w:w="2158"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030"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39"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04"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249" w:type="dxa"/>
            <w:textDirection w:val="lrTb"/>
            <w:noWrap w:val="false"/>
          </w:tcPr>
          <w:p>
            <w:pPr>
              <w:spacing w:line="360" w:lineRule="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15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03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73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04"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249" w:type="dxa"/>
            <w:textDirection w:val="lrTb"/>
            <w:noWrap w:val="false"/>
          </w:tcPr>
          <w:p>
            <w:pPr>
              <w:spacing w:line="360" w:lineRule="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15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03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73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04"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249" w:type="dxa"/>
            <w:textDirection w:val="lrTb"/>
            <w:noWrap w:val="false"/>
          </w:tcPr>
          <w:p>
            <w:pPr>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lang w:val="zh-CN"/>
              </w:rPr>
              <w:t xml:space="preserve">付款</w:t>
            </w:r>
            <w:r>
              <w:rPr>
                <w:rFonts w:hint="eastAsia" w:ascii="宋体" w:hAnsi="宋体" w:cs="仿宋_GB2312"/>
                <w:color w:val="auto"/>
                <w:sz w:val="24"/>
                <w:szCs w:val="24"/>
                <w:highlight w:val="none"/>
              </w:rPr>
              <w:t xml:space="preserve">进度、方式</w:t>
            </w:r>
            <w:r/>
          </w:p>
        </w:tc>
        <w:tc>
          <w:tcPr>
            <w:tcBorders>
              <w:top w:val="single" w:color="auto" w:sz="8" w:space="0"/>
              <w:left w:val="single" w:color="auto" w:sz="8" w:space="0"/>
              <w:bottom w:val="single" w:color="auto" w:sz="8" w:space="0"/>
              <w:right w:val="single" w:color="auto" w:sz="8" w:space="0"/>
            </w:tcBorders>
            <w:tcW w:w="215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03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73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04"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249" w:type="dxa"/>
            <w:textDirection w:val="lrTb"/>
            <w:noWrap w:val="false"/>
          </w:tcPr>
          <w:p>
            <w:pPr>
              <w:spacing w:line="360" w:lineRule="auto"/>
              <w:rPr>
                <w:rFonts w:ascii="宋体" w:hAnsi="宋体"/>
                <w:bCs/>
                <w:color w:val="auto"/>
                <w:sz w:val="24"/>
                <w:szCs w:val="24"/>
                <w:highlight w:val="none"/>
              </w:rPr>
            </w:pPr>
            <w:r>
              <w:rPr>
                <w:rFonts w:hint="eastAsia" w:ascii="宋体" w:hAnsi="宋体" w:cs="仿宋_GB2312"/>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58"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03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73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04"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3249"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5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03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73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供应商：（公章）</w:t>
      </w:r>
      <w:r/>
    </w:p>
    <w:p>
      <w:pP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pStyle w:val="934"/>
        <w:ind w:firstLine="0"/>
        <w:rPr>
          <w:color w:val="auto"/>
          <w:highlight w:val="none"/>
        </w:rPr>
      </w:pPr>
      <w:r>
        <w:rPr>
          <w:color w:val="auto"/>
          <w:highlight w:val="none"/>
        </w:rPr>
      </w:r>
      <w:r/>
    </w:p>
    <w:p>
      <w:pPr>
        <w:rPr>
          <w:color w:val="auto"/>
          <w:highlight w:val="none"/>
        </w:rPr>
      </w:pPr>
      <w:r>
        <w:rPr>
          <w:color w:val="auto"/>
          <w:highlight w:val="none"/>
        </w:rPr>
      </w:r>
      <w:r/>
    </w:p>
    <w:p>
      <w:pPr>
        <w:pStyle w:val="934"/>
        <w:ind w:firstLine="0"/>
        <w:rPr>
          <w:color w:val="auto"/>
          <w:highlight w:val="none"/>
        </w:rPr>
      </w:pPr>
      <w:r>
        <w:rPr>
          <w:color w:val="auto"/>
          <w:highlight w:val="none"/>
        </w:rPr>
      </w:r>
      <w:r/>
    </w:p>
    <w:p>
      <w:pPr>
        <w:rPr>
          <w:color w:val="auto"/>
          <w:highlight w:val="none"/>
        </w:rPr>
      </w:pPr>
      <w:r>
        <w:rPr>
          <w:color w:val="auto"/>
          <w:highlight w:val="none"/>
        </w:rPr>
      </w:r>
      <w:r/>
    </w:p>
    <w:p>
      <w:pPr>
        <w:pStyle w:val="934"/>
        <w:ind w:firstLine="0"/>
        <w:rPr>
          <w:color w:val="auto"/>
          <w:highlight w:val="none"/>
        </w:rPr>
      </w:pPr>
      <w:r>
        <w:rPr>
          <w:color w:val="auto"/>
          <w:highlight w:val="none"/>
        </w:rPr>
      </w:r>
      <w:r/>
    </w:p>
    <w:p>
      <w:pPr>
        <w:rPr>
          <w:color w:val="auto"/>
          <w:highlight w:val="none"/>
        </w:rPr>
      </w:pPr>
      <w:r>
        <w:rPr>
          <w:color w:val="auto"/>
          <w:highlight w:val="none"/>
        </w:rPr>
      </w:r>
      <w:r/>
    </w:p>
    <w:p>
      <w:pPr>
        <w:pStyle w:val="934"/>
        <w:ind w:firstLine="0"/>
        <w:rPr>
          <w:color w:val="auto"/>
          <w:highlight w:val="none"/>
        </w:rPr>
      </w:pPr>
      <w:r>
        <w:rPr>
          <w:color w:val="auto"/>
          <w:highlight w:val="none"/>
        </w:rPr>
      </w:r>
      <w:r/>
    </w:p>
    <w:p>
      <w:pPr>
        <w:rPr>
          <w:color w:val="auto"/>
          <w:highlight w:val="none"/>
        </w:rPr>
      </w:pPr>
      <w:r>
        <w:rPr>
          <w:color w:val="auto"/>
          <w:highlight w:val="none"/>
        </w:rPr>
      </w:r>
      <w:r/>
    </w:p>
    <w:p>
      <w:pPr>
        <w:pStyle w:val="934"/>
        <w:ind w:firstLine="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pacing w:val="20"/>
          <w:sz w:val="24"/>
          <w:szCs w:val="24"/>
          <w:highlight w:val="none"/>
        </w:rPr>
        <w:t xml:space="preserve">附件5、</w:t>
      </w:r>
      <w:r>
        <w:rPr>
          <w:rFonts w:hint="eastAsia" w:asciiTheme="minorEastAsia" w:hAnsiTheme="minorEastAsia" w:eastAsiaTheme="minorEastAsia"/>
          <w:b/>
          <w:color w:val="auto"/>
          <w:sz w:val="24"/>
          <w:szCs w:val="24"/>
          <w:highlight w:val="none"/>
        </w:rPr>
        <w:t xml:space="preserve">服务方案</w:t>
      </w:r>
      <w:r/>
    </w:p>
    <w:tbl>
      <w:tblPr>
        <w:tblStyle w:val="889"/>
        <w:tblW w:w="0" w:type="auto"/>
        <w:jc w:val="center"/>
        <w:tblLayout w:type="autofit"/>
        <w:tblCellMar>
          <w:left w:w="0" w:type="dxa"/>
          <w:top w:w="0" w:type="dxa"/>
          <w:right w:w="0" w:type="dxa"/>
          <w:bottom w:w="0" w:type="dxa"/>
        </w:tblCellMar>
        <w:tblLook w:val="04A0" w:firstRow="1" w:lastRow="0" w:firstColumn="1" w:lastColumn="0" w:noHBand="0" w:noVBand="1"/>
      </w:tblPr>
      <w:tblGrid>
        <w:gridCol w:w="9990"/>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0" w:type="auto"/>
            <w:textDirection w:val="lrTb"/>
            <w:noWrap w:val="false"/>
          </w:tcPr>
          <w:p>
            <w:pPr>
              <w:jc w:val="left"/>
              <w:tabs>
                <w:tab w:val="left" w:pos="13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提示：</w:t>
            </w:r>
            <w:r/>
          </w:p>
          <w:p>
            <w:pPr>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1、响应供应商</w:t>
            </w:r>
            <w:r>
              <w:rPr>
                <w:rFonts w:asciiTheme="minorEastAsia" w:hAnsiTheme="minorEastAsia" w:eastAsiaTheme="minorEastAsia"/>
                <w:color w:val="auto"/>
                <w:sz w:val="24"/>
                <w:szCs w:val="24"/>
                <w:highlight w:val="none"/>
              </w:rPr>
              <w:t xml:space="preserve">应根据本次招标项目要求，对所投</w:t>
            </w:r>
            <w:r>
              <w:rPr>
                <w:rFonts w:hint="eastAsia" w:asciiTheme="minorEastAsia" w:hAnsiTheme="minorEastAsia" w:eastAsiaTheme="minorEastAsia"/>
                <w:color w:val="auto"/>
                <w:sz w:val="24"/>
                <w:szCs w:val="24"/>
                <w:highlight w:val="none"/>
              </w:rPr>
              <w:t xml:space="preserve">项目</w:t>
            </w:r>
            <w:r>
              <w:rPr>
                <w:rFonts w:asciiTheme="minorEastAsia" w:hAnsiTheme="minorEastAsia" w:eastAsiaTheme="minorEastAsia"/>
                <w:color w:val="auto"/>
                <w:sz w:val="24"/>
                <w:szCs w:val="24"/>
                <w:highlight w:val="none"/>
              </w:rPr>
              <w:t xml:space="preserve">完整详细的</w:t>
            </w:r>
            <w:r>
              <w:rPr>
                <w:rFonts w:hint="eastAsia" w:asciiTheme="minorEastAsia" w:hAnsiTheme="minorEastAsia" w:eastAsiaTheme="minorEastAsia"/>
                <w:color w:val="auto"/>
                <w:sz w:val="24"/>
                <w:szCs w:val="24"/>
                <w:highlight w:val="none"/>
              </w:rPr>
              <w:t xml:space="preserve">服务</w:t>
            </w:r>
            <w:r>
              <w:rPr>
                <w:rFonts w:asciiTheme="minorEastAsia" w:hAnsiTheme="minorEastAsia" w:eastAsiaTheme="minorEastAsia"/>
                <w:color w:val="auto"/>
                <w:sz w:val="24"/>
                <w:szCs w:val="24"/>
                <w:highlight w:val="none"/>
              </w:rPr>
              <w:t xml:space="preserve">进行详细的说明与描述。</w:t>
            </w:r>
            <w:r/>
          </w:p>
          <w:p>
            <w:pPr>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2、工作内容及工作计划等</w:t>
            </w:r>
            <w:r/>
          </w:p>
          <w:p>
            <w:pPr>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响应供应商</w:t>
            </w:r>
            <w:r>
              <w:rPr>
                <w:rFonts w:asciiTheme="minorEastAsia" w:hAnsiTheme="minorEastAsia" w:eastAsiaTheme="minorEastAsia"/>
                <w:color w:val="auto"/>
                <w:sz w:val="24"/>
                <w:szCs w:val="24"/>
                <w:highlight w:val="none"/>
              </w:rPr>
              <w:t xml:space="preserve">可根据自身情况</w:t>
            </w:r>
            <w:r>
              <w:rPr>
                <w:rFonts w:hint="eastAsia" w:asciiTheme="minorEastAsia" w:hAnsiTheme="minorEastAsia" w:eastAsiaTheme="minorEastAsia"/>
                <w:color w:val="auto"/>
                <w:sz w:val="24"/>
                <w:szCs w:val="24"/>
                <w:highlight w:val="none"/>
              </w:rPr>
              <w:t xml:space="preserve">及打分标准</w:t>
            </w:r>
            <w:r>
              <w:rPr>
                <w:rFonts w:asciiTheme="minorEastAsia" w:hAnsiTheme="minorEastAsia" w:eastAsiaTheme="minorEastAsia"/>
                <w:color w:val="auto"/>
                <w:sz w:val="24"/>
                <w:szCs w:val="24"/>
                <w:highlight w:val="none"/>
              </w:rPr>
              <w:t xml:space="preserve">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0" w:type="auto"/>
            <w:vAlign w:val="bottom"/>
            <w:textDirection w:val="lrTb"/>
            <w:noWrap w:val="false"/>
          </w:tcPr>
          <w:p>
            <w:pPr>
              <w:jc w:val="center"/>
              <w:tabs>
                <w:tab w:val="left" w:pos="1320" w:leader="none"/>
              </w:tabs>
              <w:rPr>
                <w:rFonts w:asciiTheme="minorEastAsia" w:hAnsiTheme="minorEastAsia" w:eastAsiaTheme="minorEastAsia"/>
                <w:color w:val="auto"/>
                <w:sz w:val="24"/>
                <w:szCs w:val="24"/>
                <w:highlight w:val="none"/>
                <w:u w:val="single"/>
              </w:rPr>
            </w:pPr>
            <w:r>
              <w:rPr>
                <w:rFonts w:asciiTheme="minorEastAsia" w:hAnsiTheme="minorEastAsia" w:eastAsiaTheme="minorEastAsia"/>
                <w:color w:val="auto"/>
                <w:sz w:val="24"/>
                <w:szCs w:val="24"/>
                <w:highlight w:val="none"/>
                <w:u w:val="single"/>
              </w:rPr>
              <w:t xml:space="preserve">单位名称（盖章）：                  </w:t>
            </w:r>
            <w:r/>
          </w:p>
        </w:tc>
      </w:tr>
    </w:tbl>
    <w:p>
      <w:pPr>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spacing w:line="360" w:lineRule="auto"/>
        <w:rPr>
          <w:rFonts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r>
      <w:r/>
    </w:p>
    <w:p>
      <w:pPr>
        <w:jc w:val="left"/>
        <w:spacing w:line="360" w:lineRule="auto"/>
        <w:rPr>
          <w:rFonts w:asciiTheme="minorEastAsia" w:hAnsiTheme="minorEastAsia" w:eastAsiaTheme="minorEastAsia"/>
          <w:b/>
          <w:bCs/>
          <w:color w:val="auto"/>
          <w:spacing w:val="20"/>
          <w:szCs w:val="21"/>
          <w:highlight w:val="none"/>
        </w:rPr>
        <w:outlineLvl w:val="1"/>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附件6、近3年类似项目业绩一览表</w:t>
      </w:r>
      <w:r/>
    </w:p>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360" w:lineRule="auto"/>
        <w:rPr>
          <w:rFonts w:asciiTheme="minorEastAsia" w:hAnsiTheme="minorEastAsia" w:eastAsiaTheme="minorEastAsia"/>
          <w:color w:val="auto"/>
          <w:spacing w:val="20"/>
          <w:szCs w:val="21"/>
          <w:highlight w:val="none"/>
        </w:rPr>
      </w:pPr>
      <w:r>
        <w:rPr>
          <w:rFonts w:hint="eastAsia" w:asciiTheme="minorEastAsia" w:hAnsiTheme="minorEastAsia" w:eastAsiaTheme="minorEastAsia"/>
          <w:color w:val="auto"/>
          <w:sz w:val="24"/>
          <w:szCs w:val="24"/>
          <w:highlight w:val="none"/>
          <w:lang w:val="zh-CN"/>
        </w:rPr>
        <w:t xml:space="preserve">采购编号：</w:t>
      </w:r>
      <w:r/>
    </w:p>
    <w:tbl>
      <w:tblPr>
        <w:tblStyle w:val="88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5"/>
        <w:gridCol w:w="2119"/>
        <w:gridCol w:w="1830"/>
        <w:gridCol w:w="2100"/>
        <w:gridCol w:w="1830"/>
        <w:gridCol w:w="1380"/>
      </w:tblGrid>
      <w:tr>
        <w:trPr>
          <w:cantSplit/>
          <w:trHeight w:val="1067" w:hRule="exact"/>
        </w:trPr>
        <w:tc>
          <w:tcPr>
            <w:tcW w:w="595"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序号</w:t>
            </w:r>
            <w:r/>
          </w:p>
        </w:tc>
        <w:tc>
          <w:tcPr>
            <w:tcW w:w="2119"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业主单位名称</w:t>
            </w:r>
            <w:r/>
          </w:p>
        </w:tc>
        <w:tc>
          <w:tcPr>
            <w:tcW w:w="1830"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合同名称</w:t>
            </w:r>
            <w:r/>
          </w:p>
        </w:tc>
        <w:tc>
          <w:tcPr>
            <w:tcW w:w="2100"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合同金额</w:t>
            </w:r>
            <w:r/>
          </w:p>
        </w:tc>
        <w:tc>
          <w:tcPr>
            <w:tcW w:w="1830"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项目时间</w:t>
            </w:r>
            <w:r/>
          </w:p>
        </w:tc>
        <w:tc>
          <w:tcPr>
            <w:tcW w:w="1380" w:type="dxa"/>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与项目所需服务内容的相关性说明</w:t>
            </w:r>
            <w:r/>
          </w:p>
        </w:tc>
      </w:tr>
      <w:tr>
        <w:trPr>
          <w:cantSplit/>
          <w:trHeight w:val="520" w:hRule="exact"/>
        </w:trPr>
        <w:tc>
          <w:tcPr>
            <w:tcW w:w="595"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1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0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8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cantSplit/>
          <w:trHeight w:val="520" w:hRule="exact"/>
        </w:trPr>
        <w:tc>
          <w:tcPr>
            <w:tcW w:w="595"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19"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0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8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cantSplit/>
          <w:trHeight w:val="520" w:hRule="exact"/>
        </w:trPr>
        <w:tc>
          <w:tcPr>
            <w:tcW w:w="595"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19"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0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8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cantSplit/>
          <w:trHeight w:val="520" w:hRule="exact"/>
        </w:trPr>
        <w:tc>
          <w:tcPr>
            <w:tcW w:w="595"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19"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10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83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80" w:type="dxa"/>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法定代表人或被授权人（代理人）：（签字或签章）</w:t>
      </w:r>
      <w:r/>
    </w:p>
    <w:p>
      <w:pPr>
        <w:jc w:val="right"/>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年     月     日</w:t>
      </w:r>
      <w:r/>
    </w:p>
    <w:p>
      <w:pPr>
        <w:spacing w:line="360" w:lineRule="auto"/>
        <w:rPr>
          <w:rFonts w:asciiTheme="minorEastAsia" w:hAnsiTheme="minorEastAsia" w:eastAsiaTheme="minorEastAsia"/>
          <w:b/>
          <w:color w:val="auto"/>
          <w:spacing w:val="20"/>
          <w:highlight w:val="none"/>
        </w:rPr>
      </w:pPr>
      <w:r>
        <w:rPr>
          <w:rFonts w:asciiTheme="minorEastAsia" w:hAnsiTheme="minorEastAsia" w:eastAsiaTheme="minorEastAsia"/>
          <w:b/>
          <w:color w:val="auto"/>
          <w:spacing w:val="20"/>
          <w:highlight w:val="none"/>
        </w:rPr>
      </w:r>
      <w:r/>
    </w:p>
    <w:p>
      <w:pPr>
        <w:spacing w:line="480" w:lineRule="exact"/>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附件7、拟配备人员一览表</w:t>
      </w:r>
      <w:r/>
    </w:p>
    <w:p>
      <w:pPr>
        <w:pStyle w:val="900"/>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拟配备人员一览表</w:t>
      </w:r>
      <w:r/>
    </w:p>
    <w:tbl>
      <w:tblPr>
        <w:tblStyle w:val="8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839"/>
        <w:gridCol w:w="839"/>
        <w:gridCol w:w="1670"/>
        <w:gridCol w:w="839"/>
        <w:gridCol w:w="839"/>
        <w:gridCol w:w="839"/>
        <w:gridCol w:w="1394"/>
        <w:gridCol w:w="840"/>
        <w:gridCol w:w="1394"/>
      </w:tblGrid>
      <w:tr>
        <w:trPr>
          <w:trHeight w:val="627"/>
        </w:trPr>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姓名</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岗位</w:t>
            </w:r>
            <w:r/>
          </w:p>
        </w:tc>
        <w:tc>
          <w:tcPr>
            <w:tcW w:w="808"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身份证号码</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年龄</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性别</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学历</w:t>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所学专业</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职称</w:t>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持证情况</w:t>
            </w:r>
            <w:r/>
          </w:p>
        </w:tc>
      </w:tr>
      <w:tr>
        <w:trPr>
          <w:trHeight w:val="627"/>
        </w:trPr>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808"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627"/>
        </w:trPr>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808"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627"/>
        </w:trPr>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808"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627"/>
        </w:trPr>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808"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627"/>
        </w:trPr>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808"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40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74" w:type="pc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10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10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响应供应商：（单位盖章）</w:t>
      </w:r>
      <w:r/>
    </w:p>
    <w:p>
      <w:pPr>
        <w:pStyle w:val="10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法定代表人或代理人：（签字或盖章）</w:t>
      </w:r>
      <w:r/>
    </w:p>
    <w:p>
      <w:pPr>
        <w:pStyle w:val="10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961"/>
        <w:ind w:left="0" w:firstLine="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r>
      <w:r/>
    </w:p>
    <w:p>
      <w:pP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r>
      <w:r/>
    </w:p>
    <w:p>
      <w:pPr>
        <w:jc w:val="center"/>
        <w:spacing w:line="360" w:lineRule="auto"/>
        <w:rPr>
          <w:rFonts w:asciiTheme="minorEastAsia" w:hAnsiTheme="minorEastAsia" w:eastAsiaTheme="minorEastAsia"/>
          <w:b/>
          <w:bCs/>
          <w:color w:val="auto"/>
          <w:spacing w:val="20"/>
          <w:sz w:val="24"/>
          <w:szCs w:val="24"/>
          <w:highlight w:val="none"/>
        </w:rPr>
        <w:outlineLvl w:val="1"/>
      </w:pPr>
      <w:r>
        <w:rPr>
          <w:rFonts w:asciiTheme="minorEastAsia" w:hAnsiTheme="minorEastAsia" w:eastAsiaTheme="minorEastAsia"/>
          <w:b/>
          <w:bCs/>
          <w:color w:val="auto"/>
          <w:spacing w:val="20"/>
          <w:sz w:val="24"/>
          <w:szCs w:val="24"/>
          <w:highlight w:val="none"/>
        </w:rPr>
      </w:r>
      <w:r/>
    </w:p>
    <w:p>
      <w:pPr>
        <w:jc w:val="center"/>
        <w:spacing w:line="360" w:lineRule="auto"/>
        <w:rPr>
          <w:rFonts w:asciiTheme="minorEastAsia" w:hAnsiTheme="minorEastAsia" w:eastAsiaTheme="minorEastAsia"/>
          <w:b/>
          <w:bCs/>
          <w:color w:val="auto"/>
          <w:spacing w:val="20"/>
          <w:sz w:val="24"/>
          <w:szCs w:val="24"/>
          <w:highlight w:val="none"/>
        </w:rPr>
        <w:outlineLvl w:val="1"/>
      </w:pPr>
      <w:r>
        <w:rPr>
          <w:rFonts w:asciiTheme="minorEastAsia" w:hAnsiTheme="minorEastAsia" w:eastAsiaTheme="minorEastAsia"/>
          <w:b/>
          <w:bCs/>
          <w:color w:val="auto"/>
          <w:spacing w:val="20"/>
          <w:sz w:val="24"/>
          <w:szCs w:val="24"/>
          <w:highlight w:val="none"/>
        </w:rPr>
        <w:t xml:space="preserve">拟</w:t>
      </w:r>
      <w:r>
        <w:rPr>
          <w:rFonts w:hint="eastAsia" w:asciiTheme="minorEastAsia" w:hAnsiTheme="minorEastAsia" w:eastAsiaTheme="minorEastAsia"/>
          <w:b/>
          <w:bCs/>
          <w:color w:val="auto"/>
          <w:spacing w:val="20"/>
          <w:sz w:val="24"/>
          <w:szCs w:val="24"/>
          <w:highlight w:val="none"/>
        </w:rPr>
        <w:t xml:space="preserve">投入本</w:t>
      </w:r>
      <w:r>
        <w:rPr>
          <w:rFonts w:asciiTheme="minorEastAsia" w:hAnsiTheme="minorEastAsia" w:eastAsiaTheme="minorEastAsia"/>
          <w:b/>
          <w:bCs/>
          <w:color w:val="auto"/>
          <w:spacing w:val="20"/>
          <w:sz w:val="24"/>
          <w:szCs w:val="24"/>
          <w:highlight w:val="none"/>
        </w:rPr>
        <w:t xml:space="preserve">项目负责人情况表</w:t>
      </w:r>
      <w:r/>
    </w:p>
    <w:tbl>
      <w:tblPr>
        <w:tblStyle w:val="889"/>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45"/>
        <w:gridCol w:w="2200"/>
        <w:gridCol w:w="1580"/>
        <w:gridCol w:w="1266"/>
        <w:gridCol w:w="1289"/>
        <w:gridCol w:w="1170"/>
        <w:gridCol w:w="1926"/>
      </w:tblGrid>
      <w:tr>
        <w:trPr>
          <w:cantSplit/>
          <w:jc w:val="center"/>
          <w:trHeight w:val="729"/>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p>
        </w:tc>
        <w:tc>
          <w:tcPr>
            <w:tcW w:w="1081"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姓    名</w:t>
            </w:r>
            <w:r/>
          </w:p>
        </w:tc>
        <w:tc>
          <w:tcPr>
            <w:gridSpan w:val="2"/>
            <w:tcW w:w="1398"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32"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性   别</w:t>
            </w:r>
            <w:r/>
          </w:p>
        </w:tc>
        <w:tc>
          <w:tcPr>
            <w:gridSpan w:val="2"/>
            <w:tcW w:w="1520"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jc w:val="center"/>
          <w:trHeight w:val="714"/>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p>
        </w:tc>
        <w:tc>
          <w:tcPr>
            <w:tcW w:w="1081"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公司职务</w:t>
            </w:r>
            <w:r/>
          </w:p>
        </w:tc>
        <w:tc>
          <w:tcPr>
            <w:gridSpan w:val="2"/>
            <w:tcW w:w="1398"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632"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项目职务</w:t>
            </w:r>
            <w:r/>
          </w:p>
        </w:tc>
        <w:tc>
          <w:tcPr>
            <w:gridSpan w:val="2"/>
            <w:tcW w:w="1520"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675"/>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p>
        </w:tc>
        <w:tc>
          <w:tcPr>
            <w:tcW w:w="1081"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身份证号码</w:t>
            </w:r>
            <w:r/>
          </w:p>
        </w:tc>
        <w:tc>
          <w:tcPr>
            <w:gridSpan w:val="3"/>
            <w:tcW w:w="2031"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575"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出生年月</w:t>
            </w:r>
            <w:r/>
          </w:p>
        </w:tc>
        <w:tc>
          <w:tcPr>
            <w:tcW w:w="944"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年   月</w:t>
            </w:r>
            <w:r/>
          </w:p>
        </w:tc>
      </w:tr>
      <w:tr>
        <w:trPr>
          <w:jc w:val="center"/>
          <w:trHeight w:val="765"/>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w:t>
            </w:r>
            <w:r/>
          </w:p>
        </w:tc>
        <w:tc>
          <w:tcPr>
            <w:gridSpan w:val="2"/>
            <w:tcW w:w="1857"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联系电话：</w:t>
            </w:r>
            <w:r/>
          </w:p>
        </w:tc>
        <w:tc>
          <w:tcPr>
            <w:gridSpan w:val="2"/>
            <w:tcW w:w="1255"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传真：</w:t>
            </w:r>
            <w:r/>
          </w:p>
        </w:tc>
        <w:tc>
          <w:tcPr>
            <w:gridSpan w:val="2"/>
            <w:tcW w:w="1520" w:type="pct"/>
            <w:vAlign w:val="center"/>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电子邮箱：</w:t>
            </w:r>
            <w:r/>
          </w:p>
        </w:tc>
      </w:tr>
      <w:tr>
        <w:trPr>
          <w:cantSplit/>
          <w:jc w:val="center"/>
          <w:trHeight w:val="645"/>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p>
        </w:tc>
        <w:tc>
          <w:tcPr>
            <w:gridSpan w:val="6"/>
            <w:tcW w:w="4633" w:type="pct"/>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从事专业工作年限：</w:t>
            </w:r>
            <w:r/>
          </w:p>
        </w:tc>
      </w:tr>
      <w:tr>
        <w:trPr>
          <w:cantSplit/>
          <w:jc w:val="center"/>
          <w:trHeight w:val="625"/>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w:t>
            </w:r>
            <w:r/>
          </w:p>
        </w:tc>
        <w:tc>
          <w:tcPr>
            <w:gridSpan w:val="6"/>
            <w:tcW w:w="4633" w:type="pct"/>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拥有的职称、专业资格：</w:t>
            </w:r>
            <w:r/>
          </w:p>
        </w:tc>
      </w:tr>
      <w:tr>
        <w:trPr>
          <w:cantSplit/>
          <w:jc w:val="center"/>
          <w:trHeight w:val="1315"/>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7</w:t>
            </w:r>
            <w:r/>
          </w:p>
        </w:tc>
        <w:tc>
          <w:tcPr>
            <w:gridSpan w:val="6"/>
            <w:tcW w:w="4633" w:type="pct"/>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相关项目经验和曾获得奖励情况：</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1、___________________________________</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 __________________________________</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p>
        </w:tc>
      </w:tr>
      <w:tr>
        <w:trPr>
          <w:jc w:val="center"/>
          <w:trHeight w:val="1133"/>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8</w:t>
            </w:r>
            <w:r/>
          </w:p>
        </w:tc>
        <w:tc>
          <w:tcPr>
            <w:gridSpan w:val="6"/>
            <w:tcW w:w="4633" w:type="pct"/>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本公司承诺：</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该项目负责人在我单位已任职且在从业经历中没有任何违法、违规而被查处的不良记录。（</w:t>
            </w:r>
            <w:r>
              <w:rPr>
                <w:rFonts w:hint="eastAsia" w:asciiTheme="minorEastAsia" w:hAnsiTheme="minorEastAsia" w:eastAsiaTheme="minorEastAsia"/>
                <w:color w:val="auto"/>
                <w:sz w:val="24"/>
                <w:szCs w:val="24"/>
                <w:highlight w:val="none"/>
              </w:rPr>
              <w:t xml:space="preserve">提供公司为其缴纳近六个月社保的证明</w:t>
            </w:r>
            <w:r>
              <w:rPr>
                <w:rFonts w:asciiTheme="minorEastAsia" w:hAnsiTheme="minorEastAsia" w:eastAsiaTheme="minorEastAsia"/>
                <w:color w:val="auto"/>
                <w:sz w:val="24"/>
                <w:szCs w:val="24"/>
                <w:highlight w:val="none"/>
              </w:rPr>
              <w:t xml:space="preserve">）</w:t>
            </w:r>
            <w:r/>
          </w:p>
        </w:tc>
      </w:tr>
      <w:tr>
        <w:trPr>
          <w:jc w:val="center"/>
          <w:trHeight w:val="1109"/>
        </w:trPr>
        <w:tc>
          <w:tcPr>
            <w:tcW w:w="366"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9</w:t>
            </w:r>
            <w:r/>
          </w:p>
        </w:tc>
        <w:tc>
          <w:tcPr>
            <w:gridSpan w:val="6"/>
            <w:tcW w:w="4633" w:type="pct"/>
            <w:textDirection w:val="lrTb"/>
            <w:noWrap w:val="false"/>
          </w:tcPr>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其他需要说明的情况：</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pStyle w:val="10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pStyle w:val="1001"/>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法定代表人或被授权人（代理人）：（签字或签章）</w:t>
      </w:r>
      <w:r/>
    </w:p>
    <w:p>
      <w:pPr>
        <w:pStyle w:val="1001"/>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   期：      </w:t>
      </w:r>
      <w:r>
        <w:rPr>
          <w:rFonts w:asciiTheme="minorEastAsia" w:hAnsiTheme="minorEastAsia" w:eastAsiaTheme="minorEastAsia"/>
          <w:color w:val="auto"/>
          <w:sz w:val="24"/>
          <w:szCs w:val="24"/>
          <w:highlight w:val="none"/>
        </w:rPr>
        <w:t xml:space="preserve">年     月    日</w:t>
      </w:r>
      <w:r/>
    </w:p>
    <w:p>
      <w:pPr>
        <w:jc w:val="left"/>
        <w:spacing w:line="400" w:lineRule="exact"/>
        <w:widowControl/>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附件8、资格证明文件</w:t>
      </w:r>
      <w:r/>
    </w:p>
    <w:p>
      <w:pPr>
        <w:jc w:val="left"/>
        <w:spacing w:line="400" w:lineRule="exact"/>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jc w:val="left"/>
        <w:spacing w:line="400" w:lineRule="exact"/>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 资格文件的声明函</w:t>
      </w:r>
      <w:r/>
    </w:p>
    <w:p>
      <w:pPr>
        <w:jc w:val="left"/>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jc w:val="center"/>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资格文件的声明函</w:t>
      </w:r>
      <w:r/>
    </w:p>
    <w:p>
      <w:pPr>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1、本公司愿就由贵公司组织实施的编号为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2、我方已知晓竞争性磋商文件要求并认真审核自身情况，在此郑重声明，我方遵守如下条款的规定：</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szCs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szCs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本声明如有虚假或不实之处，我方将失去合格供应商资格。</w:t>
      </w:r>
      <w:r/>
    </w:p>
    <w:p>
      <w:pPr>
        <w:pStyle w:val="895"/>
        <w:rPr>
          <w:color w:val="auto"/>
          <w:highlight w:val="none"/>
          <w:lang w:val="zh-CN"/>
        </w:rPr>
      </w:pPr>
      <w:r>
        <w:rPr>
          <w:color w:val="auto"/>
          <w:highlight w:val="none"/>
          <w:lang w:val="zh-CN"/>
        </w:rPr>
      </w:r>
      <w:r/>
    </w:p>
    <w:p>
      <w:pPr>
        <w:jc w:val="left"/>
        <w:spacing w:line="400" w:lineRule="exact"/>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p>
      <w:pPr>
        <w:jc w:val="righ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96"/>
        <w:ind w:firstLine="0"/>
        <w:rPr>
          <w:color w:val="auto"/>
          <w:highlight w:val="none"/>
        </w:rPr>
      </w:pPr>
      <w:r>
        <w:rPr>
          <w:rFonts w:hint="eastAsia" w:asciiTheme="minorEastAsia" w:hAnsiTheme="minorEastAsia" w:eastAsiaTheme="minorEastAsia"/>
          <w:color w:val="auto"/>
          <w:sz w:val="24"/>
          <w:szCs w:val="24"/>
          <w:highlight w:val="none"/>
        </w:rPr>
        <w:t xml:space="preserve">法定代表人（签字或盖章）：</w:t>
      </w:r>
      <w:r/>
    </w:p>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w:t>
      </w:r>
      <w:r>
        <w:rPr>
          <w:rFonts w:asciiTheme="minorEastAsia" w:hAnsiTheme="minorEastAsia" w:eastAsiaTheme="minorEastAsia"/>
          <w:color w:val="auto"/>
          <w:sz w:val="24"/>
          <w:szCs w:val="24"/>
          <w:highlight w:val="none"/>
        </w:rPr>
        <w:tab/>
      </w:r>
      <w:r>
        <w:rPr>
          <w:rFonts w:hint="eastAsia" w:asciiTheme="minorEastAsia" w:hAnsiTheme="minorEastAsia" w:eastAsiaTheme="minorEastAsia"/>
          <w:color w:val="auto"/>
          <w:sz w:val="24"/>
          <w:szCs w:val="24"/>
          <w:highlight w:val="none"/>
        </w:rPr>
        <w:t xml:space="preserve">  日</w:t>
      </w:r>
      <w:r/>
    </w:p>
    <w:p>
      <w:pPr>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br w:type="page" w:clear="all"/>
      </w:r>
      <w:r/>
    </w:p>
    <w:p>
      <w:pPr>
        <w:pStyle w:val="1024"/>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（2）供应商</w:t>
      </w:r>
      <w:r>
        <w:rPr>
          <w:rFonts w:hint="eastAsia" w:ascii="宋体" w:hAnsi="宋体" w:eastAsia="宋体"/>
          <w:bCs/>
          <w:color w:val="auto"/>
          <w:sz w:val="24"/>
          <w:szCs w:val="24"/>
          <w:highlight w:val="none"/>
          <w:lang w:val="zh-CN"/>
        </w:rPr>
        <w:t xml:space="preserve">与其他单位存在控股、管理关系情况表</w:t>
      </w:r>
      <w:r/>
    </w:p>
    <w:p>
      <w:pPr>
        <w:ind w:firstLine="210"/>
        <w:jc w:val="center"/>
        <w:spacing w:line="360" w:lineRule="auto"/>
        <w:rPr>
          <w:rFonts w:ascii="宋体" w:hAnsi="宋体" w:cs="宋体"/>
          <w:bCs/>
          <w:color w:val="auto"/>
          <w:sz w:val="24"/>
          <w:szCs w:val="24"/>
          <w:highlight w:val="none"/>
          <w:lang w:val="zh-CN"/>
        </w:rPr>
      </w:pPr>
      <w:r>
        <w:rPr>
          <w:rFonts w:ascii="宋体" w:hAnsi="宋体" w:cs="宋体"/>
          <w:bCs/>
          <w:color w:val="auto"/>
          <w:sz w:val="24"/>
          <w:szCs w:val="24"/>
          <w:highlight w:val="none"/>
          <w:lang w:val="zh-CN"/>
        </w:rPr>
      </w:r>
      <w:r/>
    </w:p>
    <w:p>
      <w:pPr>
        <w:ind w:firstLine="210"/>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供应商与其他单位存在控股、管理关系情况表</w:t>
      </w:r>
      <w:r/>
    </w:p>
    <w:p>
      <w:pPr>
        <w:pStyle w:val="1025"/>
        <w:ind w:firstLine="0"/>
        <w:rPr>
          <w:color w:val="auto"/>
          <w:highlight w:val="none"/>
        </w:rPr>
      </w:pPr>
      <w:r>
        <w:rPr>
          <w:rFonts w:hint="eastAsia" w:ascii="宋体" w:hAnsi="宋体"/>
          <w:color w:val="auto"/>
          <w:highlight w:val="none"/>
        </w:rPr>
        <w:t xml:space="preserve">采购编号：</w:t>
      </w:r>
      <w:r/>
    </w:p>
    <w:tbl>
      <w:tblPr>
        <w:tblStyle w:val="889"/>
        <w:tblW w:w="10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5169" w:type="dxa"/>
            <w:textDirection w:val="lrTb"/>
            <w:noWrap w:val="false"/>
          </w:tcPr>
          <w:p>
            <w:pPr>
              <w:pStyle w:val="931"/>
              <w:ind w:firstLine="0"/>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与供应商存在控股、管理关系的单位名称</w:t>
            </w:r>
            <w:r/>
          </w:p>
        </w:tc>
        <w:tc>
          <w:tcPr>
            <w:tcW w:w="5169" w:type="dxa"/>
            <w:textDirection w:val="lrTb"/>
            <w:noWrap w:val="false"/>
          </w:tcPr>
          <w:p>
            <w:pPr>
              <w:pStyle w:val="931"/>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控股、管理关系情况说明</w:t>
            </w:r>
            <w:r/>
          </w:p>
        </w:tc>
      </w:tr>
      <w:tr>
        <w:trPr>
          <w:trHeight w:val="703"/>
        </w:trPr>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r>
      <w:tr>
        <w:trPr>
          <w:trHeight w:val="678"/>
        </w:trPr>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r>
      <w:tr>
        <w:trPr>
          <w:trHeight w:val="678"/>
        </w:trPr>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r>
      <w:tr>
        <w:trPr>
          <w:trHeight w:val="703"/>
        </w:trPr>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c>
          <w:tcPr>
            <w:tcW w:w="5169" w:type="dxa"/>
            <w:textDirection w:val="lrTb"/>
            <w:noWrap w:val="false"/>
          </w:tcPr>
          <w:p>
            <w:pPr>
              <w:pStyle w:val="931"/>
              <w:rPr>
                <w:rFonts w:ascii="宋体" w:hAnsi="宋体" w:cs="宋体"/>
                <w:color w:val="auto"/>
                <w:szCs w:val="24"/>
                <w:highlight w:val="none"/>
              </w:rPr>
            </w:pPr>
            <w:r>
              <w:rPr>
                <w:rFonts w:ascii="宋体" w:hAnsi="宋体" w:cs="宋体"/>
                <w:color w:val="auto"/>
                <w:szCs w:val="24"/>
                <w:highlight w:val="none"/>
              </w:rPr>
            </w:r>
            <w:r/>
          </w:p>
        </w:tc>
      </w:tr>
    </w:tbl>
    <w:p>
      <w:pPr>
        <w:ind w:firstLine="21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注：供应商须如实填写所有与之有控股管理关系的情况。</w:t>
      </w:r>
      <w:r/>
    </w:p>
    <w:p>
      <w:pPr>
        <w:rPr>
          <w:color w:val="auto"/>
          <w:highlight w:val="none"/>
        </w:rPr>
      </w:pPr>
      <w:r>
        <w:rPr>
          <w:color w:val="auto"/>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响应单位：（单位盖章）</w:t>
      </w:r>
      <w:r/>
    </w:p>
    <w:p>
      <w:pPr>
        <w:rPr>
          <w:rFonts w:ascii="宋体" w:hAnsi="宋体"/>
          <w:color w:val="auto"/>
          <w:sz w:val="24"/>
          <w:szCs w:val="24"/>
          <w:highlight w:val="none"/>
        </w:rPr>
      </w:pPr>
      <w:r>
        <w:rPr>
          <w:rFonts w:hint="eastAsia"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w:t>
      </w:r>
      <w:r>
        <w:rPr>
          <w:rFonts w:hint="eastAsia" w:hAnsi="宋体"/>
          <w:color w:val="auto"/>
          <w:sz w:val="24"/>
          <w:szCs w:val="24"/>
          <w:highlight w:val="none"/>
        </w:rPr>
        <w:t xml:space="preserve">或签章</w:t>
      </w:r>
      <w:r>
        <w:rPr>
          <w:rFonts w:hint="eastAsia" w:ascii="宋体" w:hAnsi="宋体"/>
          <w:color w:val="auto"/>
          <w:sz w:val="24"/>
          <w:szCs w:val="24"/>
          <w:highlight w:val="none"/>
        </w:rPr>
        <w:t xml:space="preserve">）</w:t>
      </w:r>
      <w:r/>
    </w:p>
    <w:p>
      <w:pPr>
        <w:widowControl/>
        <w:rPr>
          <w:rFonts w:asciiTheme="minorEastAsia" w:hAnsiTheme="minorEastAsia" w:eastAsiaTheme="minorEastAsia"/>
          <w:b/>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rPr>
          <w:rFonts w:ascii="Arial" w:hAnsi="Arial" w:eastAsia="Arial"/>
          <w:b/>
          <w:color w:val="auto"/>
          <w:sz w:val="24"/>
          <w:szCs w:val="24"/>
          <w:highlight w:val="none"/>
        </w:rPr>
        <w:br w:type="page" w:clear="all"/>
      </w:r>
      <w:r>
        <w:rPr>
          <w:rFonts w:hint="eastAsia" w:asciiTheme="minorEastAsia" w:hAnsiTheme="minorEastAsia" w:eastAsiaTheme="minorEastAsia"/>
          <w:b/>
          <w:color w:val="auto"/>
          <w:sz w:val="24"/>
          <w:szCs w:val="24"/>
          <w:highlight w:val="none"/>
        </w:rPr>
        <w:t xml:space="preserve">(2)供应商情况表</w:t>
      </w:r>
      <w:r/>
    </w:p>
    <w:p>
      <w:pPr>
        <w:jc w:val="center"/>
        <w:widowControl/>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供应商情况表</w:t>
      </w:r>
      <w:r/>
    </w:p>
    <w:p>
      <w:pPr>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单位名称（盖章）</w:t>
      </w:r>
      <w:r/>
    </w:p>
    <w:tbl>
      <w:tblPr>
        <w:tblStyle w:val="88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231"/>
        <w:gridCol w:w="2089"/>
        <w:gridCol w:w="2129"/>
      </w:tblGrid>
      <w:tr>
        <w:trPr>
          <w:cantSplit/>
          <w:jc w:val="center"/>
          <w:trHeight w:val="446"/>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231"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08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tcW w:w="212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10"/>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注册地址</w:t>
            </w:r>
            <w:r/>
          </w:p>
        </w:tc>
        <w:tc>
          <w:tcPr>
            <w:tcW w:w="2231"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08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注册资金</w:t>
            </w:r>
            <w:r/>
          </w:p>
        </w:tc>
        <w:tc>
          <w:tcPr>
            <w:tcW w:w="212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22"/>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企业资质等级</w:t>
            </w:r>
            <w:r/>
          </w:p>
        </w:tc>
        <w:tc>
          <w:tcPr>
            <w:tcW w:w="2231" w:type="dxa"/>
            <w:vAlign w:val="bottom"/>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0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员工总人数</w:t>
            </w:r>
            <w:r/>
          </w:p>
        </w:tc>
        <w:tc>
          <w:tcPr>
            <w:tcW w:w="2129" w:type="dxa"/>
            <w:vAlign w:val="bottom"/>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70"/>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2231" w:type="dxa"/>
            <w:vAlign w:val="bottom"/>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20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营业收入</w:t>
            </w:r>
            <w:r/>
          </w:p>
        </w:tc>
        <w:tc>
          <w:tcPr>
            <w:tcW w:w="2129" w:type="dxa"/>
            <w:vAlign w:val="bottom"/>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2025年</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r>
      <w:tr>
        <w:trPr>
          <w:cantSplit/>
          <w:jc w:val="center"/>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2231" w:type="dxa"/>
            <w:vAlign w:val="bottom"/>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2025年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万</w:t>
            </w:r>
            <w:r>
              <w:rPr>
                <w:rFonts w:hint="eastAsia" w:ascii="宋体" w:hAnsi="宋体"/>
                <w:color w:val="auto"/>
                <w:sz w:val="24"/>
                <w:szCs w:val="24"/>
                <w:highlight w:val="none"/>
              </w:rPr>
              <w:t xml:space="preserve">元</w:t>
            </w:r>
            <w:r/>
          </w:p>
        </w:tc>
        <w:tc>
          <w:tcPr>
            <w:tcW w:w="208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2129" w:type="dxa"/>
            <w:vAlign w:val="bottom"/>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平方米</w:t>
            </w:r>
            <w:r/>
          </w:p>
        </w:tc>
      </w:tr>
      <w:tr>
        <w:trPr>
          <w:cantSplit/>
          <w:jc w:val="center"/>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88"/>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69"/>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商业信誉和健全的财务会计制度介绍</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23"/>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履行合同所必需的设备和专业技术能力情况</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748"/>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依法缴纳税收和社会保障资金情况</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257"/>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参加采购活动前三年内，在经营活动中</w:t>
            </w:r>
            <w:r>
              <w:rPr>
                <w:rFonts w:hint="eastAsia" w:ascii="宋体" w:hAnsi="宋体"/>
                <w:color w:val="auto"/>
                <w:sz w:val="24"/>
                <w:szCs w:val="24"/>
                <w:highlight w:val="none"/>
              </w:rPr>
              <w:t xml:space="preserve">有无</w:t>
            </w:r>
            <w:r>
              <w:rPr>
                <w:rFonts w:ascii="宋体" w:hAnsi="宋体"/>
                <w:color w:val="auto"/>
                <w:sz w:val="24"/>
                <w:szCs w:val="24"/>
                <w:highlight w:val="none"/>
              </w:rPr>
              <w:t xml:space="preserve">重大违法记录</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60"/>
        </w:trPr>
        <w:tc>
          <w:tcPr>
            <w:tcW w:w="38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3"/>
            <w:tcW w:w="644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b/>
          <w:color w:val="auto"/>
          <w:sz w:val="24"/>
          <w:szCs w:val="24"/>
          <w:highlight w:val="none"/>
        </w:rPr>
        <w:br w:type="page" w:clear="all"/>
      </w:r>
      <w:r>
        <w:rPr>
          <w:rFonts w:hint="eastAsia"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中小企业声明函</w:t>
      </w:r>
      <w:r/>
    </w:p>
    <w:p>
      <w:pPr>
        <w:jc w:val="center"/>
        <w:spacing w:line="588" w:lineRule="exact"/>
        <w:rPr>
          <w:rFonts w:asciiTheme="minorEastAsia" w:hAnsiTheme="minorEastAsia" w:eastAsiaTheme="minorEastAsia"/>
          <w:b/>
          <w:color w:val="auto"/>
          <w:spacing w:val="6"/>
          <w:sz w:val="24"/>
          <w:szCs w:val="24"/>
          <w:highlight w:val="none"/>
        </w:rPr>
      </w:pPr>
      <w:r>
        <w:rPr>
          <w:rFonts w:asciiTheme="minorEastAsia" w:hAnsiTheme="minorEastAsia" w:eastAsiaTheme="minorEastAsia"/>
          <w:b/>
          <w:color w:val="auto"/>
          <w:spacing w:val="6"/>
          <w:sz w:val="24"/>
          <w:szCs w:val="24"/>
          <w:highlight w:val="none"/>
        </w:rPr>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中小企业声明函</w:t>
      </w:r>
      <w:r/>
    </w:p>
    <w:p>
      <w:pPr>
        <w:rPr>
          <w:rFonts w:ascii="宋体" w:hAnsi="宋体"/>
          <w:color w:val="auto"/>
          <w:sz w:val="24"/>
          <w:szCs w:val="24"/>
          <w:highlight w:val="none"/>
          <w:u w:val="single"/>
        </w:rPr>
      </w:pPr>
      <w:r>
        <w:rPr>
          <w:rFonts w:hint="eastAsia" w:hAnsi="宋体" w:cs="宋体"/>
          <w:color w:val="auto"/>
          <w:sz w:val="24"/>
          <w:szCs w:val="24"/>
          <w:highlight w:val="none"/>
          <w:lang w:val="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狮山商务创新区所属小学、幼儿园、社区财务第三方代理记账服务</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eastAsia="zh-CN"/>
        </w:rPr>
        <w:t xml:space="preserve">其他未列明行业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微型企业）</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中小企业划分标准详见“工信部联企业〔2011〕300号通知中的《中小企业划型标准规定》”。</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u w:val="single"/>
        </w:rPr>
        <w:t xml:space="preserve">如供应商认定本企业为小型或微型企业，则需根据“工信部联企业〔2011〕300号”通知中的《中小企业划型标准规定》填报“中小企业声明函”</w:t>
      </w:r>
      <w:r>
        <w:rPr>
          <w:rFonts w:hint="eastAsia" w:ascii="宋体" w:hAnsi="宋体" w:cs="宋体"/>
          <w:b/>
          <w:color w:val="auto"/>
          <w:sz w:val="24"/>
          <w:szCs w:val="24"/>
          <w:highlight w:val="none"/>
        </w:rPr>
        <w:t xml:space="preserve">。</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从业人员、营业收入、资产总额填报上一年度数据，无上一年度数据的新成立企业可不填报。</w:t>
      </w:r>
      <w:r/>
    </w:p>
    <w:p>
      <w:pPr>
        <w:spacing w:line="360" w:lineRule="auto"/>
        <w:rPr>
          <w:color w:val="auto"/>
          <w:highlight w:val="none"/>
        </w:rPr>
      </w:pPr>
      <w:r>
        <w:rPr>
          <w:rFonts w:hint="eastAsia" w:ascii="宋体" w:hAnsi="宋体" w:cs="宋体"/>
          <w:b/>
          <w:color w:val="auto"/>
          <w:sz w:val="24"/>
          <w:szCs w:val="24"/>
          <w:highlight w:val="none"/>
        </w:rPr>
        <w:t xml:space="preserve">4、供应商应对照中小企业划分标准和采购标的所属行业：</w:t>
      </w:r>
      <w:r>
        <w:rPr>
          <w:rFonts w:hint="eastAsia" w:ascii="宋体" w:hAnsi="宋体" w:cs="宋体"/>
          <w:b/>
          <w:color w:val="auto"/>
          <w:sz w:val="24"/>
          <w:szCs w:val="24"/>
          <w:highlight w:val="none"/>
          <w:u w:val="single"/>
          <w:lang w:eastAsia="zh-CN"/>
        </w:rPr>
        <w:t xml:space="preserve">其他未列明行业</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，如实、完整填报《中小企业声明函》，如未对（中型企业、小型企业、微型企业）进行勾选，视同非中、小、微企业，不享受相应扶持政策。</w:t>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400" w:lineRule="exact"/>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spacing w:line="400" w:lineRule="exact"/>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spacing w:line="400" w:lineRule="exact"/>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spacing w:line="400" w:lineRule="exact"/>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spacing w:line="400" w:lineRule="exact"/>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spacing w:line="400" w:lineRule="exact"/>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spacing w:line="5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4"/>
          <w:highlight w:val="none"/>
        </w:rPr>
        <w:t xml:space="preserve">（4）</w:t>
      </w:r>
      <w:r>
        <w:rPr>
          <w:rFonts w:hint="eastAsia" w:asciiTheme="minorEastAsia" w:hAnsiTheme="minorEastAsia" w:eastAsiaTheme="minorEastAsia"/>
          <w:b/>
          <w:bCs/>
          <w:color w:val="auto"/>
          <w:sz w:val="24"/>
          <w:szCs w:val="24"/>
          <w:highlight w:val="none"/>
        </w:rPr>
        <w:t xml:space="preserve">残疾人福利性单位声明函</w:t>
      </w:r>
      <w:r/>
    </w:p>
    <w:p>
      <w:pPr>
        <w:jc w:val="center"/>
        <w:spacing w:line="360" w:lineRule="auto"/>
        <w:rPr>
          <w:rFonts w:ascii="宋体" w:hAnsi="宋体"/>
          <w:b/>
          <w:bCs/>
          <w:color w:val="auto"/>
          <w:sz w:val="24"/>
          <w:szCs w:val="24"/>
          <w:highlight w:val="none"/>
        </w:rPr>
      </w:pPr>
      <w:r/>
      <w:bookmarkStart w:id="3" w:name="OLE_LINK14"/>
      <w:r/>
      <w:bookmarkStart w:id="4" w:name="OLE_LINK13"/>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残疾人福利性单位声明函</w:t>
      </w:r>
      <w:r/>
    </w:p>
    <w:p>
      <w:pPr>
        <w:pStyle w:val="891"/>
        <w:ind w:left="0"/>
        <w:spacing w:line="360" w:lineRule="auto"/>
        <w:rPr>
          <w:rFonts w:ascii="宋体" w:hAnsi="宋体"/>
          <w:b/>
          <w:bCs/>
          <w:color w:val="auto"/>
          <w:szCs w:val="24"/>
          <w:highlight w:val="none"/>
        </w:rPr>
      </w:pPr>
      <w:r>
        <w:rPr>
          <w:rFonts w:hint="eastAsia" w:ascii="宋体" w:hAnsi="宋体"/>
          <w:b/>
          <w:bCs/>
          <w:color w:val="auto"/>
          <w:szCs w:val="24"/>
          <w:highlight w:val="none"/>
        </w:rPr>
        <w:t xml:space="preserve">  </w:t>
      </w:r>
      <w:r>
        <w:rPr>
          <w:rFonts w:hint="eastAsia" w:ascii="宋体" w:hAnsi="宋体"/>
          <w:b/>
          <w:bCs/>
          <w:color w:val="auto"/>
          <w:szCs w:val="24"/>
          <w:highlight w:val="none"/>
          <w:u w:val="single"/>
        </w:rPr>
        <w:t xml:space="preserve">                          </w:t>
      </w:r>
      <w:r>
        <w:rPr>
          <w:rFonts w:hint="eastAsia" w:ascii="宋体" w:hAnsi="宋体"/>
          <w:b/>
          <w:bCs/>
          <w:color w:val="auto"/>
          <w:szCs w:val="24"/>
          <w:highlight w:val="none"/>
        </w:rPr>
        <w:t xml:space="preserve">：</w:t>
      </w:r>
      <w:r/>
    </w:p>
    <w:p>
      <w:pPr>
        <w:pStyle w:val="891"/>
        <w:ind w:left="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91"/>
        <w:ind w:left="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（采购单位）</w:t>
      </w:r>
      <w:r>
        <w:rPr>
          <w:rFonts w:hint="eastAsia" w:ascii="宋体" w:hAnsi="宋体"/>
          <w:color w:val="auto"/>
          <w:sz w:val="24"/>
          <w:szCs w:val="24"/>
          <w:highlight w:val="none"/>
        </w:rPr>
        <w:t xml:space="preserve"> 单位的</w:t>
      </w:r>
      <w:r>
        <w:rPr>
          <w:rFonts w:hint="eastAsia" w:ascii="宋体" w:hAnsi="宋体"/>
          <w:color w:val="auto"/>
          <w:sz w:val="24"/>
          <w:szCs w:val="24"/>
          <w:highlight w:val="none"/>
          <w:u w:val="single"/>
          <w:lang w:val="zh-CN"/>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91"/>
        <w:ind w:left="0"/>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pStyle w:val="891"/>
        <w:ind w:left="0"/>
        <w:spacing w:line="360" w:lineRule="auto"/>
        <w:rPr>
          <w:rFonts w:ascii="宋体" w:hAnsi="宋体"/>
          <w:b/>
          <w:bCs/>
          <w:color w:val="auto"/>
          <w:szCs w:val="24"/>
          <w:highlight w:val="none"/>
        </w:rPr>
      </w:pPr>
      <w:r>
        <w:rPr>
          <w:rFonts w:ascii="宋体" w:hAnsi="宋体"/>
          <w:b/>
          <w:bCs/>
          <w:color w:val="auto"/>
          <w:szCs w:val="24"/>
          <w:highlight w:val="none"/>
        </w:rPr>
      </w:r>
      <w:r/>
    </w:p>
    <w:p>
      <w:pPr>
        <w:pStyle w:val="891"/>
        <w:ind w:left="0"/>
        <w:spacing w:line="360" w:lineRule="auto"/>
        <w:rPr>
          <w:rFonts w:ascii="宋体" w:hAnsi="宋体"/>
          <w:b/>
          <w:bCs/>
          <w:color w:val="auto"/>
          <w:szCs w:val="24"/>
          <w:highlight w:val="none"/>
        </w:rPr>
      </w:pPr>
      <w:r>
        <w:rPr>
          <w:rFonts w:ascii="宋体" w:hAnsi="宋体"/>
          <w:b/>
          <w:bCs/>
          <w:color w:val="auto"/>
          <w:szCs w:val="24"/>
          <w:highlight w:val="none"/>
        </w:rPr>
      </w:r>
      <w:r/>
    </w:p>
    <w:p>
      <w:pPr>
        <w:pStyle w:val="891"/>
        <w:ind w:left="0"/>
        <w:jc w:val="right"/>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响应单位：         （单位盖章） </w:t>
      </w:r>
      <w:r/>
    </w:p>
    <w:p>
      <w:pPr>
        <w:pStyle w:val="891"/>
        <w:ind w:left="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  期：       年      月    日</w:t>
      </w:r>
      <w:bookmarkEnd w:id="3"/>
      <w:r/>
      <w:bookmarkEnd w:id="4"/>
      <w:r/>
      <w:r/>
    </w:p>
    <w:p>
      <w:pPr>
        <w:ind w:right="-40"/>
        <w:jc w:val="right"/>
        <w:spacing w:line="360" w:lineRule="auto"/>
        <w:tabs>
          <w:tab w:val="left" w:pos="567" w:leader="none"/>
        </w:tabs>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right"/>
        <w:spacing w:line="400" w:lineRule="exact"/>
        <w:rPr>
          <w:rFonts w:asciiTheme="minorEastAsia" w:hAnsiTheme="minorEastAsia" w:eastAsiaTheme="minorEastAsia"/>
          <w:color w:val="auto"/>
          <w:sz w:val="18"/>
          <w:highlight w:val="none"/>
        </w:rPr>
      </w:pPr>
      <w:r>
        <w:rPr>
          <w:rFonts w:hint="eastAsia" w:asciiTheme="minorEastAsia" w:hAnsiTheme="minorEastAsia" w:eastAsiaTheme="minorEastAsia"/>
          <w:b/>
          <w:bCs/>
          <w:color w:val="auto"/>
          <w:sz w:val="24"/>
          <w:highlight w:val="none"/>
        </w:rPr>
        <w:t xml:space="preserve">（全文完）</w:t>
      </w:r>
      <w:r/>
    </w:p>
    <w:sectPr>
      <w:footnotePr/>
      <w:endnotePr/>
      <w:type w:val="nextPage"/>
      <w:pgSz w:w="11906" w:h="16838" w:orient="portrait"/>
      <w:pgMar w:top="907" w:right="907" w:bottom="907" w:left="764" w:header="624" w:footer="51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仿宋">
    <w:panose1 w:val="02010609060101010101"/>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20</w:t>
                          </w:r>
                          <w:r>
                            <w:rPr>
                              <w:sz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20</w:t>
                    </w:r>
                    <w:r>
                      <w:rPr>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Bdr>
        <w:bottom w:val="single" w:color="000000" w:sz="6" w:space="1"/>
      </w:pBdr>
    </w:pPr>
    <w:r>
      <w:rPr>
        <w:rFonts w:hint="eastAsia"/>
        <w:sz w:val="18"/>
      </w:rPr>
      <w:t xml:space="preserve">苏州海企国际工程咨询有限公司                                                   </w:t>
    </w:r>
    <w:r>
      <w:rPr>
        <w:rFonts w:hint="eastAsia"/>
        <w:sz w:val="18"/>
        <w:lang w:eastAsia="zh-CN"/>
      </w:rPr>
      <w:t xml:space="preserve">JSZC-320505-SZHQ-C2026-0010</w:t>
    </w:r>
    <w:r>
      <w:rPr>
        <w:rFonts w:hint="eastAsia"/>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949"/>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tab"/>
      <w:lvlText w:val="%1."/>
      <w:lvlJc w:val="left"/>
      <w:pPr>
        <w:ind w:left="720" w:hanging="360"/>
        <w:tabs>
          <w:tab w:val="left" w:pos="720" w:leader="none"/>
        </w:tabs>
      </w:pPr>
      <w:rPr>
        <w:sz w:val="24"/>
        <w:szCs w:val="24"/>
      </w:rPr>
    </w:lvl>
    <w:lvl w:ilvl="1">
      <w:start w:val="1"/>
      <w:numFmt w:val="none"/>
      <w:isLgl w:val="false"/>
      <w:suff w:val="tab"/>
      <w:lvlText w:val="%2."/>
      <w:lvlJc w:val="left"/>
      <w:pPr>
        <w:ind w:left="1440" w:hanging="360"/>
        <w:tabs>
          <w:tab w:val="left" w:pos="1440" w:leader="none"/>
        </w:tabs>
      </w:pPr>
      <w:rPr>
        <w:sz w:val="24"/>
        <w:szCs w:val="24"/>
      </w:rPr>
    </w:lvl>
    <w:lvl w:ilvl="2">
      <w:start w:val="1"/>
      <w:numFmt w:val="none"/>
      <w:isLgl w:val="false"/>
      <w:suff w:val="tab"/>
      <w:lvlText w:val="%3."/>
      <w:lvlJc w:val="left"/>
      <w:pPr>
        <w:ind w:left="2160" w:hanging="360"/>
        <w:tabs>
          <w:tab w:val="left" w:pos="2160" w:leader="none"/>
        </w:tabs>
      </w:pPr>
      <w:rPr>
        <w:sz w:val="24"/>
        <w:szCs w:val="24"/>
      </w:rPr>
    </w:lvl>
    <w:lvl w:ilvl="3">
      <w:start w:val="1"/>
      <w:numFmt w:val="none"/>
      <w:isLgl w:val="false"/>
      <w:suff w:val="tab"/>
      <w:lvlText w:val="%4."/>
      <w:lvlJc w:val="left"/>
      <w:pPr>
        <w:ind w:left="2880" w:hanging="360"/>
        <w:tabs>
          <w:tab w:val="left" w:pos="2517" w:leader="none"/>
        </w:tabs>
      </w:pPr>
      <w:rPr>
        <w:sz w:val="24"/>
        <w:szCs w:val="24"/>
      </w:rPr>
    </w:lvl>
    <w:lvl w:ilvl="4">
      <w:start w:val="1"/>
      <w:numFmt w:val="none"/>
      <w:isLgl w:val="false"/>
      <w:suff w:val="tab"/>
      <w:lvlText w:val="%5."/>
      <w:lvlJc w:val="left"/>
      <w:pPr>
        <w:ind w:left="3600" w:hanging="360"/>
        <w:tabs>
          <w:tab w:val="left" w:pos="3238" w:leader="none"/>
        </w:tabs>
      </w:pPr>
      <w:rPr>
        <w:sz w:val="24"/>
        <w:szCs w:val="24"/>
      </w:rPr>
    </w:lvl>
    <w:lvl w:ilvl="5">
      <w:start w:val="1"/>
      <w:numFmt w:val="none"/>
      <w:isLgl w:val="false"/>
      <w:suff w:val="tab"/>
      <w:lvlText w:val="%6."/>
      <w:lvlJc w:val="left"/>
      <w:pPr>
        <w:ind w:left="4320" w:hanging="360"/>
        <w:tabs>
          <w:tab w:val="left" w:pos="3958" w:leader="none"/>
        </w:tabs>
      </w:pPr>
      <w:rPr>
        <w:sz w:val="24"/>
        <w:szCs w:val="24"/>
      </w:rPr>
    </w:lvl>
    <w:lvl w:ilvl="6">
      <w:start w:val="1"/>
      <w:numFmt w:val="none"/>
      <w:isLgl w:val="false"/>
      <w:suff w:val="tab"/>
      <w:lvlText w:val="%7."/>
      <w:lvlJc w:val="left"/>
      <w:pPr>
        <w:ind w:left="5040" w:hanging="360"/>
        <w:tabs>
          <w:tab w:val="left" w:pos="4678" w:leader="none"/>
        </w:tabs>
      </w:pPr>
      <w:rPr>
        <w:sz w:val="24"/>
        <w:szCs w:val="24"/>
      </w:rPr>
    </w:lvl>
    <w:lvl w:ilvl="7">
      <w:start w:val="1"/>
      <w:numFmt w:val="none"/>
      <w:isLgl w:val="false"/>
      <w:suff w:val="tab"/>
      <w:lvlText w:val="%8."/>
      <w:lvlJc w:val="left"/>
      <w:pPr>
        <w:ind w:left="5760" w:hanging="360"/>
        <w:tabs>
          <w:tab w:val="left" w:pos="5398" w:leader="none"/>
        </w:tabs>
      </w:pPr>
      <w:rPr>
        <w:sz w:val="24"/>
        <w:szCs w:val="24"/>
      </w:rPr>
    </w:lvl>
    <w:lvl w:ilvl="8">
      <w:start w:val="1"/>
      <w:numFmt w:val="none"/>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8"/>
    <w:link w:val="879"/>
    <w:uiPriority w:val="9"/>
    <w:rPr>
      <w:rFonts w:ascii="Arial" w:hAnsi="Arial" w:eastAsia="Arial" w:cs="Arial"/>
      <w:sz w:val="40"/>
      <w:szCs w:val="40"/>
    </w:rPr>
  </w:style>
  <w:style w:type="character" w:styleId="727">
    <w:name w:val="Heading 2 Char"/>
    <w:basedOn w:val="888"/>
    <w:link w:val="880"/>
    <w:uiPriority w:val="9"/>
    <w:rPr>
      <w:rFonts w:ascii="Arial" w:hAnsi="Arial" w:eastAsia="Arial" w:cs="Arial"/>
      <w:sz w:val="34"/>
    </w:rPr>
  </w:style>
  <w:style w:type="character" w:styleId="728">
    <w:name w:val="Heading 3 Char"/>
    <w:basedOn w:val="888"/>
    <w:link w:val="881"/>
    <w:uiPriority w:val="9"/>
    <w:rPr>
      <w:rFonts w:ascii="Arial" w:hAnsi="Arial" w:eastAsia="Arial" w:cs="Arial"/>
      <w:sz w:val="30"/>
      <w:szCs w:val="30"/>
    </w:rPr>
  </w:style>
  <w:style w:type="character" w:styleId="729">
    <w:name w:val="Heading 4 Char"/>
    <w:basedOn w:val="888"/>
    <w:link w:val="882"/>
    <w:uiPriority w:val="9"/>
    <w:rPr>
      <w:rFonts w:ascii="Arial" w:hAnsi="Arial" w:eastAsia="Arial" w:cs="Arial"/>
      <w:b/>
      <w:bCs/>
      <w:sz w:val="26"/>
      <w:szCs w:val="26"/>
    </w:rPr>
  </w:style>
  <w:style w:type="character" w:styleId="730">
    <w:name w:val="Heading 5 Char"/>
    <w:basedOn w:val="888"/>
    <w:link w:val="883"/>
    <w:uiPriority w:val="9"/>
    <w:rPr>
      <w:rFonts w:ascii="Arial" w:hAnsi="Arial" w:eastAsia="Arial" w:cs="Arial"/>
      <w:b/>
      <w:bCs/>
      <w:sz w:val="24"/>
      <w:szCs w:val="24"/>
    </w:rPr>
  </w:style>
  <w:style w:type="character" w:styleId="731">
    <w:name w:val="Heading 6 Char"/>
    <w:basedOn w:val="888"/>
    <w:link w:val="884"/>
    <w:uiPriority w:val="9"/>
    <w:rPr>
      <w:rFonts w:ascii="Arial" w:hAnsi="Arial" w:eastAsia="Arial" w:cs="Arial"/>
      <w:b/>
      <w:bCs/>
      <w:sz w:val="22"/>
      <w:szCs w:val="22"/>
    </w:rPr>
  </w:style>
  <w:style w:type="character" w:styleId="732">
    <w:name w:val="Heading 7 Char"/>
    <w:basedOn w:val="888"/>
    <w:link w:val="885"/>
    <w:uiPriority w:val="9"/>
    <w:rPr>
      <w:rFonts w:ascii="Arial" w:hAnsi="Arial" w:eastAsia="Arial" w:cs="Arial"/>
      <w:b/>
      <w:bCs/>
      <w:i/>
      <w:iCs/>
      <w:sz w:val="22"/>
      <w:szCs w:val="22"/>
    </w:rPr>
  </w:style>
  <w:style w:type="character" w:styleId="733">
    <w:name w:val="Heading 8 Char"/>
    <w:basedOn w:val="888"/>
    <w:link w:val="886"/>
    <w:uiPriority w:val="9"/>
    <w:rPr>
      <w:rFonts w:ascii="Arial" w:hAnsi="Arial" w:eastAsia="Arial" w:cs="Arial"/>
      <w:i/>
      <w:iCs/>
      <w:sz w:val="22"/>
      <w:szCs w:val="22"/>
    </w:rPr>
  </w:style>
  <w:style w:type="character" w:styleId="734">
    <w:name w:val="Heading 9 Char"/>
    <w:basedOn w:val="888"/>
    <w:link w:val="887"/>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paragraph" w:styleId="736">
    <w:name w:val="Title"/>
    <w:basedOn w:val="878"/>
    <w:next w:val="878"/>
    <w:link w:val="737"/>
    <w:uiPriority w:val="10"/>
    <w:qFormat/>
    <w:pPr>
      <w:contextualSpacing/>
      <w:spacing w:before="300" w:after="200"/>
    </w:pPr>
    <w:rPr>
      <w:sz w:val="48"/>
      <w:szCs w:val="48"/>
    </w:rPr>
  </w:style>
  <w:style w:type="character" w:styleId="737">
    <w:name w:val="Title Char"/>
    <w:basedOn w:val="888"/>
    <w:link w:val="736"/>
    <w:uiPriority w:val="10"/>
    <w:rPr>
      <w:sz w:val="48"/>
      <w:szCs w:val="48"/>
    </w:rPr>
  </w:style>
  <w:style w:type="character" w:styleId="738">
    <w:name w:val="Subtitle Char"/>
    <w:basedOn w:val="888"/>
    <w:link w:val="913"/>
    <w:uiPriority w:val="11"/>
    <w:rPr>
      <w:sz w:val="24"/>
      <w:szCs w:val="24"/>
    </w:rPr>
  </w:style>
  <w:style w:type="character" w:styleId="739">
    <w:name w:val="Quote Char"/>
    <w:link w:val="999"/>
    <w:uiPriority w:val="29"/>
    <w:rPr>
      <w:i/>
    </w:rPr>
  </w:style>
  <w:style w:type="character" w:styleId="740">
    <w:name w:val="Intense Quote Char"/>
    <w:link w:val="976"/>
    <w:uiPriority w:val="30"/>
    <w:rPr>
      <w:i/>
    </w:rPr>
  </w:style>
  <w:style w:type="character" w:styleId="741">
    <w:name w:val="Header Char"/>
    <w:basedOn w:val="888"/>
    <w:link w:val="909"/>
    <w:uiPriority w:val="99"/>
  </w:style>
  <w:style w:type="character" w:styleId="742">
    <w:name w:val="Footer Char"/>
    <w:basedOn w:val="888"/>
    <w:link w:val="908"/>
    <w:uiPriority w:val="99"/>
  </w:style>
  <w:style w:type="paragraph" w:styleId="743">
    <w:name w:val="Caption"/>
    <w:basedOn w:val="878"/>
    <w:next w:val="878"/>
    <w:uiPriority w:val="35"/>
    <w:semiHidden/>
    <w:unhideWhenUsed/>
    <w:qFormat/>
    <w:pPr>
      <w:spacing w:line="276" w:lineRule="auto"/>
    </w:pPr>
    <w:rPr>
      <w:b/>
      <w:bCs/>
      <w:color w:val="4f81bd" w:themeColor="accent1"/>
      <w:sz w:val="18"/>
      <w:szCs w:val="18"/>
    </w:rPr>
  </w:style>
  <w:style w:type="character" w:styleId="744">
    <w:name w:val="Caption Char"/>
    <w:basedOn w:val="743"/>
    <w:link w:val="908"/>
    <w:uiPriority w:val="99"/>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78"/>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78"/>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79">
    <w:name w:val="Heading 1"/>
    <w:basedOn w:val="878"/>
    <w:next w:val="878"/>
    <w:uiPriority w:val="0"/>
    <w:qFormat/>
    <w:pPr>
      <w:spacing w:before="340" w:after="330" w:line="576" w:lineRule="auto"/>
      <w:outlineLvl w:val="0"/>
    </w:pPr>
    <w:rPr>
      <w:b/>
      <w:sz w:val="44"/>
    </w:rPr>
  </w:style>
  <w:style w:type="paragraph" w:styleId="880">
    <w:name w:val="Heading 2"/>
    <w:basedOn w:val="878"/>
    <w:next w:val="878"/>
    <w:uiPriority w:val="0"/>
    <w:qFormat/>
    <w:pPr>
      <w:spacing w:before="260" w:after="260" w:line="415" w:lineRule="auto"/>
      <w:outlineLvl w:val="1"/>
    </w:pPr>
    <w:rPr>
      <w:rFonts w:ascii="Arial" w:eastAsia="黑体"/>
      <w:b/>
      <w:sz w:val="32"/>
    </w:rPr>
  </w:style>
  <w:style w:type="paragraph" w:styleId="881">
    <w:name w:val="Heading 3"/>
    <w:basedOn w:val="878"/>
    <w:next w:val="878"/>
    <w:uiPriority w:val="0"/>
    <w:qFormat/>
    <w:pPr>
      <w:spacing w:before="260" w:after="260" w:line="415" w:lineRule="auto"/>
      <w:outlineLvl w:val="2"/>
    </w:pPr>
    <w:rPr>
      <w:b/>
      <w:sz w:val="32"/>
    </w:rPr>
  </w:style>
  <w:style w:type="paragraph" w:styleId="882">
    <w:name w:val="Heading 4"/>
    <w:basedOn w:val="878"/>
    <w:next w:val="878"/>
    <w:uiPriority w:val="0"/>
    <w:qFormat/>
    <w:pPr>
      <w:spacing w:before="280" w:after="290" w:line="376" w:lineRule="auto"/>
      <w:outlineLvl w:val="3"/>
    </w:pPr>
    <w:rPr>
      <w:rFonts w:ascii="Arial" w:eastAsia="黑体"/>
      <w:b/>
      <w:sz w:val="28"/>
    </w:rPr>
  </w:style>
  <w:style w:type="paragraph" w:styleId="883">
    <w:name w:val="Heading 5"/>
    <w:next w:val="878"/>
    <w:uiPriority w:val="0"/>
    <w:qFormat/>
    <w:pPr>
      <w:ind w:left="1800" w:hanging="400"/>
      <w:jc w:val="both"/>
      <w:spacing w:after="160"/>
      <w:outlineLvl w:val="4"/>
    </w:pPr>
    <w:rPr>
      <w:rFonts w:ascii="Times New Roman" w:hAnsi="Times New Roman" w:eastAsia="宋体" w:cs="Times New Roman"/>
      <w:sz w:val="21"/>
      <w:lang w:val="en-US" w:eastAsia="zh-CN" w:bidi="ar-SA"/>
    </w:rPr>
  </w:style>
  <w:style w:type="paragraph" w:styleId="884">
    <w:name w:val="Heading 6"/>
    <w:next w:val="878"/>
    <w:uiPriority w:val="0"/>
    <w:qFormat/>
    <w:pPr>
      <w:ind w:left="2000" w:hanging="400"/>
      <w:jc w:val="both"/>
      <w:spacing w:after="160"/>
      <w:outlineLvl w:val="5"/>
    </w:pPr>
    <w:rPr>
      <w:rFonts w:ascii="Times New Roman" w:hAnsi="Times New Roman" w:eastAsia="宋体" w:cs="Times New Roman"/>
      <w:b/>
      <w:sz w:val="21"/>
      <w:lang w:val="en-US" w:eastAsia="zh-CN" w:bidi="ar-SA"/>
    </w:rPr>
  </w:style>
  <w:style w:type="paragraph" w:styleId="885">
    <w:name w:val="Heading 7"/>
    <w:next w:val="878"/>
    <w:uiPriority w:val="0"/>
    <w:qFormat/>
    <w:pPr>
      <w:ind w:left="2200" w:hanging="400"/>
      <w:jc w:val="both"/>
      <w:spacing w:after="160"/>
      <w:outlineLvl w:val="6"/>
    </w:pPr>
    <w:rPr>
      <w:rFonts w:ascii="Times New Roman" w:hAnsi="Times New Roman" w:eastAsia="宋体" w:cs="Times New Roman"/>
      <w:sz w:val="21"/>
      <w:lang w:val="en-US" w:eastAsia="zh-CN" w:bidi="ar-SA"/>
    </w:rPr>
  </w:style>
  <w:style w:type="paragraph" w:styleId="886">
    <w:name w:val="Heading 8"/>
    <w:next w:val="878"/>
    <w:uiPriority w:val="0"/>
    <w:qFormat/>
    <w:pPr>
      <w:ind w:left="2400" w:hanging="400"/>
      <w:jc w:val="both"/>
      <w:spacing w:after="160"/>
      <w:outlineLvl w:val="7"/>
    </w:pPr>
    <w:rPr>
      <w:rFonts w:ascii="Times New Roman" w:hAnsi="Times New Roman" w:eastAsia="宋体" w:cs="Times New Roman"/>
      <w:sz w:val="21"/>
      <w:lang w:val="en-US" w:eastAsia="zh-CN" w:bidi="ar-SA"/>
    </w:rPr>
  </w:style>
  <w:style w:type="paragraph" w:styleId="887">
    <w:name w:val="Heading 9"/>
    <w:next w:val="878"/>
    <w:uiPriority w:val="0"/>
    <w:qFormat/>
    <w:pPr>
      <w:ind w:left="2600" w:hanging="400"/>
      <w:jc w:val="both"/>
      <w:spacing w:after="160"/>
      <w:outlineLvl w:val="8"/>
    </w:pPr>
    <w:rPr>
      <w:rFonts w:ascii="Times New Roman" w:hAnsi="Times New Roman" w:eastAsia="宋体" w:cs="Times New Roman"/>
      <w:sz w:val="21"/>
      <w:lang w:val="en-US" w:eastAsia="zh-CN" w:bidi="ar-SA"/>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next w:val="878"/>
    <w:uiPriority w:val="0"/>
    <w:qFormat/>
    <w:pPr>
      <w:ind w:left="2125"/>
      <w:jc w:val="both"/>
    </w:pPr>
    <w:rPr>
      <w:rFonts w:ascii="Times New Roman" w:hAnsi="Times New Roman" w:eastAsia="宋体" w:cs="Times New Roman"/>
      <w:sz w:val="21"/>
      <w:lang w:val="en-US" w:eastAsia="zh-CN" w:bidi="ar-SA"/>
    </w:rPr>
  </w:style>
  <w:style w:type="paragraph" w:styleId="891">
    <w:name w:val="Normal Indent"/>
    <w:basedOn w:val="878"/>
    <w:uiPriority w:val="0"/>
    <w:qFormat/>
    <w:pPr>
      <w:ind w:left="3400"/>
    </w:pPr>
  </w:style>
  <w:style w:type="paragraph" w:styleId="892">
    <w:name w:val="Document Map"/>
    <w:basedOn w:val="878"/>
    <w:next w:val="891"/>
    <w:uiPriority w:val="0"/>
    <w:qFormat/>
    <w:pPr>
      <w:shd w:val="clear" w:color="000000" w:fill="000080"/>
    </w:pPr>
  </w:style>
  <w:style w:type="paragraph" w:styleId="893">
    <w:name w:val="annotation text"/>
    <w:basedOn w:val="878"/>
    <w:next w:val="894"/>
    <w:uiPriority w:val="99"/>
    <w:qFormat/>
  </w:style>
  <w:style w:type="paragraph" w:styleId="894" w:customStyle="1">
    <w:name w:val="目录 21"/>
    <w:next w:val="878"/>
    <w:uiPriority w:val="0"/>
    <w:qFormat/>
    <w:pPr>
      <w:jc w:val="both"/>
    </w:pPr>
    <w:rPr>
      <w:rFonts w:ascii="Times New Roman" w:hAnsi="Times New Roman" w:eastAsia="宋体" w:cs="Times New Roman"/>
      <w:sz w:val="21"/>
      <w:lang w:val="en-US" w:eastAsia="zh-CN" w:bidi="ar-SA"/>
    </w:rPr>
  </w:style>
  <w:style w:type="paragraph" w:styleId="895">
    <w:name w:val="Body Text"/>
    <w:basedOn w:val="878"/>
    <w:next w:val="878"/>
    <w:uiPriority w:val="0"/>
    <w:qFormat/>
    <w:rPr>
      <w:sz w:val="28"/>
    </w:rPr>
  </w:style>
  <w:style w:type="paragraph" w:styleId="896">
    <w:name w:val="Body Text Indent"/>
    <w:basedOn w:val="878"/>
    <w:next w:val="897"/>
    <w:uiPriority w:val="0"/>
    <w:qFormat/>
    <w:pPr>
      <w:ind w:firstLine="560"/>
      <w:spacing w:line="300" w:lineRule="auto"/>
    </w:pPr>
    <w:rPr>
      <w:sz w:val="28"/>
    </w:rPr>
  </w:style>
  <w:style w:type="paragraph" w:styleId="897">
    <w:name w:val="envelope return"/>
    <w:basedOn w:val="878"/>
    <w:uiPriority w:val="0"/>
    <w:qFormat/>
    <w:rPr>
      <w:rFonts w:ascii="Arial" w:hAnsi="Arial" w:eastAsia="楷体_GB2312"/>
      <w:sz w:val="26"/>
      <w:szCs w:val="20"/>
    </w:rPr>
  </w:style>
  <w:style w:type="paragraph" w:styleId="898">
    <w:name w:val="toc 5"/>
    <w:next w:val="878"/>
    <w:uiPriority w:val="0"/>
    <w:qFormat/>
    <w:pPr>
      <w:ind w:left="1275"/>
      <w:jc w:val="both"/>
    </w:pPr>
    <w:rPr>
      <w:rFonts w:ascii="Times New Roman" w:hAnsi="Times New Roman" w:eastAsia="宋体" w:cs="Times New Roman"/>
      <w:sz w:val="21"/>
      <w:lang w:val="en-US" w:eastAsia="zh-CN" w:bidi="ar-SA"/>
    </w:rPr>
  </w:style>
  <w:style w:type="paragraph" w:styleId="899">
    <w:name w:val="toc 3"/>
    <w:next w:val="878"/>
    <w:uiPriority w:val="0"/>
    <w:qFormat/>
    <w:pPr>
      <w:ind w:left="425"/>
      <w:jc w:val="both"/>
    </w:pPr>
    <w:rPr>
      <w:rFonts w:ascii="Times New Roman" w:hAnsi="Times New Roman" w:eastAsia="宋体" w:cs="Times New Roman"/>
      <w:sz w:val="21"/>
      <w:lang w:val="en-US" w:eastAsia="zh-CN" w:bidi="ar-SA"/>
    </w:rPr>
  </w:style>
  <w:style w:type="paragraph" w:styleId="900">
    <w:name w:val="Plain Text"/>
    <w:basedOn w:val="878"/>
    <w:next w:val="901"/>
    <w:uiPriority w:val="0"/>
    <w:qFormat/>
    <w:rPr>
      <w:rFonts w:ascii="宋体" w:eastAsia="楷体_GB2312"/>
      <w:sz w:val="28"/>
    </w:rPr>
  </w:style>
  <w:style w:type="paragraph" w:styleId="901" w:customStyle="1">
    <w:name w:val="目录 71"/>
    <w:next w:val="878"/>
    <w:uiPriority w:val="0"/>
    <w:qFormat/>
    <w:pPr>
      <w:ind w:left="2125"/>
      <w:jc w:val="both"/>
    </w:pPr>
    <w:rPr>
      <w:rFonts w:ascii="Times New Roman" w:hAnsi="Times New Roman" w:eastAsia="宋体" w:cs="Times New Roman"/>
      <w:sz w:val="21"/>
      <w:lang w:val="en-US" w:eastAsia="zh-CN" w:bidi="ar-SA"/>
    </w:rPr>
  </w:style>
  <w:style w:type="paragraph" w:styleId="902">
    <w:name w:val="toc 8"/>
    <w:next w:val="878"/>
    <w:uiPriority w:val="0"/>
    <w:qFormat/>
    <w:pPr>
      <w:ind w:left="2550"/>
      <w:jc w:val="both"/>
    </w:pPr>
    <w:rPr>
      <w:rFonts w:ascii="Times New Roman" w:hAnsi="Times New Roman" w:eastAsia="宋体" w:cs="Times New Roman"/>
      <w:sz w:val="21"/>
      <w:lang w:val="en-US" w:eastAsia="zh-CN" w:bidi="ar-SA"/>
    </w:rPr>
  </w:style>
  <w:style w:type="paragraph" w:styleId="903">
    <w:name w:val="Date"/>
    <w:basedOn w:val="878"/>
    <w:next w:val="878"/>
    <w:uiPriority w:val="0"/>
    <w:qFormat/>
  </w:style>
  <w:style w:type="paragraph" w:styleId="904">
    <w:name w:val="Body Text Indent 2"/>
    <w:basedOn w:val="878"/>
    <w:next w:val="905"/>
    <w:uiPriority w:val="0"/>
    <w:qFormat/>
    <w:pPr>
      <w:ind w:left="840"/>
      <w:spacing w:line="360" w:lineRule="auto"/>
    </w:pPr>
    <w:rPr>
      <w:rFonts w:ascii="宋体"/>
    </w:rPr>
  </w:style>
  <w:style w:type="paragraph" w:styleId="905" w:customStyle="1">
    <w:name w:val="目录 91"/>
    <w:next w:val="878"/>
    <w:uiPriority w:val="0"/>
    <w:qFormat/>
    <w:pPr>
      <w:ind w:left="2975"/>
      <w:jc w:val="both"/>
    </w:pPr>
    <w:rPr>
      <w:rFonts w:ascii="Times New Roman" w:hAnsi="Times New Roman" w:eastAsia="宋体" w:cs="Times New Roman"/>
      <w:sz w:val="21"/>
      <w:lang w:val="en-US" w:eastAsia="zh-CN" w:bidi="ar-SA"/>
    </w:rPr>
  </w:style>
  <w:style w:type="paragraph" w:styleId="906">
    <w:name w:val="Balloon Text"/>
    <w:basedOn w:val="878"/>
    <w:next w:val="907"/>
    <w:uiPriority w:val="0"/>
    <w:qFormat/>
    <w:rPr>
      <w:sz w:val="18"/>
    </w:rPr>
  </w:style>
  <w:style w:type="paragraph" w:styleId="907" w:customStyle="1">
    <w:name w:val="正文缩进1"/>
    <w:next w:val="878"/>
    <w:uiPriority w:val="0"/>
    <w:qFormat/>
    <w:pPr>
      <w:ind w:left="3400"/>
      <w:jc w:val="both"/>
    </w:pPr>
    <w:rPr>
      <w:rFonts w:ascii="Times New Roman" w:hAnsi="Times New Roman" w:eastAsia="宋体" w:cs="Times New Roman"/>
      <w:sz w:val="21"/>
      <w:lang w:val="en-US" w:eastAsia="zh-CN" w:bidi="ar-SA"/>
    </w:rPr>
  </w:style>
  <w:style w:type="paragraph" w:styleId="908">
    <w:name w:val="Footer"/>
    <w:basedOn w:val="878"/>
    <w:next w:val="878"/>
    <w:link w:val="1023"/>
    <w:uiPriority w:val="0"/>
    <w:qFormat/>
    <w:rPr>
      <w:sz w:val="18"/>
    </w:rPr>
  </w:style>
  <w:style w:type="paragraph" w:styleId="909">
    <w:name w:val="Header"/>
    <w:basedOn w:val="878"/>
    <w:next w:val="878"/>
    <w:link w:val="1022"/>
    <w:uiPriority w:val="0"/>
    <w:qFormat/>
    <w:pPr>
      <w:jc w:val="center"/>
    </w:pPr>
    <w:rPr>
      <w:sz w:val="18"/>
    </w:rPr>
  </w:style>
  <w:style w:type="paragraph" w:styleId="910">
    <w:name w:val="toc 1"/>
    <w:basedOn w:val="878"/>
    <w:next w:val="878"/>
    <w:uiPriority w:val="39"/>
    <w:qFormat/>
    <w:pPr>
      <w:jc w:val="left"/>
    </w:pPr>
    <w:rPr>
      <w:sz w:val="24"/>
    </w:rPr>
  </w:style>
  <w:style w:type="paragraph" w:styleId="911">
    <w:name w:val="toc 4"/>
    <w:next w:val="878"/>
    <w:uiPriority w:val="0"/>
    <w:qFormat/>
    <w:pPr>
      <w:ind w:left="850"/>
      <w:jc w:val="both"/>
    </w:pPr>
    <w:rPr>
      <w:rFonts w:ascii="Times New Roman" w:hAnsi="Times New Roman" w:eastAsia="宋体" w:cs="Times New Roman"/>
      <w:sz w:val="21"/>
      <w:lang w:val="en-US" w:eastAsia="zh-CN" w:bidi="ar-SA"/>
    </w:rPr>
  </w:style>
  <w:style w:type="paragraph" w:styleId="912">
    <w:name w:val="index heading"/>
    <w:basedOn w:val="878"/>
    <w:next w:val="878"/>
    <w:uiPriority w:val="0"/>
    <w:semiHidden/>
    <w:qFormat/>
    <w:rPr>
      <w:rFonts w:eastAsia="楷体_GB2312"/>
      <w:sz w:val="26"/>
    </w:rPr>
  </w:style>
  <w:style w:type="paragraph" w:styleId="913">
    <w:name w:val="Subtitle"/>
    <w:next w:val="878"/>
    <w:uiPriority w:val="0"/>
    <w:qFormat/>
    <w:pPr>
      <w:jc w:val="center"/>
      <w:spacing w:after="60"/>
    </w:pPr>
    <w:rPr>
      <w:rFonts w:ascii="Times New Roman" w:hAnsi="Times New Roman" w:eastAsia="宋体" w:cs="Times New Roman"/>
      <w:sz w:val="24"/>
      <w:lang w:val="en-US" w:eastAsia="zh-CN" w:bidi="ar-SA"/>
    </w:rPr>
  </w:style>
  <w:style w:type="paragraph" w:styleId="914">
    <w:name w:val="toc 6"/>
    <w:next w:val="878"/>
    <w:uiPriority w:val="0"/>
    <w:qFormat/>
    <w:pPr>
      <w:ind w:left="1700"/>
      <w:jc w:val="both"/>
    </w:pPr>
    <w:rPr>
      <w:rFonts w:ascii="Times New Roman" w:hAnsi="Times New Roman" w:eastAsia="宋体" w:cs="Times New Roman"/>
      <w:sz w:val="21"/>
      <w:lang w:val="en-US" w:eastAsia="zh-CN" w:bidi="ar-SA"/>
    </w:rPr>
  </w:style>
  <w:style w:type="paragraph" w:styleId="915">
    <w:name w:val="Body Text Indent 3"/>
    <w:basedOn w:val="878"/>
    <w:next w:val="878"/>
    <w:uiPriority w:val="0"/>
    <w:qFormat/>
    <w:pPr>
      <w:ind w:firstLine="480"/>
      <w:spacing w:line="360" w:lineRule="auto"/>
      <w:widowControl/>
    </w:pPr>
    <w:rPr>
      <w:sz w:val="24"/>
    </w:rPr>
  </w:style>
  <w:style w:type="paragraph" w:styleId="916">
    <w:name w:val="toc 2"/>
    <w:next w:val="878"/>
    <w:uiPriority w:val="0"/>
    <w:qFormat/>
    <w:pPr>
      <w:jc w:val="both"/>
    </w:pPr>
    <w:rPr>
      <w:rFonts w:ascii="Times New Roman" w:hAnsi="Times New Roman" w:eastAsia="宋体" w:cs="Times New Roman"/>
      <w:sz w:val="21"/>
      <w:lang w:val="en-US" w:eastAsia="zh-CN" w:bidi="ar-SA"/>
    </w:rPr>
  </w:style>
  <w:style w:type="paragraph" w:styleId="917">
    <w:name w:val="toc 9"/>
    <w:next w:val="878"/>
    <w:uiPriority w:val="0"/>
    <w:qFormat/>
    <w:pPr>
      <w:ind w:left="2975"/>
      <w:jc w:val="both"/>
    </w:pPr>
    <w:rPr>
      <w:rFonts w:ascii="Times New Roman" w:hAnsi="Times New Roman" w:eastAsia="宋体" w:cs="Times New Roman"/>
      <w:sz w:val="21"/>
      <w:lang w:val="en-US" w:eastAsia="zh-CN" w:bidi="ar-SA"/>
    </w:rPr>
  </w:style>
  <w:style w:type="paragraph" w:styleId="918">
    <w:name w:val="HTML Preformatted"/>
    <w:basedOn w:val="878"/>
    <w:next w:val="878"/>
    <w:uiPriority w:val="0"/>
    <w:qFormat/>
    <w:pPr>
      <w:widowControl/>
    </w:pPr>
    <w:rPr>
      <w:rFonts w:ascii="宋体"/>
      <w:sz w:val="24"/>
    </w:rPr>
  </w:style>
  <w:style w:type="paragraph" w:styleId="919">
    <w:name w:val="Normal (Web)"/>
    <w:basedOn w:val="878"/>
    <w:uiPriority w:val="0"/>
    <w:qFormat/>
    <w:pPr>
      <w:spacing w:before="280" w:after="280"/>
      <w:widowControl/>
    </w:pPr>
    <w:rPr>
      <w:rFonts w:ascii="Arial Unicode MS" w:eastAsia="Times New Roman"/>
      <w:sz w:val="24"/>
    </w:rPr>
  </w:style>
  <w:style w:type="paragraph" w:styleId="920">
    <w:name w:val="index 1"/>
    <w:basedOn w:val="878"/>
    <w:next w:val="878"/>
    <w:uiPriority w:val="0"/>
    <w:semiHidden/>
    <w:qFormat/>
  </w:style>
  <w:style w:type="paragraph" w:styleId="921">
    <w:name w:val="annotation subject"/>
    <w:next w:val="894"/>
    <w:uiPriority w:val="0"/>
    <w:qFormat/>
    <w:pPr>
      <w:widowControl w:val="off"/>
    </w:pPr>
    <w:rPr>
      <w:rFonts w:ascii="Times New Roman" w:hAnsi="Times New Roman" w:eastAsia="宋体" w:cs="Times New Roman"/>
      <w:b/>
      <w:sz w:val="21"/>
      <w:lang w:val="en-US" w:eastAsia="zh-CN" w:bidi="ar-SA"/>
    </w:rPr>
  </w:style>
  <w:style w:type="paragraph" w:styleId="922">
    <w:name w:val="Body Text First Indent 2"/>
    <w:basedOn w:val="896"/>
    <w:uiPriority w:val="99"/>
    <w:unhideWhenUsed/>
    <w:qFormat/>
    <w:pPr>
      <w:ind w:firstLine="420"/>
    </w:pPr>
    <w:rPr>
      <w:rFonts w:ascii="Calibri" w:hAnsi="Calibri"/>
      <w:szCs w:val="24"/>
    </w:rPr>
  </w:style>
  <w:style w:type="table" w:styleId="923">
    <w:name w:val="Table Grid"/>
    <w:basedOn w:val="8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basedOn w:val="888"/>
    <w:uiPriority w:val="0"/>
    <w:qFormat/>
    <w:rPr>
      <w:color w:val="cc0000"/>
      <w:sz w:val="20"/>
    </w:rPr>
  </w:style>
  <w:style w:type="character" w:styleId="925">
    <w:name w:val="page number"/>
    <w:uiPriority w:val="0"/>
    <w:qFormat/>
    <w:rPr>
      <w:sz w:val="20"/>
    </w:rPr>
  </w:style>
  <w:style w:type="character" w:styleId="926">
    <w:name w:val="FollowedHyperlink"/>
    <w:basedOn w:val="888"/>
    <w:uiPriority w:val="0"/>
    <w:qFormat/>
    <w:rPr>
      <w:color w:val="771caa"/>
      <w:sz w:val="20"/>
      <w:u w:val="none"/>
    </w:rPr>
  </w:style>
  <w:style w:type="character" w:styleId="927">
    <w:name w:val="Emphasis"/>
    <w:basedOn w:val="888"/>
    <w:uiPriority w:val="0"/>
    <w:qFormat/>
    <w:rPr>
      <w:color w:val="f73131"/>
      <w:sz w:val="20"/>
    </w:rPr>
  </w:style>
  <w:style w:type="character" w:styleId="928">
    <w:name w:val="Hyperlink"/>
    <w:uiPriority w:val="0"/>
    <w:qFormat/>
    <w:rPr>
      <w:color w:val="0000ff"/>
      <w:sz w:val="20"/>
      <w:u w:val="single"/>
    </w:rPr>
  </w:style>
  <w:style w:type="character" w:styleId="929">
    <w:name w:val="annotation reference"/>
    <w:uiPriority w:val="99"/>
    <w:qFormat/>
    <w:rPr>
      <w:sz w:val="20"/>
    </w:rPr>
  </w:style>
  <w:style w:type="character" w:styleId="930">
    <w:name w:val="HTML Cite"/>
    <w:basedOn w:val="888"/>
    <w:uiPriority w:val="99"/>
    <w:semiHidden/>
    <w:unhideWhenUsed/>
    <w:qFormat/>
    <w:rPr>
      <w:color w:val="006d21"/>
    </w:rPr>
  </w:style>
  <w:style w:type="paragraph" w:styleId="931" w:customStyle="1">
    <w:name w:val="正文文本缩进1"/>
    <w:basedOn w:val="878"/>
    <w:next w:val="932"/>
    <w:uiPriority w:val="0"/>
    <w:qFormat/>
    <w:pPr>
      <w:ind w:firstLine="560"/>
      <w:spacing w:line="300" w:lineRule="auto"/>
    </w:pPr>
    <w:rPr>
      <w:sz w:val="28"/>
    </w:rPr>
  </w:style>
  <w:style w:type="paragraph" w:styleId="932" w:customStyle="1">
    <w:name w:val="寄信人地址1"/>
    <w:basedOn w:val="878"/>
    <w:uiPriority w:val="0"/>
    <w:qFormat/>
    <w:rPr>
      <w:rFonts w:ascii="Arial" w:hAnsi="Arial" w:eastAsia="楷体_GB2312"/>
      <w:sz w:val="26"/>
    </w:rPr>
  </w:style>
  <w:style w:type="paragraph" w:styleId="933" w:customStyle="1">
    <w:name w:val="目录 51"/>
    <w:next w:val="878"/>
    <w:uiPriority w:val="0"/>
    <w:qFormat/>
    <w:pPr>
      <w:ind w:left="1275"/>
      <w:jc w:val="both"/>
    </w:pPr>
    <w:rPr>
      <w:rFonts w:ascii="Times New Roman" w:hAnsi="Times New Roman" w:eastAsia="宋体" w:cs="Times New Roman"/>
      <w:sz w:val="21"/>
      <w:lang w:val="en-US" w:eastAsia="zh-CN" w:bidi="ar-SA"/>
    </w:rPr>
  </w:style>
  <w:style w:type="paragraph" w:styleId="934" w:customStyle="1">
    <w:name w:val="段"/>
    <w:next w:val="878"/>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35" w:customStyle="1">
    <w:name w:val="批注框文本 Char"/>
    <w:uiPriority w:val="0"/>
    <w:qFormat/>
    <w:rPr>
      <w:sz w:val="20"/>
    </w:rPr>
  </w:style>
  <w:style w:type="character" w:styleId="936" w:customStyle="1">
    <w:name w:val="标题 3 Char"/>
    <w:uiPriority w:val="0"/>
    <w:qFormat/>
    <w:rPr>
      <w:b/>
      <w:sz w:val="20"/>
    </w:rPr>
  </w:style>
  <w:style w:type="character" w:styleId="937" w:customStyle="1">
    <w:name w:val="Andy_正文 Char"/>
    <w:uiPriority w:val="0"/>
    <w:qFormat/>
    <w:rPr>
      <w:sz w:val="20"/>
    </w:rPr>
  </w:style>
  <w:style w:type="character" w:styleId="938" w:customStyle="1">
    <w:name w:val="明显参考1"/>
    <w:uiPriority w:val="0"/>
    <w:qFormat/>
    <w:rPr>
      <w:b/>
      <w:sz w:val="20"/>
    </w:rPr>
  </w:style>
  <w:style w:type="character" w:styleId="939" w:customStyle="1">
    <w:name w:val="正文文本缩进 2 Char"/>
    <w:uiPriority w:val="0"/>
    <w:qFormat/>
    <w:rPr>
      <w:sz w:val="20"/>
    </w:rPr>
  </w:style>
  <w:style w:type="character" w:styleId="940" w:customStyle="1">
    <w:name w:val="书籍标题1"/>
    <w:uiPriority w:val="0"/>
    <w:qFormat/>
    <w:rPr>
      <w:b/>
      <w:i/>
      <w:sz w:val="20"/>
    </w:rPr>
  </w:style>
  <w:style w:type="character" w:styleId="941" w:customStyle="1">
    <w:name w:val="列出段落 Char"/>
    <w:uiPriority w:val="0"/>
    <w:qFormat/>
    <w:rPr>
      <w:sz w:val="20"/>
    </w:rPr>
  </w:style>
  <w:style w:type="character" w:styleId="942" w:customStyle="1">
    <w:name w:val="不明显强调1"/>
    <w:uiPriority w:val="0"/>
    <w:qFormat/>
    <w:rPr>
      <w:i/>
      <w:sz w:val="20"/>
    </w:rPr>
  </w:style>
  <w:style w:type="character" w:styleId="943" w:customStyle="1">
    <w:name w:val="标题 4 Char"/>
    <w:uiPriority w:val="0"/>
    <w:qFormat/>
    <w:rPr>
      <w:b/>
      <w:sz w:val="20"/>
    </w:rPr>
  </w:style>
  <w:style w:type="character" w:styleId="944" w:customStyle="1">
    <w:name w:val="title_emph1"/>
    <w:uiPriority w:val="0"/>
    <w:qFormat/>
    <w:rPr>
      <w:b/>
      <w:sz w:val="20"/>
    </w:rPr>
  </w:style>
  <w:style w:type="character" w:styleId="945" w:customStyle="1">
    <w:name w:val="不明显参考1"/>
    <w:uiPriority w:val="0"/>
    <w:qFormat/>
    <w:rPr>
      <w:sz w:val="20"/>
    </w:rPr>
  </w:style>
  <w:style w:type="character" w:styleId="946" w:customStyle="1">
    <w:name w:val="_正文段落 Char"/>
    <w:uiPriority w:val="0"/>
    <w:qFormat/>
    <w:rPr>
      <w:sz w:val="20"/>
    </w:rPr>
  </w:style>
  <w:style w:type="character" w:styleId="947" w:customStyle="1">
    <w:name w:val="正文缩进 Char"/>
    <w:uiPriority w:val="0"/>
    <w:qFormat/>
    <w:rPr>
      <w:sz w:val="20"/>
    </w:rPr>
  </w:style>
  <w:style w:type="character" w:styleId="948" w:customStyle="1">
    <w:name w:val="Andy_3级 Char"/>
    <w:link w:val="949"/>
    <w:uiPriority w:val="0"/>
    <w:qFormat/>
    <w:rPr>
      <w:rFonts w:ascii="Calibri" w:hAnsi="Calibri"/>
      <w:sz w:val="24"/>
      <w:lang w:val="zh-CN"/>
    </w:rPr>
  </w:style>
  <w:style w:type="paragraph" w:styleId="949" w:customStyle="1">
    <w:name w:val="Andy_3级"/>
    <w:basedOn w:val="878"/>
    <w:link w:val="948"/>
    <w:uiPriority w:val="0"/>
    <w:qFormat/>
    <w:pPr>
      <w:numPr>
        <w:ilvl w:val="2"/>
        <w:numId w:val="1"/>
      </w:numPr>
      <w:spacing w:line="360" w:lineRule="auto"/>
    </w:pPr>
    <w:rPr>
      <w:rFonts w:ascii="Calibri" w:hAnsi="Calibri"/>
      <w:sz w:val="24"/>
      <w:lang w:val="zh-CN"/>
    </w:rPr>
  </w:style>
  <w:style w:type="character" w:styleId="950" w:customStyle="1">
    <w:name w:val="纯文本 Char1"/>
    <w:uiPriority w:val="0"/>
    <w:qFormat/>
    <w:rPr>
      <w:sz w:val="20"/>
    </w:rPr>
  </w:style>
  <w:style w:type="character" w:styleId="951" w:customStyle="1">
    <w:name w:val="para1"/>
    <w:uiPriority w:val="0"/>
    <w:qFormat/>
    <w:rPr>
      <w:sz w:val="20"/>
    </w:rPr>
  </w:style>
  <w:style w:type="character" w:styleId="952" w:customStyle="1">
    <w:name w:val="a-size-large1"/>
    <w:uiPriority w:val="0"/>
    <w:qFormat/>
    <w:rPr>
      <w:sz w:val="20"/>
    </w:rPr>
  </w:style>
  <w:style w:type="character" w:styleId="953" w:customStyle="1">
    <w:name w:val="明显强调1"/>
    <w:uiPriority w:val="0"/>
    <w:qFormat/>
    <w:rPr>
      <w:i/>
      <w:sz w:val="20"/>
    </w:rPr>
  </w:style>
  <w:style w:type="character" w:styleId="954" w:customStyle="1">
    <w:name w:val="Plain Text Char Char"/>
    <w:uiPriority w:val="0"/>
    <w:qFormat/>
    <w:rPr>
      <w:sz w:val="20"/>
    </w:rPr>
  </w:style>
  <w:style w:type="character" w:styleId="955" w:customStyle="1">
    <w:name w:val="批注文字 Char"/>
    <w:uiPriority w:val="99"/>
    <w:qFormat/>
    <w:rPr>
      <w:sz w:val="20"/>
    </w:rPr>
  </w:style>
  <w:style w:type="character" w:styleId="956" w:customStyle="1">
    <w:name w:val="Andy Char"/>
    <w:link w:val="957"/>
    <w:uiPriority w:val="0"/>
    <w:qFormat/>
    <w:rPr>
      <w:rFonts w:ascii="仿宋_GB2312" w:hAnsi="仿宋" w:eastAsia="仿宋_GB2312"/>
      <w:color w:val="000000"/>
      <w:sz w:val="28"/>
      <w:szCs w:val="28"/>
    </w:rPr>
  </w:style>
  <w:style w:type="paragraph" w:styleId="957" w:customStyle="1">
    <w:name w:val="Andy"/>
    <w:basedOn w:val="878"/>
    <w:link w:val="956"/>
    <w:uiPriority w:val="0"/>
    <w:qFormat/>
    <w:pPr>
      <w:ind w:firstLine="560"/>
      <w:spacing w:line="360" w:lineRule="auto"/>
    </w:pPr>
    <w:rPr>
      <w:rFonts w:ascii="仿宋_GB2312" w:hAnsi="仿宋" w:eastAsia="仿宋_GB2312"/>
      <w:color w:val="000000"/>
      <w:sz w:val="28"/>
      <w:szCs w:val="28"/>
    </w:rPr>
  </w:style>
  <w:style w:type="character" w:styleId="958" w:customStyle="1">
    <w:name w:val="批注主题 Char"/>
    <w:uiPriority w:val="0"/>
    <w:qFormat/>
    <w:rPr>
      <w:b/>
      <w:sz w:val="20"/>
    </w:rPr>
  </w:style>
  <w:style w:type="paragraph" w:styleId="959" w:customStyle="1">
    <w:name w:val="目录 32"/>
    <w:basedOn w:val="878"/>
    <w:next w:val="878"/>
    <w:uiPriority w:val="0"/>
    <w:qFormat/>
    <w:pPr>
      <w:ind w:left="840"/>
    </w:pPr>
  </w:style>
  <w:style w:type="paragraph" w:styleId="960" w:customStyle="1">
    <w:name w:val="Andy_4级"/>
    <w:basedOn w:val="878"/>
    <w:uiPriority w:val="0"/>
    <w:qFormat/>
    <w:pPr>
      <w:ind w:left="420" w:firstLine="510"/>
      <w:spacing w:line="360" w:lineRule="auto"/>
      <w:tabs>
        <w:tab w:val="left" w:pos="420" w:leader="none"/>
      </w:tabs>
    </w:pPr>
    <w:rPr>
      <w:rFonts w:ascii="Calibri" w:hAnsi="Calibri"/>
      <w:sz w:val="24"/>
    </w:rPr>
  </w:style>
  <w:style w:type="paragraph" w:styleId="961" w:customStyle="1">
    <w:name w:val="正文1"/>
    <w:basedOn w:val="878"/>
    <w:next w:val="878"/>
    <w:uiPriority w:val="0"/>
    <w:qFormat/>
    <w:pPr>
      <w:ind w:left="420" w:firstLine="527"/>
      <w:spacing w:before="120" w:line="360" w:lineRule="auto"/>
    </w:pPr>
    <w:rPr>
      <w:rFonts w:ascii="宋体" w:hAnsi="宋体"/>
    </w:rPr>
  </w:style>
  <w:style w:type="paragraph" w:styleId="962" w:customStyle="1">
    <w:name w:val="Andy_一级"/>
    <w:basedOn w:val="878"/>
    <w:uiPriority w:val="0"/>
    <w:qFormat/>
    <w:pPr>
      <w:ind w:left="420" w:hanging="420"/>
      <w:keepNext/>
      <w:spacing w:line="360" w:lineRule="auto"/>
      <w:tabs>
        <w:tab w:val="left" w:pos="420" w:leader="none"/>
      </w:tabs>
    </w:pPr>
    <w:rPr>
      <w:rFonts w:ascii="Calibri" w:hAnsi="Calibri"/>
      <w:b/>
      <w:sz w:val="24"/>
      <w:szCs w:val="22"/>
    </w:rPr>
  </w:style>
  <w:style w:type="paragraph" w:styleId="963" w:customStyle="1">
    <w:name w:val="Char"/>
    <w:basedOn w:val="878"/>
    <w:next w:val="959"/>
    <w:uiPriority w:val="0"/>
    <w:qFormat/>
    <w:rPr>
      <w:rFonts w:ascii="Tahoma"/>
      <w:sz w:val="24"/>
    </w:rPr>
  </w:style>
  <w:style w:type="paragraph" w:styleId="964" w:customStyle="1">
    <w:name w:val="纯文本2"/>
    <w:basedOn w:val="878"/>
    <w:uiPriority w:val="0"/>
    <w:qFormat/>
    <w:rPr>
      <w:rFonts w:ascii="宋体" w:hAnsi="Courier New"/>
    </w:rPr>
  </w:style>
  <w:style w:type="paragraph" w:styleId="965" w:customStyle="1">
    <w:name w:val="TOC 标题1"/>
    <w:next w:val="878"/>
    <w:uiPriority w:val="0"/>
    <w:qFormat/>
    <w:rPr>
      <w:rFonts w:ascii="Times New Roman" w:hAnsi="Times New Roman" w:eastAsia="宋体" w:cs="Times New Roman"/>
      <w:sz w:val="32"/>
      <w:lang w:val="en-US" w:eastAsia="zh-CN" w:bidi="ar-SA"/>
    </w:rPr>
  </w:style>
  <w:style w:type="paragraph" w:styleId="966" w:customStyle="1">
    <w:name w:val="表格正文"/>
    <w:basedOn w:val="878"/>
    <w:next w:val="967"/>
    <w:uiPriority w:val="0"/>
    <w:qFormat/>
    <w:rPr>
      <w:rFonts w:ascii="宋体"/>
      <w:color w:val="000000"/>
      <w:sz w:val="22"/>
    </w:rPr>
  </w:style>
  <w:style w:type="paragraph" w:styleId="967" w:customStyle="1">
    <w:name w:val="目录 31"/>
    <w:next w:val="878"/>
    <w:uiPriority w:val="0"/>
    <w:qFormat/>
    <w:pPr>
      <w:ind w:left="425"/>
      <w:jc w:val="both"/>
    </w:pPr>
    <w:rPr>
      <w:rFonts w:ascii="Times New Roman" w:hAnsi="Times New Roman" w:eastAsia="宋体" w:cs="Times New Roman"/>
      <w:sz w:val="21"/>
      <w:lang w:val="en-US" w:eastAsia="zh-CN" w:bidi="ar-SA"/>
    </w:rPr>
  </w:style>
  <w:style w:type="paragraph" w:styleId="968" w:customStyle="1">
    <w:name w:val="Andy_二级"/>
    <w:basedOn w:val="878"/>
    <w:uiPriority w:val="0"/>
    <w:qFormat/>
    <w:pPr>
      <w:spacing w:line="360" w:lineRule="auto"/>
    </w:pPr>
    <w:rPr>
      <w:rFonts w:ascii="Calibri" w:hAnsi="Calibri"/>
      <w:sz w:val="24"/>
      <w:szCs w:val="22"/>
    </w:rPr>
  </w:style>
  <w:style w:type="paragraph" w:styleId="969" w:customStyle="1">
    <w:name w:val="！正文"/>
    <w:basedOn w:val="878"/>
    <w:uiPriority w:val="0"/>
    <w:qFormat/>
    <w:pPr>
      <w:ind w:firstLine="200"/>
      <w:spacing w:line="360" w:lineRule="auto"/>
    </w:pPr>
    <w:rPr>
      <w:rFonts w:ascii="Calibri" w:hAnsi="Calibri"/>
      <w:sz w:val="24"/>
      <w:szCs w:val="21"/>
    </w:rPr>
  </w:style>
  <w:style w:type="paragraph" w:styleId="970" w:customStyle="1">
    <w:name w:val="Default"/>
    <w:next w:val="878"/>
    <w:uiPriority w:val="0"/>
    <w:qFormat/>
    <w:pPr>
      <w:widowControl w:val="off"/>
    </w:pPr>
    <w:rPr>
      <w:rFonts w:ascii="Times New Roman" w:hAnsi="Times New Roman" w:eastAsia="宋体" w:cs="Times New Roman"/>
      <w:color w:val="000000"/>
      <w:sz w:val="24"/>
      <w:lang w:val="en-US" w:eastAsia="zh-CN" w:bidi="ar-SA"/>
    </w:rPr>
  </w:style>
  <w:style w:type="paragraph" w:styleId="971" w:customStyle="1">
    <w:name w:val="目录 41"/>
    <w:next w:val="878"/>
    <w:uiPriority w:val="0"/>
    <w:qFormat/>
    <w:pPr>
      <w:ind w:left="850"/>
      <w:jc w:val="both"/>
    </w:pPr>
    <w:rPr>
      <w:rFonts w:ascii="Times New Roman" w:hAnsi="Times New Roman" w:eastAsia="宋体" w:cs="Times New Roman"/>
      <w:sz w:val="21"/>
      <w:lang w:val="en-US" w:eastAsia="zh-CN" w:bidi="ar-SA"/>
    </w:rPr>
  </w:style>
  <w:style w:type="paragraph" w:styleId="972">
    <w:name w:val="List Paragraph"/>
    <w:basedOn w:val="878"/>
    <w:next w:val="920"/>
    <w:uiPriority w:val="34"/>
    <w:qFormat/>
    <w:pPr>
      <w:ind w:firstLine="420"/>
      <w:spacing w:line="360" w:lineRule="auto"/>
    </w:pPr>
  </w:style>
  <w:style w:type="paragraph" w:styleId="973" w:customStyle="1">
    <w:name w:val="Char1"/>
    <w:basedOn w:val="878"/>
    <w:next w:val="878"/>
    <w:uiPriority w:val="0"/>
    <w:qFormat/>
    <w:pPr>
      <w:ind w:left="960" w:hanging="420"/>
    </w:pPr>
    <w:rPr>
      <w:sz w:val="24"/>
    </w:rPr>
  </w:style>
  <w:style w:type="paragraph" w:styleId="974" w:customStyle="1">
    <w:name w:val="_Style 18"/>
    <w:basedOn w:val="878"/>
    <w:next w:val="878"/>
    <w:uiPriority w:val="0"/>
    <w:qFormat/>
    <w:rPr>
      <w:rFonts w:ascii="Tahoma"/>
      <w:sz w:val="24"/>
    </w:rPr>
  </w:style>
  <w:style w:type="paragraph" w:styleId="975" w:customStyle="1">
    <w:name w:val="纯文本1"/>
    <w:basedOn w:val="878"/>
    <w:uiPriority w:val="0"/>
    <w:qFormat/>
    <w:rPr>
      <w:rFonts w:ascii="宋体" w:eastAsia="楷体_GB2312"/>
      <w:sz w:val="28"/>
    </w:rPr>
  </w:style>
  <w:style w:type="paragraph" w:styleId="976">
    <w:name w:val="Intense Quote"/>
    <w:next w:val="878"/>
    <w:uiPriority w:val="0"/>
    <w:qFormat/>
    <w:pPr>
      <w:ind w:left="950" w:right="950"/>
      <w:jc w:val="center"/>
      <w:spacing w:before="360" w:after="360"/>
    </w:pPr>
    <w:rPr>
      <w:rFonts w:ascii="Times New Roman" w:hAnsi="Times New Roman" w:eastAsia="宋体" w:cs="Times New Roman"/>
      <w:i/>
      <w:sz w:val="21"/>
      <w:lang w:val="en-US" w:eastAsia="zh-CN" w:bidi="ar-SA"/>
    </w:rPr>
  </w:style>
  <w:style w:type="paragraph" w:styleId="977" w:customStyle="1">
    <w:name w:val="Default Paragraph Font Para Char"/>
    <w:basedOn w:val="878"/>
    <w:uiPriority w:val="0"/>
    <w:semiHidden/>
    <w:qFormat/>
    <w:pPr>
      <w:jc w:val="left"/>
      <w:spacing w:after="160" w:line="240" w:lineRule="exact"/>
      <w:widowControl/>
    </w:pPr>
    <w:rPr>
      <w:rFonts w:ascii="Verdana" w:hAnsi="Verdana"/>
      <w:sz w:val="20"/>
      <w:lang w:eastAsia="en-US"/>
    </w:rPr>
  </w:style>
  <w:style w:type="paragraph" w:styleId="978" w:customStyle="1">
    <w:name w:val="Char Char4 Char Char"/>
    <w:basedOn w:val="878"/>
    <w:next w:val="878"/>
    <w:uiPriority w:val="0"/>
    <w:qFormat/>
    <w:rPr>
      <w:rFonts w:ascii="Tahoma"/>
      <w:sz w:val="24"/>
    </w:rPr>
  </w:style>
  <w:style w:type="paragraph" w:styleId="979" w:customStyle="1">
    <w:name w:val="Char Char Char Char Char Char Char Char"/>
    <w:basedOn w:val="878"/>
    <w:next w:val="921"/>
    <w:uiPriority w:val="0"/>
    <w:qFormat/>
  </w:style>
  <w:style w:type="paragraph" w:styleId="980" w:customStyle="1">
    <w:name w:val="列出段落1"/>
    <w:basedOn w:val="878"/>
    <w:next w:val="896"/>
    <w:uiPriority w:val="0"/>
    <w:qFormat/>
    <w:pPr>
      <w:ind w:firstLine="200"/>
      <w:spacing w:line="360" w:lineRule="auto"/>
    </w:pPr>
    <w:rPr>
      <w:rFonts w:ascii="Calibri"/>
      <w:sz w:val="22"/>
    </w:rPr>
  </w:style>
  <w:style w:type="paragraph" w:styleId="981" w:customStyle="1">
    <w:name w:val="列表内容"/>
    <w:basedOn w:val="878"/>
    <w:next w:val="878"/>
    <w:uiPriority w:val="0"/>
    <w:qFormat/>
    <w:pPr>
      <w:ind w:left="840" w:hanging="420"/>
      <w:widowControl/>
    </w:pPr>
    <w:rPr>
      <w:sz w:val="18"/>
    </w:rPr>
  </w:style>
  <w:style w:type="paragraph" w:styleId="982" w:customStyle="1">
    <w:name w:val="规范正文"/>
    <w:basedOn w:val="878"/>
    <w:next w:val="965"/>
    <w:uiPriority w:val="0"/>
    <w:qFormat/>
    <w:pPr>
      <w:ind w:left="480"/>
      <w:spacing w:line="360" w:lineRule="auto"/>
    </w:pPr>
    <w:rPr>
      <w:sz w:val="24"/>
    </w:rPr>
  </w:style>
  <w:style w:type="paragraph" w:styleId="983" w:customStyle="1">
    <w:name w:val="表格正文 居中"/>
    <w:basedOn w:val="878"/>
    <w:next w:val="966"/>
    <w:uiPriority w:val="0"/>
    <w:qFormat/>
    <w:pPr>
      <w:jc w:val="center"/>
    </w:pPr>
    <w:rPr>
      <w:rFonts w:ascii="宋体"/>
    </w:rPr>
  </w:style>
  <w:style w:type="paragraph" w:styleId="984" w:customStyle="1">
    <w:name w:val="列出段落2"/>
    <w:basedOn w:val="878"/>
    <w:next w:val="878"/>
    <w:uiPriority w:val="0"/>
    <w:qFormat/>
    <w:pPr>
      <w:ind w:firstLine="420"/>
    </w:pPr>
    <w:rPr>
      <w:rFonts w:ascii="Calibri"/>
    </w:rPr>
  </w:style>
  <w:style w:type="paragraph" w:styleId="985" w:customStyle="1">
    <w:name w:val="表格标题"/>
    <w:basedOn w:val="878"/>
    <w:next w:val="982"/>
    <w:uiPriority w:val="0"/>
    <w:qFormat/>
    <w:pPr>
      <w:jc w:val="center"/>
    </w:pPr>
    <w:rPr>
      <w:rFonts w:ascii="宋体"/>
      <w:b/>
    </w:rPr>
  </w:style>
  <w:style w:type="paragraph" w:styleId="986" w:customStyle="1">
    <w:name w:val="Char Char Char Char Char Char Char Char Char1 Char"/>
    <w:next w:val="893"/>
    <w:uiPriority w:val="0"/>
    <w:qFormat/>
    <w:pPr>
      <w:jc w:val="both"/>
      <w:spacing w:line="360" w:lineRule="auto"/>
      <w:shd w:val="clear" w:color="000000" w:fill="000080"/>
      <w:widowControl w:val="off"/>
    </w:pPr>
    <w:rPr>
      <w:rFonts w:ascii="Times New Roman" w:hAnsi="Times New Roman" w:eastAsia="宋体" w:cs="Times New Roman"/>
      <w:sz w:val="21"/>
      <w:lang w:val="en-US" w:eastAsia="zh-CN" w:bidi="ar-SA"/>
    </w:rPr>
  </w:style>
  <w:style w:type="paragraph" w:styleId="987" w:customStyle="1">
    <w:name w:val="彩色列表 - 着色 11"/>
    <w:basedOn w:val="878"/>
    <w:next w:val="878"/>
    <w:uiPriority w:val="0"/>
    <w:qFormat/>
    <w:pPr>
      <w:ind w:firstLine="420"/>
    </w:pPr>
    <w:rPr>
      <w:rFonts w:ascii="Calibri"/>
    </w:rPr>
  </w:style>
  <w:style w:type="paragraph" w:styleId="988" w:customStyle="1">
    <w:name w:val="目录 61"/>
    <w:next w:val="878"/>
    <w:uiPriority w:val="0"/>
    <w:qFormat/>
    <w:pPr>
      <w:ind w:left="1700"/>
      <w:jc w:val="both"/>
    </w:pPr>
    <w:rPr>
      <w:rFonts w:ascii="Times New Roman" w:hAnsi="Times New Roman" w:eastAsia="宋体" w:cs="Times New Roman"/>
      <w:sz w:val="21"/>
      <w:lang w:val="en-US" w:eastAsia="zh-CN" w:bidi="ar-SA"/>
    </w:rPr>
  </w:style>
  <w:style w:type="paragraph" w:styleId="989" w:customStyle="1">
    <w:name w:val="目录 81"/>
    <w:next w:val="878"/>
    <w:uiPriority w:val="0"/>
    <w:qFormat/>
    <w:pPr>
      <w:ind w:left="2550"/>
      <w:jc w:val="both"/>
    </w:pPr>
    <w:rPr>
      <w:rFonts w:ascii="Times New Roman" w:hAnsi="Times New Roman" w:eastAsia="宋体" w:cs="Times New Roman"/>
      <w:sz w:val="21"/>
      <w:lang w:val="en-US" w:eastAsia="zh-CN" w:bidi="ar-SA"/>
    </w:rPr>
  </w:style>
  <w:style w:type="paragraph" w:styleId="990" w:customStyle="1">
    <w:name w:val="Char Char4 Char"/>
    <w:basedOn w:val="878"/>
    <w:next w:val="987"/>
    <w:uiPriority w:val="0"/>
    <w:qFormat/>
    <w:rPr>
      <w:rFonts w:ascii="Tahoma"/>
      <w:sz w:val="24"/>
    </w:rPr>
  </w:style>
  <w:style w:type="paragraph" w:styleId="991" w:customStyle="1">
    <w:name w:val="Char Char1"/>
    <w:basedOn w:val="878"/>
    <w:next w:val="878"/>
    <w:uiPriority w:val="0"/>
    <w:qFormat/>
    <w:pPr>
      <w:spacing w:after="160" w:line="240" w:lineRule="exact"/>
      <w:widowControl/>
    </w:pPr>
    <w:rPr>
      <w:rFonts w:ascii="Verdana"/>
      <w:sz w:val="20"/>
    </w:rPr>
  </w:style>
  <w:style w:type="paragraph" w:styleId="992" w:customStyle="1">
    <w:name w:val="表格1"/>
    <w:basedOn w:val="878"/>
    <w:next w:val="878"/>
    <w:uiPriority w:val="0"/>
    <w:qFormat/>
    <w:pPr>
      <w:jc w:val="center"/>
      <w:spacing w:line="288" w:lineRule="auto"/>
    </w:pPr>
    <w:rPr>
      <w:rFonts w:ascii="宋体"/>
      <w:sz w:val="18"/>
    </w:rPr>
  </w:style>
  <w:style w:type="paragraph" w:styleId="993" w:customStyle="1">
    <w:name w:val="QB正文"/>
    <w:basedOn w:val="878"/>
    <w:next w:val="892"/>
    <w:uiPriority w:val="0"/>
    <w:qFormat/>
    <w:pPr>
      <w:ind w:firstLine="200"/>
      <w:widowControl/>
    </w:pPr>
    <w:rPr>
      <w:rFonts w:ascii="宋体"/>
    </w:rPr>
  </w:style>
  <w:style w:type="paragraph" w:styleId="994" w:customStyle="1">
    <w:name w:val="正文首行缩进两字符"/>
    <w:basedOn w:val="878"/>
    <w:uiPriority w:val="0"/>
    <w:qFormat/>
    <w:pPr>
      <w:ind w:firstLine="200"/>
      <w:spacing w:line="360" w:lineRule="auto"/>
    </w:pPr>
    <w:rPr>
      <w:szCs w:val="24"/>
    </w:rPr>
  </w:style>
  <w:style w:type="paragraph" w:styleId="995" w:customStyle="1">
    <w:name w:val="_正文段落"/>
    <w:basedOn w:val="878"/>
    <w:next w:val="908"/>
    <w:uiPriority w:val="0"/>
    <w:qFormat/>
    <w:pPr>
      <w:ind w:firstLine="200"/>
      <w:spacing w:before="50" w:after="50" w:line="360" w:lineRule="auto"/>
    </w:pPr>
    <w:rPr>
      <w:sz w:val="24"/>
    </w:rPr>
  </w:style>
  <w:style w:type="paragraph" w:styleId="996" w:customStyle="1">
    <w:name w:val="Char Char Char"/>
    <w:basedOn w:val="878"/>
    <w:next w:val="878"/>
    <w:uiPriority w:val="0"/>
    <w:qFormat/>
    <w:rPr>
      <w:rFonts w:ascii="Tahoma"/>
      <w:sz w:val="24"/>
    </w:rPr>
  </w:style>
  <w:style w:type="paragraph" w:styleId="997" w:customStyle="1">
    <w:name w:val="纯文本11"/>
    <w:basedOn w:val="878"/>
    <w:uiPriority w:val="0"/>
    <w:qFormat/>
    <w:rPr>
      <w:rFonts w:ascii="宋体" w:hAnsi="Courier New" w:eastAsia="楷体_GB2312"/>
      <w:sz w:val="28"/>
    </w:rPr>
  </w:style>
  <w:style w:type="paragraph" w:styleId="998" w:customStyle="1">
    <w:name w:val="Andy_正文"/>
    <w:basedOn w:val="878"/>
    <w:next w:val="906"/>
    <w:uiPriority w:val="0"/>
    <w:qFormat/>
    <w:pPr>
      <w:ind w:firstLine="480"/>
      <w:spacing w:line="360" w:lineRule="auto"/>
    </w:pPr>
    <w:rPr>
      <w:rFonts w:ascii="Calibri"/>
      <w:sz w:val="24"/>
    </w:rPr>
  </w:style>
  <w:style w:type="paragraph" w:styleId="999">
    <w:name w:val="Quote"/>
    <w:next w:val="878"/>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1000" w:customStyle="1">
    <w:name w:val="默认段落字体 Para Char Char Char Char Char Char Char"/>
    <w:basedOn w:val="878"/>
    <w:next w:val="878"/>
    <w:uiPriority w:val="0"/>
    <w:qFormat/>
    <w:pPr>
      <w:spacing w:line="360" w:lineRule="auto"/>
    </w:pPr>
    <w:rPr>
      <w:rFonts w:ascii="Tahoma"/>
      <w:sz w:val="24"/>
    </w:rPr>
  </w:style>
  <w:style w:type="paragraph" w:styleId="1001" w:customStyle="1">
    <w:name w:val="Plain Text1"/>
    <w:basedOn w:val="878"/>
    <w:uiPriority w:val="0"/>
    <w:qFormat/>
    <w:rPr>
      <w:rFonts w:ascii="宋体" w:hAnsi="Courier New"/>
    </w:rPr>
  </w:style>
  <w:style w:type="paragraph" w:styleId="1002" w:customStyle="1">
    <w:name w:val="TOC 标题2"/>
    <w:next w:val="878"/>
    <w:uiPriority w:val="0"/>
    <w:qFormat/>
    <w:rPr>
      <w:rFonts w:ascii="Times New Roman" w:hAnsi="Times New Roman" w:eastAsia="宋体" w:cs="Times New Roman"/>
      <w:sz w:val="32"/>
      <w:lang w:val="en-US" w:eastAsia="zh-CN" w:bidi="ar-SA"/>
    </w:rPr>
  </w:style>
  <w:style w:type="paragraph" w:styleId="1003" w:customStyle="1">
    <w:name w:val="目录 22"/>
    <w:basedOn w:val="878"/>
    <w:next w:val="878"/>
    <w:uiPriority w:val="0"/>
    <w:qFormat/>
    <w:pPr>
      <w:ind w:left="420"/>
      <w:spacing w:line="400" w:lineRule="exact"/>
    </w:pPr>
    <w:rPr>
      <w:b/>
      <w:sz w:val="24"/>
    </w:rPr>
  </w:style>
  <w:style w:type="paragraph" w:styleId="1004" w:customStyle="1">
    <w:name w:val="p0"/>
    <w:basedOn w:val="878"/>
    <w:next w:val="912"/>
    <w:uiPriority w:val="0"/>
    <w:qFormat/>
    <w:pPr>
      <w:widowControl/>
    </w:pPr>
    <w:rPr>
      <w:sz w:val="26"/>
    </w:rPr>
  </w:style>
  <w:style w:type="paragraph" w:styleId="1005" w:customStyle="1">
    <w:name w:val="首行缩进"/>
    <w:basedOn w:val="878"/>
    <w:uiPriority w:val="0"/>
    <w:qFormat/>
    <w:pPr>
      <w:ind w:firstLine="480"/>
    </w:pPr>
  </w:style>
  <w:style w:type="paragraph" w:styleId="1006" w:customStyle="1">
    <w:name w:val="03 正文"/>
    <w:basedOn w:val="878"/>
    <w:uiPriority w:val="0"/>
    <w:qFormat/>
    <w:pPr>
      <w:ind w:firstLine="420"/>
      <w:spacing w:line="500" w:lineRule="atLeast"/>
      <w:widowControl/>
    </w:pPr>
    <w:rPr>
      <w:szCs w:val="22"/>
    </w:rPr>
  </w:style>
  <w:style w:type="character" w:styleId="1007" w:customStyle="1">
    <w:name w:val="font01"/>
    <w:basedOn w:val="888"/>
    <w:uiPriority w:val="0"/>
    <w:qFormat/>
    <w:rPr>
      <w:rFonts w:hint="eastAsia" w:ascii="宋体" w:hAnsi="宋体" w:eastAsia="宋体" w:cs="宋体"/>
      <w:color w:val="000000"/>
      <w:sz w:val="24"/>
      <w:szCs w:val="24"/>
      <w:u w:val="none"/>
    </w:rPr>
  </w:style>
  <w:style w:type="character" w:styleId="1008" w:customStyle="1">
    <w:name w:val="c-icon"/>
    <w:basedOn w:val="888"/>
    <w:uiPriority w:val="0"/>
    <w:qFormat/>
  </w:style>
  <w:style w:type="character" w:styleId="1009" w:customStyle="1">
    <w:name w:val="hover26"/>
    <w:basedOn w:val="888"/>
    <w:uiPriority w:val="0"/>
    <w:qFormat/>
    <w:rPr>
      <w:color w:val="315efb"/>
    </w:rPr>
  </w:style>
  <w:style w:type="character" w:styleId="1010" w:customStyle="1">
    <w:name w:val="hover27"/>
    <w:basedOn w:val="888"/>
    <w:uiPriority w:val="0"/>
    <w:qFormat/>
    <w:rPr>
      <w:color w:val="315efb"/>
    </w:rPr>
  </w:style>
  <w:style w:type="character" w:styleId="1011" w:customStyle="1">
    <w:name w:val="hover28"/>
    <w:basedOn w:val="888"/>
    <w:uiPriority w:val="0"/>
    <w:qFormat/>
  </w:style>
  <w:style w:type="character" w:styleId="1012" w:customStyle="1">
    <w:name w:val="content-right_8zs401"/>
    <w:basedOn w:val="888"/>
    <w:uiPriority w:val="0"/>
    <w:qFormat/>
  </w:style>
  <w:style w:type="paragraph" w:styleId="1013" w:customStyle="1">
    <w:name w:val="纯文本21"/>
    <w:basedOn w:val="878"/>
    <w:uiPriority w:val="0"/>
    <w:qFormat/>
    <w:rPr>
      <w:rFonts w:ascii="宋体" w:hAnsi="Courier New"/>
    </w:rPr>
  </w:style>
  <w:style w:type="paragraph" w:styleId="1014" w:customStyle="1">
    <w:name w:val="正文 A"/>
    <w:uiPriority w:val="0"/>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1015" w:customStyle="1">
    <w:name w:val="纯文本3"/>
    <w:basedOn w:val="878"/>
    <w:uiPriority w:val="0"/>
    <w:qFormat/>
    <w:rPr>
      <w:rFonts w:ascii="宋体" w:hAnsi="Courier New"/>
    </w:rPr>
  </w:style>
  <w:style w:type="paragraph" w:styleId="1016" w:customStyle="1">
    <w:name w:val="TableOfAuthoring"/>
    <w:basedOn w:val="878"/>
    <w:next w:val="878"/>
    <w:uiPriority w:val="0"/>
    <w:qFormat/>
    <w:pPr>
      <w:ind w:left="420"/>
    </w:pPr>
    <w:rPr>
      <w:rFonts w:ascii="Calibri" w:hAnsi="Calibri" w:eastAsia="楷体_GB2312"/>
      <w:szCs w:val="24"/>
    </w:rPr>
  </w:style>
  <w:style w:type="character" w:styleId="1017" w:customStyle="1">
    <w:name w:val="font11"/>
    <w:basedOn w:val="888"/>
    <w:uiPriority w:val="0"/>
    <w:qFormat/>
    <w:rPr>
      <w:rFonts w:hint="eastAsia" w:ascii="宋体" w:hAnsi="宋体" w:eastAsia="宋体" w:cs="宋体"/>
      <w:color w:val="000000"/>
      <w:sz w:val="20"/>
      <w:szCs w:val="20"/>
      <w:u w:val="none"/>
    </w:rPr>
  </w:style>
  <w:style w:type="character" w:styleId="1018" w:customStyle="1">
    <w:name w:val="font21"/>
    <w:basedOn w:val="888"/>
    <w:uiPriority w:val="0"/>
    <w:qFormat/>
    <w:rPr>
      <w:rFonts w:hint="eastAsia" w:ascii="宋体" w:hAnsi="宋体" w:eastAsia="宋体" w:cs="宋体"/>
      <w:color w:val="000000"/>
      <w:sz w:val="20"/>
      <w:szCs w:val="20"/>
      <w:u w:val="none"/>
    </w:rPr>
  </w:style>
  <w:style w:type="paragraph" w:styleId="1019" w:customStyle="1">
    <w:name w:val="表格"/>
    <w:basedOn w:val="878"/>
    <w:uiPriority w:val="0"/>
    <w:qFormat/>
    <w:pPr>
      <w:jc w:val="center"/>
      <w:widowControl/>
    </w:pPr>
    <w:rPr>
      <w:rFonts w:cs="宋体"/>
      <w:color w:val="000000"/>
    </w:rPr>
  </w:style>
  <w:style w:type="paragraph" w:styleId="1020" w:customStyle="1">
    <w:name w:val="报告正文"/>
    <w:basedOn w:val="878"/>
    <w:uiPriority w:val="0"/>
    <w:qFormat/>
    <w:rPr>
      <w:szCs w:val="24"/>
    </w:rPr>
  </w:style>
  <w:style w:type="paragraph" w:styleId="1021" w:customStyle="1">
    <w:name w:val="正文_1"/>
    <w:uiPriority w:val="0"/>
    <w:qFormat/>
    <w:pPr>
      <w:jc w:val="both"/>
      <w:widowControl w:val="off"/>
    </w:pPr>
    <w:rPr>
      <w:rFonts w:ascii="Calibri" w:hAnsi="Calibri" w:eastAsia="宋体" w:cs="Times New Roman"/>
      <w:sz w:val="21"/>
      <w:szCs w:val="22"/>
      <w:lang w:val="en-US" w:eastAsia="zh-CN" w:bidi="ar-SA"/>
    </w:rPr>
  </w:style>
  <w:style w:type="character" w:styleId="1022" w:customStyle="1">
    <w:name w:val="页眉 字符"/>
    <w:basedOn w:val="888"/>
    <w:link w:val="909"/>
    <w:uiPriority w:val="0"/>
    <w:qFormat/>
    <w:rPr>
      <w:sz w:val="18"/>
    </w:rPr>
  </w:style>
  <w:style w:type="character" w:styleId="1023" w:customStyle="1">
    <w:name w:val="页脚 字符"/>
    <w:basedOn w:val="888"/>
    <w:link w:val="908"/>
    <w:uiPriority w:val="0"/>
    <w:qFormat/>
    <w:rPr>
      <w:sz w:val="18"/>
    </w:rPr>
  </w:style>
  <w:style w:type="paragraph" w:styleId="1024" w:customStyle="1">
    <w:name w:val="标题 31"/>
    <w:basedOn w:val="878"/>
    <w:next w:val="878"/>
    <w:uiPriority w:val="9"/>
    <w:qFormat/>
    <w:pPr>
      <w:jc w:val="left"/>
      <w:keepLines/>
      <w:keepNext/>
      <w:outlineLvl w:val="2"/>
    </w:pPr>
    <w:rPr>
      <w:rFonts w:eastAsia="楷体_GB2312"/>
      <w:b/>
      <w:sz w:val="28"/>
    </w:rPr>
  </w:style>
  <w:style w:type="paragraph" w:styleId="1025" w:customStyle="1">
    <w:name w:val="正文缩进111"/>
    <w:basedOn w:val="878"/>
    <w:next w:val="878"/>
    <w:uiPriority w:val="0"/>
    <w:qFormat/>
    <w:pPr>
      <w:ind w:firstLine="420"/>
      <w:jc w:val="left"/>
    </w:pPr>
    <w:rPr>
      <w:sz w:val="24"/>
    </w:rPr>
  </w:style>
  <w:style w:type="paragraph" w:styleId="1026" w:customStyle="1">
    <w:name w:val="纯文本4"/>
    <w:basedOn w:val="878"/>
    <w:uiPriority w:val="0"/>
    <w:qFormat/>
    <w:rPr>
      <w:rFonts w:ascii="宋体" w:hAnsi="Courier New"/>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B8891F9-CBED-460A-A4CE-747E06FD52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雨婷1382922454</dc:creator>
  <cp:lastModifiedBy>王雨</cp:lastModifiedBy>
  <cp:revision>9</cp:revision>
  <dcterms:created xsi:type="dcterms:W3CDTF">2024-04-11T17:34:00Z</dcterms:created>
  <dcterms:modified xsi:type="dcterms:W3CDTF">2026-05-14T07:23:53Z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2D1C956F292544ED813111B44B0E1DF9_13</vt:lpwstr>
  </property>
  <property fmtid="{D5CDD505-2E9C-101B-9397-08002B2CF9AE}" pid="4" name="KSOTemplateDocerSaveRecord">
    <vt:lpwstr>eyJoZGlkIjoiMTk3YTM3OTRiNzI0NDZiNTM2NGY3ZmZmMTViMThmYjQiLCJ1c2VySWQiOiI1MDA1OTk4MzAifQ==</vt:lpwstr>
  </property>
</Properties>
</file>