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hint="eastAsia" w:ascii="宋体" w:hAnsi="宋体" w:cs="宋体"/>
          <w:color w:val="auto"/>
          <w:sz w:val="72"/>
          <w:szCs w:val="72"/>
          <w:highlight w:val="none"/>
        </w:rPr>
      </w:pPr>
      <w:r/>
      <w:bookmarkStart w:id="0" w:name="_Toc2583690"/>
      <w:r/>
      <w:r/>
    </w:p>
    <w:p>
      <w:pPr>
        <w:jc w:val="center"/>
        <w:rPr>
          <w:rFonts w:hint="eastAsia" w:ascii="宋体" w:hAnsi="宋体" w:cs="宋体"/>
          <w:b/>
          <w:bCs/>
          <w:color w:val="auto"/>
          <w:sz w:val="108"/>
          <w:highlight w:val="none"/>
        </w:rPr>
      </w:pPr>
      <w:r>
        <w:rPr>
          <w:rFonts w:hint="eastAsia" w:ascii="宋体" w:hAnsi="宋体" w:cs="宋体"/>
          <w:b/>
          <w:color w:val="auto"/>
          <w:sz w:val="72"/>
          <w:highlight w:val="none"/>
        </w:rPr>
        <w:t xml:space="preserve">苏 州 市 政 府 采 购</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bCs/>
          <w:color w:val="auto"/>
          <w:sz w:val="108"/>
          <w:highlight w:val="none"/>
        </w:rPr>
      </w:pPr>
      <w:r>
        <w:rPr>
          <w:rFonts w:hint="eastAsia" w:ascii="宋体" w:hAnsi="宋体" w:cs="宋体"/>
          <w:b/>
          <w:color w:val="auto"/>
          <w:sz w:val="72"/>
          <w:highlight w:val="none"/>
        </w:rPr>
        <w:t xml:space="preserve">招 标 文 件</w:t>
      </w:r>
      <w:r/>
    </w:p>
    <w:p>
      <w:pPr>
        <w:rPr>
          <w:rFonts w:hint="eastAsia" w:ascii="宋体" w:hAnsi="宋体" w:cs="宋体"/>
          <w:b/>
          <w:bCs/>
          <w:color w:val="auto"/>
          <w:sz w:val="32"/>
          <w:highlight w:val="none"/>
        </w:rPr>
      </w:pPr>
      <w:r>
        <w:rPr>
          <w:rFonts w:hint="eastAsia" w:ascii="宋体" w:hAnsi="宋体" w:cs="宋体"/>
          <w:b/>
          <w:bCs/>
          <w:color w:val="auto"/>
          <w:sz w:val="32"/>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022"/>
        <w:rPr>
          <w:rFonts w:hint="eastAsia" w:ascii="宋体" w:hAnsi="宋体" w:cs="宋体"/>
          <w:b/>
          <w:bCs/>
          <w:color w:val="auto"/>
          <w:sz w:val="32"/>
          <w:highlight w:val="none"/>
        </w:rPr>
      </w:pPr>
      <w:r>
        <w:rPr>
          <w:rFonts w:hint="eastAsia" w:ascii="宋体" w:hAnsi="宋体" w:cs="宋体"/>
          <w:b/>
          <w:bCs/>
          <w:color w:val="auto"/>
          <w:sz w:val="32"/>
          <w:highlight w:val="none"/>
        </w:rPr>
      </w:r>
      <w:r/>
    </w:p>
    <w:p>
      <w:pPr>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022"/>
        <w:rPr>
          <w:rFonts w:hint="eastAsia" w:ascii="宋体" w:hAnsi="宋体" w:cs="宋体"/>
          <w:b/>
          <w:bCs/>
          <w:color w:val="auto"/>
          <w:sz w:val="32"/>
          <w:highlight w:val="none"/>
        </w:rPr>
      </w:pPr>
      <w:r>
        <w:rPr>
          <w:rFonts w:hint="eastAsia" w:ascii="宋体" w:hAnsi="宋体" w:cs="宋体"/>
          <w:b/>
          <w:bCs/>
          <w:color w:val="auto"/>
          <w:sz w:val="32"/>
          <w:highlight w:val="none"/>
        </w:rPr>
      </w:r>
      <w:r/>
    </w:p>
    <w:p>
      <w:pPr>
        <w:rPr>
          <w:color w:val="auto"/>
          <w:highlight w:val="none"/>
        </w:rPr>
      </w:pPr>
      <w:r>
        <w:rPr>
          <w:color w:val="auto"/>
          <w:highlight w:val="none"/>
        </w:rPr>
      </w:r>
      <w:r/>
    </w:p>
    <w:p>
      <w:pPr>
        <w:jc w:val="center"/>
        <w:spacing w:line="480" w:lineRule="auto"/>
        <w:rPr>
          <w:rFonts w:hint="eastAsia" w:ascii="宋体" w:hAnsi="宋体" w:eastAsia="宋体" w:cs="宋体"/>
          <w:b/>
          <w:color w:val="auto"/>
          <w:sz w:val="32"/>
          <w:szCs w:val="21"/>
          <w:highlight w:val="none"/>
          <w:lang w:eastAsia="zh-CN"/>
        </w:rPr>
      </w:pPr>
      <w:r>
        <w:rPr>
          <w:rFonts w:hint="eastAsia" w:ascii="宋体" w:hAnsi="宋体" w:cs="宋体"/>
          <w:b/>
          <w:color w:val="auto"/>
          <w:sz w:val="32"/>
          <w:szCs w:val="21"/>
          <w:highlight w:val="none"/>
        </w:rPr>
        <w:t xml:space="preserve">采购编号：</w:t>
      </w:r>
      <w:bookmarkStart w:id="58" w:name="_GoBack"/>
      <w:r/>
      <w:bookmarkEnd w:id="58"/>
      <w:r>
        <w:rPr>
          <w:rFonts w:hint="eastAsia" w:ascii="宋体" w:hAnsi="宋体" w:cs="宋体"/>
          <w:b/>
          <w:color w:val="auto"/>
          <w:sz w:val="32"/>
          <w:szCs w:val="21"/>
          <w:highlight w:val="none"/>
          <w:lang w:eastAsia="zh-CN"/>
        </w:rPr>
        <w:t xml:space="preserve">JSZC-320500-CXJT-G2026-0010</w:t>
      </w:r>
      <w:r/>
    </w:p>
    <w:p>
      <w:pPr>
        <w:pStyle w:val="1022"/>
        <w:ind w:firstLine="0"/>
        <w:jc w:val="center"/>
        <w:spacing w:line="48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采购单位：苏州市水利水务信息调度指挥中心</w:t>
      </w:r>
      <w:r/>
    </w:p>
    <w:p>
      <w:pPr>
        <w:jc w:val="center"/>
        <w:spacing w:line="480" w:lineRule="auto"/>
        <w:rPr>
          <w:rFonts w:hint="eastAsia" w:ascii="宋体" w:hAnsi="宋体" w:cs="宋体"/>
          <w:b/>
          <w:color w:val="auto"/>
          <w:sz w:val="32"/>
          <w:szCs w:val="21"/>
          <w:highlight w:val="none"/>
        </w:rPr>
      </w:pPr>
      <w:r>
        <w:rPr>
          <w:rFonts w:hint="eastAsia" w:ascii="宋体" w:hAnsi="宋体" w:cs="宋体"/>
          <w:b/>
          <w:color w:val="auto"/>
          <w:sz w:val="32"/>
          <w:szCs w:val="21"/>
          <w:highlight w:val="none"/>
        </w:rPr>
        <w:t xml:space="preserve">项目名称：2026年智水苏州室外硬件设备运维备品备件采购</w:t>
      </w:r>
      <w:r/>
    </w:p>
    <w:p>
      <w:pPr>
        <w:pStyle w:val="1022"/>
        <w:ind w:firstLine="0"/>
        <w:jc w:val="center"/>
        <w:spacing w:line="480" w:lineRule="auto"/>
        <w:rPr>
          <w:color w:val="auto"/>
          <w:highlight w:val="none"/>
        </w:rPr>
      </w:pPr>
      <w:r>
        <w:rPr>
          <w:rFonts w:hint="eastAsia" w:ascii="宋体" w:hAnsi="宋体" w:cs="宋体"/>
          <w:b/>
          <w:color w:val="auto"/>
          <w:sz w:val="32"/>
          <w:szCs w:val="32"/>
          <w:highlight w:val="none"/>
        </w:rPr>
        <w:t xml:space="preserve">项目类别</w:t>
      </w:r>
      <w:r>
        <w:rPr>
          <w:rFonts w:hint="eastAsia" w:cs="宋体"/>
          <w:b/>
          <w:color w:val="auto"/>
          <w:sz w:val="32"/>
          <w:szCs w:val="32"/>
          <w:highlight w:val="none"/>
        </w:rPr>
        <w:t xml:space="preserve">：</w:t>
      </w:r>
      <w:r>
        <w:rPr>
          <w:rFonts w:hint="eastAsia" w:ascii="宋体" w:hAnsi="宋体" w:cs="宋体"/>
          <w:b/>
          <w:color w:val="auto"/>
          <w:sz w:val="32"/>
          <w:highlight w:val="none"/>
        </w:rPr>
        <w:t xml:space="preserve">货物类</w:t>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cs="宋体"/>
          <w:b/>
          <w:bCs/>
          <w:color w:val="auto"/>
          <w:sz w:val="32"/>
          <w:highlight w:val="none"/>
        </w:rPr>
      </w:r>
      <w:r/>
    </w:p>
    <w:p>
      <w:pPr>
        <w:jc w:val="center"/>
        <w:rPr>
          <w:rFonts w:cs="宋体"/>
          <w:b/>
          <w:bCs/>
          <w:color w:val="auto"/>
          <w:sz w:val="32"/>
          <w:highlight w:val="none"/>
        </w:rPr>
      </w:pPr>
      <w:r>
        <w:rPr>
          <w:rFonts w:hint="eastAsia" w:cs="宋体"/>
          <w:b/>
          <w:bCs/>
          <w:color w:val="auto"/>
          <w:sz w:val="32"/>
          <w:highlight w:val="none"/>
        </w:rPr>
        <w:t xml:space="preserve">诚信金泰建设管理（苏州）有限公司</w:t>
      </w:r>
      <w:r/>
    </w:p>
    <w:p>
      <w:pPr>
        <w:jc w:val="center"/>
        <w:rPr>
          <w:rFonts w:hint="eastAsia" w:asciiTheme="minorEastAsia" w:hAnsiTheme="minorEastAsia" w:eastAsiaTheme="minorEastAsia" w:cstheme="minorEastAsia"/>
          <w:color w:val="auto"/>
          <w:szCs w:val="21"/>
          <w:highlight w:val="none"/>
        </w:rPr>
      </w:pPr>
      <w:r>
        <w:rPr>
          <w:rFonts w:hint="eastAsia" w:ascii="宋体" w:hAnsi="宋体" w:cs="宋体"/>
          <w:b/>
          <w:bCs/>
          <w:color w:val="auto"/>
          <w:sz w:val="32"/>
          <w:highlight w:val="none"/>
        </w:rPr>
        <w:t xml:space="preserve">二〇二六年</w:t>
      </w:r>
      <w:r>
        <w:rPr>
          <w:rFonts w:hint="eastAsia" w:ascii="宋体" w:hAnsi="宋体" w:cs="宋体"/>
          <w:b/>
          <w:bCs/>
          <w:color w:val="auto"/>
          <w:sz w:val="32"/>
          <w:highlight w:val="none"/>
          <w:lang w:val="en-US" w:eastAsia="zh-CN"/>
        </w:rPr>
        <w:t xml:space="preserve">六</w:t>
      </w:r>
      <w:r>
        <w:rPr>
          <w:rFonts w:hint="eastAsia" w:ascii="宋体" w:hAnsi="宋体" w:cs="宋体"/>
          <w:b/>
          <w:bCs/>
          <w:color w:val="auto"/>
          <w:sz w:val="32"/>
          <w:highlight w:val="none"/>
        </w:rPr>
        <w:t xml:space="preserve">月</w:t>
      </w:r>
      <w:r>
        <w:rPr>
          <w:rFonts w:hint="eastAsia" w:asciiTheme="minorEastAsia" w:hAnsiTheme="minorEastAsia" w:eastAsiaTheme="minorEastAsia" w:cstheme="minorEastAsia"/>
          <w:color w:val="auto"/>
          <w:szCs w:val="21"/>
          <w:highlight w:val="none"/>
        </w:rPr>
        <w:br w:type="page" w:clear="all"/>
      </w:r>
      <w:r/>
    </w:p>
    <w:p>
      <w:pPr>
        <w:jc w:val="center"/>
        <w:tabs>
          <w:tab w:val="left" w:pos="315" w:leader="none"/>
          <w:tab w:val="center" w:pos="4153"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前附表</w:t>
      </w:r>
      <w:bookmarkEnd w:id="0"/>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本表是本招标项目的具体资料，是对投标方须知的具体补充和修改，如有矛盾，应以本表为准。</w:t>
      </w:r>
      <w:r/>
    </w:p>
    <w:tbl>
      <w:tblPr>
        <w:tblStyle w:val="764"/>
        <w:tblW w:w="8734" w:type="dxa"/>
        <w:tblInd w:w="0" w:type="dxa"/>
        <w:tblLayout w:type="fixed"/>
        <w:tblCellMar>
          <w:left w:w="0" w:type="dxa"/>
          <w:top w:w="0" w:type="dxa"/>
          <w:right w:w="0" w:type="dxa"/>
          <w:bottom w:w="0" w:type="dxa"/>
        </w:tblCellMar>
        <w:tblLook w:val="04A0" w:firstRow="1" w:lastRow="0" w:firstColumn="1" w:lastColumn="0" w:noHBand="0" w:noVBand="1"/>
      </w:tblPr>
      <w:tblGrid>
        <w:gridCol w:w="675"/>
        <w:gridCol w:w="1735"/>
        <w:gridCol w:w="6324"/>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JSZC-320500-CXJT-G2026-0010</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2026年智水苏州室外硬件设备运维备品备件采购</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109.36万元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采购代理机构</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单位名称：诚信金泰建设管理（苏州）有限公司</w:t>
            </w:r>
            <w:r/>
          </w:p>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单位地址：苏州市吴中区盘蠡新村25-1幢</w:t>
            </w:r>
            <w:r/>
          </w:p>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联系人：徐珊珊</w:t>
            </w:r>
            <w:r/>
          </w:p>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联系电话：17312310992</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单位名称：苏州市水利水务信息调度指挥中心</w:t>
            </w:r>
            <w:r/>
          </w:p>
          <w:p>
            <w:pPr>
              <w:jc w:val="lef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单位地址：苏州市高新区玉山路11号</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联系人：</w:t>
            </w:r>
            <w:r>
              <w:rPr>
                <w:rFonts w:hint="eastAsia" w:asciiTheme="minorEastAsia" w:hAnsiTheme="minorEastAsia" w:eastAsiaTheme="minorEastAsia" w:cstheme="minorEastAsia"/>
                <w:color w:val="auto"/>
                <w:szCs w:val="21"/>
                <w:highlight w:val="none"/>
              </w:rPr>
              <w:t xml:space="preserve">贾甜博</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联系电话：18</w:t>
            </w:r>
            <w:r>
              <w:rPr>
                <w:rFonts w:hint="eastAsia" w:asciiTheme="minorEastAsia" w:hAnsiTheme="minorEastAsia" w:eastAsiaTheme="minorEastAsia" w:cstheme="minorEastAsia"/>
                <w:color w:val="auto"/>
                <w:szCs w:val="21"/>
                <w:highlight w:val="none"/>
              </w:rPr>
              <w:t xml:space="preserve">014004512</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提交投标文件截止之日起六十日历日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获取招标文件</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投标文件网上</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2026年</w:t>
            </w:r>
            <w:r>
              <w:rPr>
                <w:rFonts w:hint="eastAsia" w:asciiTheme="minorEastAsia" w:hAnsiTheme="minorEastAsia" w:eastAsiaTheme="minorEastAsia" w:cstheme="minorEastAsia"/>
                <w:color w:val="auto"/>
                <w:szCs w:val="21"/>
                <w:highlight w:val="none"/>
                <w:u w:val="single"/>
                <w:lang w:val="en-US" w:eastAsia="zh-CN"/>
              </w:rPr>
              <w:t xml:space="preserve">6</w:t>
            </w:r>
            <w:r>
              <w:rPr>
                <w:rFonts w:hint="eastAsia" w:asciiTheme="minorEastAsia" w:hAnsiTheme="minorEastAsia" w:eastAsiaTheme="minorEastAsia" w:cstheme="minorEastAsia"/>
                <w:color w:val="auto"/>
                <w:szCs w:val="21"/>
                <w:highlight w:val="none"/>
                <w:u w:val="single"/>
              </w:rPr>
              <w:t xml:space="preserve">月</w:t>
            </w:r>
            <w:r>
              <w:rPr>
                <w:rFonts w:hint="eastAsia" w:asciiTheme="minorEastAsia" w:hAnsiTheme="minorEastAsia" w:eastAsiaTheme="minorEastAsia" w:cstheme="minorEastAsia"/>
                <w:color w:val="auto"/>
                <w:szCs w:val="21"/>
                <w:highlight w:val="none"/>
                <w:u w:val="single"/>
                <w:lang w:val="en-US" w:eastAsia="zh-CN"/>
              </w:rPr>
              <w:t xml:space="preserve">26</w:t>
            </w:r>
            <w:r>
              <w:rPr>
                <w:rFonts w:hint="eastAsia" w:asciiTheme="minorEastAsia" w:hAnsiTheme="minorEastAsia" w:eastAsiaTheme="minorEastAsia" w:cstheme="minorEastAsia"/>
                <w:color w:val="auto"/>
                <w:szCs w:val="21"/>
                <w:highlight w:val="none"/>
                <w:u w:val="single"/>
              </w:rPr>
              <w:t xml:space="preserve">日09点30分</w:t>
            </w:r>
            <w:r>
              <w:rPr>
                <w:rFonts w:hint="eastAsia" w:asciiTheme="minorEastAsia" w:hAnsiTheme="minorEastAsia" w:eastAsiaTheme="minorEastAsia" w:cstheme="minorEastAsia"/>
                <w:color w:val="auto"/>
                <w:szCs w:val="21"/>
                <w:highlight w:val="none"/>
              </w:rPr>
              <w:t xml:space="preserve">（北京时间）</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开标时间</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2026年</w:t>
            </w:r>
            <w:r>
              <w:rPr>
                <w:rFonts w:hint="eastAsia" w:asciiTheme="minorEastAsia" w:hAnsiTheme="minorEastAsia" w:eastAsiaTheme="minorEastAsia" w:cstheme="minorEastAsia"/>
                <w:color w:val="auto"/>
                <w:szCs w:val="21"/>
                <w:highlight w:val="none"/>
                <w:u w:val="single"/>
                <w:lang w:val="en-US" w:eastAsia="zh-CN"/>
              </w:rPr>
              <w:t xml:space="preserve">6</w:t>
            </w:r>
            <w:r>
              <w:rPr>
                <w:rFonts w:hint="eastAsia" w:asciiTheme="minorEastAsia" w:hAnsiTheme="minorEastAsia" w:eastAsiaTheme="minorEastAsia" w:cstheme="minorEastAsia"/>
                <w:color w:val="auto"/>
                <w:szCs w:val="21"/>
                <w:highlight w:val="none"/>
                <w:u w:val="single"/>
              </w:rPr>
              <w:t xml:space="preserve">月 </w:t>
            </w:r>
            <w:r>
              <w:rPr>
                <w:rFonts w:hint="eastAsia" w:asciiTheme="minorEastAsia" w:hAnsiTheme="minorEastAsia" w:eastAsiaTheme="minorEastAsia" w:cstheme="minorEastAsia"/>
                <w:color w:val="auto"/>
                <w:szCs w:val="21"/>
                <w:highlight w:val="none"/>
                <w:u w:val="single"/>
                <w:lang w:val="en-US" w:eastAsia="zh-CN"/>
              </w:rPr>
              <w:t xml:space="preserve">26</w:t>
            </w:r>
            <w:r>
              <w:rPr>
                <w:rFonts w:hint="eastAsia" w:asciiTheme="minorEastAsia" w:hAnsiTheme="minorEastAsia" w:eastAsiaTheme="minorEastAsia" w:cstheme="minorEastAsia"/>
                <w:color w:val="auto"/>
                <w:szCs w:val="21"/>
                <w:highlight w:val="none"/>
                <w:u w:val="single"/>
              </w:rPr>
              <w:t xml:space="preserve">日09点30分</w:t>
            </w:r>
            <w:r>
              <w:rPr>
                <w:rFonts w:hint="eastAsia" w:asciiTheme="minorEastAsia" w:hAnsiTheme="minorEastAsia" w:eastAsiaTheme="minorEastAsia" w:cstheme="minorEastAsia"/>
                <w:color w:val="auto"/>
                <w:szCs w:val="21"/>
                <w:highlight w:val="none"/>
              </w:rPr>
              <w:t xml:space="preserve">（北京时间）</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“苏采云”系统（网址：http://jszfcg.jsczt.cn/）</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评标时间</w:t>
            </w:r>
            <w:r/>
          </w:p>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2026年</w:t>
            </w:r>
            <w:r>
              <w:rPr>
                <w:rFonts w:hint="eastAsia" w:asciiTheme="minorEastAsia" w:hAnsiTheme="minorEastAsia" w:eastAsiaTheme="minorEastAsia" w:cstheme="minorEastAsia"/>
                <w:color w:val="auto"/>
                <w:szCs w:val="21"/>
                <w:highlight w:val="none"/>
                <w:u w:val="single"/>
                <w:lang w:val="en-US" w:eastAsia="zh-CN"/>
              </w:rPr>
              <w:t xml:space="preserve">6</w:t>
            </w:r>
            <w:r>
              <w:rPr>
                <w:rFonts w:hint="eastAsia" w:asciiTheme="minorEastAsia" w:hAnsiTheme="minorEastAsia" w:eastAsiaTheme="minorEastAsia" w:cstheme="minorEastAsia"/>
                <w:color w:val="auto"/>
                <w:szCs w:val="21"/>
                <w:highlight w:val="none"/>
                <w:u w:val="single"/>
              </w:rPr>
              <w:t xml:space="preserve">月</w:t>
            </w:r>
            <w:r>
              <w:rPr>
                <w:rFonts w:hint="eastAsia" w:asciiTheme="minorEastAsia" w:hAnsiTheme="minorEastAsia" w:eastAsiaTheme="minorEastAsia" w:cstheme="minorEastAsia"/>
                <w:color w:val="auto"/>
                <w:szCs w:val="21"/>
                <w:highlight w:val="none"/>
                <w:u w:val="single"/>
                <w:lang w:val="en-US" w:eastAsia="zh-CN"/>
              </w:rPr>
              <w:t xml:space="preserve">26</w:t>
            </w:r>
            <w:r>
              <w:rPr>
                <w:rFonts w:hint="eastAsia" w:asciiTheme="minorEastAsia" w:hAnsiTheme="minorEastAsia" w:eastAsiaTheme="minorEastAsia" w:cstheme="minorEastAsia"/>
                <w:color w:val="auto"/>
                <w:szCs w:val="21"/>
                <w:highlight w:val="none"/>
                <w:u w:val="single"/>
              </w:rPr>
              <w:t xml:space="preserve">日09点30分</w:t>
            </w:r>
            <w:r>
              <w:rPr>
                <w:rFonts w:hint="eastAsia" w:asciiTheme="minorEastAsia" w:hAnsiTheme="minorEastAsia" w:eastAsiaTheme="minorEastAsia" w:cstheme="minorEastAsia"/>
                <w:color w:val="auto"/>
                <w:szCs w:val="21"/>
                <w:highlight w:val="none"/>
              </w:rPr>
              <w:t xml:space="preserve">（北京时间）</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苏州高新区邓尉路105号狮山科技馆</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pStyle w:val="1026"/>
              <w:ind w:left="0"/>
              <w:jc w:val="left"/>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代理收费标准：预算金额100万元以下部分的费率为预算金额的1.5%；预算金额100-500万元部分的费率为预算金额的1.1%。本项目代理费（人民币）：16030.00元。</w:t>
            </w:r>
            <w:r/>
          </w:p>
          <w:p>
            <w:pPr>
              <w:pStyle w:val="1026"/>
              <w:ind w:left="0"/>
              <w:jc w:val="left"/>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根据省厅《关于进一步规范政府采购活动相关费用管理的通知》（苏财规〔2026〕1号）相关要求，本项目代理服务费由</w:t>
            </w:r>
            <w:r>
              <w:rPr>
                <w:rFonts w:hint="eastAsia" w:asciiTheme="minorEastAsia" w:hAnsiTheme="minorEastAsia" w:eastAsiaTheme="minorEastAsia" w:cstheme="minorEastAsia"/>
                <w:color w:val="auto"/>
                <w:sz w:val="21"/>
                <w:szCs w:val="21"/>
                <w:highlight w:val="none"/>
                <w:lang w:eastAsia="zh-CN"/>
              </w:rPr>
              <w:t xml:space="preserve">采购人</w:t>
            </w:r>
            <w:r>
              <w:rPr>
                <w:rFonts w:hint="eastAsia" w:asciiTheme="minorEastAsia" w:hAnsiTheme="minorEastAsia" w:eastAsiaTheme="minorEastAsia" w:cstheme="minorEastAsia"/>
                <w:color w:val="auto"/>
                <w:sz w:val="21"/>
                <w:szCs w:val="21"/>
                <w:highlight w:val="none"/>
              </w:rPr>
              <w:t xml:space="preserve">支付，不包括在本项目招标预算</w:t>
            </w:r>
            <w:r>
              <w:rPr>
                <w:rFonts w:hint="eastAsia" w:asciiTheme="minorEastAsia" w:hAnsiTheme="minorEastAsia" w:eastAsiaTheme="minorEastAsia" w:cstheme="minorEastAsia"/>
                <w:color w:val="auto"/>
                <w:sz w:val="21"/>
                <w:szCs w:val="21"/>
                <w:highlight w:val="none"/>
                <w:lang w:val="en-US" w:eastAsia="zh-CN"/>
              </w:rPr>
              <w:t xml:space="preserve">中</w:t>
            </w:r>
            <w:r>
              <w:rPr>
                <w:rFonts w:hint="eastAsia" w:asciiTheme="minorEastAsia" w:hAnsiTheme="minorEastAsia" w:eastAsiaTheme="minorEastAsia" w:cstheme="minorEastAsia"/>
                <w:color w:val="auto"/>
                <w:sz w:val="21"/>
                <w:szCs w:val="21"/>
                <w:highlight w:val="none"/>
              </w:rPr>
              <w:t xml:space="preserve">。</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出现下列情形之一的，为废标：</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（一）符合专业条件的投标方或者对招标文件作实质响应的投标方不足三家的；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（二）出现影响采购公正的违法、违规行为的；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（三）投标方的报价均超过了采购预算，采购方不能支付的；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4" w:type="dxa"/>
            <w:vAlign w:val="center"/>
            <w:textDirection w:val="lrTb"/>
            <w:noWrap/>
          </w:tcPr>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投标文件属下列情况之一的，在资格性、符合性检查时按照无效投标处理：</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（一）未按照招标文件规定要求签署、盖章的；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（二）不具备招标文件中规定资格要求的；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（三）报价超过招标文件中规定的预算金额或者最高限价的；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（四）投标文件含有采购方不能接受的附加条件的；</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（五）如不同供应商的投标文件制作机器码一致，则视为无效投标。</w:t>
            </w:r>
            <w:r/>
          </w:p>
          <w:p>
            <w:pPr>
              <w:jc w:val="left"/>
              <w:spacing w:line="360" w:lineRule="auto"/>
              <w:widowControl/>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（六）法律、法规和招标文件规定的其他无效情形。</w:t>
            </w:r>
            <w:r/>
          </w:p>
        </w:tc>
      </w:tr>
    </w:tbl>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br w:type="page" w:clear="all"/>
      </w:r>
      <w:r/>
    </w:p>
    <w:p>
      <w:pPr>
        <w:jc w:val="center"/>
        <w:tabs>
          <w:tab w:val="left" w:pos="315" w:leader="none"/>
          <w:tab w:val="center" w:pos="4153" w:leader="none"/>
        </w:tabs>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目录</w:t>
      </w:r>
      <w:r/>
    </w:p>
    <w:p>
      <w:pPr>
        <w:jc w:val="center"/>
        <w:tabs>
          <w:tab w:val="left" w:pos="315" w:leader="none"/>
          <w:tab w:val="center" w:pos="4153"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第一章投标邀请函</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第二章投标方须知</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第三章投标文件格式</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第四章招标书</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第五章合同文本</w:t>
      </w:r>
      <w:r/>
    </w:p>
    <w:p>
      <w:pPr>
        <w:pStyle w:val="782"/>
        <w:spacing w:after="312" w:line="480" w:lineRule="auto"/>
        <w:tabs>
          <w:tab w:val="right" w:pos="8302" w:leader="dot"/>
        </w:tabs>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t xml:space="preserve">第六章评标办法及评分标准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pStyle w:val="791"/>
        <w:jc w:val="center"/>
        <w:spacing w:before="75" w:beforeAutospacing="0" w:after="75" w:afterAutospacing="0" w:line="405" w:lineRule="atLeast"/>
        <w:widowControl/>
        <w:rPr>
          <w:rFonts w:hint="eastAsia" w:asciiTheme="minorEastAsia" w:hAnsiTheme="minorEastAsia" w:eastAsiaTheme="minorEastAsia" w:cstheme="minorEastAsia"/>
          <w:color w:val="auto"/>
          <w:sz w:val="21"/>
          <w:szCs w:val="21"/>
          <w:highlight w:val="none"/>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hint="eastAsia" w:asciiTheme="minorEastAsia" w:hAnsiTheme="minorEastAsia" w:eastAsiaTheme="minorEastAsia" w:cstheme="minorEastAsia"/>
          <w:color w:val="auto"/>
          <w:sz w:val="21"/>
          <w:szCs w:val="21"/>
          <w:highlight w:val="none"/>
        </w:rPr>
      </w:r>
      <w:r/>
    </w:p>
    <w:p>
      <w:pPr>
        <w:pStyle w:val="791"/>
        <w:jc w:val="center"/>
        <w:spacing w:before="75" w:beforeAutospacing="0" w:after="75" w:afterAutospacing="0" w:line="405" w:lineRule="atLeast"/>
        <w:widowControl/>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第一章  投标邀请函</w:t>
      </w:r>
      <w:r/>
    </w:p>
    <w:p>
      <w:pPr>
        <w:ind w:firstLine="420"/>
        <w:jc w:val="left"/>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u w:val="single"/>
        </w:rPr>
        <w:t xml:space="preserve">诚信金泰建设管理（苏州）有限公司</w:t>
      </w:r>
      <w:r>
        <w:rPr>
          <w:rFonts w:hint="eastAsia" w:asciiTheme="minorEastAsia" w:hAnsiTheme="minorEastAsia" w:eastAsiaTheme="minorEastAsia" w:cstheme="minorEastAsia"/>
          <w:bCs/>
          <w:color w:val="auto"/>
          <w:szCs w:val="21"/>
          <w:highlight w:val="none"/>
        </w:rPr>
        <w:t xml:space="preserve">受</w:t>
      </w:r>
      <w:r>
        <w:rPr>
          <w:rFonts w:hint="eastAsia" w:asciiTheme="minorEastAsia" w:hAnsiTheme="minorEastAsia" w:eastAsiaTheme="minorEastAsia" w:cstheme="minorEastAsia"/>
          <w:bCs/>
          <w:color w:val="auto"/>
          <w:szCs w:val="21"/>
          <w:highlight w:val="none"/>
          <w:u w:val="single"/>
        </w:rPr>
        <w:t xml:space="preserve">苏州市水利水务信息调度指挥中心</w:t>
      </w:r>
      <w:r>
        <w:rPr>
          <w:rFonts w:hint="eastAsia" w:asciiTheme="minorEastAsia" w:hAnsiTheme="minorEastAsia" w:eastAsiaTheme="minorEastAsia" w:cstheme="minorEastAsia"/>
          <w:bCs/>
          <w:color w:val="auto"/>
          <w:szCs w:val="21"/>
          <w:highlight w:val="none"/>
        </w:rPr>
        <w:t xml:space="preserve">委托，对</w:t>
      </w:r>
      <w:r>
        <w:rPr>
          <w:rFonts w:hint="eastAsia" w:asciiTheme="minorEastAsia" w:hAnsiTheme="minorEastAsia" w:eastAsiaTheme="minorEastAsia" w:cstheme="minorEastAsia"/>
          <w:bCs/>
          <w:color w:val="auto"/>
          <w:szCs w:val="21"/>
          <w:highlight w:val="none"/>
          <w:u w:val="single"/>
        </w:rPr>
        <w:t xml:space="preserve">2026年智水苏州室外硬件设备运维备品备件采购</w:t>
      </w:r>
      <w:r>
        <w:rPr>
          <w:rFonts w:hint="eastAsia" w:asciiTheme="minorEastAsia" w:hAnsiTheme="minorEastAsia" w:eastAsiaTheme="minorEastAsia" w:cstheme="minorEastAsia"/>
          <w:bCs/>
          <w:color w:val="auto"/>
          <w:szCs w:val="21"/>
          <w:highlight w:val="none"/>
        </w:rPr>
        <w:t xml:space="preserve">进行国内公开招标，欢迎符合投标资格条件的供应商前来投标。</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一、项目基本情况</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1、项目编号：</w:t>
      </w:r>
      <w:r>
        <w:rPr>
          <w:rFonts w:hint="eastAsia" w:asciiTheme="minorEastAsia" w:hAnsiTheme="minorEastAsia" w:eastAsiaTheme="minorEastAsia" w:cstheme="minorEastAsia"/>
          <w:color w:val="auto"/>
          <w:szCs w:val="21"/>
          <w:highlight w:val="none"/>
          <w:lang w:eastAsia="zh-CN"/>
        </w:rPr>
        <w:t xml:space="preserve">JSZC-320500-CXJT-G2026-0010</w:t>
      </w:r>
      <w:r>
        <w:rPr>
          <w:rFonts w:hint="eastAsia" w:asciiTheme="minorEastAsia" w:hAnsiTheme="minorEastAsia" w:eastAsiaTheme="minorEastAsia" w:cstheme="minorEastAsia"/>
          <w:color w:val="auto"/>
          <w:szCs w:val="21"/>
          <w:highlight w:val="none"/>
        </w:rPr>
        <w:t xml:space="preserve"> </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2、项目名称：2026年智水苏州室外硬件设备运维备品备件采购</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3、预算金额：壹佰零玖万叁仟陆佰元整（￥1093600</w:t>
      </w:r>
      <w:r>
        <w:rPr>
          <w:rFonts w:hint="eastAsia" w:asciiTheme="minorEastAsia" w:hAnsiTheme="minorEastAsia" w:eastAsiaTheme="minorEastAsia" w:cstheme="minorEastAsia"/>
          <w:color w:val="auto"/>
          <w:szCs w:val="21"/>
          <w:highlight w:val="none"/>
        </w:rPr>
        <w:t xml:space="preserve">元</w:t>
      </w:r>
      <w:r>
        <w:rPr>
          <w:rFonts w:hint="eastAsia" w:asciiTheme="minorEastAsia" w:hAnsiTheme="minorEastAsia" w:eastAsiaTheme="minorEastAsia" w:cstheme="minorEastAsia"/>
          <w:color w:val="auto"/>
          <w:szCs w:val="21"/>
          <w:highlight w:val="none"/>
        </w:rPr>
        <w:t xml:space="preserve">）</w:t>
      </w:r>
      <w:r/>
    </w:p>
    <w:p>
      <w:pPr>
        <w:ind w:firstLine="84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最高限价：同预算价</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4、采购需求：</w:t>
      </w:r>
      <w:r>
        <w:rPr>
          <w:rFonts w:hint="eastAsia" w:asciiTheme="minorEastAsia" w:hAnsiTheme="minorEastAsia" w:eastAsiaTheme="minorEastAsia" w:cstheme="minorEastAsia"/>
          <w:bCs/>
          <w:color w:val="auto"/>
          <w:szCs w:val="21"/>
          <w:highlight w:val="none"/>
        </w:rPr>
        <w:t xml:space="preserve">为保障室外硬件设备正常运行，拟采购ADCP流量计及配套雷达水位计、遥测终端、供电设备等备品备件。本次采购预算包含设备安装调试及质保。（具体内容详见招标文件）</w:t>
      </w:r>
      <w:r/>
    </w:p>
    <w:p>
      <w:pPr>
        <w:numPr>
          <w:ilvl w:val="0"/>
          <w:numId w:val="2"/>
        </w:num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合同履行期限：</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5.1项目交付时间：根据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实际工作开展需要供货，应在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发出通知后，20个工作日内到货安装调试并交付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正常使用。</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5.2质保期限：本项目免费质量保证期要求不低于1年；免费质量保证期自货物供货且经采购使用部门确认验收合格之日起算。</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6、联合体及转包、分包：本项目不接受联合体，不得转包、分包本项目。</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二、供应商的资格要求：</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1、满足《中华人民共和国政府采购法》第二十二条规定，投标人应当具备下列条件：</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1.1具有独立承担民事责任的能力；</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1.2具有良好的商业信誉和健全的财务会计制度；</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1.3具有履行合同所必需的设备和专业技术能力；</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1.4有依法缴纳税收和社会保障基金的良好记录；</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1.5参加政府采购活动前三年内，在经营活动中没有重大违法记录；</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1.6法律、行政法规规定的其他条件。</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2、落实政府采购政策需满足的资格要求：本项目专门面向中小企业，所属行业为其他未列明行业，供应商应为中小微企业或残疾人福利性单位或监狱企业。</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3、本项目的特定资格要求：</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3.1未被“信用中国”网站（www.creditchina.gov.cn）列入失信被执行人、重大税收违法案件当事人名单、政府采购严重失信行为记录名单。</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三、获取招标文件：</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1、时间：自招标文件公告发布之日起5个工作日（北京时间，法定节假日除外）。</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2、地点：苏采云系统 </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3、方式：苏采云系统报名后自行下载 </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4、售价：0.00元</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四、提交投标文件截止时间、开标时间和地点</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1、提交投标文件截止时间：2026年</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月</w:t>
      </w:r>
      <w:r>
        <w:rPr>
          <w:rFonts w:hint="eastAsia" w:asciiTheme="minorEastAsia" w:hAnsiTheme="minorEastAsia" w:eastAsiaTheme="minorEastAsia" w:cstheme="minorEastAsia"/>
          <w:color w:val="auto"/>
          <w:szCs w:val="21"/>
          <w:highlight w:val="none"/>
          <w:lang w:val="en-US" w:eastAsia="zh-CN"/>
        </w:rPr>
        <w:t xml:space="preserve">26</w:t>
      </w:r>
      <w:r>
        <w:rPr>
          <w:rFonts w:hint="eastAsia" w:asciiTheme="minorEastAsia" w:hAnsiTheme="minorEastAsia" w:eastAsiaTheme="minorEastAsia" w:cstheme="minorEastAsia"/>
          <w:color w:val="auto"/>
          <w:szCs w:val="21"/>
          <w:highlight w:val="none"/>
        </w:rPr>
        <w:t xml:space="preserve">日9:30（北京时间）</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2、开标时间：2026年</w:t>
      </w:r>
      <w:r>
        <w:rPr>
          <w:rFonts w:hint="eastAsia" w:asciiTheme="minorEastAsia" w:hAnsiTheme="minorEastAsia" w:eastAsia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月</w:t>
      </w:r>
      <w:r>
        <w:rPr>
          <w:rFonts w:hint="eastAsia" w:asciiTheme="minorEastAsia" w:hAnsiTheme="minorEastAsia" w:eastAsiaTheme="minorEastAsia" w:cstheme="minorEastAsia"/>
          <w:color w:val="auto"/>
          <w:szCs w:val="21"/>
          <w:highlight w:val="none"/>
          <w:lang w:val="en-US" w:eastAsia="zh-CN"/>
        </w:rPr>
        <w:t xml:space="preserve">26</w:t>
      </w:r>
      <w:r>
        <w:rPr>
          <w:rFonts w:hint="eastAsia" w:asciiTheme="minorEastAsia" w:hAnsiTheme="minorEastAsia" w:eastAsiaTheme="minorEastAsia" w:cstheme="minorEastAsia"/>
          <w:color w:val="auto"/>
          <w:szCs w:val="21"/>
          <w:highlight w:val="none"/>
        </w:rPr>
        <w:t xml:space="preserve">日9:30（北京时间）</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3、开标地点：“苏采云”系统（网址：http://jszfcg.jsczt.cn/）</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五、公告期限：自本公告发布之日起5个工作日。</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六、其他补充事宜</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1、本次采购的有关信息将在苏州市政府采购网、江苏政府采购网、中国政府采购网上发布；有关该采购项目的澄清、修正及中标等信息亦在以上网站发布，敬请留意。</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2、政府采购监督电话：0512-68616651。</w:t>
      </w:r>
      <w:r/>
    </w:p>
    <w:p>
      <w:pPr>
        <w:ind w:firstLine="480"/>
        <w:jc w:val="left"/>
        <w:spacing w:line="360" w:lineRule="auto"/>
        <w:rPr>
          <w:rFonts w:hint="eastAsia" w:asciiTheme="minorEastAsia" w:hAnsiTheme="minorEastAsia" w:eastAsiaTheme="minorEastAsia" w:cstheme="minorEastAsia"/>
          <w:color w:val="auto"/>
          <w:szCs w:val="21"/>
          <w:highlight w:val="none"/>
          <w:lang w:val="zh-TW"/>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TW"/>
        </w:rPr>
        <w:t xml:space="preserve">供应商在报名、下载、制作采购文件过程中如有软件操作方面疑问，请拨打（1）注册咨询：18261002950；（2）CA技术咨询电话：400-608-6099；（3）签章使用问题：025-83633811、025-83633812、15380932027、13675197356；（4）系统使用指导与咨询：联系电话：13914088964、18261002950、0519-86722802；QQ：1315179389、895706745。智能客服：登录苏采云系统后，联系系统右下方智能客服图标进行咨询。 </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4、报名方式（网上报名）</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4.1申领CA</w:t>
      </w:r>
      <w:r>
        <w:rPr>
          <w:rFonts w:hint="eastAsia" w:asciiTheme="minorEastAsia" w:hAnsiTheme="minorEastAsia" w:eastAsiaTheme="minorEastAsia" w:cstheme="minorEastAsia"/>
          <w:color w:val="auto"/>
          <w:szCs w:val="21"/>
          <w:highlight w:val="none"/>
        </w:rPr>
        <w:t xml:space="preserve">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4.2登录报名：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5、制作、提交电子投标文件：</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Theme="minorEastAsia" w:hAnsiTheme="minorEastAsia" w:eastAsiaTheme="minorEastAsia" w:cstheme="minorEastAsia"/>
          <w:color w:val="auto"/>
          <w:szCs w:val="21"/>
          <w:highlight w:val="none"/>
        </w:rPr>
        <w:t xml:space="preserve">https://czju.suzhou.gov.cn/zfcg/html/content/20231220161910031.shtml</w:t>
      </w:r>
      <w:r>
        <w:rPr>
          <w:rFonts w:hint="eastAsia" w:asciiTheme="minorEastAsia" w:hAnsiTheme="minorEastAsia" w:eastAsiaTheme="minorEastAsia" w:cstheme="minorEastAsia"/>
          <w:color w:val="auto"/>
          <w:szCs w:val="21"/>
          <w:highlight w:val="none"/>
        </w:rPr>
        <w:fldChar w:fldCharType="end"/>
      </w:r>
      <w:r>
        <w:rPr>
          <w:rFonts w:hint="eastAsia" w:asciiTheme="minorEastAsia" w:hAnsiTheme="minorEastAsia" w:eastAsiaTheme="minorEastAsia" w:cstheme="minorEastAsia"/>
          <w:color w:val="auto"/>
          <w:szCs w:val="21"/>
          <w:highlight w:val="none"/>
        </w:rPr>
        <w:t xml:space="preserve">）。</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Theme="minorEastAsia" w:hAnsiTheme="minorEastAsia" w:eastAsiaTheme="minorEastAsia" w:cstheme="minorEastAsia"/>
          <w:b/>
          <w:color w:val="auto"/>
          <w:szCs w:val="21"/>
          <w:highlight w:val="none"/>
        </w:rPr>
        <w:t xml:space="preserve">（投标文件提交截止时间后30分钟）</w:t>
      </w:r>
      <w:r>
        <w:rPr>
          <w:rFonts w:hint="eastAsia" w:asciiTheme="minorEastAsia" w:hAnsiTheme="minorEastAsia" w:eastAsiaTheme="minorEastAsia" w:cstheme="minorEastAsia"/>
          <w:color w:val="auto"/>
          <w:szCs w:val="21"/>
          <w:highlight w:val="none"/>
        </w:rPr>
        <w:t xml:space="preserve">未能完成解密的视为放弃投标。请供应商确保电脑、系统及其他设备（视频输入输出设备等）无误，且开标直至项目结束始终保持系统在线状态。</w:t>
      </w:r>
      <w:r/>
    </w:p>
    <w:p>
      <w:pPr>
        <w:ind w:firstLine="422"/>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七、采购项目联系人及联系方式：</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单位名称：苏州市水利水务信息调度指挥中心</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单位地址：苏州市高新区玉山路11号</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联系人：贾甜博</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联系电话：18014004512</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2.采购代理机构信息（如有）</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单位名称：诚信金泰建设管理（苏州）有限公司</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单位地址：苏州市吴中区盘蠡新村25-1幢</w:t>
      </w:r>
      <w:r/>
    </w:p>
    <w:p>
      <w:pPr>
        <w:pStyle w:val="769"/>
        <w:ind w:firstLine="480"/>
        <w:jc w:val="both"/>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联系人：徐珊珊</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庞程悦</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联系电话：17312310992</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3.项目联系方式</w:t>
      </w:r>
      <w:r/>
    </w:p>
    <w:p>
      <w:pPr>
        <w:pStyle w:val="769"/>
        <w:ind w:firstLine="480"/>
        <w:jc w:val="both"/>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项目联系人：徐珊珊</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庞程悦</w:t>
      </w:r>
      <w:r/>
    </w:p>
    <w:p>
      <w:pPr>
        <w:pStyle w:val="769"/>
        <w:ind w:firstLine="480"/>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电话：17312310992</w:t>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br w:type="page" w:clear="all"/>
      </w:r>
      <w:r/>
    </w:p>
    <w:p>
      <w:pPr>
        <w:pStyle w:val="791"/>
        <w:jc w:val="center"/>
        <w:spacing w:before="75" w:beforeAutospacing="0" w:after="75" w:afterAutospacing="0"/>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第二章  投标方须知</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一、说明和释义</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1、说明</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1.1本采购文件仅适用于</w:t>
      </w:r>
      <w:r>
        <w:rPr>
          <w:rFonts w:hint="eastAsia" w:asciiTheme="minorEastAsia" w:hAnsiTheme="minorEastAsia" w:eastAsiaTheme="minorEastAsia" w:cstheme="minorEastAsia"/>
          <w:color w:val="auto"/>
          <w:szCs w:val="21"/>
          <w:highlight w:val="none"/>
        </w:rPr>
        <w:t xml:space="preserve">诚信金泰建设管理（苏州）有限公司</w:t>
      </w:r>
      <w:r>
        <w:rPr>
          <w:rFonts w:hint="eastAsia" w:asciiTheme="minorEastAsia" w:hAnsiTheme="minorEastAsia" w:eastAsiaTheme="minorEastAsia" w:cstheme="minorEastAsia"/>
          <w:color w:val="auto"/>
          <w:szCs w:val="21"/>
          <w:highlight w:val="none"/>
          <w:lang w:val="zh-CN"/>
        </w:rPr>
        <w:t xml:space="preserve">组织的采购活动。</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1.2本次采购活动及因本次采购产生的合同受中国法律制约和保护。</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1.3本采购文件的解释权属于</w:t>
      </w:r>
      <w:r>
        <w:rPr>
          <w:rFonts w:hint="eastAsia" w:asciiTheme="minorEastAsia" w:hAnsiTheme="minorEastAsia" w:eastAsiaTheme="minorEastAsia" w:cstheme="minorEastAsia"/>
          <w:color w:val="auto"/>
          <w:szCs w:val="21"/>
          <w:highlight w:val="none"/>
        </w:rPr>
        <w:t xml:space="preserve">诚信金泰建设管理（苏州）有限公司</w:t>
      </w:r>
      <w:r>
        <w:rPr>
          <w:rFonts w:hint="eastAsia" w:asciiTheme="minorEastAsia" w:hAnsiTheme="minorEastAsia" w:eastAsiaTheme="minorEastAsia" w:cstheme="minorEastAsia"/>
          <w:color w:val="auto"/>
          <w:szCs w:val="21"/>
          <w:highlight w:val="none"/>
          <w:lang w:val="zh-CN"/>
        </w:rPr>
        <w:t xml:space="preserve">。</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2、词语释义</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 采购方：指依法进行政府采购的国家机关、事业单位、团体组织。</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2.2采购代理机构：指依法接受采购方委托，从事货物、工程和服务等政府采购业务的采购代理机构。本项目采购代理机构是诚信金泰建设管理（苏州）有限公司。</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2.3 投标方：指投标招标、参加投标竞争的法人、其他组织或自然人。</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2.4 招标采购单位：采购方及采购代理机构的统称。</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2.5 投标：投标方根据采购方或采购代理机构发布的招标文件，编制投标文件并按规定投标的行为。</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2.7</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（采购方）：指采购文件中载明的，依法进行政府采购的国家机关、事业单位、团体组织。</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2.8</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（供应商）：合同中规定的向采购方提供货物和服务的法人或其他组织和自然人。</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2.9天：日历日。</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2.10时间：除特别说明，均指北京时间。</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2.11知识产权：指专利权、商标权、著作权等无形财产专有权的统称。</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2.12交货地点：合同中明确约定的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提交的货物和服务最终到达地点。</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2.13合同价款：根据合同规定,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在正确地履行合同义务后</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应支付</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的价款。</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2.14服务：系指本次招标文件规定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应承担的与提供货物和服务有关的辅助服务，比如运输、保险、安装、调试、提供技术援助、培训、配合措施、维修投标及合同中规定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应承担的其它义务。</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2.15不可抗力：不能预见、不能避免并且不能克服的客观情况。</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2.16实质性投标：满足有关本次采购标的、数量、质量、价款或者报酬、履行期限、履行地点和方式、违约责任和解决争议方法等要求。</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2.17进口产品：指通过中国海关报关验放进入中国境内且产自境外的产品。</w:t>
      </w:r>
      <w:r/>
    </w:p>
    <w:p>
      <w:pPr>
        <w:ind w:firstLine="41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2.18书面形式：指书面文字、合同书、信件和传真等可以有形地表现所载内容的形式。</w:t>
      </w:r>
      <w:r/>
    </w:p>
    <w:p>
      <w:pPr>
        <w:ind w:firstLine="412"/>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2.19核心产品：根据本项目技术构成、产品价格比重等合理确定的产品。</w:t>
      </w:r>
      <w:r/>
    </w:p>
    <w:p>
      <w:pPr>
        <w:spacing w:line="360" w:lineRule="auto"/>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二、投标方（供应商）</w:t>
      </w:r>
      <w:r/>
    </w:p>
    <w:p>
      <w:pPr>
        <w:spacing w:line="360" w:lineRule="auto"/>
        <w:rPr>
          <w:rFonts w:hint="eastAsia" w:asciiTheme="minorEastAsia" w:hAnsiTheme="minorEastAsia" w:eastAsiaTheme="minorEastAsia" w:cstheme="minorEastAsia"/>
          <w:b/>
          <w:bCs/>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3、供应商资格要求</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3.1供应商应当具备下列一般条件：</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3.1.1具有独立承担民事责任的能力；</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3.1.2具有良好的商业信誉和健全的财务会计制度；</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3.1.3具有履行合同所必需的设备和专业技术能力；</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3.1.4有依法缴纳税收和社会保障资金的良好记录；</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3.1.5参加政府采购活动前三年内，在经营活动中没有重大违法记录；</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3.1.6法律、行政法规规定的其他条件；</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3.2落实政府采购政策需满足的资格要求：本项目专门面向中小企业，所属行业为：工业。</w:t>
      </w:r>
      <w:r/>
    </w:p>
    <w:p>
      <w:pPr>
        <w:ind w:right="15"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3.3本项目的特定资格要求：</w:t>
      </w:r>
      <w:r>
        <w:rPr>
          <w:rFonts w:hint="eastAsia" w:asciiTheme="minorEastAsia" w:hAnsiTheme="minorEastAsia" w:eastAsiaTheme="minorEastAsia" w:cstheme="minorEastAsia"/>
          <w:color w:val="auto"/>
          <w:szCs w:val="21"/>
          <w:highlight w:val="none"/>
          <w:shd w:val="clear" w:color="auto" w:fill="fafafa"/>
        </w:rPr>
        <w:t xml:space="preserve">未被“信用中国”网站（www.creditchina.gov.cn）列入失信被执行人、重大税收违法案件当事人名单、政府采购严重失信行为记录名单</w:t>
      </w:r>
      <w:r>
        <w:rPr>
          <w:rFonts w:hint="eastAsia" w:asciiTheme="minorEastAsia" w:hAnsiTheme="minorEastAsia" w:eastAsiaTheme="minorEastAsia" w:cstheme="minorEastAsia"/>
          <w:color w:val="auto"/>
          <w:szCs w:val="21"/>
          <w:highlight w:val="none"/>
        </w:rPr>
        <w:t xml:space="preserve">。</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4、投标方代表</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4.1指全权代表投标方参加投标活动并签署投标文件的人，如果投标方代表不是法定代表人，须持有《法人授权委托书》（详见统一格式）。</w:t>
      </w:r>
      <w:r/>
    </w:p>
    <w:p>
      <w:pPr>
        <w:spacing w:line="360" w:lineRule="auto"/>
        <w:rPr>
          <w:rFonts w:hint="eastAsia" w:asciiTheme="minorEastAsia" w:hAnsiTheme="minorEastAsia" w:eastAsiaTheme="minorEastAsia" w:cstheme="minorEastAsia"/>
          <w:b/>
          <w:bCs/>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5、投标费用</w:t>
      </w:r>
      <w:r/>
    </w:p>
    <w:p>
      <w:pPr>
        <w:ind w:firstLine="50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5.1无论投标过程中的做法和结果如何，投标方自行承担所有与参加投标有关的全部费用。</w:t>
      </w:r>
      <w:r/>
    </w:p>
    <w:p>
      <w:pPr>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6、联合投标及转包、分包</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6.1本项目不接受联合体投标。</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6.2本项目不转包、分包。</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6.3本项目不接受进口产品。</w:t>
      </w:r>
      <w:r/>
    </w:p>
    <w:p>
      <w:pPr>
        <w:spacing w:line="360" w:lineRule="auto"/>
        <w:rPr>
          <w:rFonts w:hint="eastAsia" w:asciiTheme="minorEastAsia" w:hAnsiTheme="minorEastAsia" w:eastAsiaTheme="minorEastAsia" w:cstheme="minorEastAsia"/>
          <w:b/>
          <w:bCs/>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三、采购文件的说明</w:t>
      </w:r>
      <w:r/>
    </w:p>
    <w:p>
      <w:pPr>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7、采购文件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8、招标文件的澄清和修改</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8.4招标文件的澄清、修改、补充等内容均以苏州市政府采购网上发布的内容为准。</w:t>
      </w:r>
      <w:r/>
    </w:p>
    <w:p>
      <w:pPr>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9、勘察现场（不涉及此条的忽略）</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10、投标质疑</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Theme="minorEastAsia" w:hAnsiTheme="minorEastAsia" w:eastAsiaTheme="minorEastAsia" w:cstheme="minorEastAsia"/>
          <w:color w:val="auto"/>
          <w:szCs w:val="21"/>
          <w:highlight w:val="none"/>
        </w:rPr>
        <w:t xml:space="preserve">，否则不予受理</w:t>
      </w:r>
      <w:r>
        <w:rPr>
          <w:rFonts w:hint="eastAsia" w:asciiTheme="minorEastAsia" w:hAnsiTheme="minorEastAsia" w:eastAsiaTheme="minorEastAsia" w:cstheme="minorEastAsia"/>
          <w:color w:val="auto"/>
          <w:szCs w:val="21"/>
          <w:highlight w:val="none"/>
          <w:lang w:val="zh-CN"/>
        </w:rPr>
        <w:t xml:space="preserve">。</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10.4供应商如对本项目提出质疑须在法定质疑期内一次性提出针对同一采购程序环节的质疑。</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10.5接受质疑函的方式：当场送达或邮寄方式。</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10.6联系单</w:t>
      </w:r>
      <w:r>
        <w:rPr>
          <w:rFonts w:hint="eastAsia" w:asciiTheme="minorEastAsia" w:hAnsiTheme="minorEastAsia" w:eastAsiaTheme="minorEastAsia" w:cstheme="minorEastAsia"/>
          <w:color w:val="auto"/>
          <w:szCs w:val="21"/>
          <w:highlight w:val="none"/>
        </w:rPr>
        <w:t xml:space="preserve">位：诚信金泰建设管理（苏州）有限公司</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10.7收件人：徐珊珊</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10.8联系电话：17312310992</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10.9通讯地址：苏州市吴中区盘蠡新村25-1幢</w:t>
      </w:r>
      <w:r/>
    </w:p>
    <w:p>
      <w:pPr>
        <w:ind w:firstLine="420"/>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color w:val="auto"/>
          <w:szCs w:val="21"/>
          <w:highlight w:val="none"/>
        </w:rPr>
        <w:t xml:space="preserve">10.10邮政编码：215000</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四、投标文件说明</w:t>
      </w:r>
      <w:r/>
    </w:p>
    <w:p>
      <w:pPr>
        <w:ind w:left="459" w:hanging="459"/>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11、提示与要求</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11.2无论是否递交投标文件，投标方都应将采购文件及相关的所有通知、文件等视为保密文件。</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12、投标文件计量单位和使用文字</w:t>
      </w:r>
      <w:r/>
    </w:p>
    <w:p>
      <w:pPr>
        <w:ind w:firstLine="480"/>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color w:val="auto"/>
          <w:szCs w:val="21"/>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13、知识产权</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14、投标文件的组成（相关文件格式参见第三章）</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14.1投标文件</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14.1.1封面</w:t>
      </w:r>
      <w:r/>
    </w:p>
    <w:p>
      <w:pPr>
        <w:ind w:firstLine="422"/>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14.1.2开标一览表</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14.1.3公开分项报价</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14.1.4资格审查文件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14.1.4.1投标函（格式见第三章）；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14.1.4.2关于资格文件的声明函（格式见第三章）；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14.1.4.3投标方情况表（格式见第三章）；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14.1.4.4投标方《营业执照》副本复印件；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14.1.4.5投标方法定代表人身份证复印件；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14.1.4.6法定代表人授权委托书、投标方授权代理人身份证复印件（如有授权）；</w:t>
      </w:r>
      <w:r/>
    </w:p>
    <w:p>
      <w:pPr>
        <w:ind w:firstLine="420"/>
        <w:spacing w:line="360" w:lineRule="auto"/>
        <w:widowControl/>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14.1.4.7合格投标方资格证明材料：</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（1）具有独立承担民事责任的能力证明。包括法人或者其他组织的营业执照等证明文件，自然人的身份证明；</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（2）具有良好的商业信誉和健全的财务会计制度证明</w:t>
      </w:r>
      <w:r>
        <w:rPr>
          <w:rFonts w:hint="eastAsia" w:asciiTheme="minorEastAsia" w:hAnsiTheme="minorEastAsia" w:eastAsiaTheme="minorEastAsia" w:cstheme="minorEastAsia"/>
          <w:b/>
          <w:color w:val="auto"/>
          <w:szCs w:val="21"/>
          <w:highlight w:val="none"/>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（3）具备履行合同所必需的设备和专业技术能力的证明材料或承诺；</w:t>
      </w:r>
      <w:r/>
    </w:p>
    <w:p>
      <w:pPr>
        <w:ind w:firstLine="420"/>
        <w:spacing w:line="360" w:lineRule="auto"/>
        <w:widowControl/>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（4）依法缴纳税收和社会保障资金的相关资料</w:t>
      </w:r>
      <w:r>
        <w:rPr>
          <w:rFonts w:hint="eastAsia" w:asciiTheme="minorEastAsia" w:hAnsiTheme="minorEastAsia" w:eastAsiaTheme="minorEastAsia" w:cstheme="minorEastAsia"/>
          <w:b/>
          <w:color w:val="auto"/>
          <w:szCs w:val="21"/>
          <w:highlight w:val="none"/>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widowControl/>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（5）参加政府采购活动前三年内在经营活动中没有重大违法记录的书面声明函；</w:t>
      </w:r>
      <w:r/>
    </w:p>
    <w:p>
      <w:pPr>
        <w:ind w:firstLine="420"/>
        <w:spacing w:line="360" w:lineRule="auto"/>
        <w:widowControl/>
        <w:rPr>
          <w:rStyle w:val="1023"/>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rPr>
          <w:rStyle w:val="1023"/>
          <w:rFonts w:hint="eastAsia" w:asciiTheme="minorEastAsia" w:hAnsiTheme="minorEastAsia" w:eastAsiaTheme="minorEastAsia" w:cstheme="minorEastAsia"/>
          <w:color w:val="auto"/>
          <w:szCs w:val="21"/>
          <w:highlight w:val="none"/>
        </w:rPr>
        <w:t xml:space="preserve">《中小企业声明函》或《残疾人福利性单位声明函》或省级以上监狱管理局、戒毒管理局（含新疆生产建设兵团）出具的属于监狱企业的证明文件；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未被“信用中国”网站（www.creditchina.gov.cn）列入失信被执行人、重大税收违法案件当事人名单、政府采购严重失信行为记录名单</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lang w:val="en-US" w:eastAsia="zh-CN"/>
        </w:rPr>
        <w:t xml:space="preserve">提供信用中国网站查询报告</w:t>
      </w:r>
      <w:r>
        <w:rPr>
          <w:rFonts w:hint="eastAsia" w:asciiTheme="minorEastAsia" w:hAnsiTheme="minorEastAsia" w:eastAsiaTheme="minorEastAsia" w:cstheme="minorEastAsia"/>
          <w:b/>
          <w:bCs/>
          <w:color w:val="auto"/>
          <w:szCs w:val="21"/>
          <w:highlight w:val="none"/>
          <w:lang w:eastAsia="zh-CN"/>
        </w:rPr>
        <w:t xml:space="preserve">）；</w:t>
      </w:r>
      <w:r/>
    </w:p>
    <w:p>
      <w:pPr>
        <w:ind w:firstLine="480"/>
        <w:jc w:val="left"/>
        <w:spacing w:line="360" w:lineRule="auto"/>
        <w:rPr>
          <w:rFonts w:hint="eastAsia"/>
          <w:color w:val="auto"/>
          <w:highlight w:val="none"/>
        </w:rPr>
      </w:pP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8</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heme="minorEastAsia" w:hAnsiTheme="minorEastAsia" w:eastAsiaTheme="minorEastAsia" w:cstheme="minorEastAsia"/>
          <w:b/>
          <w:bCs/>
          <w:color w:val="auto"/>
          <w:szCs w:val="21"/>
          <w:highlight w:val="none"/>
          <w:lang w:val="en-US" w:eastAsia="zh-CN"/>
        </w:rPr>
        <w:t xml:space="preserve">（提供承诺书，格式自拟）</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14.1.4.8其它有关资格证明文件。</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14.1.5符合性审查文件</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14.1.5.1投标货物和服务数量、品牌规格、性能、交货期说明表（不得出现价格，格式见第三章）；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14.1.5.2技术参数响应及偏离表（格式见第三章）；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14.1.5.3商务条款响应及偏离表（格式见第三章）；</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14.1.5.4对属于《节能产品政府采购品目清单》政府强制采购产品的，需提供该产品有效期内的认证等相关证明材料（如有）；</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14.1.5.5其他有关符合性审查的文件（投标方做出的相关承诺等）；</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14.1.6综合评审文件(供应商根据评分标准制作)</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14.1.</w:t>
      </w: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val="zh-CN"/>
        </w:rPr>
        <w:t xml:space="preserve">&lt;&lt;关于符合本国产品标准的声明函&gt;&gt;；</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14.1.8其他可以证明投标方资质、服务质量的证书、文件等相关资料。</w:t>
      </w:r>
      <w:r/>
    </w:p>
    <w:p>
      <w:pPr>
        <w:ind w:firstLine="430"/>
        <w:spacing w:line="360" w:lineRule="auto"/>
        <w:widowControl/>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注：（1）以上14.1.4.1-14.1.4.8为资格审查要求提供的材料，是作为对供应商资格审查、质疑身份认定的依据，投标方必须提供并加盖电子公章。否则，投标文件将被认定为不符合资格审查要求。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（2）以上14.1.5.1-14.1.5.5为符合性审查须提供的资料，投标方必须提供并加盖电子公章。否则，投标文件将被认定为未实质性响应。</w:t>
      </w:r>
      <w:r/>
    </w:p>
    <w:p>
      <w:pPr>
        <w:ind w:firstLine="43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（3）“14.1.4-14.1.</w:t>
      </w:r>
      <w:r>
        <w:rPr>
          <w:rFonts w:hint="eastAsia" w:asciiTheme="minorEastAsia" w:hAnsiTheme="minorEastAsia" w:eastAsiaTheme="minorEastAsia" w:cstheme="minorEastAsia"/>
          <w:b/>
          <w:color w:val="auto"/>
          <w:szCs w:val="21"/>
          <w:highlight w:val="none"/>
        </w:rPr>
        <w:t xml:space="preserve">8</w:t>
      </w:r>
      <w:r>
        <w:rPr>
          <w:rFonts w:hint="eastAsia" w:asciiTheme="minorEastAsia" w:hAnsiTheme="minorEastAsia" w:eastAsiaTheme="minorEastAsia" w:cstheme="minorEastAsia"/>
          <w:b/>
          <w:color w:val="auto"/>
          <w:szCs w:val="21"/>
          <w:highlight w:val="none"/>
          <w:lang w:val="zh-CN"/>
        </w:rPr>
        <w:t xml:space="preserve">”中不得出现投标总报价。</w:t>
      </w:r>
      <w:r>
        <w:rPr>
          <w:rFonts w:hint="eastAsia" w:asciiTheme="minorEastAsia" w:hAnsiTheme="minorEastAsia" w:eastAsiaTheme="minorEastAsia" w:cstheme="minorEastAsia"/>
          <w:color w:val="auto"/>
          <w:szCs w:val="21"/>
          <w:highlight w:val="none"/>
          <w:lang w:val="zh-CN"/>
        </w:rPr>
        <w:t xml:space="preserve">投标方所提交的资料的完整与否，将直接影响投标方的评分。</w:t>
      </w:r>
      <w:r/>
    </w:p>
    <w:p>
      <w:pPr>
        <w:ind w:firstLine="430"/>
        <w:spacing w:line="360" w:lineRule="auto"/>
        <w:widowControl/>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（4）制作电子投标文件时必须与投标文件制作软件目录一一对应，将相关资料上传至相应模块。</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15、投标文件编制要求</w:t>
      </w:r>
      <w:r/>
    </w:p>
    <w:p>
      <w:pPr>
        <w:ind w:firstLine="422"/>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15.1投标文件按统一格式、顺序编写。</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15.2《开标一览表》为在开标仪式上唱标的内容，要求按格式填写，统一规范，不得自行增减内容。</w:t>
      </w:r>
      <w:r/>
    </w:p>
    <w:p>
      <w:pPr>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
          <w:bCs/>
          <w:color w:val="auto"/>
          <w:szCs w:val="21"/>
          <w:highlight w:val="none"/>
        </w:rPr>
        <w:t xml:space="preserve">16、投标报价（编制）要求的说明</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16.1除非合同中另有规定，投标方对《投标报价表》中的全部内容的报价应包括完成本项工作所需的一切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16.2投标方应按《投标报价表》中的全部内容计算单价和总价。《投标报价表》中的每一单项均应计算并填写单价和总价，并由法定代表人或代理人签署。</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16.3投标方应对采购文件内所要采购的全部内容进行报价，只投其中部分内容者，其标书将被拒绝。但如果采购文件要求分标段投标的，则投标方可以有选择的只投其中一个或几个标段，也可以投全部标段，但各标段应分别计算填写单价和总价。</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16.4 一项投标内容只允许一个报价，采购代理机构不接受任何有选择性的投标报价。</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16.5投标文件报价中的单价和总价全部采用人民币表示，除非合同的特殊条款另有规定。</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16.6最低的投标报价或最高的折扣比例是中标的重要条件，但不是中标的唯一条件。</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16.7</w:t>
      </w:r>
      <w:r>
        <w:rPr>
          <w:rFonts w:hint="eastAsia" w:asciiTheme="minorEastAsia" w:hAnsiTheme="minorEastAsia" w:eastAsiaTheme="minorEastAsia" w:cstheme="minorEastAsia"/>
          <w:color w:val="auto"/>
          <w:szCs w:val="21"/>
          <w:highlight w:val="none"/>
        </w:rPr>
        <w:t xml:space="preserve">报价标的超过预算金额及单价限价，否则无效。</w:t>
      </w:r>
      <w:r/>
    </w:p>
    <w:p>
      <w:pPr>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17、投标保证金：</w:t>
      </w:r>
      <w:r>
        <w:rPr>
          <w:rFonts w:hint="eastAsia" w:asciiTheme="minorEastAsia" w:hAnsiTheme="minorEastAsia" w:eastAsiaTheme="minorEastAsia" w:cstheme="minorEastAsia"/>
          <w:color w:val="auto"/>
          <w:szCs w:val="21"/>
          <w:highlight w:val="none"/>
          <w:lang w:val="zh-CN"/>
        </w:rPr>
        <w:t xml:space="preserve">本项目不收取投标保证金</w:t>
      </w:r>
      <w:r/>
    </w:p>
    <w:p>
      <w:pPr>
        <w:spacing w:line="360" w:lineRule="auto"/>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18、投标文件的有效期</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18.1自投标截止时间之日起</w:t>
      </w:r>
      <w:r>
        <w:rPr>
          <w:rFonts w:hint="eastAsia" w:asciiTheme="minorEastAsia" w:hAnsiTheme="minorEastAsia" w:eastAsiaTheme="minorEastAsia" w:cstheme="minorEastAsia"/>
          <w:color w:val="auto"/>
          <w:szCs w:val="21"/>
          <w:highlight w:val="none"/>
        </w:rPr>
        <w:t xml:space="preserve">60</w:t>
      </w:r>
      <w:r>
        <w:rPr>
          <w:rFonts w:hint="eastAsia" w:asciiTheme="minorEastAsia" w:hAnsiTheme="minorEastAsia" w:eastAsiaTheme="minorEastAsia" w:cstheme="minorEastAsia"/>
          <w:color w:val="auto"/>
          <w:szCs w:val="21"/>
          <w:highlight w:val="none"/>
          <w:lang w:val="zh-CN"/>
        </w:rPr>
        <w:t xml:space="preserve">天，投标书应保持有效。有效期短于这个规定期限的投标，将被拒绝。</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18.2在特殊情况下，采购代理机构可与投标方协商延长投标书的有效期。这种要求和答复都应以书面、传真的形式进行。</w:t>
      </w:r>
      <w:r/>
    </w:p>
    <w:p>
      <w:pPr>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19、投标文件的制作、签署、上传</w:t>
      </w:r>
      <w:r/>
    </w:p>
    <w:p>
      <w:pPr>
        <w:pStyle w:val="1009"/>
        <w:ind w:left="0" w:firstLine="428"/>
        <w:spacing w:line="360" w:lineRule="auto"/>
        <w:rPr>
          <w:rFonts w:hint="eastAsia" w:asciiTheme="minorEastAsia" w:hAnsiTheme="minorEastAsia" w:eastAsiaTheme="minorEastAsia" w:cstheme="minorEastAsia"/>
          <w:b/>
          <w:color w:val="auto"/>
          <w:sz w:val="21"/>
          <w:szCs w:val="21"/>
          <w:highlight w:val="none"/>
          <w:lang w:val="en-US"/>
        </w:rPr>
      </w:pPr>
      <w:r/>
      <w:bookmarkStart w:id="1" w:name="_Toc25608"/>
      <w:r/>
      <w:bookmarkStart w:id="2" w:name="_Toc31150"/>
      <w:r>
        <w:rPr>
          <w:rFonts w:hint="eastAsia" w:asciiTheme="minorEastAsia" w:hAnsiTheme="minorEastAsia" w:eastAsiaTheme="minorEastAsia" w:cstheme="minorEastAsia"/>
          <w:color w:val="auto"/>
          <w:sz w:val="21"/>
          <w:szCs w:val="21"/>
          <w:highlight w:val="none"/>
        </w:rPr>
        <w:t xml:space="preserve">19.1本项目采用电子招投标形式，请供应商按照</w:t>
      </w:r>
      <w:r>
        <w:rPr>
          <w:rFonts w:hint="eastAsia" w:asciiTheme="minorEastAsia" w:hAnsiTheme="minorEastAsia" w:eastAsiaTheme="minorEastAsia" w:cstheme="minorEastAsia"/>
          <w:b/>
          <w:color w:val="auto"/>
          <w:sz w:val="21"/>
          <w:szCs w:val="21"/>
          <w:highlight w:val="none"/>
        </w:rPr>
        <w:t xml:space="preserve">《苏采云系统供应商操作手册》</w:t>
      </w:r>
      <w:r>
        <w:rPr>
          <w:rFonts w:hint="eastAsia" w:asciiTheme="minorEastAsia" w:hAnsiTheme="minorEastAsia" w:eastAsiaTheme="minorEastAsia" w:cstheme="minorEastAsia"/>
          <w:color w:val="auto"/>
          <w:sz w:val="21"/>
          <w:szCs w:val="21"/>
          <w:highlight w:val="none"/>
        </w:rPr>
        <w:t xml:space="preserve">进行制作、上传电子投标文件。</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19.2制作电子投标文件时，应按照招标文件要求加盖投标方电子公章。</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19.3</w:t>
      </w:r>
      <w:r>
        <w:rPr>
          <w:rFonts w:hint="eastAsia" w:asciiTheme="minorEastAsia" w:hAnsiTheme="minorEastAsia" w:eastAsiaTheme="minorEastAsia" w:cstheme="minorEastAsia"/>
          <w:b/>
          <w:color w:val="auto"/>
          <w:sz w:val="21"/>
          <w:szCs w:val="21"/>
          <w:highlight w:val="none"/>
        </w:rPr>
        <w:t xml:space="preserve">电子投标文件制作完成后请于投标文件网上提交截止时间前成功上传至“苏采云”系统，否则视为放弃参加该采购项目。</w:t>
      </w:r>
      <w:r>
        <w:rPr>
          <w:rFonts w:hint="eastAsia" w:asciiTheme="minorEastAsia" w:hAnsiTheme="minorEastAsia" w:eastAsiaTheme="minorEastAsia" w:cstheme="minorEastAsia"/>
          <w:color w:val="auto"/>
          <w:sz w:val="21"/>
          <w:szCs w:val="21"/>
          <w:highlight w:val="none"/>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1"/>
      <w:r/>
      <w:bookmarkEnd w:id="2"/>
      <w:r/>
      <w:r/>
    </w:p>
    <w:p>
      <w:pPr>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五、投标文件的递交、补充、修改和撤回</w:t>
      </w:r>
      <w:r/>
    </w:p>
    <w:p>
      <w:pPr>
        <w:ind w:firstLine="422"/>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20、投标文件的递交</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20.1投标方应当在在投标截止时间前制作并上传电子投标文件。</w:t>
      </w:r>
      <w:r/>
    </w:p>
    <w:p>
      <w:pPr>
        <w:ind w:firstLine="420"/>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20.2投标方通过</w:t>
      </w:r>
      <w:r>
        <w:rPr>
          <w:rFonts w:hint="eastAsia" w:asciiTheme="minorEastAsia" w:hAnsiTheme="minorEastAsia" w:eastAsiaTheme="minorEastAsia" w:cstheme="minorEastAsia"/>
          <w:b/>
          <w:color w:val="auto"/>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21、投标截止时间</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21.1投标方应当在招标文件要求投标文件网上提交截止时间前，将投标文件完成提交（上传）。逾期提交（上传）的投标文件，采购方和采购代理机构拒绝接收。</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21.2采购方和采购代理机构推迟投标截止时间时，将按本须知规定的更正公告的方式对外发布。在这种情况下，采购方、采购代理机构和投标方的权利和义务将受到新的截止期的约束。</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21.3在投标截止时间止成功解密的投标文件少于三份，采购代理机构有权宣布本次招标失败。</w:t>
      </w:r>
      <w:r/>
    </w:p>
    <w:p>
      <w:pPr>
        <w:ind w:firstLine="422"/>
        <w:spacing w:line="360" w:lineRule="auto"/>
        <w:widowControl/>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 xml:space="preserve">22、投标文件的补充、修改和撤回</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22.1投标方在投标文件网上提交截止时间前，可以对其电子投标文件进行补充、修改，具体操作方法见《苏采云系统供应商操作手册》。在投标文件网上提交截止时间之后，投标方不得对其电子投标文件作任何修改。</w:t>
      </w:r>
      <w:r/>
    </w:p>
    <w:p>
      <w:pPr>
        <w:ind w:firstLine="420"/>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22.2投标方在投标文件网上提交截止时间前，可以撤回其电子投标文件，具体操作方法见《苏采云系统供应商操作手册》。投标方撤回电子投标文件，则认为其不再参与本项目投标活动。在投标截止时间至招标文件中规定的投标有效期满之间的这段时间内，投标方不得撤回其投标。</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六、开标和评标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23、开标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23.1开标由采购代理机构</w:t>
      </w:r>
      <w:r>
        <w:rPr>
          <w:rFonts w:hint="eastAsia" w:asciiTheme="minorEastAsia" w:hAnsiTheme="minorEastAsia" w:eastAsiaTheme="minorEastAsia" w:cstheme="minorEastAsia"/>
          <w:color w:val="auto"/>
          <w:sz w:val="21"/>
          <w:szCs w:val="21"/>
          <w:highlight w:val="none"/>
          <w:lang w:val="en-US"/>
        </w:rPr>
        <w:t xml:space="preserve">在线</w:t>
      </w:r>
      <w:r>
        <w:rPr>
          <w:rFonts w:hint="eastAsia" w:asciiTheme="minorEastAsia" w:hAnsiTheme="minorEastAsia" w:eastAsiaTheme="minorEastAsia" w:cstheme="minorEastAsia"/>
          <w:color w:val="auto"/>
          <w:sz w:val="21"/>
          <w:szCs w:val="21"/>
          <w:highlight w:val="none"/>
        </w:rPr>
        <w:t xml:space="preserve">主持，邀请投标方</w:t>
      </w:r>
      <w:r>
        <w:rPr>
          <w:rFonts w:hint="eastAsia" w:asciiTheme="minorEastAsia" w:hAnsiTheme="minorEastAsia" w:eastAsiaTheme="minorEastAsia" w:cstheme="minorEastAsia"/>
          <w:color w:val="auto"/>
          <w:sz w:val="21"/>
          <w:szCs w:val="21"/>
          <w:highlight w:val="none"/>
          <w:lang w:val="en-US"/>
        </w:rPr>
        <w:t xml:space="preserve">在线</w:t>
      </w:r>
      <w:r>
        <w:rPr>
          <w:rFonts w:hint="eastAsia" w:asciiTheme="minorEastAsia" w:hAnsiTheme="minorEastAsia" w:eastAsiaTheme="minorEastAsia" w:cstheme="minorEastAsia"/>
          <w:color w:val="auto"/>
          <w:sz w:val="21"/>
          <w:szCs w:val="21"/>
          <w:highlight w:val="none"/>
        </w:rPr>
        <w:t xml:space="preserve">参加。投标方应当按照《苏采云系统供应商操作手册》规定，</w:t>
      </w:r>
      <w:r>
        <w:rPr>
          <w:rFonts w:hint="eastAsia" w:asciiTheme="minorEastAsia" w:hAnsiTheme="minorEastAsia" w:eastAsiaTheme="minorEastAsia" w:cstheme="minorEastAsia"/>
          <w:b/>
          <w:color w:val="auto"/>
          <w:sz w:val="21"/>
          <w:szCs w:val="21"/>
          <w:highlight w:val="none"/>
        </w:rPr>
        <w:t xml:space="preserve">参加开标活动和在“苏采云”系统规定的时间内对投标文件进行解密</w:t>
      </w:r>
      <w:r>
        <w:rPr>
          <w:rFonts w:hint="eastAsia" w:asciiTheme="minorEastAsia" w:hAnsiTheme="minorEastAsia" w:eastAsiaTheme="minorEastAsia" w:cstheme="minorEastAsia"/>
          <w:color w:val="auto"/>
          <w:sz w:val="21"/>
          <w:szCs w:val="21"/>
          <w:highlight w:val="none"/>
        </w:rPr>
        <w:t xml:space="preserve">。评标委员会成员不得参加开标活动。</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23.2开标时，由采购代理机构</w:t>
      </w:r>
      <w:r>
        <w:rPr>
          <w:rFonts w:hint="eastAsia" w:asciiTheme="minorEastAsia" w:hAnsiTheme="minorEastAsia" w:eastAsiaTheme="minorEastAsia" w:cstheme="minorEastAsia"/>
          <w:color w:val="auto"/>
          <w:sz w:val="21"/>
          <w:szCs w:val="21"/>
          <w:highlight w:val="none"/>
          <w:lang w:val="en-US"/>
        </w:rPr>
        <w:t xml:space="preserve">通过“苏采云”系统在线</w:t>
      </w:r>
      <w:r>
        <w:rPr>
          <w:rFonts w:hint="eastAsia" w:asciiTheme="minorEastAsia" w:hAnsiTheme="minorEastAsia" w:eastAsiaTheme="minorEastAsia" w:cstheme="minorEastAsia"/>
          <w:color w:val="auto"/>
          <w:sz w:val="21"/>
          <w:szCs w:val="21"/>
          <w:highlight w:val="none"/>
        </w:rPr>
        <w:t xml:space="preserve">宣布投标方名称、投标价格和招标文件规定的需要宣布的其他内容。</w:t>
      </w:r>
      <w:r>
        <w:rPr>
          <w:rFonts w:hint="eastAsia" w:asciiTheme="minorEastAsia" w:hAnsiTheme="minorEastAsia" w:eastAsiaTheme="minorEastAsia" w:cstheme="minorEastAsia"/>
          <w:color w:val="auto"/>
          <w:sz w:val="21"/>
          <w:szCs w:val="21"/>
          <w:highlight w:val="none"/>
          <w:lang w:val="en-US"/>
        </w:rPr>
        <w:t xml:space="preserve">投标方在不见面开标系统中确认投标价格，如</w:t>
      </w:r>
      <w:r>
        <w:rPr>
          <w:rFonts w:hint="eastAsia" w:asciiTheme="minorEastAsia" w:hAnsiTheme="minorEastAsia" w:eastAsiaTheme="minorEastAsia" w:cstheme="minorEastAsia"/>
          <w:color w:val="auto"/>
          <w:sz w:val="21"/>
          <w:szCs w:val="21"/>
          <w:highlight w:val="none"/>
        </w:rPr>
        <w:t xml:space="preserve">投标方未</w:t>
      </w:r>
      <w:r>
        <w:rPr>
          <w:rFonts w:hint="eastAsia" w:asciiTheme="minorEastAsia" w:hAnsiTheme="minorEastAsia" w:eastAsiaTheme="minorEastAsia" w:cstheme="minorEastAsia"/>
          <w:color w:val="auto"/>
          <w:sz w:val="21"/>
          <w:szCs w:val="21"/>
          <w:highlight w:val="none"/>
          <w:lang w:val="en-US"/>
        </w:rPr>
        <w:t xml:space="preserve">在线</w:t>
      </w:r>
      <w:r>
        <w:rPr>
          <w:rFonts w:hint="eastAsia" w:asciiTheme="minorEastAsia" w:hAnsiTheme="minorEastAsia" w:eastAsiaTheme="minorEastAsia" w:cstheme="minorEastAsia"/>
          <w:color w:val="auto"/>
          <w:sz w:val="21"/>
          <w:szCs w:val="21"/>
          <w:highlight w:val="none"/>
        </w:rPr>
        <w:t xml:space="preserve">参加开标</w:t>
      </w:r>
      <w:r>
        <w:rPr>
          <w:rFonts w:hint="eastAsia" w:asciiTheme="minorEastAsia" w:hAnsiTheme="minorEastAsia" w:eastAsiaTheme="minorEastAsia" w:cstheme="minorEastAsia"/>
          <w:color w:val="auto"/>
          <w:sz w:val="21"/>
          <w:szCs w:val="21"/>
          <w:highlight w:val="none"/>
          <w:lang w:val="en-US"/>
        </w:rPr>
        <w:t xml:space="preserve">或未在规定时间内确认价格</w:t>
      </w:r>
      <w:r>
        <w:rPr>
          <w:rFonts w:hint="eastAsia" w:asciiTheme="minorEastAsia" w:hAnsiTheme="minorEastAsia" w:eastAsiaTheme="minorEastAsia" w:cstheme="minorEastAsia"/>
          <w:color w:val="auto"/>
          <w:sz w:val="21"/>
          <w:szCs w:val="21"/>
          <w:highlight w:val="none"/>
        </w:rPr>
        <w:t xml:space="preserve">的，视同认可开标结果。</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23.3资格审查</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23.3.1公开招标采购项目开标结束后，采购方应当依法对投标方的资格进行审查，未通过资格审查的视为无效投标。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23.3.2.1查询时间：投标文件递交截止时间。</w:t>
      </w:r>
      <w:r/>
    </w:p>
    <w:p>
      <w:pPr>
        <w:pStyle w:val="1009"/>
        <w:ind w:left="0"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23.3.2.2查询渠道</w:t>
      </w:r>
      <w:r>
        <w:rPr>
          <w:rFonts w:hint="eastAsia" w:asciiTheme="minorEastAsia" w:hAnsiTheme="minorEastAsia" w:eastAsiaTheme="minorEastAsia" w:cstheme="minorEastAsia"/>
          <w:b/>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09"/>
        <w:ind w:left="0"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23.3.</w:t>
      </w:r>
      <w:r>
        <w:rPr>
          <w:rFonts w:hint="eastAsia" w:asciiTheme="minorEastAsia" w:hAnsiTheme="minorEastAsia" w:eastAsiaTheme="minorEastAsia" w:cstheme="minorEastAsia"/>
          <w:b/>
          <w:color w:val="auto"/>
          <w:sz w:val="21"/>
          <w:szCs w:val="21"/>
          <w:highlight w:val="none"/>
          <w:lang w:val="en-US"/>
        </w:rPr>
        <w:t xml:space="preserve">3</w:t>
      </w:r>
      <w:r>
        <w:rPr>
          <w:rFonts w:hint="eastAsia" w:asciiTheme="minorEastAsia" w:hAnsiTheme="minorEastAsia" w:eastAsiaTheme="minorEastAsia" w:cstheme="minorEastAsia"/>
          <w:b/>
          <w:color w:val="auto"/>
          <w:sz w:val="21"/>
          <w:szCs w:val="21"/>
          <w:highlight w:val="none"/>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24、评标委员会</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24.1评标委员会（以下简称评委会）成员依法组建；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24.2评标委员会将对符合资格的投标方的投标文件进行符合性审查，以确定其是否满足采购文件的实质性要求。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24.3评委会组负责具体的评标事务，并独立履行以下职责：</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24.3.1审查、评价投标文件是否符合采购文件的商务、技术等实质性要求；</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24.3.2要求投标方对投标文件有关事项作出澄清或者说明；</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24.3.3对投标文件进行比较和评价；</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24.3.4</w:t>
      </w:r>
      <w:r>
        <w:rPr>
          <w:rFonts w:hint="eastAsia" w:asciiTheme="minorEastAsia" w:hAnsiTheme="minorEastAsia" w:eastAsiaTheme="minorEastAsia" w:cstheme="minorEastAsia"/>
          <w:color w:val="auto"/>
          <w:szCs w:val="21"/>
          <w:highlight w:val="none"/>
        </w:rPr>
        <w:t xml:space="preserve">签署评标报告、推荐中标候选人并根据采购方委托从中</w:t>
      </w:r>
      <w:r>
        <w:rPr>
          <w:rFonts w:hint="eastAsia" w:asciiTheme="minorEastAsia" w:hAnsiTheme="minorEastAsia" w:eastAsiaTheme="minorEastAsia" w:cstheme="minorEastAsia"/>
          <w:color w:val="auto"/>
          <w:szCs w:val="21"/>
          <w:highlight w:val="none"/>
          <w:lang w:val="zh-CN"/>
        </w:rPr>
        <w:t xml:space="preserve">确定中标单位；</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24.3.5向采购方、采购代理机构或者有关部门报告评标中发现的违法行为。</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24.4评委会成员应当履行下列义务：</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24.4.1遵纪守法，客观、公正、廉洁地履行职责；</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24.4.2按照采购文件规定的评标办法和评标标准进行评标，对评审意见承担个人责任；</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24.4.3对评标过程和结果，以及投标方的商业秘密保密；</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24.4.4参与评标报告的起草；</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24.4.5配合招标采购方答复投标方提出的质疑；</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24.4.6配合有关部门的投诉处理工作。</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25、保密要求</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25.1公开开标后，直到宣布授予中标合同为止，凡属于审查、澄清、评价和比较投标的所有资料，有关授予合同的信息都不应向投标方或与评标无关的其他人泄露。</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25.2在投标文件的审查、澄清、评价和比较以及授予合同的过程中，投标方对采购方、采购代理机构和评标委员会成员施加影响的任何行为，都将取消其中标资格。</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26、</w:t>
      </w:r>
      <w:r>
        <w:rPr>
          <w:rFonts w:hint="eastAsia" w:asciiTheme="minorEastAsia" w:hAnsiTheme="minorEastAsia" w:eastAsiaTheme="minorEastAsia" w:cstheme="minorEastAsia"/>
          <w:color w:val="auto"/>
          <w:sz w:val="21"/>
          <w:szCs w:val="21"/>
          <w:highlight w:val="none"/>
        </w:rPr>
        <w:t xml:space="preserve">评标委员会应当对符合资格的投标方的投标文件进行符合性审查，以确定其是否满足招标文件的实质性要求。</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投标文件有下列情况之一者评标委员会有权将其拒绝：</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26.1.1投标方的投标文件未按照本须知规定制作的；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26.1.2未按本须知规定提交资格文件；</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26.1.3与招标文件有重大偏离；</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26.1.4投标方拒绝修正错误；</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26.1.5投标方的报价是选择性的；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26.1.6投标方的报价只投了部分内容；</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26.1.7投标方的投标文件出现了评标委员会认为不应当雷同的情况；</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26.1.8其他被评委会认定无效的情况。</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26.3投标文件报价出现前后不一致的，除招标文件另有规定外，按照下列规定修正：</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（一）投标文件中开标一览表（报价表）内容与投标文件中相应内容不一致的，以开标一览表（报价表）为准；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（二）大写金额和小写金额不一致的，以大写金额为准；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（三）单价金额小数点或者百分比有明显错位的，以开标一览表的总价为准，并修改单价；</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（四）总价金额与按单价汇总金额不一致的，以单价金额计算结果为准。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26.6评审过程中出现下列情形之一的，评审委员会应当启动异常低价投标（响应）审查程序： </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（一）投标（响应）报价低于全部通过符合性审查供应商投标（响应）报价平均值50%的，即投标（响应）报价&lt;全部通过符合性审查供应商投标（响应）报价平均值×50%；</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（二）投标（响应）报价低于通过符合性审查的次低报价供应商投标（响应）报价50%的，即投标（响应）报价&lt;通过符合性审查的次低报价供应商投标（响应）报价×50%；</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（三）投标（响应）报价低于采购项目最高限价45%的，即投标（响应）报价&lt;采购项目最高限价×45%；</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（四）评审委员会基于专业判断，认为供应商报价过低，有可能影响产品质量或者不能诚信履约的其他情形。</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采购人可以结合具体项目实际情况，提高上述第1项至第3项中启动异常低价投标（响应）审查的数值标准，但是最高不得超过65%。相关法律法规对供应商报价有规定的，从其规定。</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rPr>
        <w:t xml:space="preserve">26.7</w:t>
      </w:r>
      <w:r>
        <w:rPr>
          <w:rFonts w:hint="eastAsia" w:asciiTheme="minorEastAsia" w:hAnsiTheme="minorEastAsia" w:eastAsiaTheme="minorEastAsia" w:cstheme="minorEastAsia"/>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9"/>
        <w:ind w:left="0"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27.投标的澄清</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27.1对于投标文件中含义不明确、同类问题表述不一致或者有明显文字和计算错误的内容，评标委员会应当以书面形式要求投标方作出必要的澄清、说明或者补正。</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27.2投标方的澄清、说明或者补正应当采用书面形式，并加盖</w:t>
      </w:r>
      <w:r>
        <w:rPr>
          <w:rFonts w:hint="eastAsia" w:asciiTheme="minorEastAsia" w:hAnsiTheme="minorEastAsia" w:eastAsiaTheme="minorEastAsia" w:cstheme="minorEastAsia"/>
          <w:color w:val="auto"/>
          <w:sz w:val="21"/>
          <w:szCs w:val="21"/>
          <w:highlight w:val="none"/>
          <w:lang w:val="en-US"/>
        </w:rPr>
        <w:t xml:space="preserve">其单位电子</w:t>
      </w:r>
      <w:r>
        <w:rPr>
          <w:rFonts w:hint="eastAsia" w:asciiTheme="minorEastAsia" w:hAnsiTheme="minorEastAsia" w:eastAsiaTheme="minorEastAsia" w:cstheme="minorEastAsia"/>
          <w:color w:val="auto"/>
          <w:sz w:val="21"/>
          <w:szCs w:val="21"/>
          <w:highlight w:val="none"/>
        </w:rPr>
        <w:t xml:space="preserve">公章。投标方的澄清、说明或者补正不得超出投标文件的范围或者改变投标文件的实质性内容。</w:t>
      </w:r>
      <w:r/>
    </w:p>
    <w:p>
      <w:pPr>
        <w:pStyle w:val="1009"/>
        <w:ind w:left="0"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b/>
          <w:color w:val="auto"/>
          <w:sz w:val="21"/>
          <w:szCs w:val="21"/>
          <w:highlight w:val="none"/>
        </w:rPr>
        <w:t xml:space="preserve">此处规定时间的计算以系统中的倒计时间为准，</w:t>
      </w:r>
      <w:r>
        <w:rPr>
          <w:rFonts w:hint="eastAsia" w:asciiTheme="minorEastAsia" w:hAnsiTheme="minorEastAsia" w:eastAsiaTheme="minorEastAsia" w:cstheme="minorEastAsia"/>
          <w:color w:val="auto"/>
          <w:sz w:val="21"/>
          <w:szCs w:val="21"/>
          <w:highlight w:val="none"/>
        </w:rPr>
        <w:t xml:space="preserve">供应商应随时保持系统在线，如因供应商自身原因未在规定时间内提交澄清确认资料的，导致的不利后果由供应商自行承担。</w:t>
      </w:r>
      <w:r/>
    </w:p>
    <w:p>
      <w:pPr>
        <w:pStyle w:val="1009"/>
        <w:ind w:left="0"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28.投标无效</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28.1投标方存在下列情况之一的，投标无效:</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一</w:t>
      </w:r>
      <w:r>
        <w:rPr>
          <w:rFonts w:hint="eastAsia" w:asciiTheme="minorEastAsia" w:hAnsiTheme="minorEastAsia" w:eastAsiaTheme="minorEastAsia" w:cstheme="minorEastAsia"/>
          <w:color w:val="auto"/>
          <w:sz w:val="21"/>
          <w:szCs w:val="21"/>
          <w:highlight w:val="none"/>
        </w:rPr>
        <w:t xml:space="preserve">）投标文件未按招标文件要求签署、盖章的；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二</w:t>
      </w:r>
      <w:r>
        <w:rPr>
          <w:rFonts w:hint="eastAsia" w:asciiTheme="minorEastAsia" w:hAnsiTheme="minorEastAsia" w:eastAsiaTheme="minorEastAsia" w:cstheme="minorEastAsia"/>
          <w:color w:val="auto"/>
          <w:sz w:val="21"/>
          <w:szCs w:val="21"/>
          <w:highlight w:val="none"/>
        </w:rPr>
        <w:t xml:space="preserve">）不具备招标文件中规定的资格要求的；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三</w:t>
      </w:r>
      <w:r>
        <w:rPr>
          <w:rFonts w:hint="eastAsia" w:asciiTheme="minorEastAsia" w:hAnsiTheme="minorEastAsia" w:eastAsiaTheme="minorEastAsia" w:cstheme="minorEastAsia"/>
          <w:color w:val="auto"/>
          <w:sz w:val="21"/>
          <w:szCs w:val="21"/>
          <w:highlight w:val="none"/>
        </w:rPr>
        <w:t xml:space="preserve">）报价超过招标文件中规定的预算金额或者最高限价的；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rPr>
        <w:t xml:space="preserve">四</w:t>
      </w:r>
      <w:r>
        <w:rPr>
          <w:rFonts w:hint="eastAsia" w:asciiTheme="minorEastAsia" w:hAnsiTheme="minorEastAsia" w:eastAsiaTheme="minorEastAsia" w:cstheme="minorEastAsia"/>
          <w:color w:val="auto"/>
          <w:sz w:val="21"/>
          <w:szCs w:val="21"/>
          <w:highlight w:val="none"/>
        </w:rPr>
        <w:t xml:space="preserve">）投标文件含有采购方不能接受的附加条件的；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（五）法律、法规和招标文件规定的其他无效情形。</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28.2投标方应当遵循公平竞争的原则，不得恶意串通，不得妨碍其他投标方的竞争行为，不得损害采购方或者其他投标方的合法权益。</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在评标过程中发现投标方有上述情形的，评标委员会应当认定其投标无效，并书面报告本级财政部门。</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28.3有下列情形之一的，视为投标方串通投标，其投标无效：</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（一）不同投标方的投标文件由同一单位或者个人编制；</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（二）不同投标方委托同一单位或者个人办理投标事宜；</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（三）不同投标方的投标文件载明的项目管理成员或者联系人员为同一人；</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（四）不同投标方的投标文件异常一致或者投标报价呈规律性差异；</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（五）不同投标方的投标文件相互混装。</w:t>
      </w:r>
      <w:r/>
    </w:p>
    <w:p>
      <w:pPr>
        <w:pStyle w:val="1009"/>
        <w:ind w:left="0"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29.废标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29.1在招标过程中，出现下列情况之一的，应予废标：</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29.1.1符合专业条件的供应商或者对招标文件作实质投标的供应商不足</w:t>
      </w:r>
      <w:r>
        <w:rPr>
          <w:rFonts w:hint="eastAsia" w:asciiTheme="minorEastAsia" w:hAnsiTheme="minorEastAsia" w:eastAsiaTheme="minorEastAsia" w:cstheme="minorEastAsia"/>
          <w:color w:val="auto"/>
          <w:sz w:val="21"/>
          <w:szCs w:val="21"/>
          <w:highlight w:val="none"/>
          <w:lang w:val="en-US"/>
        </w:rPr>
        <w:t xml:space="preserve">三</w:t>
      </w:r>
      <w:r>
        <w:rPr>
          <w:rFonts w:hint="eastAsia" w:asciiTheme="minorEastAsia" w:hAnsiTheme="minorEastAsia" w:eastAsiaTheme="minorEastAsia" w:cstheme="minorEastAsia"/>
          <w:color w:val="auto"/>
          <w:sz w:val="21"/>
          <w:szCs w:val="21"/>
          <w:highlight w:val="none"/>
        </w:rPr>
        <w:t xml:space="preserve">家的；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29.1.2出现影响采购公正的违法、违规行为的；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29.1.3投标方的报价均超过了采购预算，采购方不能支付的；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rPr>
        <w:t xml:space="preserve">9</w:t>
      </w:r>
      <w:r>
        <w:rPr>
          <w:rFonts w:hint="eastAsia" w:asciiTheme="minorEastAsia" w:hAnsiTheme="minorEastAsia" w:eastAsiaTheme="minorEastAsia" w:cstheme="minorEastAsia"/>
          <w:color w:val="auto"/>
          <w:sz w:val="21"/>
          <w:szCs w:val="21"/>
          <w:highlight w:val="none"/>
        </w:rPr>
        <w:t xml:space="preserve">.1.4因重大变故，采购任务取消的；</w:t>
      </w:r>
      <w:r/>
    </w:p>
    <w:p>
      <w:pPr>
        <w:pStyle w:val="1009"/>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29.2废标后，采购方和采购代理机构将把废标的理由通知所有投标方。</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30、投标文件的评价和比较</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30.1评标委员会将仅对按采购文件有关规定确定为实质上响应采购文件要求的投标文件进行评价和比较。</w:t>
      </w:r>
      <w:r/>
    </w:p>
    <w:p>
      <w:pPr>
        <w:ind w:firstLine="359"/>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30.2评价和比较，评委会严格按照采购文件的规定要求、条件、评分标准，对投标方所提供货物或服务的先进性、可靠性、售后服务承诺、质量保证承诺等实质性响应内容进行比较评价。</w:t>
      </w:r>
      <w:r/>
    </w:p>
    <w:p>
      <w:pPr>
        <w:ind w:firstLine="359"/>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color w:val="auto"/>
          <w:szCs w:val="21"/>
          <w:highlight w:val="none"/>
        </w:rPr>
        <w:t xml:space="preserve">30</w:t>
      </w:r>
      <w:r>
        <w:rPr>
          <w:rFonts w:hint="eastAsia" w:asciiTheme="minorEastAsia" w:hAnsiTheme="minorEastAsia" w:eastAsiaTheme="minorEastAsia" w:cstheme="minorEastAsia"/>
          <w:color w:val="auto"/>
          <w:szCs w:val="21"/>
          <w:highlight w:val="none"/>
          <w:lang w:val="zh-CN"/>
        </w:rPr>
        <w:t xml:space="preserve">.3 最低的投标报价或最高的折扣比例是中标的重要条件，但不是唯一条件。</w:t>
      </w:r>
      <w:r/>
    </w:p>
    <w:p>
      <w:pPr>
        <w:spacing w:line="360" w:lineRule="auto"/>
        <w:tabs>
          <w:tab w:val="left" w:pos="567" w:leader="none"/>
        </w:tabs>
        <w:rPr>
          <w:rFonts w:hint="eastAsia" w:asciiTheme="minorEastAsia" w:hAnsiTheme="minorEastAsia" w:eastAsiaTheme="minorEastAsia" w:cstheme="minorEastAsia"/>
          <w:b/>
          <w:bCs/>
          <w:color w:val="auto"/>
          <w:szCs w:val="21"/>
          <w:highlight w:val="none"/>
          <w:lang w:val="zh-CN"/>
        </w:rPr>
        <w:outlineLvl w:val="0"/>
      </w:pPr>
      <w:r>
        <w:rPr>
          <w:rFonts w:hint="eastAsia" w:asciiTheme="minorEastAsia" w:hAnsiTheme="minorEastAsia" w:eastAsiaTheme="minorEastAsia" w:cstheme="minorEastAsia"/>
          <w:b/>
          <w:bCs/>
          <w:color w:val="auto"/>
          <w:szCs w:val="21"/>
          <w:highlight w:val="none"/>
          <w:lang w:val="zh-CN"/>
        </w:rPr>
        <w:t xml:space="preserve">七、确定中标原则：</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本项目采用综合评分法，投标文件满足招标文件全部实质性要求，且按照评审因素的量化指标评审得分最高的投标方为排名第一的中标候选人。</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根据委托代理协议内容，由采购方授权评标委员会直接确定中标供应商。</w:t>
      </w:r>
      <w:r/>
    </w:p>
    <w:p>
      <w:pPr>
        <w:spacing w:line="360" w:lineRule="auto"/>
        <w:tabs>
          <w:tab w:val="left" w:pos="567" w:leader="none"/>
        </w:tabs>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八、发出中标通知书</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31</w:t>
      </w:r>
      <w:r>
        <w:rPr>
          <w:rFonts w:hint="eastAsia" w:asciiTheme="minorEastAsia" w:hAnsiTheme="minorEastAsia" w:eastAsiaTheme="minorEastAsia" w:cstheme="minorEastAsia"/>
          <w:color w:val="auto"/>
          <w:szCs w:val="21"/>
          <w:highlight w:val="none"/>
          <w:lang w:val="zh-CN"/>
        </w:rPr>
        <w:t xml:space="preserve">.在投标有效期内，中标供应商确定后，采购方或者采购代理机构发布中标公告。在公告中标结果的同时，向中标供应商发出中标通知书，中标通知书是合同的组成部分。</w:t>
      </w:r>
      <w:r/>
    </w:p>
    <w:p>
      <w:pPr>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九、告知招标结果</w:t>
      </w:r>
      <w:r/>
    </w:p>
    <w:p>
      <w:pPr>
        <w:ind w:firstLine="420"/>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color w:val="auto"/>
          <w:szCs w:val="21"/>
          <w:highlight w:val="none"/>
        </w:rPr>
        <w:t xml:space="preserve">32</w:t>
      </w:r>
      <w:r>
        <w:rPr>
          <w:rFonts w:hint="eastAsia" w:asciiTheme="minorEastAsia" w:hAnsiTheme="minorEastAsia" w:eastAsiaTheme="minorEastAsia" w:cstheme="minorEastAsia"/>
          <w:color w:val="auto"/>
          <w:szCs w:val="21"/>
          <w:highlight w:val="none"/>
          <w:lang w:val="zh-CN"/>
        </w:rPr>
        <w:t xml:space="preserve">.1 对未通过资格审查的投标方，告知其未通过的原因。</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 xml:space="preserve">32</w:t>
      </w:r>
      <w:r>
        <w:rPr>
          <w:rFonts w:hint="eastAsia" w:asciiTheme="minorEastAsia" w:hAnsiTheme="minorEastAsia" w:eastAsiaTheme="minorEastAsia" w:cstheme="minorEastAsia"/>
          <w:color w:val="auto"/>
          <w:szCs w:val="21"/>
          <w:highlight w:val="none"/>
          <w:lang w:val="zh-CN"/>
        </w:rPr>
        <w:t xml:space="preserve">.2 在发出中标通知书的同时，向参与项目评审的未中标供应商发放未中标通知书，告知其评审得分与排名。告知方式为现场口述并签字确认。未中标供应商未按约定的时间和方式获取告知信息的，视为自动放弃并自行承担相应后果。</w:t>
      </w:r>
      <w:r/>
    </w:p>
    <w:p>
      <w:pPr>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十、签订合同</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.1中标供应商应当自发出中标通知书之日起30日内，与采购方签订合同。</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.2招标文件、中标供应商的投标文件及其澄清文件等，均为签订合同的依据。</w:t>
      </w:r>
      <w:r/>
    </w:p>
    <w:p>
      <w:pPr>
        <w:ind w:left="788" w:hanging="368"/>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.3中标单位无正当理由不得拒绝签订政府采购合同。</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.4本项目不分包、转包。</w:t>
      </w:r>
      <w:r/>
    </w:p>
    <w:p>
      <w:pPr>
        <w:ind w:firstLine="42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color w:val="auto"/>
          <w:szCs w:val="21"/>
          <w:highlight w:val="none"/>
          <w:lang w:val="zh-CN"/>
        </w:rPr>
        <w:t xml:space="preserve">.5采购方或采购代理机构将把合同授予其投标文件在实质上响应招标文件要求和按本须知规定评选出的投标方。确定为中标的投标方必须具有实施本合同的能力和资源。</w:t>
      </w:r>
      <w:r/>
    </w:p>
    <w:p>
      <w:pPr>
        <w:spacing w:line="360" w:lineRule="auto"/>
        <w:rPr>
          <w:rFonts w:hint="eastAsia" w:asciiTheme="minorEastAsia" w:hAnsiTheme="minorEastAsia" w:eastAsiaTheme="minorEastAsia" w:cstheme="minorEastAsia"/>
          <w:b/>
          <w:color w:val="auto"/>
          <w:szCs w:val="21"/>
          <w:highlight w:val="none"/>
          <w:lang w:val="zh-CN"/>
        </w:rPr>
        <w:outlineLvl w:val="0"/>
      </w:pPr>
      <w:r>
        <w:rPr>
          <w:rFonts w:hint="eastAsia" w:asciiTheme="minorEastAsia" w:hAnsiTheme="minorEastAsia" w:eastAsiaTheme="minorEastAsia" w:cstheme="minorEastAsia"/>
          <w:b/>
          <w:color w:val="auto"/>
          <w:szCs w:val="21"/>
          <w:highlight w:val="none"/>
          <w:lang w:val="zh-CN"/>
        </w:rPr>
        <w:t xml:space="preserve">十一、其他事项</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3</w:t>
      </w:r>
      <w:r>
        <w:rPr>
          <w:rFonts w:hint="eastAsia" w:asciiTheme="minorEastAsia" w:hAnsiTheme="minorEastAsia" w:eastAsiaTheme="minorEastAsia" w:cstheme="minorEastAsia"/>
          <w:b/>
          <w:bCs/>
          <w:color w:val="auto"/>
          <w:szCs w:val="21"/>
          <w:highlight w:val="none"/>
        </w:rPr>
        <w:t xml:space="preserve">4</w:t>
      </w:r>
      <w:r>
        <w:rPr>
          <w:rFonts w:hint="eastAsia" w:asciiTheme="minorEastAsia" w:hAnsiTheme="minorEastAsia" w:eastAsiaTheme="minorEastAsia" w:cstheme="minorEastAsia"/>
          <w:b/>
          <w:bCs/>
          <w:color w:val="auto"/>
          <w:szCs w:val="21"/>
          <w:highlight w:val="none"/>
          <w:lang w:val="zh-CN"/>
        </w:rPr>
        <w:t xml:space="preserve">、中标服务费</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.1中标单位须按规定支付中标服务费，该费用应在领取中标通知书时付清。</w:t>
      </w:r>
      <w:r/>
    </w:p>
    <w:p>
      <w:pPr>
        <w:ind w:firstLine="502"/>
        <w:spacing w:line="360" w:lineRule="auto"/>
        <w:rPr>
          <w:rFonts w:hint="eastAsia" w:asciiTheme="minorEastAsia" w:hAnsiTheme="minorEastAsia" w:eastAsiaTheme="minorEastAsia" w:cstheme="minorEastAsia"/>
          <w:color w:val="auto"/>
          <w:szCs w:val="21"/>
          <w:highlight w:val="none"/>
          <w:lang w:val="zh-CN"/>
        </w:rPr>
        <w:outlineLvl w:val="0"/>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val="zh-CN"/>
        </w:rPr>
        <w:t xml:space="preserve">.2 中标单位如未按规定缴纳中标服务费,采购代理机构将保留诉讼的权利。</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val="zh-CN"/>
        </w:rPr>
        <w:t xml:space="preserve">3</w:t>
      </w:r>
      <w:r>
        <w:rPr>
          <w:rFonts w:hint="eastAsia" w:asciiTheme="minorEastAsia" w:hAnsiTheme="minorEastAsia" w:eastAsiaTheme="minorEastAsia" w:cstheme="minorEastAsia"/>
          <w:b/>
          <w:bCs/>
          <w:color w:val="auto"/>
          <w:szCs w:val="21"/>
          <w:highlight w:val="none"/>
        </w:rPr>
        <w:t xml:space="preserve">5</w:t>
      </w:r>
      <w:r>
        <w:rPr>
          <w:rFonts w:hint="eastAsia" w:asciiTheme="minorEastAsia" w:hAnsiTheme="minorEastAsia" w:eastAsiaTheme="minorEastAsia" w:cstheme="minorEastAsia"/>
          <w:b/>
          <w:bCs/>
          <w:color w:val="auto"/>
          <w:szCs w:val="21"/>
          <w:highlight w:val="none"/>
          <w:lang w:val="zh-CN"/>
        </w:rPr>
        <w:t xml:space="preserve">、监督</w:t>
      </w:r>
      <w:r/>
    </w:p>
    <w:p>
      <w:pPr>
        <w:ind w:firstLine="502"/>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w:t>
      </w: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val="zh-CN"/>
        </w:rPr>
        <w:t xml:space="preserve">.1政府有关监督部门将对招投标全过程进行监督。</w:t>
      </w:r>
      <w:r/>
    </w:p>
    <w:p>
      <w:pPr>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zh-CN"/>
        </w:rPr>
        <w:t xml:space="preserve">3</w:t>
      </w:r>
      <w:r>
        <w:rPr>
          <w:rFonts w:hint="eastAsia" w:asciiTheme="minorEastAsia" w:hAnsiTheme="minorEastAsia" w:eastAsiaTheme="minorEastAsia" w:cstheme="minorEastAsia"/>
          <w:b/>
          <w:bCs/>
          <w:color w:val="auto"/>
          <w:szCs w:val="21"/>
          <w:highlight w:val="none"/>
        </w:rPr>
        <w:t xml:space="preserve">6</w:t>
      </w:r>
      <w:r>
        <w:rPr>
          <w:rFonts w:hint="eastAsia" w:asciiTheme="minorEastAsia" w:hAnsiTheme="minorEastAsia" w:eastAsiaTheme="minorEastAsia" w:cstheme="minorEastAsia"/>
          <w:b/>
          <w:bCs/>
          <w:color w:val="auto"/>
          <w:szCs w:val="21"/>
          <w:highlight w:val="none"/>
          <w:lang w:val="zh-CN"/>
        </w:rPr>
        <w:t xml:space="preserve">、未尽事宜：</w:t>
      </w:r>
      <w:r>
        <w:rPr>
          <w:rFonts w:hint="eastAsia" w:asciiTheme="minorEastAsia" w:hAnsiTheme="minorEastAsia" w:eastAsiaTheme="minorEastAsia" w:cstheme="minorEastAsia"/>
          <w:color w:val="auto"/>
          <w:szCs w:val="21"/>
          <w:highlight w:val="none"/>
          <w:lang w:val="zh-CN"/>
        </w:rPr>
        <w:t xml:space="preserve">按《中华人民共和国政府采购法》及其他有关政府采购的法律法规的规定执行。</w:t>
      </w:r>
      <w:r>
        <w:rPr>
          <w:rFonts w:hint="eastAsia" w:asciiTheme="minorEastAsia" w:hAnsiTheme="minorEastAsia" w:eastAsiaTheme="minorEastAsia" w:cstheme="minorEastAsia"/>
          <w:b/>
          <w:bCs/>
          <w:color w:val="auto"/>
          <w:szCs w:val="21"/>
          <w:highlight w:val="none"/>
        </w:rPr>
        <w:br w:type="page" w:clear="all"/>
      </w:r>
      <w:r/>
    </w:p>
    <w:p>
      <w:pPr>
        <w:pStyle w:val="791"/>
        <w:jc w:val="center"/>
        <w:spacing w:before="75" w:beforeAutospacing="0" w:after="75" w:afterAutospacing="0"/>
        <w:widowControl/>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第三章投标文件格式</w:t>
      </w:r>
      <w:r/>
    </w:p>
    <w:p>
      <w:pPr>
        <w:spacing w:line="360" w:lineRule="auto"/>
        <w:rPr>
          <w:rFonts w:hint="eastAsia" w:asciiTheme="minorEastAsia" w:hAnsiTheme="minorEastAsia" w:eastAsiaTheme="minorEastAsia" w:cstheme="minorEastAsia"/>
          <w:b/>
          <w:bCs/>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rPr>
          <w:rFonts w:hint="eastAsia" w:asciiTheme="minorEastAsia" w:hAnsiTheme="minorEastAsia" w:eastAsiaTheme="minorEastAsia" w:cstheme="minorEastAsia"/>
          <w:b/>
          <w:color w:val="auto"/>
          <w:szCs w:val="21"/>
          <w:highlight w:val="none"/>
        </w:rPr>
      </w:pPr>
      <w:r/>
      <w:bookmarkStart w:id="3" w:name="_Toc17036"/>
      <w:r/>
      <w:bookmarkStart w:id="4" w:name="_Toc105397779"/>
      <w:r/>
      <w:bookmarkStart w:id="5" w:name="_Toc3821"/>
      <w:r/>
      <w:bookmarkStart w:id="6" w:name="_Toc71810480"/>
      <w:r>
        <w:rPr>
          <w:rFonts w:hint="eastAsia" w:asciiTheme="minorEastAsia" w:hAnsiTheme="minorEastAsia" w:eastAsiaTheme="minorEastAsia" w:cstheme="minorEastAsia"/>
          <w:b/>
          <w:color w:val="auto"/>
          <w:szCs w:val="21"/>
          <w:highlight w:val="none"/>
        </w:rPr>
        <w:br w:type="page" w:clear="all"/>
      </w:r>
      <w:r/>
    </w:p>
    <w:p>
      <w:pPr>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附件1.投标函</w:t>
      </w:r>
      <w:bookmarkEnd w:id="3"/>
      <w:r/>
      <w:bookmarkEnd w:id="4"/>
      <w:r/>
      <w:bookmarkEnd w:id="5"/>
      <w:r/>
      <w:bookmarkEnd w:id="6"/>
      <w:r/>
      <w:r/>
    </w:p>
    <w:p>
      <w:pPr>
        <w:jc w:val="cente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投标函</w:t>
      </w:r>
      <w:r/>
    </w:p>
    <w:p>
      <w:pPr>
        <w:ind w:firstLine="4638"/>
        <w:jc w:val="left"/>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致：</w:t>
      </w:r>
      <w:r>
        <w:rPr>
          <w:rFonts w:hint="eastAsia" w:asciiTheme="minorEastAsia" w:hAnsiTheme="minorEastAsia" w:eastAsiaTheme="minorEastAsia" w:cstheme="minorEastAsia"/>
          <w:color w:val="auto"/>
          <w:szCs w:val="21"/>
          <w:highlight w:val="none"/>
          <w:u w:val="single"/>
          <w:lang w:val="zh-CN"/>
        </w:rPr>
        <w:t xml:space="preserve">诚信金泰建设管理（苏州）有限公司</w:t>
      </w:r>
      <w:r>
        <w:rPr>
          <w:rFonts w:hint="eastAsia" w:asciiTheme="minorEastAsia" w:hAnsiTheme="minorEastAsia" w:eastAsiaTheme="minorEastAsia" w:cstheme="minorEastAsia"/>
          <w:color w:val="auto"/>
          <w:szCs w:val="21"/>
          <w:highlight w:val="none"/>
          <w:lang w:val="zh-CN"/>
        </w:rPr>
        <w:t xml:space="preserve">我方收到贵公司（项目编号）招标文件，经仔细阅读和研究，我方决定参加投标，并向贵公司作出如下承诺：</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4、本投标书的有效期限为投标截止时间之日起60天。</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6、我方承诺该项投标在开标后的全过程中保持有效，不作任何更改和变动。</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7、我方承诺满足《中华人民共和国政府采购法》第二十二条规定的所有条件。</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8、与本投标有关的通讯地址：</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单位：             联系人：</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地址：             邮政编码：</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联系电话：         电子邮箱：</w:t>
      </w:r>
      <w:r/>
    </w:p>
    <w:p>
      <w:pPr>
        <w:ind w:firstLine="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 </w:t>
      </w:r>
      <w:r/>
    </w:p>
    <w:p>
      <w:pPr>
        <w:ind w:firstLine="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firstLine="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日期：年月日</w:t>
      </w:r>
      <w:r/>
    </w:p>
    <w:p>
      <w:pPr>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br w:type="page" w:clear="all"/>
      </w:r>
      <w:bookmarkStart w:id="7" w:name="_Toc71810481"/>
      <w:r/>
      <w:bookmarkStart w:id="8" w:name="_Toc105397780"/>
      <w:r>
        <w:rPr>
          <w:rFonts w:hint="eastAsia" w:asciiTheme="minorEastAsia" w:hAnsiTheme="minorEastAsia" w:eastAsiaTheme="minorEastAsia" w:cstheme="minorEastAsia"/>
          <w:b/>
          <w:color w:val="auto"/>
          <w:szCs w:val="21"/>
          <w:highlight w:val="none"/>
        </w:rPr>
        <w:t xml:space="preserve">附件2.开标一览表</w:t>
      </w:r>
      <w:bookmarkEnd w:id="7"/>
      <w:r/>
      <w:bookmarkEnd w:id="8"/>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开标一览表（总报价）</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投标方全称（加盖公章）：</w:t>
      </w:r>
      <w:bookmarkStart w:id="9" w:name="TBR"/>
      <w:r/>
      <w:bookmarkEnd w:id="9"/>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项目编号：</w:t>
      </w:r>
      <w:bookmarkStart w:id="10" w:name="XMBH"/>
      <w:r/>
      <w:bookmarkEnd w:id="10"/>
      <w:r/>
      <w:r/>
    </w:p>
    <w:tbl>
      <w:tblPr>
        <w:tblStyle w:val="76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2"/>
        <w:gridCol w:w="6489"/>
      </w:tblGrid>
      <w:tr>
        <w:trPr>
          <w:cantSplit/>
          <w:trHeight w:val="1098"/>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hint="eastAsia" w:asciiTheme="minorEastAsia" w:hAnsiTheme="minorEastAsia" w:eastAsiaTheme="minorEastAsia" w:cstheme="minorEastAsia"/>
                <w:color w:val="auto"/>
                <w:szCs w:val="21"/>
                <w:highlight w:val="none"/>
              </w:rPr>
            </w:pPr>
            <w:r/>
            <w:bookmarkStart w:id="11" w:name="XMMC"/>
            <w:r/>
            <w:bookmarkEnd w:id="1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小写：</w:t>
            </w:r>
            <w:bookmarkStart w:id="12" w:name="JEXX"/>
            <w:r/>
            <w:bookmarkEnd w:id="12"/>
            <w:r>
              <w:rPr>
                <w:rFonts w:hint="eastAsia" w:asciiTheme="minorEastAsia" w:hAnsiTheme="minorEastAsia" w:eastAsiaTheme="minorEastAsia" w:cstheme="minorEastAsia"/>
                <w:color w:val="auto"/>
                <w:szCs w:val="21"/>
                <w:highlight w:val="none"/>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hint="eastAsia" w:asciiTheme="minorEastAsia" w:hAnsiTheme="minorEastAsia" w:eastAsiaTheme="minorEastAsia" w:cstheme="minorEastAsia"/>
                <w:color w:val="auto"/>
                <w:szCs w:val="21"/>
                <w:highlight w:val="none"/>
              </w:rPr>
            </w:pPr>
            <w:r/>
            <w:bookmarkStart w:id="13" w:name="JEDX"/>
            <w:r/>
            <w:bookmarkEnd w:id="13"/>
            <w:r/>
            <w:r/>
          </w:p>
        </w:tc>
      </w:tr>
    </w:tbl>
    <w:p>
      <w:pPr>
        <w:ind w:left="1024"/>
        <w:spacing w:line="60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w:t>
      </w:r>
      <w:bookmarkStart w:id="14" w:name="NF"/>
      <w:r/>
      <w:bookmarkEnd w:id="14"/>
      <w:r>
        <w:rPr>
          <w:rFonts w:hint="eastAsia" w:asciiTheme="minorEastAsia" w:hAnsiTheme="minorEastAsia" w:eastAsiaTheme="minorEastAsia" w:cstheme="minorEastAsia"/>
          <w:color w:val="auto"/>
          <w:szCs w:val="21"/>
          <w:highlight w:val="none"/>
        </w:rPr>
        <w:t xml:space="preserve">年</w:t>
      </w:r>
      <w:bookmarkStart w:id="15" w:name="YF"/>
      <w:r/>
      <w:bookmarkEnd w:id="15"/>
      <w:r>
        <w:rPr>
          <w:rFonts w:hint="eastAsia" w:asciiTheme="minorEastAsia" w:hAnsiTheme="minorEastAsia" w:eastAsiaTheme="minorEastAsia" w:cstheme="minorEastAsia"/>
          <w:color w:val="auto"/>
          <w:szCs w:val="21"/>
          <w:highlight w:val="none"/>
        </w:rPr>
        <w:t xml:space="preserve">月</w:t>
      </w:r>
      <w:bookmarkStart w:id="16" w:name="RI"/>
      <w:r/>
      <w:bookmarkEnd w:id="16"/>
      <w:r>
        <w:rPr>
          <w:rFonts w:hint="eastAsia" w:asciiTheme="minorEastAsia" w:hAnsiTheme="minorEastAsia" w:eastAsiaTheme="minorEastAsia" w:cstheme="minorEastAsia"/>
          <w:color w:val="auto"/>
          <w:szCs w:val="21"/>
          <w:highlight w:val="none"/>
        </w:rPr>
        <w:t xml:space="preserve">日</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填写说明：</w:t>
      </w:r>
      <w:r/>
    </w:p>
    <w:p>
      <w:pPr>
        <w:ind w:firstLine="420"/>
        <w:spacing w:line="440" w:lineRule="exact"/>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1、开标一览表必须加盖投标方公章（复印件无效）。</w:t>
      </w:r>
      <w:r/>
    </w:p>
    <w:p>
      <w:pPr>
        <w:ind w:firstLine="420"/>
        <w:spacing w:line="440" w:lineRule="exact"/>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2、如有分包，投标方投任何一个包的标的，都需单独填写开标一览表。</w:t>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bookmarkStart w:id="17" w:name="_Toc7945"/>
      <w:r/>
      <w:bookmarkStart w:id="18" w:name="_Toc241"/>
      <w:r/>
      <w:bookmarkStart w:id="19" w:name="_Toc71810482"/>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spacing w:line="440" w:lineRule="exac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pPr>
      <w:r/>
      <w:bookmarkStart w:id="20" w:name="_Toc105397781"/>
      <w:r>
        <w:rPr>
          <w:rFonts w:hint="eastAsia" w:asciiTheme="minorEastAsia" w:hAnsiTheme="minorEastAsia" w:eastAsiaTheme="minorEastAsia" w:cstheme="minorEastAsia"/>
          <w:b/>
          <w:color w:val="auto"/>
          <w:szCs w:val="21"/>
          <w:highlight w:val="none"/>
        </w:rPr>
        <w:br w:type="page" w:clear="all"/>
      </w:r>
      <w:r/>
    </w:p>
    <w:p>
      <w:pPr>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附件3</w:t>
      </w:r>
      <w:bookmarkEnd w:id="17"/>
      <w:r/>
      <w:bookmarkEnd w:id="18"/>
      <w:r>
        <w:rPr>
          <w:rFonts w:hint="eastAsia" w:asciiTheme="minorEastAsia" w:hAnsiTheme="minorEastAsia" w:eastAsiaTheme="minorEastAsia" w:cstheme="minorEastAsia"/>
          <w:b/>
          <w:color w:val="auto"/>
          <w:szCs w:val="21"/>
          <w:highlight w:val="none"/>
        </w:rPr>
        <w:t xml:space="preserve">.公开分项报价</w:t>
      </w:r>
      <w:bookmarkEnd w:id="19"/>
      <w:r/>
      <w:bookmarkEnd w:id="20"/>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公开分项报价</w:t>
      </w:r>
      <w:r/>
    </w:p>
    <w:p>
      <w:pPr>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                                                        单位：元（人民币）</w:t>
      </w:r>
      <w:r/>
    </w:p>
    <w:tbl>
      <w:tblPr>
        <w:tblStyle w:val="764"/>
        <w:tblW w:w="5326" w:type="pct"/>
        <w:tblInd w:w="0" w:type="dxa"/>
        <w:tblLayout w:type="fixed"/>
        <w:tblCellMar>
          <w:left w:w="108" w:type="dxa"/>
          <w:top w:w="0" w:type="dxa"/>
          <w:right w:w="108" w:type="dxa"/>
          <w:bottom w:w="0" w:type="dxa"/>
        </w:tblCellMar>
        <w:tblLook w:val="04A0" w:firstRow="1" w:lastRow="0" w:firstColumn="1" w:lastColumn="0" w:noHBand="0" w:noVBand="1"/>
      </w:tblPr>
      <w:tblGrid>
        <w:gridCol w:w="1790"/>
        <w:gridCol w:w="4869"/>
        <w:gridCol w:w="666"/>
        <w:gridCol w:w="558"/>
        <w:gridCol w:w="825"/>
        <w:gridCol w:w="882"/>
      </w:tblGrid>
      <w:tr>
        <w:trPr>
          <w:trHeight w:val="500"/>
          <w:tblHeader/>
        </w:trPr>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lang w:bidi="ar"/>
              </w:rPr>
            </w:pPr>
            <w:r>
              <w:rPr>
                <w:rFonts w:hint="eastAsia" w:asciiTheme="minorEastAsia" w:hAnsiTheme="minorEastAsia" w:eastAsiaTheme="minorEastAsia" w:cstheme="minorEastAsia"/>
                <w:b/>
                <w:bCs/>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lang w:bidi="ar"/>
              </w:rPr>
            </w:pPr>
            <w:r>
              <w:rPr>
                <w:rFonts w:hint="eastAsia" w:asciiTheme="minorEastAsia" w:hAnsiTheme="minorEastAsia" w:eastAsiaTheme="minorEastAsia" w:cstheme="minorEastAsia"/>
                <w:b/>
                <w:bCs/>
                <w:color w:val="auto"/>
                <w:szCs w:val="21"/>
                <w:highlight w:val="none"/>
                <w:lang w:bidi="ar"/>
              </w:rPr>
              <w:t xml:space="preserve">总价（元）</w:t>
            </w:r>
            <w:r/>
          </w:p>
        </w:tc>
      </w:tr>
      <w:tr>
        <w:trPr>
          <w:trHeight w:val="90"/>
        </w:trPr>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雷达水位计</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测量范围 ：0.5~35m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雷达频率 ： ≥20GHz</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测量精度  ：±3mm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工作电压  ：DC 6-30V</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功耗  ：≤7.5mA @DC 12V</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输出信号 ：支持RS485接口或Modbus协议</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工作温度 ： -40℃～+60℃</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保护等级 ： IP68</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4245"/>
        </w:trPr>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ADCP流量计</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流速剖面测量：</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★系统频率：600kHz</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★单元数：≥255</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最小单元长度：0.5m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最大单元长度：4m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最大剖面范围：≥90m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★盲区：≤0.5m </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★流速量程：±5m/s默认，±20m/s最大</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精度：水流速度的±0.5%±0.2cm/s</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分辨率：1mm/s</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换能器：</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★数量及几何形状：2声束；±20º</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声束开角：≤1.5°</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倾斜计：</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量程：± 15º</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精度：±0.2º@2°，±0.5º@15°</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分辨率：0.01º</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★电压: 10-18 VDC，功耗0.14W</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输出信号：RS-232、RS-422、RS-485、SDI-12</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1035"/>
        </w:trPr>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视频监控摄像头</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400万球型摄像机：</w:t>
            </w:r>
            <w:r/>
          </w:p>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1.传感器分辨率≥2560×1440，不低于32倍光学变倍，焦距范围不低于4mm~192mm ；</w:t>
            </w:r>
            <w:r/>
          </w:p>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2.内置红外和白光补光灯，红外补光距离≥200m</w:t>
            </w:r>
            <w:r/>
          </w:p>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3.设备内置陀螺仪，支持陀螺仪防抖算法，降低图像抖动；</w:t>
            </w:r>
            <w:r/>
          </w:p>
          <w:p>
            <w:pPr>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4.防护等级不低于：IP66、IK10；</w:t>
            </w:r>
            <w:r/>
          </w:p>
          <w:p>
            <w:pPr>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5.电源功耗：最大功耗＜18W</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933" w:type="pct"/>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遥测终端</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数据采集器（DTU/RTU）：</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1.工作体制:采用定时自报、超限加报和查询应答兼容的工作体制；</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2.数据传输：RTU 采集测站所有要素并统一上传智水苏州平台</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3.接口： 2 个 RS-485 接口，1 个单/双干簧管雨量计接口，2 个模拟量输入接口4 个开关量输入接口，4 个开关量输出接口， 3 个 RS-232 串行口（用于远程通信或参数设置），具有可供便携式计算机提取存储数据的接口(USB 口或 SD 卡接口)；</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DTU（通信模块）： 支持 5G/4G/3G/2G，全网通；支持 PPP、TCP/IP 协议栈（IPV4/IPV6）；支持透明TCP/UDP/SMS，DDP+TCP/UDP 等多种通讯方式；RS-232 串口；</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4.功耗：静态：≤ 0.5mA @ 12Vdc；工作≤ 100mA@ 12Vdc；</w:t>
            </w:r>
            <w:r/>
          </w:p>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lang w:bidi="ar"/>
              </w:rPr>
              <w:t xml:space="preserve">5.供电电压：10.8Vdc～16Vdc，防反保护；</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4410"/>
        </w:trPr>
        <w:tc>
          <w:tcPr>
            <w:tcBorders>
              <w:top w:val="single" w:color="000000" w:sz="4" w:space="0"/>
              <w:left w:val="single" w:color="000000" w:sz="4" w:space="0"/>
              <w:bottom w:val="single" w:color="000000" w:sz="4" w:space="0"/>
              <w:right w:val="single" w:color="000000" w:sz="4" w:space="0"/>
            </w:tcBorders>
            <w:tcW w:w="933" w:type="pct"/>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配套测流软件：</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1.能对断面原始流速、水位等进行24小时连续在线监测，并根据断面流态选择合适的滤波算法和流量计算模型；</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2.能根据实时采集的流速、水位，计算断面流量；</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3.能依据《水文资料整编规范》，对采集和推算的水位、流量过程数据进行整编计算；</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4.能将采集的水位、流速、流量和测站状态信息通过通信网络传输到接收中心；</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5.可人工设定和修改大断面数据、代表流速与断面平均流速关系；</w:t>
            </w:r>
            <w:r/>
          </w:p>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lang w:bidi="ar"/>
              </w:rPr>
              <w:t xml:space="preserve">6.可以查询实测流速和水位，滤波流速和水位，计算的代表流速、断面平均流速、断面面积、流量等数据，并具备图形化显示界面，可以在测站查看水位流量过程线和流速分布图等，并可以进行数据导出和备份。</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720"/>
        </w:trPr>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供电设备</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场外感知设备太阳能和蓄电池设备：</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1.蓄电池和太阳能：蓄电池组采用12V 酸性胶质免维护或碱性免维护电池蓄电池组容量 不低于500AH；太阳能板不小于 600W；</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2.防雷接地：按规范完成各监测设备的接地和监测站的避雷接地系统。接地体、避雷线及引下线的连接必须用焊接，焊接搭接长度不小于 100mm，焊接处应防腐处理。要求监测站接地电阻≤10Ω。</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r>
        <w:trPr>
          <w:trHeight w:val="720"/>
        </w:trPr>
        <w:tc>
          <w:tcPr>
            <w:gridSpan w:val="4"/>
            <w:tcBorders>
              <w:top w:val="single" w:color="000000" w:sz="4" w:space="0"/>
              <w:left w:val="single" w:color="000000" w:sz="4" w:space="0"/>
              <w:bottom w:val="single" w:color="000000" w:sz="4" w:space="0"/>
              <w:right w:val="single" w:color="000000" w:sz="4" w:space="0"/>
            </w:tcBorders>
            <w:tcW w:w="411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b/>
                <w:bCs/>
                <w:color w:val="auto"/>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r>
            <w:r/>
          </w:p>
        </w:tc>
      </w:tr>
    </w:tbl>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spacing w:line="360" w:lineRule="auto"/>
        <w:rPr>
          <w:rFonts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注： </w:t>
      </w:r>
      <w:r>
        <w:rPr>
          <w:rFonts w:asciiTheme="minorEastAsia" w:hAnsiTheme="minorEastAsia" w:eastAsiaTheme="minorEastAsia" w:cstheme="minorEastAsia"/>
          <w:b/>
          <w:bCs/>
          <w:color w:val="auto"/>
          <w:szCs w:val="21"/>
          <w:highlight w:val="none"/>
        </w:rPr>
        <w:t xml:space="preserve">投标报价为全费用综合单价，须包含设备购置费、安装调试费以及所需的全部人工和辅材费用，各分项报价均应涵盖上述所有内容，采购人不再另行支付其他任何费用。</w:t>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right="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 </w:t>
      </w:r>
      <w:r/>
    </w:p>
    <w:p>
      <w:pPr>
        <w:ind w:right="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right="420"/>
        <w:spacing w:line="44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   月    日</w:t>
      </w:r>
      <w:r/>
    </w:p>
    <w:p>
      <w:pP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注：1.报价表包含投标单位各项成本核算和投入的成本明细，合计金额应与《开标一览表》合计金额一致；否则，以《开标一览表》为准。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2.各投标方应根据此表格式按《采购清单》填写详细报价信息（标的物名称、单位、数量不得变动，否则无效）。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3.投标方合计总报价不得超过项目预算金额，单价不得超过单价限价，否则报价无效。</w:t>
      </w:r>
      <w:r/>
    </w:p>
    <w:p>
      <w:pPr>
        <w:widowControl/>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color w:val="auto"/>
          <w:szCs w:val="21"/>
          <w:highlight w:val="none"/>
        </w:rPr>
        <w:br w:type="page" w:clear="all"/>
      </w:r>
      <w:bookmarkStart w:id="21" w:name="_Toc105397782"/>
      <w:r/>
      <w:bookmarkStart w:id="22" w:name="_Toc71810483"/>
      <w:r>
        <w:rPr>
          <w:rFonts w:hint="eastAsia" w:asciiTheme="minorEastAsia" w:hAnsiTheme="minorEastAsia" w:eastAsiaTheme="minorEastAsia" w:cstheme="minorEastAsia"/>
          <w:b/>
          <w:color w:val="auto"/>
          <w:szCs w:val="21"/>
          <w:highlight w:val="none"/>
        </w:rPr>
        <w:t xml:space="preserve">附件4.法定代表人授权委托书</w:t>
      </w:r>
      <w:bookmarkEnd w:id="21"/>
      <w:r/>
      <w:bookmarkEnd w:id="22"/>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法定代表人授权委托书</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本授权委托书声明：我</w:t>
      </w:r>
      <w:r>
        <w:rPr>
          <w:rFonts w:hint="eastAsia" w:asciiTheme="minorEastAsia" w:hAnsiTheme="minorEastAsia" w:eastAsiaTheme="minorEastAsia" w:cstheme="minorEastAsia"/>
          <w:color w:val="auto"/>
          <w:szCs w:val="21"/>
          <w:highlight w:val="none"/>
          <w:u w:val="single"/>
        </w:rPr>
        <w:t xml:space="preserve">（姓名）</w:t>
      </w:r>
      <w:r>
        <w:rPr>
          <w:rFonts w:hint="eastAsia" w:asciiTheme="minorEastAsia" w:hAnsiTheme="minorEastAsia" w:eastAsiaTheme="minorEastAsia" w:cstheme="minorEastAsia"/>
          <w:color w:val="auto"/>
          <w:szCs w:val="21"/>
          <w:highlight w:val="none"/>
        </w:rPr>
        <w:t xml:space="preserve">系</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 xml:space="preserve">投标方名称）的法定代表人，现授权委托</w:t>
      </w:r>
      <w:r>
        <w:rPr>
          <w:rFonts w:hint="eastAsia" w:asciiTheme="minorEastAsia" w:hAnsiTheme="minorEastAsia" w:eastAsiaTheme="minorEastAsia" w:cstheme="minorEastAsia"/>
          <w:color w:val="auto"/>
          <w:szCs w:val="21"/>
          <w:highlight w:val="none"/>
          <w:u w:val="single"/>
        </w:rPr>
        <w:t xml:space="preserve">（姓名）</w:t>
      </w:r>
      <w:r>
        <w:rPr>
          <w:rFonts w:hint="eastAsia" w:asciiTheme="minorEastAsia" w:hAnsiTheme="minorEastAsia" w:eastAsiaTheme="minorEastAsia" w:cstheme="minorEastAsia"/>
          <w:color w:val="auto"/>
          <w:szCs w:val="21"/>
          <w:highlight w:val="none"/>
        </w:rPr>
        <w:t xml:space="preserve">为我公司授权代表（即代理人），以本公司的名义参加</w:t>
      </w:r>
      <w:r>
        <w:rPr>
          <w:rFonts w:hint="eastAsia" w:asciiTheme="minorEastAsia" w:hAnsiTheme="minorEastAsia" w:eastAsiaTheme="minorEastAsia" w:cstheme="minorEastAsia"/>
          <w:color w:val="auto"/>
          <w:szCs w:val="21"/>
          <w:highlight w:val="none"/>
          <w:u w:val="single"/>
        </w:rPr>
        <w:t xml:space="preserve">诚信金泰建设管理（苏州）有限公司</w:t>
      </w:r>
      <w:r>
        <w:rPr>
          <w:rFonts w:hint="eastAsia" w:asciiTheme="minorEastAsia" w:hAnsiTheme="minorEastAsia" w:eastAsiaTheme="minorEastAsia" w:cstheme="minorEastAsia"/>
          <w:color w:val="auto"/>
          <w:szCs w:val="21"/>
          <w:highlight w:val="none"/>
        </w:rPr>
        <w:t xml:space="preserve">组织实施的编号为</w:t>
      </w:r>
      <w:r>
        <w:rPr>
          <w:rFonts w:hint="eastAsia" w:asciiTheme="minorEastAsia" w:hAnsiTheme="minorEastAsia" w:eastAsiaTheme="minorEastAsia" w:cstheme="minorEastAsia"/>
          <w:color w:val="auto"/>
          <w:szCs w:val="21"/>
          <w:highlight w:val="none"/>
          <w:u w:val="single"/>
        </w:rPr>
        <w:t xml:space="preserve">号（项目编号）</w:t>
      </w:r>
      <w:r>
        <w:rPr>
          <w:rFonts w:hint="eastAsia" w:asciiTheme="minorEastAsia" w:hAnsiTheme="minorEastAsia" w:eastAsiaTheme="minorEastAsia" w:cstheme="minorEastAsia"/>
          <w:color w:val="auto"/>
          <w:szCs w:val="21"/>
          <w:highlight w:val="none"/>
        </w:rPr>
        <w:t xml:space="preserve">的招标活动。代理人在开标、评标、合同谈判过程中所签署的一切文件和处理与这有关的一切事务，我均予以承认。</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代理人无转委托权。特此委托。</w:t>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1155"/>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jc w:val="left"/>
        <w:spacing w:line="360" w:lineRule="auto"/>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color w:val="auto"/>
          <w:szCs w:val="21"/>
          <w:highlight w:val="none"/>
          <w:lang w:val="zh-CN"/>
        </w:rPr>
        <w:br w:type="page" w:clear="all"/>
      </w:r>
      <w:bookmarkStart w:id="23" w:name="_Toc19621"/>
      <w:r/>
      <w:bookmarkStart w:id="24" w:name="_Toc21574"/>
      <w:r/>
      <w:bookmarkStart w:id="25" w:name="_Toc71810484"/>
      <w:r/>
      <w:bookmarkStart w:id="26" w:name="_Toc105397783"/>
      <w:r>
        <w:rPr>
          <w:rFonts w:hint="eastAsia" w:asciiTheme="minorEastAsia" w:hAnsiTheme="minorEastAsia" w:eastAsiaTheme="minorEastAsia" w:cstheme="minorEastAsia"/>
          <w:b/>
          <w:color w:val="auto"/>
          <w:szCs w:val="21"/>
          <w:highlight w:val="none"/>
        </w:rPr>
        <w:t xml:space="preserve">附件5.中小企业声明函</w:t>
      </w:r>
      <w:bookmarkEnd w:id="23"/>
      <w:r/>
      <w:bookmarkEnd w:id="24"/>
      <w:r/>
      <w:bookmarkEnd w:id="25"/>
      <w:r/>
      <w:bookmarkEnd w:id="26"/>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中小企业声明函（货物）</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诚信金泰建设管理（苏州）有限公司：</w:t>
      </w:r>
      <w:r/>
    </w:p>
    <w:p>
      <w:pPr>
        <w:ind w:firstLine="420"/>
        <w:spacing w:line="360" w:lineRule="auto"/>
        <w:widowControl/>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Cs w:val="21"/>
          <w:highlight w:val="none"/>
          <w:u w:val="single"/>
        </w:rPr>
        <w:t xml:space="preserve">（单位名称）</w:t>
      </w:r>
      <w:r>
        <w:rPr>
          <w:rFonts w:hint="eastAsia" w:asciiTheme="minorEastAsia" w:hAnsiTheme="minorEastAsia" w:eastAsiaTheme="minorEastAsia" w:cstheme="minorEastAsia"/>
          <w:color w:val="auto"/>
          <w:szCs w:val="21"/>
          <w:highlight w:val="none"/>
        </w:rPr>
        <w:t xml:space="preserve">的</w:t>
      </w:r>
      <w:r>
        <w:rPr>
          <w:rFonts w:hint="eastAsia" w:asciiTheme="minorEastAsia" w:hAnsiTheme="minorEastAsia" w:eastAsiaTheme="minorEastAsia" w:cstheme="minorEastAsia"/>
          <w:color w:val="auto"/>
          <w:szCs w:val="21"/>
          <w:highlight w:val="none"/>
          <w:u w:val="single"/>
        </w:rPr>
        <w:t xml:space="preserve">（项目名称）</w:t>
      </w:r>
      <w:r>
        <w:rPr>
          <w:rFonts w:hint="eastAsia" w:asciiTheme="minorEastAsia" w:hAnsiTheme="minorEastAsia" w:eastAsiaTheme="minorEastAsia" w:cstheme="minorEastAsia"/>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u w:val="single"/>
        </w:rPr>
        <w:t xml:space="preserve">（标的名称）</w:t>
      </w:r>
      <w:r>
        <w:rPr>
          <w:rFonts w:hint="eastAsia" w:asciiTheme="minorEastAsia" w:hAnsiTheme="minorEastAsia" w:eastAsiaTheme="minorEastAsia" w:cstheme="minorEastAsia"/>
          <w:color w:val="auto"/>
          <w:szCs w:val="21"/>
          <w:highlight w:val="none"/>
        </w:rPr>
        <w:t xml:space="preserve">，属于</w:t>
      </w:r>
      <w:r>
        <w:rPr>
          <w:rFonts w:hint="eastAsia" w:asciiTheme="minorEastAsia" w:hAnsiTheme="minorEastAsia" w:eastAsiaTheme="minorEastAsia" w:cstheme="minorEastAsia"/>
          <w:color w:val="auto"/>
          <w:szCs w:val="21"/>
          <w:highlight w:val="none"/>
          <w:u w:val="single"/>
        </w:rPr>
        <w:t xml:space="preserve">（采购文件中明确的所属行业）行业</w:t>
      </w:r>
      <w:r>
        <w:rPr>
          <w:rFonts w:hint="eastAsia" w:asciiTheme="minorEastAsia" w:hAnsiTheme="minorEastAsia" w:eastAsiaTheme="minorEastAsia" w:cstheme="minorEastAsia"/>
          <w:color w:val="auto"/>
          <w:szCs w:val="21"/>
          <w:highlight w:val="none"/>
        </w:rPr>
        <w:t xml:space="preserve">；制造商为</w:t>
      </w:r>
      <w:r>
        <w:rPr>
          <w:rFonts w:hint="eastAsia" w:asciiTheme="minorEastAsia" w:hAnsiTheme="minorEastAsia" w:eastAsiaTheme="minorEastAsia" w:cstheme="minorEastAsia"/>
          <w:color w:val="auto"/>
          <w:szCs w:val="21"/>
          <w:highlight w:val="none"/>
          <w:u w:val="single"/>
        </w:rPr>
        <w:t xml:space="preserve">（企业名称）</w:t>
      </w:r>
      <w:r>
        <w:rPr>
          <w:rFonts w:hint="eastAsia" w:asciiTheme="minorEastAsia" w:hAnsiTheme="minorEastAsia" w:eastAsiaTheme="minorEastAsia" w:cstheme="minorEastAsia"/>
          <w:color w:val="auto"/>
          <w:szCs w:val="21"/>
          <w:highlight w:val="none"/>
        </w:rPr>
        <w:t xml:space="preserve">，从业人员人，营业收入为万元，资产总额为万元</w:t>
      </w:r>
      <w:r>
        <w:rPr>
          <w:rFonts w:hint="eastAsia" w:asciiTheme="minorEastAsia" w:hAnsiTheme="minorEastAsia" w:eastAsiaTheme="minorEastAsia" w:cstheme="minorEastAsia"/>
          <w:color w:val="auto"/>
          <w:szCs w:val="21"/>
          <w:highlight w:val="none"/>
          <w:vertAlign w:val="superscript"/>
        </w:rPr>
        <w:footnoteReference w:id="2"/>
      </w:r>
      <w:r>
        <w:rPr>
          <w:rFonts w:hint="eastAsia" w:asciiTheme="minorEastAsia" w:hAnsiTheme="minorEastAsia" w:eastAsiaTheme="minorEastAsia" w:cstheme="minorEastAsia"/>
          <w:color w:val="auto"/>
          <w:szCs w:val="21"/>
          <w:highlight w:val="none"/>
        </w:rPr>
        <w:t xml:space="preserve">，属于</w:t>
      </w:r>
      <w:r>
        <w:rPr>
          <w:rFonts w:hint="eastAsia" w:asciiTheme="minorEastAsia" w:hAnsiTheme="minorEastAsia" w:eastAsiaTheme="minorEastAsia" w:cstheme="minorEastAsia"/>
          <w:color w:val="auto"/>
          <w:szCs w:val="21"/>
          <w:highlight w:val="none"/>
          <w:u w:val="single"/>
        </w:rPr>
        <w:t xml:space="preserve">（□中型企业、□小型企业、□微型企业）</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widowControl/>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u w:val="single"/>
          <w:lang w:val="zh-CN"/>
        </w:rPr>
        <w:t xml:space="preserve">（标的名称）</w:t>
      </w:r>
      <w:r>
        <w:rPr>
          <w:rFonts w:hint="eastAsia" w:asciiTheme="minorEastAsia" w:hAnsiTheme="minorEastAsia" w:eastAsiaTheme="minorEastAsia" w:cstheme="minorEastAsia"/>
          <w:color w:val="auto"/>
          <w:szCs w:val="21"/>
          <w:highlight w:val="none"/>
          <w:lang w:val="zh-CN"/>
        </w:rPr>
        <w:t xml:space="preserve">，属于</w:t>
      </w:r>
      <w:r>
        <w:rPr>
          <w:rFonts w:hint="eastAsia" w:asciiTheme="minorEastAsia" w:hAnsiTheme="minorEastAsia" w:eastAsiaTheme="minorEastAsia" w:cstheme="minorEastAsia"/>
          <w:color w:val="auto"/>
          <w:szCs w:val="21"/>
          <w:highlight w:val="none"/>
          <w:u w:val="single"/>
          <w:lang w:val="zh-CN"/>
        </w:rPr>
        <w:t xml:space="preserve">（采购文件中明确的所属行业）行业</w:t>
      </w:r>
      <w:r>
        <w:rPr>
          <w:rFonts w:hint="eastAsia" w:asciiTheme="minorEastAsia" w:hAnsiTheme="minorEastAsia" w:eastAsiaTheme="minorEastAsia" w:cstheme="minorEastAsia"/>
          <w:color w:val="auto"/>
          <w:szCs w:val="21"/>
          <w:highlight w:val="none"/>
          <w:lang w:val="zh-CN"/>
        </w:rPr>
        <w:t xml:space="preserve">；制造商为</w:t>
      </w:r>
      <w:r>
        <w:rPr>
          <w:rFonts w:hint="eastAsia" w:asciiTheme="minorEastAsia" w:hAnsiTheme="minorEastAsia" w:eastAsiaTheme="minorEastAsia" w:cstheme="minorEastAsia"/>
          <w:color w:val="auto"/>
          <w:szCs w:val="21"/>
          <w:highlight w:val="none"/>
          <w:u w:val="single"/>
          <w:lang w:val="zh-CN"/>
        </w:rPr>
        <w:t xml:space="preserve">（企业名称）</w:t>
      </w:r>
      <w:r>
        <w:rPr>
          <w:rFonts w:hint="eastAsia" w:asciiTheme="minorEastAsia" w:hAnsiTheme="minorEastAsia" w:eastAsiaTheme="minorEastAsia" w:cstheme="minorEastAsia"/>
          <w:color w:val="auto"/>
          <w:szCs w:val="21"/>
          <w:highlight w:val="none"/>
          <w:lang w:val="zh-CN"/>
        </w:rPr>
        <w:t xml:space="preserve">，</w:t>
      </w:r>
      <w:r>
        <w:rPr>
          <w:rFonts w:hint="eastAsia" w:asciiTheme="minorEastAsia" w:hAnsiTheme="minorEastAsia" w:eastAsiaTheme="minorEastAsia" w:cstheme="minorEastAsia"/>
          <w:color w:val="auto"/>
          <w:szCs w:val="21"/>
          <w:highlight w:val="none"/>
        </w:rPr>
        <w:t xml:space="preserve">从业人员人，营业收入为万元，资产总额为万元，属于</w:t>
      </w:r>
      <w:r>
        <w:rPr>
          <w:rFonts w:hint="eastAsia" w:asciiTheme="minorEastAsia" w:hAnsiTheme="minorEastAsia" w:eastAsiaTheme="minorEastAsia" w:cstheme="minorEastAsia"/>
          <w:color w:val="auto"/>
          <w:szCs w:val="21"/>
          <w:highlight w:val="none"/>
          <w:u w:val="single"/>
        </w:rPr>
        <w:t xml:space="preserve">（□中型企业、□小型企业、□微型企业）</w:t>
      </w:r>
      <w:r>
        <w:rPr>
          <w:rFonts w:hint="eastAsia" w:asciiTheme="minorEastAsia" w:hAnsiTheme="minorEastAsia" w:eastAsiaTheme="minorEastAsia" w:cstheme="minorEastAsia"/>
          <w:color w:val="auto"/>
          <w:szCs w:val="21"/>
          <w:highlight w:val="none"/>
        </w:rPr>
        <w:t xml:space="preserve">；</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以上企业，不属于大企业的分支机构，不存在控股股东为大企业的情形，也不存在与大企业的负责人为同一人的情形。</w:t>
      </w:r>
      <w:r/>
    </w:p>
    <w:p>
      <w:pPr>
        <w:ind w:firstLine="420"/>
        <w:spacing w:line="4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本企业对上述声明内容的真实性负责。如有虚假，将依法承担相应责任。</w:t>
      </w:r>
      <w:r/>
    </w:p>
    <w:p>
      <w:pPr>
        <w:jc w:val="left"/>
        <w:spacing w:line="4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firstLine="441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zh-CN"/>
        </w:rPr>
        <w:t xml:space="preserve">企业名称（盖章）：</w:t>
      </w:r>
      <w:r/>
    </w:p>
    <w:p>
      <w:pPr>
        <w:ind w:left="1075" w:right="232"/>
        <w:jc w:val="center"/>
        <w:spacing w:line="360" w:lineRule="auto"/>
        <w:widowControl/>
        <w:tabs>
          <w:tab w:val="left" w:pos="8080" w:leader="none"/>
        </w:tabs>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lang w:val="zh-CN"/>
        </w:rPr>
        <w:t xml:space="preserve">日期：年月日</w:t>
      </w:r>
      <w:r>
        <w:rPr>
          <w:rFonts w:hint="eastAsia" w:asciiTheme="minorEastAsia" w:hAnsiTheme="minorEastAsia" w:eastAsiaTheme="minorEastAsia" w:cstheme="minorEastAsia"/>
          <w:color w:val="auto"/>
          <w:szCs w:val="21"/>
          <w:highlight w:val="none"/>
          <w:lang w:val="zh-CN"/>
        </w:rPr>
        <w:br w:type="page" w:clear="all"/>
      </w:r>
      <w:bookmarkStart w:id="27" w:name="_Toc71810485"/>
      <w:r>
        <w:rPr>
          <w:rFonts w:hint="eastAsia" w:asciiTheme="minorEastAsia" w:hAnsiTheme="minorEastAsia" w:eastAsiaTheme="minorEastAsia" w:cstheme="minorEastAsia"/>
          <w:b/>
          <w:color w:val="auto"/>
          <w:szCs w:val="21"/>
          <w:highlight w:val="none"/>
        </w:rPr>
        <w:t xml:space="preserve">附：中小企业划型标准规定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（一）农、林、牧、渔业。</w:t>
      </w:r>
      <w:r>
        <w:rPr>
          <w:rFonts w:hint="eastAsia" w:asciiTheme="minorEastAsia" w:hAnsiTheme="minorEastAsia" w:eastAsiaTheme="minorEastAsia" w:cstheme="minorEastAsia"/>
          <w:color w:val="auto"/>
          <w:szCs w:val="21"/>
          <w:highlight w:val="none"/>
        </w:rPr>
        <w:t xml:space="preserve">营业收入20000万元以下的为中小微型企业。其中，营业收入451万元及以上的为中型企业，营业收入50万元及以上的为小型企业，营业收入50万元以下的为微型企业。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（二）工业。</w:t>
      </w:r>
      <w:r>
        <w:rPr>
          <w:rFonts w:hint="eastAsia" w:asciiTheme="minorEastAsia" w:hAnsiTheme="minorEastAsia" w:eastAsiaTheme="minorEastAsia" w:cstheme="minorEastAsia"/>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（三）建筑业。</w:t>
      </w:r>
      <w:r>
        <w:rPr>
          <w:rFonts w:hint="eastAsia" w:asciiTheme="minorEastAsia" w:hAnsiTheme="minorEastAsia" w:eastAsiaTheme="minorEastAsia" w:cstheme="minorEastAsia"/>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（四）批发业。</w:t>
      </w:r>
      <w:r>
        <w:rPr>
          <w:rFonts w:hint="eastAsia" w:asciiTheme="minorEastAsia" w:hAnsiTheme="minorEastAsia" w:eastAsiaTheme="minorEastAsia" w:cstheme="minorEastAsia"/>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（五）零售业。</w:t>
      </w:r>
      <w:r>
        <w:rPr>
          <w:rFonts w:hint="eastAsia" w:asciiTheme="minorEastAsia" w:hAnsiTheme="minorEastAsia" w:eastAsiaTheme="minorEastAsia" w:cstheme="minorEastAsia"/>
          <w:color w:val="auto"/>
          <w:szCs w:val="21"/>
          <w:highlight w:val="none"/>
        </w:rPr>
        <w:t xml:space="preserve">从业人员300人以下或营业收入20000万元以下的为中小微型企业。其中，从业人员50人及以上，且营业收入451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（六）交通运输业。</w:t>
      </w:r>
      <w:r>
        <w:rPr>
          <w:rFonts w:hint="eastAsia" w:asciiTheme="minorEastAsia" w:hAnsiTheme="minorEastAsia" w:eastAsiaTheme="minorEastAsia" w:cstheme="minorEastAsia"/>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（七）仓储业。</w:t>
      </w:r>
      <w:r>
        <w:rPr>
          <w:rFonts w:hint="eastAsia" w:asciiTheme="minorEastAsia" w:hAnsiTheme="minorEastAsia" w:eastAsiaTheme="minorEastAsia" w:cstheme="minorEastAsia"/>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（八）邮政业。</w:t>
      </w:r>
      <w:r>
        <w:rPr>
          <w:rFonts w:hint="eastAsia" w:asciiTheme="minorEastAsia" w:hAnsiTheme="minorEastAsia" w:eastAsiaTheme="minorEastAsia" w:cstheme="minorEastAsia"/>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（九）住宿业。</w:t>
      </w:r>
      <w:r>
        <w:rPr>
          <w:rFonts w:hint="eastAsia" w:asciiTheme="minorEastAsia" w:hAnsiTheme="minorEastAsia" w:eastAsiaTheme="minorEastAsia" w:cstheme="minorEastAsia"/>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（十）餐饮业。</w:t>
      </w:r>
      <w:r>
        <w:rPr>
          <w:rFonts w:hint="eastAsia" w:asciiTheme="minorEastAsia" w:hAnsiTheme="minorEastAsia" w:eastAsiaTheme="minorEastAsia" w:cstheme="minorEastAsia"/>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（十一）信息传输业。</w:t>
      </w:r>
      <w:r>
        <w:rPr>
          <w:rFonts w:hint="eastAsia" w:asciiTheme="minorEastAsia" w:hAnsiTheme="minorEastAsia" w:eastAsiaTheme="minorEastAsia" w:cstheme="minorEastAsia"/>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（十二）软件和信息技术服务业。</w:t>
      </w:r>
      <w:r>
        <w:rPr>
          <w:rFonts w:hint="eastAsia" w:asciiTheme="minorEastAsia" w:hAnsiTheme="minorEastAsia" w:eastAsiaTheme="minorEastAsia" w:cstheme="minorEastAsia"/>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（十三）房地产开发经营。</w:t>
      </w:r>
      <w:r>
        <w:rPr>
          <w:rFonts w:hint="eastAsia" w:asciiTheme="minorEastAsia" w:hAnsiTheme="minorEastAsia" w:eastAsiaTheme="minorEastAsia" w:cstheme="minorEastAsia"/>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（十四）物业管理。</w:t>
      </w:r>
      <w:r>
        <w:rPr>
          <w:rFonts w:hint="eastAsia" w:asciiTheme="minorEastAsia" w:hAnsiTheme="minorEastAsia" w:eastAsiaTheme="minorEastAsia" w:cstheme="minorEastAsia"/>
          <w:color w:val="auto"/>
          <w:szCs w:val="21"/>
          <w:highlight w:val="none"/>
        </w:rPr>
        <w:t xml:space="preserve">从业人员1000人以下或营业收入5000万元以下的为中小微型企业。其中，从业人员</w:t>
      </w:r>
      <w:r/>
    </w:p>
    <w:p>
      <w:pPr>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300人及以上，且营业收入1000万元及以上的为中型企业；从业人员100人及以上，且营业收入451万元及以上的为小型企业；从业人员100人以下或营业收入451万元以下的为微型企业。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（十五）租赁和商务服务业。</w:t>
      </w:r>
      <w:r>
        <w:rPr>
          <w:rFonts w:hint="eastAsia" w:asciiTheme="minorEastAsia" w:hAnsiTheme="minorEastAsia" w:eastAsiaTheme="minorEastAsia" w:cstheme="minorEastAsia"/>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（十六）其他未列明行业。</w:t>
      </w:r>
      <w:r>
        <w:rPr>
          <w:rFonts w:hint="eastAsia" w:asciiTheme="minorEastAsia" w:hAnsiTheme="minorEastAsia" w:eastAsiaTheme="minorEastAsia" w:cstheme="minorEastAsia"/>
          <w:color w:val="auto"/>
          <w:szCs w:val="21"/>
          <w:highlight w:val="none"/>
        </w:rPr>
        <w:t xml:space="preserve">从业人员300人以下的为中小微型企业。其中，从业人员100人及以上的为中型企业；从业人员10人及以上的为小型企业；从业人员10人以下的为微型企业。</w:t>
      </w:r>
      <w:r/>
    </w:p>
    <w:p>
      <w:pPr>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p>
      <w:pPr>
        <w:ind w:firstLine="2560"/>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p>
      <w:pPr>
        <w:jc w:val="left"/>
        <w:widowControl/>
        <w:rPr>
          <w:rFonts w:hint="eastAsia" w:asciiTheme="minorEastAsia" w:hAnsiTheme="minorEastAsia" w:eastAsiaTheme="minorEastAsia" w:cstheme="minorEastAsia"/>
          <w:b/>
          <w:color w:val="auto"/>
          <w:szCs w:val="21"/>
          <w:highlight w:val="none"/>
        </w:rPr>
        <w:outlineLvl w:val="0"/>
      </w:pPr>
      <w:r/>
      <w:bookmarkStart w:id="28" w:name="_Toc105397784"/>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r>
      <w:r/>
    </w:p>
    <w:p>
      <w:pP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br w:type="page" w:clear="all"/>
      </w:r>
      <w:r/>
    </w:p>
    <w:p>
      <w:pPr>
        <w:jc w:val="left"/>
        <w:widowControl/>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附件6.残疾人福利性单位声明函</w:t>
      </w:r>
      <w:bookmarkEnd w:id="27"/>
      <w:r/>
      <w:bookmarkEnd w:id="28"/>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残疾人福利性单位声明函</w:t>
      </w:r>
      <w:r/>
    </w:p>
    <w:p>
      <w:pPr>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u w:val="single"/>
          <w:lang w:val="zh-CN"/>
        </w:rPr>
        <w:t xml:space="preserve">诚信金泰建设管理（苏州）有限公司：</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Cs w:val="21"/>
          <w:highlight w:val="none"/>
          <w:lang w:val="zh-CN"/>
        </w:rPr>
        <w:t xml:space="preserve">贵公司组织实施的编号为号的招标活动</w:t>
      </w:r>
      <w:r>
        <w:rPr>
          <w:rFonts w:hint="eastAsia" w:asciiTheme="minorEastAsia" w:hAnsiTheme="minorEastAsia" w:eastAsiaTheme="minorEastAsia" w:cstheme="minorEastAsia"/>
          <w:color w:val="auto"/>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本单位对上述声明的真实性负责。如有虚假，将依法承担相应责任。</w:t>
      </w:r>
      <w:r/>
    </w:p>
    <w:p>
      <w:pPr>
        <w:ind w:left="1024"/>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left="1024"/>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left="1024"/>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105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ind w:left="1024"/>
        <w:spacing w:line="360" w:lineRule="auto"/>
        <w:widowControl/>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color w:val="auto"/>
          <w:szCs w:val="21"/>
          <w:highlight w:val="none"/>
          <w:lang w:val="zh-CN"/>
        </w:rPr>
        <w:br w:type="page" w:clear="all"/>
      </w:r>
      <w:bookmarkStart w:id="29" w:name="_Toc71810487"/>
      <w:r/>
      <w:bookmarkStart w:id="30" w:name="_Toc105397785"/>
      <w:r>
        <w:rPr>
          <w:rFonts w:hint="eastAsia" w:asciiTheme="minorEastAsia" w:hAnsiTheme="minorEastAsia" w:eastAsiaTheme="minorEastAsia" w:cstheme="minorEastAsia"/>
          <w:b/>
          <w:color w:val="auto"/>
          <w:szCs w:val="21"/>
          <w:highlight w:val="none"/>
        </w:rPr>
        <w:t xml:space="preserve">附件7.</w:t>
      </w:r>
      <w:bookmarkEnd w:id="29"/>
      <w:r/>
      <w:bookmarkEnd w:id="30"/>
      <w:r>
        <w:rPr>
          <w:rFonts w:hint="eastAsia" w:asciiTheme="minorEastAsia" w:hAnsiTheme="minorEastAsia" w:eastAsiaTheme="minorEastAsia" w:cstheme="minorEastAsia"/>
          <w:b/>
          <w:color w:val="auto"/>
          <w:szCs w:val="21"/>
          <w:highlight w:val="none"/>
        </w:rPr>
        <w:t xml:space="preserve">投标货物和服务数量、品牌规格、性能、交货期说明表</w:t>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bookmarkStart w:id="31" w:name="_Toc27138"/>
      <w:r/>
      <w:bookmarkStart w:id="32" w:name="_Toc31973"/>
      <w:r>
        <w:rPr>
          <w:rFonts w:hint="eastAsia" w:asciiTheme="minorEastAsia" w:hAnsiTheme="minorEastAsia" w:eastAsiaTheme="minorEastAsia" w:cstheme="minorEastAsia"/>
          <w:b/>
          <w:color w:val="auto"/>
          <w:szCs w:val="21"/>
          <w:highlight w:val="none"/>
        </w:rPr>
        <w:t xml:space="preserve">投标货物和服务数量、品牌规格、性能、交货期说明表</w:t>
      </w:r>
      <w:r/>
    </w:p>
    <w:tbl>
      <w:tblPr>
        <w:tblStyle w:val="764"/>
        <w:tblW w:w="4998" w:type="pct"/>
        <w:jc w:val="center"/>
        <w:tblLayout w:type="autofit"/>
        <w:tblCellMar>
          <w:left w:w="0" w:type="dxa"/>
          <w:top w:w="0" w:type="dxa"/>
          <w:right w:w="0" w:type="dxa"/>
          <w:bottom w:w="0" w:type="dxa"/>
        </w:tblCellMar>
        <w:tblLook w:val="04A0" w:firstRow="1" w:lastRow="0" w:firstColumn="1" w:lastColumn="0" w:noHBand="0" w:noVBand="1"/>
      </w:tblPr>
      <w:tblGrid>
        <w:gridCol w:w="636"/>
        <w:gridCol w:w="2082"/>
        <w:gridCol w:w="1959"/>
        <w:gridCol w:w="1176"/>
        <w:gridCol w:w="1771"/>
        <w:gridCol w:w="1272"/>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ind w:left="54"/>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jc w:val="lef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105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ind w:left="1024" w:firstLine="483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firstLine="483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firstLine="483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4772"/>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4772"/>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pPr>
      <w:r/>
      <w:bookmarkStart w:id="33" w:name="_Toc105397786"/>
      <w:r>
        <w:rPr>
          <w:rFonts w:hint="eastAsia" w:asciiTheme="minorEastAsia" w:hAnsiTheme="minorEastAsia" w:eastAsiaTheme="minorEastAsia" w:cstheme="minorEastAsia"/>
          <w:b/>
          <w:color w:val="auto"/>
          <w:szCs w:val="21"/>
          <w:highlight w:val="none"/>
        </w:rPr>
        <w:br w:type="page" w:clear="all"/>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附件8.</w:t>
      </w:r>
      <w:bookmarkEnd w:id="33"/>
      <w:r>
        <w:rPr>
          <w:rFonts w:hint="eastAsia" w:asciiTheme="minorEastAsia" w:hAnsiTheme="minorEastAsia" w:eastAsiaTheme="minorEastAsia" w:cstheme="minorEastAsia"/>
          <w:b/>
          <w:color w:val="auto"/>
          <w:szCs w:val="21"/>
          <w:highlight w:val="none"/>
        </w:rPr>
        <w:t xml:space="preserve">技术参数响应及偏离表</w:t>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技术参数响应及偏离表</w:t>
      </w:r>
      <w:r/>
    </w:p>
    <w:tbl>
      <w:tblPr>
        <w:tblStyle w:val="76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655"/>
        <w:gridCol w:w="1800"/>
        <w:gridCol w:w="1930"/>
        <w:gridCol w:w="1671"/>
        <w:gridCol w:w="1287"/>
      </w:tblGrid>
      <w:tr>
        <w:trPr>
          <w:trHeight w:val="771"/>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w:t>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招标要求</w:t>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投标内容</w:t>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偏离说明</w:t>
            </w:r>
            <w:r/>
          </w:p>
        </w:tc>
        <w:tc>
          <w:tcPr>
            <w:tcW w:w="71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证明材料</w:t>
            </w:r>
            <w:r/>
          </w:p>
        </w:tc>
      </w:tr>
      <w:tr>
        <w:trPr>
          <w:cantSplit/>
          <w:trHeight w:val="502"/>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502"/>
        </w:trPr>
        <w:tc>
          <w:tcPr>
            <w:tcW w:w="36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注：投标方应在本表中对照招标文件技术要求逐项对应列出响应内容，并在“偏离说明”项下填写以下内容：优于的，填写“正偏离”；符合的，填写“无偏离”；低于的，填写“负偏离”。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以上表格内容不够的请自行添加</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w:t>
      </w:r>
      <w:r/>
    </w:p>
    <w:p>
      <w:pPr>
        <w:ind w:right="1560"/>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945"/>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br w:type="page" w:clear="all"/>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附件9.商务条款响应及偏离表</w:t>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商务条款响应及偏离表</w:t>
      </w:r>
      <w:r/>
    </w:p>
    <w:tbl>
      <w:tblPr>
        <w:tblStyle w:val="7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655"/>
        <w:gridCol w:w="1801"/>
        <w:gridCol w:w="1930"/>
        <w:gridCol w:w="1671"/>
        <w:gridCol w:w="1286"/>
      </w:tblGrid>
      <w:tr>
        <w:trPr>
          <w:trHeight w:val="760"/>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w:t>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招标要求</w:t>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投标内容</w:t>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偏离说明</w:t>
            </w:r>
            <w:r/>
          </w:p>
        </w:tc>
        <w:tc>
          <w:tcPr>
            <w:tcW w:w="714"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证明材料</w:t>
            </w:r>
            <w:r/>
          </w:p>
        </w:tc>
      </w:tr>
      <w:tr>
        <w:trPr>
          <w:cantSplit/>
          <w:trHeight w:val="495"/>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trHeight w:val="495"/>
        </w:trPr>
        <w:tc>
          <w:tcPr>
            <w:tcW w:w="365"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19"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00"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72"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28" w:type="pct"/>
            <w:vAlign w:val="center"/>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714" w:type="pct"/>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注：投标方应在本表中对照招标文件商务条款要求逐项对应列出响应内容，并在“偏离说明”项下填写以下内容：优于的，填写“正偏离”；符合的，填写“无偏离”；低于的，填写“负偏离”。</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以上表格内容不够的请自行添加。</w:t>
      </w:r>
      <w:r/>
    </w:p>
    <w:p>
      <w:pPr>
        <w:ind w:right="1560"/>
        <w:jc w:val="cente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105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outlineLvl w:val="0"/>
      </w:pPr>
      <w:r/>
      <w:bookmarkStart w:id="34" w:name="_Toc71810489"/>
      <w:r/>
      <w:bookmarkStart w:id="35" w:name="_Toc105397787"/>
      <w:r>
        <w:rPr>
          <w:rFonts w:hint="eastAsia" w:asciiTheme="minorEastAsia" w:hAnsiTheme="minorEastAsia" w:eastAsiaTheme="minorEastAsia" w:cstheme="minorEastAsia"/>
          <w:b/>
          <w:color w:val="auto"/>
          <w:szCs w:val="21"/>
          <w:highlight w:val="none"/>
        </w:rPr>
        <w:br w:type="page" w:clear="all"/>
      </w:r>
      <w:r>
        <w:rPr>
          <w:rFonts w:hint="eastAsia" w:asciiTheme="minorEastAsia" w:hAnsiTheme="minorEastAsia" w:eastAsiaTheme="minorEastAsia" w:cstheme="minorEastAsia"/>
          <w:b/>
          <w:color w:val="auto"/>
          <w:szCs w:val="21"/>
          <w:highlight w:val="none"/>
        </w:rPr>
        <w:t xml:space="preserve">附件10.相关业绩一览表</w:t>
      </w:r>
      <w:bookmarkEnd w:id="34"/>
      <w:r/>
      <w:bookmarkEnd w:id="35"/>
      <w:r/>
      <w:r/>
    </w:p>
    <w:p>
      <w:pPr>
        <w:jc w:val="center"/>
        <w:spacing w:before="100" w:beforeAutospacing="1" w:after="100" w:afterAutospacing="1" w:line="48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相关业绩一览表</w:t>
      </w:r>
      <w:r/>
    </w:p>
    <w:tbl>
      <w:tblPr>
        <w:tblStyle w:val="764"/>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60"/>
        <w:gridCol w:w="1875"/>
        <w:gridCol w:w="1875"/>
        <w:gridCol w:w="2232"/>
        <w:gridCol w:w="1697"/>
      </w:tblGrid>
      <w:tr>
        <w:trPr>
          <w:cantSplit/>
          <w:jc w:val="center"/>
          <w:trHeight w:val="740"/>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项目名称</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合同期</w:t>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合同金额</w:t>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106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right w:val="single" w:color="000000" w:sz="4" w:space="0"/>
            </w:tcBorders>
            <w:tcW w:w="126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W w:w="95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注：1.若事项较多，投标方可根据投标内容的实际情况另纸说明。</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2.请将其他相关证明材料复印件加盖公章后附在本表后面。</w:t>
      </w:r>
      <w:r/>
    </w:p>
    <w:p>
      <w:pPr>
        <w:jc w:val="left"/>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945"/>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ind w:firstLine="2560"/>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bookmarkEnd w:id="31"/>
      <w:r/>
      <w:bookmarkEnd w:id="32"/>
      <w:r/>
      <w:r/>
    </w:p>
    <w:p>
      <w:pPr>
        <w:ind w:left="420" w:firstLine="1188"/>
        <w:spacing w:line="3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420" w:firstLine="4772"/>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left="1024"/>
        <w:widowControl/>
        <w:rPr>
          <w:rFonts w:hint="eastAsia" w:asciiTheme="minorEastAsia" w:hAnsiTheme="minorEastAsia" w:eastAsiaTheme="minorEastAsia" w:cstheme="minorEastAsia"/>
          <w:color w:val="auto"/>
          <w:szCs w:val="21"/>
          <w:highlight w:val="none"/>
        </w:rPr>
      </w:pPr>
      <w:r/>
      <w:bookmarkStart w:id="36" w:name="_Toc71810490"/>
      <w:r/>
      <w:r/>
    </w:p>
    <w:p>
      <w:pPr>
        <w:ind w:left="420" w:firstLine="4772"/>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widowControl/>
        <w:rPr>
          <w:rFonts w:hint="eastAsia" w:asciiTheme="minorEastAsia" w:hAnsiTheme="minorEastAsia" w:eastAsiaTheme="minorEastAsia" w:cstheme="minorEastAsia"/>
          <w:b/>
          <w:color w:val="auto"/>
          <w:szCs w:val="21"/>
          <w:highlight w:val="none"/>
        </w:rPr>
      </w:pPr>
      <w:r/>
      <w:bookmarkStart w:id="37" w:name="_Toc105397789"/>
      <w:r>
        <w:rPr>
          <w:rFonts w:hint="eastAsia" w:asciiTheme="minorEastAsia" w:hAnsiTheme="minorEastAsia" w:eastAsiaTheme="minorEastAsia" w:cstheme="minorEastAsia"/>
          <w:b/>
          <w:color w:val="auto"/>
          <w:szCs w:val="21"/>
          <w:highlight w:val="none"/>
        </w:rPr>
        <w:br w:type="page" w:clear="all"/>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附件11.关于资格文件的声明函</w:t>
      </w:r>
      <w:bookmarkEnd w:id="36"/>
      <w:r/>
      <w:bookmarkEnd w:id="37"/>
      <w:r/>
      <w:r/>
    </w:p>
    <w:p>
      <w:pPr>
        <w:ind w:firstLine="420"/>
        <w:jc w:val="center"/>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jc w:val="center"/>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关于资格文件的声明函</w:t>
      </w:r>
      <w:r/>
    </w:p>
    <w:p>
      <w:pPr>
        <w:ind w:firstLine="420"/>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诚信金泰建设管理（苏州）有限公司：</w:t>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公司愿就由贵公司组织实施的编号为号（项目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1050"/>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jc w:val="left"/>
        <w:widowControl/>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color w:val="auto"/>
          <w:szCs w:val="21"/>
          <w:highlight w:val="none"/>
        </w:rPr>
        <w:br w:type="page" w:clear="all"/>
      </w:r>
      <w:bookmarkStart w:id="38" w:name="_Toc71810491"/>
      <w:r/>
      <w:bookmarkStart w:id="39" w:name="_Toc105397790"/>
      <w:r>
        <w:rPr>
          <w:rFonts w:hint="eastAsia" w:asciiTheme="minorEastAsia" w:hAnsiTheme="minorEastAsia" w:eastAsiaTheme="minorEastAsia" w:cstheme="minorEastAsia"/>
          <w:b/>
          <w:color w:val="auto"/>
          <w:szCs w:val="21"/>
          <w:highlight w:val="none"/>
        </w:rPr>
        <w:t xml:space="preserve">附件12.投标方基本情况表</w:t>
      </w:r>
      <w:bookmarkEnd w:id="38"/>
      <w:r/>
      <w:bookmarkEnd w:id="39"/>
      <w:r/>
      <w:r/>
    </w:p>
    <w:p>
      <w:pPr>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bl>
      <w:tblPr>
        <w:tblStyle w:val="764"/>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315"/>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注：若事项较多，投标方可根据投标内容的实际情况另纸说明。</w:t>
      </w:r>
      <w:r/>
    </w:p>
    <w:p>
      <w:pPr>
        <w:ind w:firstLine="368"/>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945"/>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投标方（盖章）：</w:t>
      </w:r>
      <w:r/>
    </w:p>
    <w:p>
      <w:pPr>
        <w:ind w:left="1024"/>
        <w:jc w:val="left"/>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法定代表人或代理人（签字或盖章）：</w:t>
      </w:r>
      <w:r/>
    </w:p>
    <w:p>
      <w:pPr>
        <w:ind w:left="1024"/>
        <w:jc w:val="left"/>
        <w:spacing w:line="360" w:lineRule="auto"/>
        <w:widowControl/>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日期:       年月日</w:t>
      </w:r>
      <w:r/>
    </w:p>
    <w:p>
      <w:pPr>
        <w:pStyle w:val="791"/>
        <w:jc w:val="center"/>
        <w:spacing w:before="75" w:beforeAutospacing="0" w:after="75" w:afterAutospacing="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91"/>
        <w:jc w:val="center"/>
        <w:spacing w:before="75" w:beforeAutospacing="0" w:after="75" w:afterAutospacing="0"/>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91"/>
        <w:jc w:val="both"/>
        <w:spacing w:before="75" w:beforeAutospacing="0" w:after="75" w:afterAutospacing="0"/>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791"/>
        <w:jc w:val="both"/>
        <w:spacing w:before="75" w:beforeAutospacing="0" w:after="75" w:afterAutospacing="0"/>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791"/>
        <w:jc w:val="both"/>
        <w:spacing w:before="75" w:beforeAutospacing="0" w:after="75" w:afterAutospacing="0"/>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791"/>
        <w:jc w:val="both"/>
        <w:spacing w:before="75" w:beforeAutospacing="0" w:after="75" w:afterAutospacing="0"/>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附件13.关于符合本国产品标准的声明函</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rPr>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1080135</wp:posOffset>
                </wp:positionH>
                <wp:positionV relativeFrom="paragraph">
                  <wp:posOffset>521970</wp:posOffset>
                </wp:positionV>
                <wp:extent cx="849630" cy="12001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4384;o:allowoverlap:true;o:allowincell:true;mso-position-horizontal-relative:text;margin-left:85.0pt;mso-position-horizontal:absolute;mso-position-vertical-relative:text;margin-top:41.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62230</wp:posOffset>
                </wp:positionH>
                <wp:positionV relativeFrom="paragraph">
                  <wp:posOffset>541020</wp:posOffset>
                </wp:positionV>
                <wp:extent cx="849630" cy="12001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3360;o:allowoverlap:true;o:allowincell:true;mso-position-horizontal-relative:text;margin-left:4.9pt;mso-position-horizontal:absolute;mso-position-vertical-relative:text;margin-top:42.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3442970</wp:posOffset>
                </wp:positionH>
                <wp:positionV relativeFrom="paragraph">
                  <wp:posOffset>307340</wp:posOffset>
                </wp:positionV>
                <wp:extent cx="849630" cy="12001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2336;o:allowoverlap:true;o:allowincell:true;mso-position-horizontal-relative:text;margin-left:271.1pt;mso-position-horizontal:absolute;mso-position-vertical-relative:text;margin-top:24.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2509520</wp:posOffset>
                </wp:positionH>
                <wp:positionV relativeFrom="paragraph">
                  <wp:posOffset>279400</wp:posOffset>
                </wp:positionV>
                <wp:extent cx="849630" cy="12001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197.6pt;mso-position-horizontal:absolute;mso-position-vertical-relative:text;margin-top:22.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1482090</wp:posOffset>
                </wp:positionH>
                <wp:positionV relativeFrom="paragraph">
                  <wp:posOffset>269875</wp:posOffset>
                </wp:positionV>
                <wp:extent cx="849630" cy="12001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116.7pt;mso-position-horizontal:absolute;mso-position-vertical-relative:text;margin-top:21.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4084320</wp:posOffset>
                </wp:positionH>
                <wp:positionV relativeFrom="paragraph">
                  <wp:posOffset>5715</wp:posOffset>
                </wp:positionV>
                <wp:extent cx="849630" cy="12001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21.6pt;mso-position-horizontal:absolute;mso-position-vertical-relative:text;margin-top:0.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shd w:val="clear" w:color="auto" w:fill="ffffff"/>
        </w:rPr>
        <w:t xml:space="preserve">1.</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（产品名称1）</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1</w:t>
      </w:r>
      <w:r>
        <w:rPr>
          <w:rFonts w:hint="eastAsia" w:asciiTheme="minorEastAsia" w:hAnsiTheme="minorEastAsia" w:eastAsiaTheme="minorEastAsia" w:cstheme="minorEastAsia"/>
          <w:color w:val="auto"/>
          <w:sz w:val="21"/>
          <w:szCs w:val="21"/>
          <w:highlight w:val="none"/>
          <w:shd w:val="clear" w:color="auto" w:fill="ffffff"/>
        </w:rPr>
        <w:t xml:space="preserve">，生产厂为</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（厂名）</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2</w:t>
      </w:r>
      <w:r>
        <w:rPr>
          <w:rFonts w:hint="eastAsia" w:asciiTheme="minorEastAsia" w:hAnsiTheme="minorEastAsia" w:eastAsiaTheme="minorEastAsia" w:cstheme="minorEastAsia"/>
          <w:color w:val="auto"/>
          <w:sz w:val="21"/>
          <w:szCs w:val="21"/>
          <w:highlight w:val="none"/>
          <w:shd w:val="clear" w:color="auto" w:fill="ffffff"/>
        </w:rPr>
        <w:t xml:space="preserve">，厂址为</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（生产厂址）</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的中国境内生产的组件成本占比≥</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（规定比例）</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3</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（关键组件）</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4</w:t>
      </w:r>
      <w:r>
        <w:rPr>
          <w:rFonts w:hint="eastAsia" w:asciiTheme="minorEastAsia" w:hAnsiTheme="minorEastAsia" w:eastAsiaTheme="minorEastAsia" w:cstheme="minorEastAsia"/>
          <w:color w:val="auto"/>
          <w:sz w:val="21"/>
          <w:szCs w:val="21"/>
          <w:highlight w:val="none"/>
          <w:shd w:val="clear" w:color="auto" w:fill="ffffff"/>
        </w:rPr>
        <w:t xml:space="preserve">在中国境内生产。</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（产品名称1）</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（关键工序）</w:t>
      </w:r>
      <w:r>
        <w:rPr>
          <w:rStyle w:val="799"/>
          <w:rFonts w:hint="eastAsia" w:asciiTheme="minorEastAsia" w:hAnsiTheme="minorEastAsia" w:eastAsiaTheme="minorEastAsia" w:cstheme="minorEastAsia"/>
          <w:i w:val="0"/>
          <w:color w:val="auto"/>
          <w:sz w:val="21"/>
          <w:szCs w:val="21"/>
          <w:highlight w:val="none"/>
          <w:shd w:val="clear" w:color="auto" w:fill="ffffff"/>
          <w:vertAlign w:val="superscript"/>
        </w:rPr>
        <w:t xml:space="preserve">5</w:t>
      </w:r>
      <w:r>
        <w:rPr>
          <w:rFonts w:hint="eastAsia" w:asciiTheme="minorEastAsia" w:hAnsiTheme="minorEastAsia" w:eastAsiaTheme="minorEastAsia" w:cstheme="minorEastAsia"/>
          <w:color w:val="auto"/>
          <w:sz w:val="21"/>
          <w:szCs w:val="21"/>
          <w:highlight w:val="none"/>
          <w:shd w:val="clear" w:color="auto" w:fill="ffffff"/>
        </w:rPr>
        <w:t xml:space="preserve">在中国境内完成。</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697865</wp:posOffset>
                </wp:positionH>
                <wp:positionV relativeFrom="paragraph">
                  <wp:posOffset>566420</wp:posOffset>
                </wp:positionV>
                <wp:extent cx="849630" cy="12001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text;margin-left:54.9pt;mso-position-horizontal:absolute;mso-position-vertical-relative:text;margin-top:44.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-132715</wp:posOffset>
                </wp:positionH>
                <wp:positionV relativeFrom="paragraph">
                  <wp:posOffset>548005</wp:posOffset>
                </wp:positionV>
                <wp:extent cx="84963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9504;o:allowoverlap:true;o:allowincell:true;mso-position-horizontal-relative:text;margin-left:-10.4pt;mso-position-horizontal:absolute;mso-position-vertical-relative:text;margin-top:43.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3387090</wp:posOffset>
                </wp:positionH>
                <wp:positionV relativeFrom="paragraph">
                  <wp:posOffset>276860</wp:posOffset>
                </wp:positionV>
                <wp:extent cx="849630" cy="12001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66.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2331720</wp:posOffset>
                </wp:positionH>
                <wp:positionV relativeFrom="paragraph">
                  <wp:posOffset>323215</wp:posOffset>
                </wp:positionV>
                <wp:extent cx="849630" cy="12001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183.6pt;mso-position-horizontal:absolute;mso-position-vertical-relative:text;margin-top:25.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1279525</wp:posOffset>
                </wp:positionH>
                <wp:positionV relativeFrom="paragraph">
                  <wp:posOffset>298450</wp:posOffset>
                </wp:positionV>
                <wp:extent cx="849630" cy="12001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00.8pt;mso-position-horizontal:absolute;mso-position-vertical-relative:text;margin-top:23.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4068445</wp:posOffset>
                </wp:positionH>
                <wp:positionV relativeFrom="paragraph">
                  <wp:posOffset>52070</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320.3pt;mso-position-horizontal:absolute;mso-position-vertical-relative:text;margin-top:4.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Theme="minorEastAsia" w:hAnsiTheme="minorEastAsia" w:eastAsiaTheme="minorEastAsia" w:cstheme="minorEastAsia"/>
          <w:color w:val="auto"/>
          <w:sz w:val="21"/>
          <w:szCs w:val="21"/>
          <w:highlight w:val="none"/>
          <w:shd w:val="clear" w:color="auto" w:fill="ffffff"/>
        </w:rPr>
        <w:t xml:space="preserve">2.</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，生产厂为</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（厂名）</w:t>
      </w:r>
      <w:r>
        <w:rPr>
          <w:rFonts w:hint="eastAsia" w:asciiTheme="minorEastAsia" w:hAnsiTheme="minorEastAsia" w:eastAsiaTheme="minorEastAsia" w:cstheme="minorEastAsia"/>
          <w:color w:val="auto"/>
          <w:sz w:val="21"/>
          <w:szCs w:val="21"/>
          <w:highlight w:val="none"/>
          <w:shd w:val="clear" w:color="auto" w:fill="ffffff"/>
        </w:rPr>
        <w:t xml:space="preserve">，厂址为</w:t>
      </w:r>
      <w:r>
        <w:rPr>
          <w:rStyle w:val="799"/>
          <w:rFonts w:hint="eastAsia" w:asciiTheme="minorEastAsia" w:hAnsiTheme="minorEastAsia" w:eastAsiaTheme="minorEastAsia" w:cstheme="minorEastAsia"/>
          <w:i w:val="0"/>
          <w:color w:val="auto"/>
          <w:sz w:val="21"/>
          <w:szCs w:val="21"/>
          <w:highlight w:val="none"/>
          <w:u w:val="single"/>
          <w:shd w:val="clear" w:color="auto" w:fill="ffffff"/>
        </w:rPr>
        <w:t xml:space="preserve">（生产厂址）</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的中国境内生产的组件成本占比≥</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（规定比例）</w:t>
      </w:r>
      <w:r>
        <w:rPr>
          <w:rFonts w:hint="eastAsia" w:asciiTheme="minorEastAsia" w:hAnsiTheme="minorEastAsia" w:eastAsiaTheme="minorEastAsia" w:cstheme="minorEastAsia"/>
          <w:color w:val="auto"/>
          <w:sz w:val="21"/>
          <w:szCs w:val="21"/>
          <w:highlight w:val="none"/>
          <w:shd w:val="clear" w:color="auto" w:fill="ffffff"/>
        </w:rPr>
        <w:t xml:space="preserve">。</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（关键组件）</w:t>
      </w:r>
      <w:r>
        <w:rPr>
          <w:rFonts w:hint="eastAsia" w:asciiTheme="minorEastAsia" w:hAnsiTheme="minorEastAsia" w:eastAsiaTheme="minorEastAsia" w:cstheme="minorEastAsia"/>
          <w:color w:val="auto"/>
          <w:sz w:val="21"/>
          <w:szCs w:val="21"/>
          <w:highlight w:val="none"/>
          <w:shd w:val="clear" w:color="auto" w:fill="ffffff"/>
        </w:rPr>
        <w:t xml:space="preserve">在中国境内生产。</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（产品名称2）</w:t>
      </w:r>
      <w:r>
        <w:rPr>
          <w:rFonts w:hint="eastAsia" w:asciiTheme="minorEastAsia" w:hAnsiTheme="minorEastAsia" w:eastAsiaTheme="minorEastAsia" w:cstheme="minorEastAsia"/>
          <w:color w:val="auto"/>
          <w:sz w:val="21"/>
          <w:szCs w:val="21"/>
          <w:highlight w:val="none"/>
          <w:shd w:val="clear" w:color="auto" w:fill="ffffff"/>
        </w:rPr>
        <w:t xml:space="preserve">的</w:t>
      </w:r>
      <w:r>
        <w:rPr>
          <w:rStyle w:val="799"/>
          <w:rFonts w:hint="eastAsia" w:asciiTheme="minorEastAsia" w:hAnsiTheme="minorEastAsia" w:eastAsiaTheme="minorEastAsia" w:cstheme="minorEastAsia"/>
          <w:i w:val="0"/>
          <w:color w:val="auto"/>
          <w:sz w:val="21"/>
          <w:szCs w:val="21"/>
          <w:highlight w:val="none"/>
          <w:shd w:val="clear" w:color="auto" w:fill="ffffff"/>
        </w:rPr>
        <w:t xml:space="preserve">（关键工序）</w:t>
      </w:r>
      <w:r>
        <w:rPr>
          <w:rFonts w:hint="eastAsia" w:asciiTheme="minorEastAsia" w:hAnsiTheme="minorEastAsia" w:eastAsiaTheme="minorEastAsia" w:cstheme="minorEastAsia"/>
          <w:color w:val="auto"/>
          <w:sz w:val="21"/>
          <w:szCs w:val="21"/>
          <w:highlight w:val="none"/>
          <w:shd w:val="clear" w:color="auto" w:fill="ffffff"/>
        </w:rPr>
        <w:t xml:space="preserve">在中国境内完成。</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本公司（单位）对上述声明内容的真实性负责。如有虚假，愿承担相应法律责任。</w:t>
      </w:r>
      <w:r/>
    </w:p>
    <w:p>
      <w:pPr>
        <w:pStyle w:val="791"/>
        <w:ind w:firstLine="420"/>
        <w:jc w:val="right"/>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公司（单位）名称（盖章）：      </w:t>
      </w:r>
      <w:r/>
    </w:p>
    <w:p>
      <w:pPr>
        <w:pStyle w:val="791"/>
        <w:ind w:firstLine="420"/>
        <w:jc w:val="right"/>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shd w:val="clear" w:color="auto" w:fill="ffffff"/>
        </w:rPr>
        <w:t xml:space="preserve">日期：　　　　　年　　月　日    </w:t>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91"/>
        <w:ind w:firstLine="420"/>
        <w:spacing w:beforeAutospacing="0" w:afterAutospacing="0" w:line="360" w:lineRule="auto"/>
        <w:shd w:val="clear" w:color="auto" w:fill="ffffff"/>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Fonts w:hint="eastAsia" w:asciiTheme="minorEastAsia" w:hAnsiTheme="minorEastAsia" w:eastAsiaTheme="minorEastAsia" w:cstheme="minorEastAsia"/>
          <w:i w:val="0"/>
          <w:color w:val="auto"/>
          <w:sz w:val="21"/>
          <w:szCs w:val="21"/>
          <w:highlight w:val="none"/>
          <w:shd w:val="clear" w:color="auto" w:fill="ffffff"/>
        </w:rPr>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Fonts w:hint="eastAsia" w:asciiTheme="minorEastAsia" w:hAnsiTheme="minorEastAsia" w:eastAsiaTheme="minorEastAsia" w:cstheme="minorEastAsia"/>
          <w:i w:val="0"/>
          <w:color w:val="auto"/>
          <w:sz w:val="21"/>
          <w:szCs w:val="21"/>
          <w:highlight w:val="none"/>
          <w:shd w:val="clear" w:color="auto" w:fill="ffffff"/>
        </w:rPr>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Fonts w:hint="eastAsia" w:asciiTheme="minorEastAsia" w:hAnsiTheme="minorEastAsia" w:eastAsiaTheme="minorEastAsia" w:cstheme="minorEastAsia"/>
          <w:i w:val="0"/>
          <w:color w:val="auto"/>
          <w:sz w:val="21"/>
          <w:szCs w:val="21"/>
          <w:highlight w:val="none"/>
          <w:shd w:val="clear" w:color="auto" w:fill="ffffff"/>
        </w:rPr>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1.产品如有型号，请在“产品名称”栏一并填写。</w:t>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2.生产厂名与厂址应与生产厂营业执照载明的相关信息保持一致。</w:t>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3.该产品的中国境内生产的组件成本占比相关要求实施前，“规定比例”栏可不填，下同。</w:t>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4.该产品的关键组件要求实施前，“关键组件”栏可不填，下同。</w:t>
      </w:r>
      <w:r/>
    </w:p>
    <w:p>
      <w:pPr>
        <w:pStyle w:val="791"/>
        <w:ind w:firstLine="420"/>
        <w:spacing w:beforeAutospacing="0" w:afterAutospacing="0" w:line="360" w:lineRule="auto"/>
        <w:shd w:val="clear" w:color="auto" w:fill="ffffff"/>
        <w:widowControl/>
        <w:rPr>
          <w:rStyle w:val="799"/>
          <w:rFonts w:hint="eastAsia" w:asciiTheme="minorEastAsia" w:hAnsiTheme="minorEastAsia" w:eastAsiaTheme="minorEastAsia" w:cstheme="minorEastAsia"/>
          <w:i w:val="0"/>
          <w:color w:val="auto"/>
          <w:sz w:val="21"/>
          <w:szCs w:val="21"/>
          <w:highlight w:val="none"/>
          <w:shd w:val="clear" w:color="auto" w:fill="ffffff"/>
        </w:rP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5.该产品的关键工序要求实施前，“关键工序”栏可不填，下同。</w:t>
      </w:r>
      <w:r/>
    </w:p>
    <w:p>
      <w:pPr>
        <w:pStyle w:val="791"/>
        <w:ind w:firstLine="420"/>
        <w:jc w:val="center"/>
        <w:spacing w:beforeAutospacing="0" w:afterAutospacing="0" w:line="360" w:lineRule="auto"/>
        <w:shd w:val="clear" w:color="auto" w:fill="ffffff"/>
        <w:widowControl/>
        <w:rPr>
          <w:rFonts w:hint="eastAsia" w:asciiTheme="minorEastAsia" w:hAnsiTheme="minorEastAsia" w:eastAsiaTheme="minorEastAsia" w:cstheme="minorEastAsia"/>
          <w:bCs/>
          <w:color w:val="auto"/>
          <w:sz w:val="21"/>
          <w:szCs w:val="21"/>
          <w:highlight w:val="none"/>
        </w:rPr>
        <w:pBdr>
          <w:top w:val="none" w:color="000000" w:sz="0" w:space="0"/>
          <w:left w:val="none" w:color="000000" w:sz="0" w:space="0"/>
          <w:bottom w:val="none" w:color="000000" w:sz="0" w:space="0"/>
          <w:right w:val="none" w:color="000000" w:sz="0" w:space="0"/>
        </w:pBdr>
      </w:pPr>
      <w:r>
        <w:rPr>
          <w:rStyle w:val="799"/>
          <w:rFonts w:hint="eastAsia" w:asciiTheme="minorEastAsia" w:hAnsiTheme="minorEastAsia" w:eastAsiaTheme="minorEastAsia" w:cstheme="minorEastAsia"/>
          <w:i w:val="0"/>
          <w:color w:val="auto"/>
          <w:sz w:val="21"/>
          <w:szCs w:val="21"/>
          <w:highlight w:val="none"/>
          <w:shd w:val="clear" w:color="auto" w:fill="ffffff"/>
        </w:rPr>
        <w:t xml:space="preserve">6.用斜线划除的地方无需填写。</w:t>
      </w:r>
      <w:r>
        <w:rPr>
          <w:rStyle w:val="799"/>
          <w:rFonts w:hint="eastAsia" w:asciiTheme="minorEastAsia" w:hAnsiTheme="minorEastAsia" w:eastAsiaTheme="minorEastAsia" w:cstheme="minorEastAsia"/>
          <w:i w:val="0"/>
          <w:color w:val="auto"/>
          <w:sz w:val="21"/>
          <w:szCs w:val="21"/>
          <w:highlight w:val="none"/>
          <w:shd w:val="clear" w:color="auto" w:fill="ffffff"/>
        </w:rPr>
        <w:br w:type="page" w:clear="all"/>
      </w:r>
      <w:r>
        <w:rPr>
          <w:rFonts w:hint="eastAsia" w:asciiTheme="minorEastAsia" w:hAnsiTheme="minorEastAsia" w:eastAsiaTheme="minorEastAsia" w:cstheme="minorEastAsia"/>
          <w:b/>
          <w:bCs/>
          <w:color w:val="auto"/>
          <w:sz w:val="32"/>
          <w:szCs w:val="32"/>
          <w:highlight w:val="none"/>
        </w:rPr>
        <w:t xml:space="preserve">第四章 招标书</w:t>
      </w:r>
      <w:r/>
    </w:p>
    <w:p>
      <w:p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诚信金泰建设管理（苏州）有限公司受苏州市水利水务信息调度指挥中心的委托，就其所需采购的2026年智水苏州室外硬件设备运维备品备件采购</w:t>
      </w:r>
      <w:r>
        <w:rPr>
          <w:rFonts w:hint="eastAsia" w:asciiTheme="minorEastAsia" w:hAnsiTheme="minorEastAsia" w:eastAsiaTheme="minorEastAsia" w:cstheme="minorEastAsia"/>
          <w:color w:val="auto"/>
          <w:szCs w:val="21"/>
          <w:highlight w:val="none"/>
        </w:rPr>
        <w:t xml:space="preserve">进行公开招标</w:t>
      </w:r>
      <w:r>
        <w:rPr>
          <w:rFonts w:hint="eastAsia" w:asciiTheme="minorEastAsia" w:hAnsiTheme="minorEastAsia" w:eastAsiaTheme="minorEastAsia" w:cstheme="minorEastAsia"/>
          <w:color w:val="auto"/>
          <w:szCs w:val="21"/>
          <w:highlight w:val="none"/>
        </w:rPr>
        <w:t xml:space="preserve">。欢迎符合资格条件的投标人前来参加投标。</w:t>
      </w:r>
      <w:r/>
    </w:p>
    <w:p>
      <w:pPr>
        <w:ind w:firstLine="422"/>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一、项目概况</w:t>
      </w:r>
      <w:r/>
    </w:p>
    <w:p>
      <w:pPr>
        <w:ind w:firstLine="422"/>
        <w:spacing w:line="460" w:lineRule="exact"/>
        <w:widowControl/>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b/>
          <w:bCs/>
          <w:color w:val="auto"/>
          <w:szCs w:val="21"/>
          <w:highlight w:val="none"/>
        </w:rPr>
        <w:t xml:space="preserve">1.项目编号：</w:t>
      </w:r>
      <w:r>
        <w:rPr>
          <w:rFonts w:hint="eastAsia" w:asciiTheme="minorEastAsia" w:hAnsiTheme="minorEastAsia" w:eastAsiaTheme="minorEastAsia" w:cstheme="minorEastAsia"/>
          <w:b/>
          <w:bCs/>
          <w:color w:val="auto"/>
          <w:szCs w:val="21"/>
          <w:highlight w:val="none"/>
          <w:lang w:eastAsia="zh-CN"/>
        </w:rPr>
        <w:t xml:space="preserve">JSZC-320500-CXJT-G2026-0010</w:t>
      </w:r>
      <w:r/>
    </w:p>
    <w:p>
      <w:pPr>
        <w:ind w:firstLine="422"/>
        <w:spacing w:line="4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2.项目名称：</w:t>
      </w:r>
      <w:r>
        <w:rPr>
          <w:rFonts w:hint="eastAsia" w:asciiTheme="minorEastAsia" w:hAnsiTheme="minorEastAsia" w:eastAsiaTheme="minorEastAsia" w:cstheme="minorEastAsia"/>
          <w:color w:val="auto"/>
          <w:szCs w:val="21"/>
          <w:highlight w:val="none"/>
        </w:rPr>
        <w:t xml:space="preserve">2026年智水苏州室外硬件设备运维备品备件采购</w:t>
      </w:r>
      <w:r/>
    </w:p>
    <w:p>
      <w:pPr>
        <w:ind w:firstLine="422"/>
        <w:spacing w:line="4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3.采购预算：</w:t>
      </w:r>
      <w:r>
        <w:rPr>
          <w:rFonts w:hint="eastAsia" w:asciiTheme="minorEastAsia" w:hAnsiTheme="minorEastAsia" w:eastAsiaTheme="minorEastAsia" w:cstheme="minorEastAsia"/>
          <w:color w:val="auto"/>
          <w:szCs w:val="21"/>
          <w:highlight w:val="none"/>
        </w:rPr>
        <w:t xml:space="preserve">壹佰零玖万叁仟陆佰元整（￥1093600）</w:t>
      </w:r>
      <w:r/>
    </w:p>
    <w:p>
      <w:pPr>
        <w:ind w:firstLine="422"/>
        <w:spacing w:line="460" w:lineRule="exac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4.最高限价：</w:t>
      </w:r>
      <w:r>
        <w:rPr>
          <w:rFonts w:hint="eastAsia" w:asciiTheme="minorEastAsia" w:hAnsiTheme="minorEastAsia" w:eastAsiaTheme="minorEastAsia" w:cstheme="minorEastAsia"/>
          <w:color w:val="auto"/>
          <w:szCs w:val="21"/>
          <w:highlight w:val="none"/>
        </w:rPr>
        <w:t xml:space="preserve">壹佰零玖万叁仟陆佰元整（￥1093600）</w:t>
      </w:r>
      <w:r/>
    </w:p>
    <w:p>
      <w:pPr>
        <w:ind w:firstLine="422"/>
        <w:spacing w:line="460" w:lineRule="exac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二、采购需求</w:t>
      </w:r>
      <w:r/>
    </w:p>
    <w:p>
      <w:pPr>
        <w:ind w:firstLine="422"/>
        <w:spacing w:line="460" w:lineRule="exac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1.项目概况</w:t>
      </w:r>
      <w:r/>
    </w:p>
    <w:p>
      <w:p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自2019年起，智水苏州场外硬件设备已连续稳定运行逾六年。为持续保障防汛排涝与水环境监测等业务工作开展，进一步提升整体监测水平与数据质量，拟统筹使用备品备件，对相关站点的设备进行更新迭代与常规替换。</w:t>
      </w:r>
      <w:r/>
    </w:p>
    <w:p>
      <w:pPr>
        <w:ind w:firstLine="422"/>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2.采购内容及技术要求</w:t>
      </w:r>
      <w:r/>
    </w:p>
    <w:p>
      <w:pPr>
        <w:ind w:firstLine="422"/>
        <w:spacing w:line="4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2.1采购内容</w:t>
      </w:r>
      <w:r/>
    </w:p>
    <w:p>
      <w:p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本项目主要包括：</w:t>
      </w:r>
      <w:r/>
    </w:p>
    <w:p>
      <w:pPr>
        <w:numPr>
          <w:ilvl w:val="0"/>
          <w:numId w:val="3"/>
        </w:num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更换3座流量站：每座流量站含1台ADCP流量计、1台雷达水位计、1台遥测终端、1套供电设备、1个视频监控摄像头等设备的更换；</w:t>
      </w:r>
      <w:r/>
    </w:p>
    <w:p>
      <w:pPr>
        <w:numPr>
          <w:ilvl w:val="0"/>
          <w:numId w:val="3"/>
        </w:num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更换流量站部件：2台雷达水位计、5台遥测终端、3台供电设备；</w:t>
      </w:r>
      <w:r/>
    </w:p>
    <w:p>
      <w:pPr>
        <w:numPr>
          <w:ilvl w:val="0"/>
          <w:numId w:val="3"/>
        </w:numPr>
        <w:ind w:firstLine="420"/>
        <w:spacing w:line="4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更换5个视频监控摄像头。</w:t>
      </w:r>
      <w:r/>
    </w:p>
    <w:p>
      <w:pPr>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br w:type="page" w:clear="all"/>
      </w:r>
      <w:r/>
    </w:p>
    <w:p>
      <w:pPr>
        <w:ind w:firstLine="422"/>
        <w:spacing w:line="460" w:lineRule="exac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2.2采购备品备件清单</w:t>
      </w:r>
      <w:r/>
    </w:p>
    <w:tbl>
      <w:tblPr>
        <w:tblStyle w:val="764"/>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692"/>
        <w:gridCol w:w="5752"/>
        <w:gridCol w:w="733"/>
        <w:gridCol w:w="821"/>
      </w:tblGrid>
      <w:tr>
        <w:trPr>
          <w:trHeight w:val="500"/>
          <w:tblHeader/>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单位</w:t>
            </w:r>
            <w:r/>
          </w:p>
        </w:tc>
      </w:tr>
      <w:tr>
        <w:trPr>
          <w:trHeight w:val="90"/>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雷达水位计</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测量范围 ：0.5~35m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雷达频率 ： ≥20GHz</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测量精度  ：±3mm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工作电压  ：DC 6-30V</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功耗  ：≤7.5mA @DC 12V</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输出信号 ：支持RS485接口或Modbus协议</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工作温度 ： -40℃～+60℃</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保护等级 ： IP68</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r>
      <w:tr>
        <w:trPr>
          <w:trHeight w:val="4245"/>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ADCP流量计</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流速剖面测量：</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★系统频率：600kHz</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★单元数：≥255</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最小单元长度：0.5m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最大单元长度：4m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最大剖面范围：≥90m</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★盲区：≤0.5m </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★流速量程：±5m/s默认，±20m/s最大</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精度：水流速度的±0.5%±0.2cm/s</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分辨率：1mm/s</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换能器：</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★数量及几何形状：2声束；±20º</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声束开角：≤1.5°</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倾斜计：</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量程：± 15º</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精度：±0.2º@2°，±0.5º@15°</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分辨率：0.01º</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★电压: 10-18 VDC，功耗0.14W</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输出信号：RS-232、RS-422、RS-485、SDI-12</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台</w:t>
            </w:r>
            <w:r/>
          </w:p>
        </w:tc>
      </w:tr>
      <w:tr>
        <w:trPr>
          <w:trHeight w:val="2273"/>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视频监控摄像头</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400万球型摄像机：</w:t>
            </w:r>
            <w:r/>
          </w:p>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1.传感器分辨率≥2560×1440，不低于32倍光学变倍，焦距范围不低于4mm~192mm ；</w:t>
            </w:r>
            <w:r/>
          </w:p>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2.内置红外和白光补光灯，红外补光距离≥200m</w:t>
            </w:r>
            <w:r/>
          </w:p>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3.设备内置陀螺仪，支持陀螺仪防抖算法，降低图像抖动；</w:t>
            </w:r>
            <w:r/>
          </w:p>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4.防护等级不低于：IP66、IK10；</w:t>
            </w:r>
            <w:r/>
          </w:p>
          <w:p>
            <w:pPr>
              <w:pStyle w:val="1029"/>
              <w:jc w:val="lef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5.电源功耗：最大功耗＜18W</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940" w:type="pct"/>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遥测终端</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数据采集器（DTU/RTU）：</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1.工作体制:采用定时自报、超限加报和查询应答兼容的工作体制；</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2.数据传输：RTU 采集测站所有要素并统一上传智水苏州平台</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val="en-US" w:eastAsia="zh-CN" w:bidi="ar"/>
              </w:rPr>
              <w:t xml:space="preserve">3</w:t>
            </w:r>
            <w:r>
              <w:rPr>
                <w:rFonts w:hint="eastAsia" w:asciiTheme="minorEastAsia" w:hAnsiTheme="minorEastAsia" w:eastAsiaTheme="minorEastAsia" w:cstheme="minorEastAsia"/>
                <w:color w:val="auto"/>
                <w:szCs w:val="21"/>
                <w:highlight w:val="none"/>
                <w:lang w:bidi="ar"/>
              </w:rPr>
              <w:t xml:space="preserve">.接口： 2 个 RS-485 接口，1 个单/双干簧管雨量计接口，2 个模拟量输入接口4 个开关量输入接口，4 个开关量输出接口， 3 个 RS-232 串行口（用于远程通信或参数设置），具有可供便携式计算机提取存储数据的接口(USB 口或 SD 卡接口)；</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DTU（通信模块）： 支持 5G/4G/3G/2G，全网通；支持 PPP、TCP/IP 协议栈（IPV4/IPV6）；支持透明TCP/UDP/SMS，DDP+TCP/UDP 等多种通讯方式；RS-232 串口；</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val="en-US" w:eastAsia="zh-CN" w:bidi="ar"/>
              </w:rPr>
              <w:t xml:space="preserve">4</w:t>
            </w:r>
            <w:r>
              <w:rPr>
                <w:rFonts w:hint="eastAsia" w:asciiTheme="minorEastAsia" w:hAnsiTheme="minorEastAsia" w:eastAsiaTheme="minorEastAsia" w:cstheme="minorEastAsia"/>
                <w:color w:val="auto"/>
                <w:szCs w:val="21"/>
                <w:highlight w:val="none"/>
                <w:lang w:bidi="ar"/>
              </w:rPr>
              <w:t xml:space="preserve">.功耗：静态：≤ 0.5mA @ 12Vdc；工作≤ 100mA@ 12Vdc；</w:t>
            </w:r>
            <w:r/>
          </w:p>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lang w:val="en-US" w:eastAsia="zh-CN" w:bidi="ar"/>
              </w:rPr>
              <w:t xml:space="preserve">5</w:t>
            </w:r>
            <w:r>
              <w:rPr>
                <w:rFonts w:hint="eastAsia" w:asciiTheme="minorEastAsia" w:hAnsiTheme="minorEastAsia" w:eastAsiaTheme="minorEastAsia" w:cstheme="minorEastAsia"/>
                <w:color w:val="auto"/>
                <w:szCs w:val="21"/>
                <w:highlight w:val="none"/>
                <w:lang w:bidi="ar"/>
              </w:rPr>
              <w:t xml:space="preserve">.供电电压：10.8Vdc～16Vdc，防反保护；</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r>
      <w:tr>
        <w:trPr>
          <w:trHeight w:val="4410"/>
        </w:trPr>
        <w:tc>
          <w:tcPr>
            <w:tcBorders>
              <w:top w:val="single" w:color="000000" w:sz="4" w:space="0"/>
              <w:left w:val="single" w:color="000000" w:sz="4" w:space="0"/>
              <w:bottom w:val="single" w:color="000000" w:sz="4" w:space="0"/>
              <w:right w:val="single" w:color="000000" w:sz="4" w:space="0"/>
            </w:tcBorders>
            <w:tcW w:w="940" w:type="pct"/>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配套测流软件：</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1.能对断面原始流速、水位等进行24小时连续在线监测，并根据断面流态选择合适的滤波算法和流量计算模型；</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2.能根据实时采集的流速、水位，计算断面流量；</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3.能依据《水文资料整编规范》，对采集和推算的水位、流量过程数据进行整编计算；</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4.能将采集的水位、流速、流量和测站状态信息通过通信网络传输到接收中心；</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5.可人工设定和修改大断面数据、代表流速与断面平均流速关系；</w:t>
            </w:r>
            <w:r/>
          </w:p>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lang w:bidi="ar"/>
              </w:rPr>
              <w:t xml:space="preserve">6.可以查询实测流速和水位，滤波流速和水位，计算的代表流速、断面平均流速、断面面积、流量等数据，并具备图形化显示界面，可以在测站查看水位流量过程线和流速分布图等，并可以进行数据导出和备份。</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r>
      <w:tr>
        <w:trPr>
          <w:trHeight w:val="720"/>
        </w:trPr>
        <w:tc>
          <w:tcPr>
            <w:tcBorders>
              <w:top w:val="single" w:color="000000" w:sz="4" w:space="0"/>
              <w:left w:val="single" w:color="000000" w:sz="4" w:space="0"/>
              <w:bottom w:val="single" w:color="000000" w:sz="4" w:space="0"/>
              <w:right w:val="single" w:color="000000" w:sz="4" w:space="0"/>
            </w:tcBorders>
            <w:tcW w:w="940"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供电设备</w:t>
            </w:r>
            <w:r/>
          </w:p>
        </w:tc>
        <w:tc>
          <w:tcPr>
            <w:tcBorders>
              <w:top w:val="single" w:color="000000" w:sz="4" w:space="0"/>
              <w:left w:val="single" w:color="000000" w:sz="4" w:space="0"/>
              <w:bottom w:val="single" w:color="000000" w:sz="4" w:space="0"/>
              <w:right w:val="single" w:color="000000" w:sz="4" w:space="0"/>
            </w:tcBorders>
            <w:tcW w:w="3195" w:type="pct"/>
            <w:vAlign w:val="center"/>
            <w:textDirection w:val="lrTb"/>
            <w:noWrap w:val="false"/>
          </w:tcPr>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场外感知设备太阳能和蓄电池设备：</w:t>
            </w:r>
            <w:r/>
          </w:p>
          <w:p>
            <w:pPr>
              <w:jc w:val="left"/>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1.蓄电池和太阳能：蓄电池组采用12V 酸性胶质免维护或碱性免维护电池蓄电池组容量 不低于500AH；太阳能板不小于 600W；</w:t>
            </w:r>
            <w:r/>
          </w:p>
          <w:p>
            <w:pPr>
              <w:jc w:val="left"/>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2.防雷接地：按规范完成各监测设备的接地和监测站的避雷接地系统。接地体、避雷线及引下线的连接必须用焊接，焊接搭接长度不小于 100mm，焊接处应防腐处理。要求监测站接地电阻≤10Ω。</w:t>
            </w:r>
            <w:r/>
          </w:p>
        </w:tc>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套</w:t>
            </w:r>
            <w:r/>
          </w:p>
        </w:tc>
      </w:tr>
    </w:tbl>
    <w:p>
      <w:pPr>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注： 本项目所有设备必须采用国产品牌。投标报价为全费用综合单价，须包含设备购置费、安装调试费以及所需的全部人工和辅材费用，各分项报价均应涵盖上述所有内容，采购人不再另行支付其他任何费用。</w:t>
      </w:r>
      <w:r/>
    </w:p>
    <w:p>
      <w:pPr>
        <w:ind w:firstLine="422"/>
        <w:spacing w:line="460" w:lineRule="exac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2.2技术及安装要求</w:t>
      </w:r>
      <w:r/>
    </w:p>
    <w:p>
      <w:pPr>
        <w:pStyle w:val="766"/>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pStyle w:val="766"/>
        <w:ind w:firstLine="422"/>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bCs/>
          <w:color w:val="auto"/>
          <w:szCs w:val="21"/>
          <w:highlight w:val="none"/>
        </w:rPr>
        <w:t xml:space="preserve">1、流量站</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按照《河流流量测验规范》GB/T 50179-2015，基本水文站的精度类别应按规定划分为一类、二类、三类精度站，流域或省级水文机构可根据基本水文站的重要性、资料用途、服务需求和测验难度等因素对测站精度类别进行调整，当水文测站受测站控制和测验条件的限制难以达到原有精度要求时，可降低一个精度类别，但不应低于三类精度。具体见下表对应划分标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mc:AlternateContent>
          <mc:Choice Requires="wpg">
            <w:drawing>
              <wp:inline xmlns:wp="http://schemas.openxmlformats.org/drawingml/2006/wordprocessingDrawing" distT="0" distB="0" distL="0" distR="0">
                <wp:extent cx="5049520" cy="4340225"/>
                <wp:effectExtent l="12700" t="12700" r="17780" b="15875"/>
                <wp:docPr id="1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descr="IMG_256"/>
                        <pic:cNvPicPr>
                          <a:picLocks noChangeAspect="1"/>
                        </pic:cNvPicPr>
                        <pic:nvPr/>
                      </pic:nvPicPr>
                      <pic:blipFill>
                        <a:blip r:embed="rId14">
                          <a:lum bright="-12000" contrast="18000"/>
                        </a:blip>
                        <a:stretch/>
                      </pic:blipFill>
                      <pic:spPr bwMode="auto">
                        <a:xfrm>
                          <a:off x="0" y="0"/>
                          <a:ext cx="5049520" cy="4340225"/>
                        </a:xfrm>
                        <a:prstGeom prst="rect">
                          <a:avLst/>
                        </a:prstGeom>
                        <a:noFill/>
                        <a:ln w="9525">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97.6pt;height:341.8pt;mso-wrap-distance-left:0.0pt;mso-wrap-distance-top:0.0pt;mso-wrap-distance-right:0.0pt;mso-wrap-distance-bottom:0.0pt;" strokecolor="#000000" strokeweight="0.75pt">
                <v:path textboxrect="0,0,0,0"/>
                <v:imagedata r:id="rId14" o:title=""/>
              </v:shape>
            </w:pict>
          </mc:Fallback>
        </mc:AlternateConten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依据上述规定本次项目涉及的流量监测站点按三类精度站进行定级，具体配套的设备技术规格要求如下：</w:t>
      </w:r>
      <w:r/>
    </w:p>
    <w:tbl>
      <w:tblPr>
        <w:tblStyle w:val="76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13"/>
        <w:gridCol w:w="1394"/>
        <w:gridCol w:w="5319"/>
        <w:gridCol w:w="1051"/>
        <w:gridCol w:w="413"/>
        <w:gridCol w:w="413"/>
      </w:tblGrid>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trHeight w:val="270"/>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流量站</w:t>
            </w:r>
            <w:r/>
          </w:p>
        </w:tc>
      </w:tr>
      <w:tr>
        <w:trPr>
          <w:trHeight w:val="270"/>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第一部分 流量站-流量计</w:t>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横向安装支架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asciiTheme="minorEastAsia" w:hAnsiTheme="minorEastAsia" w:eastAsiaTheme="minorEastAsia" w:cstheme="minorEastAsia"/>
                <w:color w:val="auto"/>
                <w:szCs w:val="21"/>
                <w:highlight w:val="none"/>
              </w:rPr>
              <w:t xml:space="preserve">安装支架外框采用铝合金异型材框架，立柱外覆铝板蒙皮、内置不锈钢导轨并三面确保无杂物进入</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支架横面尺寸约为420mm*420mm，具体尺寸根据现场实施情况经采购人确认后进行调整</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2、支架内置可升降导轨，能调节横向式 ADCP 的测量位置，横向式 ADCP 在上下调节时，必须保证左右方向不变，水平倾角误差≤1；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电源避雷器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额定电压12VDC；最大持续运行电压16VDC；标称放电电流：5kA；最大放电电流：10kA；响应时间：≤25ns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信号避雷器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标称工作电压5V；标称放电电流：5kA；最大放电电流：10kA；响应时间：≤1ns</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4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机柜（含防雷模块）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机柜外观、尺寸、丝印等要求由业主确认后制定，具体要求不低</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于以下技术指标要求</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1、尺寸：1700（H）*600（W）*450（D）；</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2、板厚：2mm；</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3、材质：不锈钢</w:t>
            </w:r>
            <w:r>
              <w:rPr>
                <w:rFonts w:asciiTheme="minorEastAsia" w:hAnsiTheme="minorEastAsia" w:eastAsiaTheme="minorEastAsia" w:cstheme="minorEastAsia"/>
                <w:color w:val="auto"/>
                <w:szCs w:val="21"/>
                <w:highlight w:val="none"/>
              </w:rPr>
              <w:t xml:space="preserve">或经防锈处理的烤漆金属箱</w:t>
            </w: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4、机箱含电源防雷和信号防雷模块。</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5、机箱整体结构满足户外使用的防水要求，机箱外门丝网印刷项目标志和警示标识。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流量计选址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如涉及重新选址，根据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工作开展需要，组织水文行业专家召开专家论证会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35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水位尺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长度:1m</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宽度:0.08/0.1/0.2/0.3(可选)</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材质</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不锈钢</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功能：可显示水位，能长期浸泡在水中</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其他：需配套水准点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8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雷达水位计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1.安装河道距离岸边60cm-100cm处安装；</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2.角度与横杆保持垂直，不能有斜角；</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3.进入电气接口前，必须将电缆向下弯曲，确保壳体不会流入水；</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4.安装后，拧紧电缆密封头，确保密封头和电缆正常连接；</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5.配套安装支架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遥测终端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安装调试</w:t>
            </w:r>
            <w:r>
              <w:rPr>
                <w:rFonts w:hint="eastAsia" w:asciiTheme="minorEastAsia" w:hAnsiTheme="minorEastAsia" w:eastAsiaTheme="minorEastAsia" w:cstheme="minorEastAsia"/>
                <w:color w:val="auto"/>
                <w:szCs w:val="21"/>
                <w:highlight w:val="none"/>
                <w:lang w:val="en-US" w:eastAsia="zh-CN"/>
              </w:rPr>
              <w:t xml:space="preserve">布线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含ADCP流量计、雷达水位计、水尺、遥测终端及配套机柜、立杆、支架</w:t>
            </w:r>
            <w:r>
              <w:rPr>
                <w:rFonts w:hint="eastAsia" w:asciiTheme="minorEastAsia" w:hAnsiTheme="minorEastAsia" w:eastAsiaTheme="minorEastAsia" w:cstheme="minorEastAsia"/>
                <w:color w:val="auto"/>
                <w:szCs w:val="21"/>
                <w:highlight w:val="none"/>
                <w:lang w:val="en-US" w:eastAsia="zh-CN"/>
              </w:rPr>
              <w:t xml:space="preserve">的安装以及所需水密线等线材的提供与布设</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数据对接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需将流量数据对接至智水苏州-数据平台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9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比测率定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按照《河流流量测验规范》（GB50179-2015）的要求进行比测，比测分为试运行比测及率定分析比测。测流系统建设完成后应开展3次以上的安装调试试运行比测，检验ADCP设备安装起点距位置、测量高程是否合理，系统设备运行是否正常等。采购结束由甲乙双方共同确定一个率定的技术方案。技术方案：ADCP安装调试完毕试运行正常后，即可对ADCP进行率定。率定时采用走航式ADCP，不少于30个测次，最后进行计算整理，绘制代表垂线流速与全断面平均流速的关系曲线，传输和产生K值系统比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6"/>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第二部分 流量站-视频监控</w:t>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视频监控摄像头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视频画面需接入智水苏州-视频监控平台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配套机柜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结构：防虫、防尘、防潮构造，箱柜必须具备通风功能；</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柜体材料：不锈钢；</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柜体尺寸：约600×500×400mm（具体以实际现场技术需求为准）；需提供多个规格尺寸；</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板厚：2mm；</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标示/符号：电器单元、输入/输出端子排等须有标记；</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其他：按照采购人要求，对柜体表面进行LOGO，警示标语等标注。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配套立杆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杆高3.5m（具体以实际现场技术需求为准）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混凝土基础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混凝土基础0.6*0.6*0.6m，混凝土强度</w:t>
            </w:r>
            <w:r>
              <w:rPr>
                <w:rFonts w:hint="eastAsia" w:asciiTheme="minorEastAsia" w:hAnsiTheme="minorEastAsia" w:eastAsiaTheme="minorEastAsia" w:cstheme="minorEastAsia"/>
                <w:color w:val="auto"/>
                <w:szCs w:val="21"/>
                <w:highlight w:val="none"/>
                <w:lang w:val="en-US" w:eastAsia="zh-CN"/>
              </w:rPr>
              <w:t xml:space="preserve">不低于</w:t>
            </w:r>
            <w:r>
              <w:rPr>
                <w:rFonts w:hint="eastAsia" w:asciiTheme="minorEastAsia" w:hAnsiTheme="minorEastAsia" w:eastAsiaTheme="minorEastAsia" w:cstheme="minorEastAsia"/>
                <w:color w:val="auto"/>
                <w:szCs w:val="21"/>
                <w:highlight w:val="none"/>
              </w:rPr>
              <w:t xml:space="preserve">C25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安装调试</w:t>
            </w:r>
            <w:r>
              <w:rPr>
                <w:rFonts w:hint="eastAsia" w:asciiTheme="minorEastAsia" w:hAnsiTheme="minorEastAsia" w:eastAsiaTheme="minorEastAsia" w:cstheme="minorEastAsia"/>
                <w:color w:val="auto"/>
                <w:szCs w:val="21"/>
                <w:highlight w:val="none"/>
              </w:rPr>
              <w:t xml:space="preserve">布线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含单个站点所有设施设备安装</w:t>
            </w:r>
            <w:r>
              <w:rPr>
                <w:rFonts w:hint="eastAsia" w:asciiTheme="minorEastAsia" w:hAnsiTheme="minorEastAsia" w:eastAsiaTheme="minorEastAsia" w:cstheme="minorEastAsia"/>
                <w:color w:val="auto"/>
                <w:szCs w:val="21"/>
                <w:highlight w:val="none"/>
                <w:lang w:val="en-US" w:eastAsia="zh-CN"/>
              </w:rPr>
              <w:t xml:space="preserve">以及</w:t>
            </w:r>
            <w:r>
              <w:rPr>
                <w:rFonts w:hint="eastAsia" w:asciiTheme="minorEastAsia" w:hAnsiTheme="minorEastAsia" w:eastAsiaTheme="minorEastAsia" w:cstheme="minorEastAsia"/>
                <w:color w:val="auto"/>
                <w:szCs w:val="21"/>
                <w:highlight w:val="none"/>
              </w:rPr>
              <w:t xml:space="preserve">所需的信号线、电源线等</w:t>
            </w:r>
            <w:r>
              <w:rPr>
                <w:rFonts w:hint="eastAsia" w:asciiTheme="minorEastAsia" w:hAnsiTheme="minorEastAsia" w:eastAsiaTheme="minorEastAsia" w:cstheme="minorEastAsia"/>
                <w:color w:val="auto"/>
                <w:szCs w:val="21"/>
                <w:highlight w:val="none"/>
                <w:lang w:val="en-US" w:eastAsia="zh-CN"/>
              </w:rPr>
              <w:t xml:space="preserve">线材</w:t>
            </w: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第三部分 流量站-太阳能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蓄电池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蓄电池组采用12V酸性胶质免维护或碱性免维护电池，蓄电池组容量不低于500AH，给摄像头、流量计、水位计设备供电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太阳能板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不小于 600W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防雷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按规范完成各监测设备的接地和监测站的避雷接地系统。接地体、避雷线及引下线的连接必须用焊接，焊接搭接长度不小于 100mm，焊接处应防腐处理。要求监测站接地电阻≤10Ω。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杆抗风12级以上，长度3.5米，含预埋件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安装调试</w:t>
            </w:r>
            <w:r>
              <w:rPr>
                <w:rFonts w:hint="eastAsia" w:asciiTheme="minorEastAsia" w:hAnsiTheme="minorEastAsia" w:eastAsiaTheme="minorEastAsia" w:cstheme="minorEastAsia"/>
                <w:color w:val="auto"/>
                <w:szCs w:val="21"/>
                <w:highlight w:val="none"/>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含单个站点所有设施设备安装</w:t>
            </w:r>
            <w:r>
              <w:rPr>
                <w:rFonts w:hint="eastAsia" w:asciiTheme="minorEastAsia" w:hAnsiTheme="minorEastAsia" w:eastAsiaTheme="minorEastAsia" w:cstheme="minorEastAsia"/>
                <w:color w:val="auto"/>
                <w:szCs w:val="21"/>
                <w:highlight w:val="none"/>
                <w:lang w:val="en-US" w:eastAsia="zh-CN"/>
              </w:rPr>
              <w:t xml:space="preserve">及</w:t>
            </w:r>
            <w:r>
              <w:rPr>
                <w:rFonts w:hint="eastAsia" w:asciiTheme="minorEastAsia" w:hAnsiTheme="minorEastAsia" w:eastAsiaTheme="minorEastAsia" w:cstheme="minorEastAsia"/>
                <w:color w:val="auto"/>
                <w:szCs w:val="21"/>
                <w:highlight w:val="none"/>
              </w:rPr>
              <w:t xml:space="preserve">所需的信号线、电源线等。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第四部分 流量站-安全标识牌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标识牌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工作需要，制作各类标识牌，尺寸约为400*300mm</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材质为1.0mm铝板覆工程级反光贴</w:t>
            </w:r>
            <w:r>
              <w:rPr>
                <w:rFonts w:hint="eastAsia" w:asciiTheme="minorEastAsia" w:hAnsiTheme="minorEastAsia" w:eastAsiaTheme="minorEastAsia" w:cstheme="minorEastAsia"/>
                <w:color w:val="auto"/>
                <w:szCs w:val="21"/>
                <w:highlight w:val="none"/>
              </w:rPr>
              <w:t xml:space="preserve">（具体尺寸和颜色等要求，由</w:t>
            </w:r>
            <w:r>
              <w:rPr>
                <w:rFonts w:hint="eastAsia" w:asciiTheme="minorEastAsia" w:hAnsiTheme="minorEastAsia" w:eastAsiaTheme="minorEastAsia" w:cstheme="minorEastAsia"/>
                <w:color w:val="auto"/>
                <w:szCs w:val="21"/>
                <w:highlight w:val="none"/>
                <w:lang w:val="en-US" w:eastAsia="zh-CN"/>
              </w:rPr>
              <w:t xml:space="preserve">采购</w:t>
            </w:r>
            <w:r>
              <w:rPr>
                <w:rFonts w:hint="eastAsia" w:asciiTheme="minorEastAsia" w:hAnsiTheme="minorEastAsia" w:eastAsiaTheme="minorEastAsia" w:cstheme="minorEastAsia"/>
                <w:color w:val="auto"/>
                <w:szCs w:val="21"/>
                <w:highlight w:val="none"/>
              </w:rPr>
              <w:t xml:space="preserve">人确定后实施）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不少于</w:t>
            </w:r>
            <w:r>
              <w:rPr>
                <w:rFonts w:hint="eastAsia" w:asciiTheme="minorEastAsia" w:hAnsiTheme="minorEastAsia" w:eastAsiaTheme="minorEastAsia" w:cstheme="minorEastAsia"/>
                <w:color w:val="auto"/>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pStyle w:val="766"/>
        <w:ind w:firstLine="422"/>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pStyle w:val="766"/>
        <w:ind w:firstLine="422"/>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p>
      <w:pPr>
        <w:pStyle w:val="766"/>
        <w:ind w:firstLine="422"/>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2、其他类型设备</w:t>
      </w:r>
      <w:r/>
    </w:p>
    <w:tbl>
      <w:tblPr>
        <w:tblStyle w:val="764"/>
        <w:tblW w:w="4731" w:type="pct"/>
        <w:tblInd w:w="0" w:type="dxa"/>
        <w:tblLayout w:type="autofit"/>
        <w:tblCellMar>
          <w:left w:w="108" w:type="dxa"/>
          <w:top w:w="0" w:type="dxa"/>
          <w:right w:w="108" w:type="dxa"/>
          <w:bottom w:w="0" w:type="dxa"/>
        </w:tblCellMar>
        <w:tblLook w:val="04A0" w:firstRow="1" w:lastRow="0" w:firstColumn="1" w:lastColumn="0" w:noHBand="0" w:noVBand="1"/>
      </w:tblPr>
      <w:tblGrid>
        <w:gridCol w:w="609"/>
        <w:gridCol w:w="1266"/>
        <w:gridCol w:w="4941"/>
        <w:gridCol w:w="463"/>
        <w:gridCol w:w="627"/>
        <w:gridCol w:w="613"/>
      </w:tblGrid>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备注</w:t>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其他类型设备部分更换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第一部分 流量站-雷达水位计</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雷达水位计</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需兼容原流量站系统</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配</w:t>
            </w:r>
            <w:r>
              <w:rPr>
                <w:rFonts w:hint="eastAsia" w:asciiTheme="minorEastAsia" w:hAnsiTheme="minorEastAsia" w:eastAsiaTheme="minorEastAsia" w:cstheme="minorEastAsia"/>
                <w:color w:val="auto"/>
                <w:szCs w:val="21"/>
                <w:highlight w:val="none"/>
                <w:lang w:val="en-US" w:eastAsia="zh-CN"/>
              </w:rPr>
              <w:t xml:space="preserve">件</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含立杆（大于3米）、横臂（大于1米）</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601"/>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安装调试</w:t>
            </w:r>
            <w:r>
              <w:rPr>
                <w:rFonts w:hint="eastAsia" w:asciiTheme="minorEastAsia" w:hAnsiTheme="minorEastAsia" w:eastAsiaTheme="minorEastAsia" w:cstheme="minorEastAsia"/>
                <w:color w:val="auto"/>
                <w:szCs w:val="21"/>
                <w:highlight w:val="none"/>
              </w:rPr>
              <w:t xml:space="preserve">布线</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含单个站点所有设施设备安装</w:t>
            </w:r>
            <w:r>
              <w:rPr>
                <w:rFonts w:hint="eastAsia" w:asciiTheme="minorEastAsia" w:hAnsiTheme="minorEastAsia" w:eastAsiaTheme="minorEastAsia" w:cstheme="minorEastAsia"/>
                <w:color w:val="auto"/>
                <w:szCs w:val="21"/>
                <w:highlight w:val="none"/>
                <w:lang w:val="en-US" w:eastAsia="zh-CN"/>
              </w:rPr>
              <w:t xml:space="preserve">及</w:t>
            </w:r>
            <w:r>
              <w:rPr>
                <w:rFonts w:hint="eastAsia" w:asciiTheme="minorEastAsia" w:hAnsiTheme="minorEastAsia" w:eastAsiaTheme="minorEastAsia" w:cstheme="minorEastAsia"/>
                <w:color w:val="auto"/>
                <w:szCs w:val="21"/>
                <w:highlight w:val="none"/>
              </w:rPr>
              <w:t xml:space="preserve">所需的信号线、电源线等。</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第二部分 流量站-遥测终端</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遥测终端</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需兼容原流量站系统</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配套测流软件</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安装调试</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适配原机柜尺寸</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第三部分 流量站-太阳能</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蓄电池</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蓄电池组采用12V酸性胶质免维护或碱性免维护电池，蓄电池组容量不低于500AH，给摄像头、流量计、水位计设备供电</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太阳能板</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不小于 600W</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防雷</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按规范完成各监测设备的接地和监测站的避雷接地系统。接地体、避雷线及引下线的连接必须用焊接，焊接搭接长度不小于 100mm，焊接处应防腐处理。要求监测站接地电阻≤10Ω。</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配件</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tcPr>
          <w:p>
            <w:pPr>
              <w:pStyle w:val="1029"/>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杆抗风12级以上，长度3.5米，含预埋件</w:t>
            </w:r>
            <w:r>
              <w:rPr>
                <w:rFonts w:hint="eastAsia" w:asciiTheme="minorEastAsia" w:hAnsiTheme="minorEastAsia" w:eastAsia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lang w:val="en-US" w:eastAsia="zh-CN"/>
              </w:rPr>
              <w:t xml:space="preserve">线材等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混凝土基础0.6*0.6*0.6m，混凝土强度</w:t>
            </w:r>
            <w:r>
              <w:rPr>
                <w:rFonts w:hint="eastAsia" w:asciiTheme="minorEastAsia" w:hAnsiTheme="minorEastAsia" w:eastAsiaTheme="minorEastAsia" w:cstheme="minorEastAsia"/>
                <w:color w:val="auto"/>
                <w:szCs w:val="21"/>
                <w:highlight w:val="none"/>
                <w:lang w:val="en-US" w:eastAsia="zh-CN"/>
              </w:rPr>
              <w:t xml:space="preserve">不低于</w:t>
            </w:r>
            <w:r>
              <w:rPr>
                <w:rFonts w:hint="eastAsia" w:asciiTheme="minorEastAsia" w:hAnsiTheme="minorEastAsia" w:eastAsiaTheme="minorEastAsia" w:cstheme="minorEastAsia"/>
                <w:color w:val="auto"/>
                <w:szCs w:val="21"/>
                <w:highlight w:val="none"/>
              </w:rPr>
              <w:t xml:space="preserve">C25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pStyle w:val="1029"/>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gridSpan w:val="5"/>
            <w:tcBorders>
              <w:top w:val="single" w:color="000000" w:sz="4" w:space="0"/>
              <w:left w:val="single" w:color="000000" w:sz="4" w:space="0"/>
              <w:bottom w:val="single" w:color="000000" w:sz="4" w:space="0"/>
              <w:right w:val="single" w:color="000000" w:sz="4" w:space="0"/>
            </w:tcBorders>
            <w:tcW w:w="4543" w:type="pct"/>
            <w:vAlign w:val="center"/>
            <w:textDirection w:val="lrTb"/>
            <w:noWrap/>
          </w:tcPr>
          <w:p>
            <w:pPr>
              <w:pStyle w:val="1029"/>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第四部分 摄像头更换</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视频监控摄像头</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视频画面需接入智水苏州-视频监控平台</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配套机柜</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结构：防虫、防尘、防潮构造，箱柜必须具备通风功能；</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柜体材料：不锈钢；</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柜体尺寸：约600×500×400mm（具体以实际现场技术需求为准）；需提供多个规格尺寸；</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板厚：2mm；</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标示/符号：电器单元、输入/输出端子排等须有标记；</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其他：按照采购人要求，对柜体表面进行LOGO，警示标语等标注。</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配套立杆</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杆高3.5m（具体以实际现场技术需求为准）</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混凝土基础0.6*0.6*0.6m，混凝土强度</w:t>
            </w:r>
            <w:r>
              <w:rPr>
                <w:rFonts w:hint="eastAsia" w:asciiTheme="minorEastAsia" w:hAnsiTheme="minorEastAsia" w:eastAsiaTheme="minorEastAsia" w:cstheme="minorEastAsia"/>
                <w:color w:val="auto"/>
                <w:szCs w:val="21"/>
                <w:highlight w:val="none"/>
                <w:lang w:val="en-US" w:eastAsia="zh-CN"/>
              </w:rPr>
              <w:t xml:space="preserve">不低于</w:t>
            </w:r>
            <w:r>
              <w:rPr>
                <w:rFonts w:hint="eastAsia" w:asciiTheme="minorEastAsia" w:hAnsiTheme="minorEastAsia" w:eastAsiaTheme="minorEastAsia" w:cstheme="minorEastAsia"/>
                <w:color w:val="auto"/>
                <w:szCs w:val="21"/>
                <w:highlight w:val="none"/>
              </w:rPr>
              <w:t xml:space="preserve">C25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安装调试</w:t>
            </w:r>
            <w:r>
              <w:rPr>
                <w:rFonts w:hint="eastAsia" w:asciiTheme="minorEastAsia" w:hAnsiTheme="minorEastAsia" w:eastAsiaTheme="minorEastAsia" w:cstheme="minorEastAsia"/>
                <w:color w:val="auto"/>
                <w:szCs w:val="21"/>
                <w:highlight w:val="none"/>
              </w:rPr>
              <w:t xml:space="preserve">布线</w:t>
            </w:r>
            <w:r/>
          </w:p>
        </w:tc>
        <w:tc>
          <w:tcPr>
            <w:tcBorders>
              <w:top w:val="single" w:color="000000" w:sz="4" w:space="0"/>
              <w:left w:val="single" w:color="000000" w:sz="4" w:space="0"/>
              <w:bottom w:val="single" w:color="000000" w:sz="4" w:space="0"/>
              <w:right w:val="single" w:color="000000" w:sz="4" w:space="0"/>
            </w:tcBorders>
            <w:tcW w:w="2416"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含单个站点所有设施设备安装</w:t>
            </w:r>
            <w:r>
              <w:rPr>
                <w:rFonts w:hint="eastAsia" w:asciiTheme="minorEastAsia" w:hAnsiTheme="minorEastAsia" w:eastAsiaTheme="minorEastAsia" w:cstheme="minorEastAsia"/>
                <w:color w:val="auto"/>
                <w:szCs w:val="21"/>
                <w:highlight w:val="none"/>
                <w:lang w:val="en-US" w:eastAsia="zh-CN"/>
              </w:rPr>
              <w:t xml:space="preserve">以及</w:t>
            </w:r>
            <w:r>
              <w:rPr>
                <w:rFonts w:hint="eastAsia" w:asciiTheme="minorEastAsia" w:hAnsiTheme="minorEastAsia" w:eastAsiaTheme="minorEastAsia" w:cstheme="minorEastAsia"/>
                <w:color w:val="auto"/>
                <w:szCs w:val="21"/>
                <w:highlight w:val="none"/>
              </w:rPr>
              <w:t xml:space="preserve">所需的信号线、电源线等</w:t>
            </w:r>
            <w:r>
              <w:rPr>
                <w:rFonts w:hint="eastAsia" w:asciiTheme="minorEastAsia" w:hAnsiTheme="minorEastAsia" w:eastAsiaTheme="minorEastAsia" w:cstheme="minorEastAsia"/>
                <w:color w:val="auto"/>
                <w:szCs w:val="21"/>
                <w:highlight w:val="none"/>
                <w:lang w:val="en-US" w:eastAsia="zh-CN"/>
              </w:rPr>
              <w:t xml:space="preserve">线材</w:t>
            </w:r>
            <w:r>
              <w:rPr>
                <w:rFonts w:hint="eastAsia" w:asciiTheme="minorEastAsia" w:hAnsiTheme="minorEastAsia" w:eastAsiaTheme="minorEastAsia" w:cs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456" w:type="pct"/>
            <w:vAlign w:val="center"/>
            <w:textDirection w:val="lrTb"/>
            <w:noWrap/>
          </w:tcPr>
          <w:p>
            <w:pPr>
              <w:pStyle w:val="102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bl>
    <w:p>
      <w:pPr>
        <w:ind w:firstLine="422"/>
        <w:jc w:val="left"/>
        <w:spacing w:line="360" w:lineRule="auto"/>
        <w:rPr>
          <w:rFonts w:hint="eastAsia"/>
          <w:color w:val="auto"/>
          <w:highlight w:val="none"/>
        </w:rPr>
        <w:outlineLvl w:val="0"/>
      </w:pPr>
      <w:r>
        <w:rPr>
          <w:rFonts w:hint="eastAsia" w:asciiTheme="minorEastAsia" w:hAnsiTheme="minorEastAsia" w:eastAsiaTheme="minorEastAsia" w:cstheme="minorEastAsia"/>
          <w:b/>
          <w:bCs/>
          <w:color w:val="auto"/>
          <w:szCs w:val="21"/>
          <w:highlight w:val="none"/>
        </w:rPr>
        <w:t xml:space="preserve">注：</w:t>
      </w:r>
      <w:r>
        <w:rPr>
          <w:rFonts w:hint="eastAsia" w:asciiTheme="minorEastAsia" w:hAnsiTheme="minorEastAsia" w:eastAsiaTheme="minorEastAsia" w:cstheme="minorEastAsia"/>
          <w:b/>
          <w:bCs/>
          <w:color w:val="auto"/>
          <w:szCs w:val="21"/>
          <w:highlight w:val="none"/>
          <w:lang w:val="en-US" w:eastAsia="zh-CN"/>
        </w:rPr>
        <w:t xml:space="preserve">1.</w:t>
      </w:r>
      <w:r>
        <w:rPr>
          <w:rFonts w:asciiTheme="minorEastAsia" w:hAnsiTheme="minorEastAsia" w:eastAsiaTheme="minorEastAsia" w:cstheme="minorEastAsia"/>
          <w:b/>
          <w:bCs/>
          <w:color w:val="auto"/>
          <w:szCs w:val="21"/>
          <w:highlight w:val="none"/>
        </w:rPr>
        <w:t xml:space="preserve">设备到货后，</w:t>
      </w:r>
      <w:r>
        <w:rPr>
          <w:rFonts w:hint="eastAsia" w:asciiTheme="minorEastAsia" w:hAnsiTheme="minorEastAsia" w:eastAsiaTheme="minorEastAsia" w:cstheme="minorEastAsia"/>
          <w:b/>
          <w:bCs/>
          <w:color w:val="auto"/>
          <w:szCs w:val="21"/>
          <w:highlight w:val="none"/>
          <w:lang w:eastAsia="zh-CN"/>
        </w:rPr>
        <w:t xml:space="preserve">供应商</w:t>
      </w:r>
      <w:r>
        <w:rPr>
          <w:rFonts w:asciiTheme="minorEastAsia" w:hAnsiTheme="minorEastAsia" w:eastAsiaTheme="minorEastAsia" w:cstheme="minorEastAsia"/>
          <w:b/>
          <w:bCs/>
          <w:color w:val="auto"/>
          <w:szCs w:val="21"/>
          <w:highlight w:val="none"/>
        </w:rPr>
        <w:t xml:space="preserve">须提供设备出厂合格证明、</w:t>
      </w:r>
      <w:r>
        <w:rPr>
          <w:rFonts w:hint="eastAsia" w:asciiTheme="minorEastAsia" w:hAnsiTheme="minorEastAsia" w:eastAsiaTheme="minorEastAsia" w:cstheme="minorEastAsia"/>
          <w:b/>
          <w:bCs/>
          <w:color w:val="auto"/>
          <w:szCs w:val="21"/>
          <w:highlight w:val="none"/>
        </w:rPr>
        <w:t xml:space="preserve">使用手册</w:t>
      </w:r>
      <w:r>
        <w:rPr>
          <w:rFonts w:asciiTheme="minorEastAsia" w:hAnsiTheme="minorEastAsia" w:eastAsiaTheme="minorEastAsia" w:cstheme="minorEastAsia"/>
          <w:b/>
          <w:bCs/>
          <w:color w:val="auto"/>
          <w:szCs w:val="21"/>
          <w:highlight w:val="none"/>
        </w:rPr>
        <w:t xml:space="preserve">等完整资料，并配合</w:t>
      </w:r>
      <w:r>
        <w:rPr>
          <w:rFonts w:hint="eastAsia" w:asciiTheme="minorEastAsia" w:hAnsiTheme="minorEastAsia" w:eastAsiaTheme="minorEastAsia" w:cstheme="minorEastAsia"/>
          <w:b/>
          <w:bCs/>
          <w:color w:val="auto"/>
          <w:szCs w:val="21"/>
          <w:highlight w:val="none"/>
          <w:lang w:eastAsia="zh-CN"/>
        </w:rPr>
        <w:t xml:space="preserve">采购人</w:t>
      </w:r>
      <w:r>
        <w:rPr>
          <w:rFonts w:asciiTheme="minorEastAsia" w:hAnsiTheme="minorEastAsia" w:eastAsiaTheme="minorEastAsia" w:cstheme="minorEastAsia"/>
          <w:b/>
          <w:bCs/>
          <w:color w:val="auto"/>
          <w:szCs w:val="21"/>
          <w:highlight w:val="none"/>
        </w:rPr>
        <w:t xml:space="preserve">完成现场开箱验收工作，严格执行开箱检查、外观核验、配件清点、资料核对、性能初检流程，验收合格后方可投入安装及使用。</w:t>
      </w:r>
      <w:r>
        <w:rPr>
          <w:rFonts w:hint="eastAsia" w:asciiTheme="minorEastAsia" w:hAnsiTheme="minorEastAsia" w:eastAsiaTheme="minorEastAsia" w:cstheme="minorEastAsia"/>
          <w:b/>
          <w:bCs/>
          <w:color w:val="auto"/>
          <w:szCs w:val="21"/>
          <w:highlight w:val="none"/>
        </w:rPr>
        <w:t xml:space="preserve">开展设备安装、更换及各类施工作业前，供应商须提前提交全套施工安装图纸及相关技术资料，经甲方审核确认后，方可组织进场实施作业。</w:t>
      </w:r>
      <w:r/>
    </w:p>
    <w:p>
      <w:pPr>
        <w:ind w:firstLine="843"/>
        <w:jc w:val="left"/>
        <w:spacing w:line="360" w:lineRule="auto"/>
        <w:rPr>
          <w:rFonts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lang w:val="en-US" w:eastAsia="zh-CN"/>
        </w:rPr>
        <w:t xml:space="preserve">2.</w:t>
      </w:r>
      <w:r>
        <w:rPr>
          <w:rFonts w:hint="eastAsia" w:asciiTheme="minorEastAsia" w:hAnsiTheme="minorEastAsia" w:eastAsiaTheme="minorEastAsia" w:cstheme="minorEastAsia"/>
          <w:b/>
          <w:bCs/>
          <w:color w:val="auto"/>
          <w:szCs w:val="21"/>
          <w:highlight w:val="none"/>
          <w:lang w:eastAsia="zh-CN"/>
        </w:rPr>
        <w:t xml:space="preserve">供应商</w:t>
      </w:r>
      <w:r>
        <w:rPr>
          <w:rFonts w:hint="eastAsia" w:asciiTheme="minorEastAsia" w:hAnsiTheme="minorEastAsia" w:eastAsiaTheme="minorEastAsia" w:cstheme="minorEastAsia"/>
          <w:b/>
          <w:bCs/>
          <w:color w:val="auto"/>
          <w:szCs w:val="21"/>
          <w:highlight w:val="none"/>
        </w:rPr>
        <w:t xml:space="preserve">须自行负责办理设备安装、接电等施工作业所涉及的全部行政审批及合规手续，确保相关流程符合国家法律法规及行业规范要求。</w:t>
      </w:r>
      <w:r/>
    </w:p>
    <w:p>
      <w:pPr>
        <w:ind w:firstLine="0"/>
        <w:jc w:val="left"/>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rPr>
      </w:r>
      <w:r/>
    </w:p>
    <w:p>
      <w:pPr>
        <w:ind w:firstLine="422"/>
        <w:jc w:val="left"/>
        <w:spacing w:line="360" w:lineRule="auto"/>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bCs/>
          <w:color w:val="auto"/>
          <w:szCs w:val="21"/>
          <w:highlight w:val="none"/>
        </w:rPr>
        <w:t xml:space="preserve">三、验收方式</w:t>
      </w:r>
      <w:r/>
    </w:p>
    <w:p>
      <w:pPr>
        <w:ind w:firstLine="420"/>
        <w:jc w:val="left"/>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color w:val="auto"/>
          <w:szCs w:val="21"/>
          <w:highlight w:val="none"/>
        </w:rPr>
        <w:t xml:space="preserve">项目分</w:t>
      </w:r>
      <w:r>
        <w:rPr>
          <w:rFonts w:hint="eastAsia" w:asciiTheme="minorEastAsia" w:hAnsiTheme="minorEastAsia" w:eastAsiaTheme="minorEastAsia" w:cstheme="minorEastAsia"/>
          <w:b/>
          <w:bCs/>
          <w:color w:val="auto"/>
          <w:szCs w:val="21"/>
          <w:highlight w:val="none"/>
        </w:rPr>
        <w:t xml:space="preserve">部分验收</w:t>
      </w:r>
      <w:r>
        <w:rPr>
          <w:rFonts w:hint="eastAsia" w:asciiTheme="minorEastAsia" w:hAnsiTheme="minorEastAsia" w:eastAsiaTheme="minorEastAsia" w:cstheme="minorEastAsia"/>
          <w:color w:val="auto"/>
          <w:szCs w:val="21"/>
          <w:highlight w:val="none"/>
        </w:rPr>
        <w:t xml:space="preserve">和</w:t>
      </w:r>
      <w:r>
        <w:rPr>
          <w:rFonts w:hint="eastAsia" w:asciiTheme="minorEastAsia" w:hAnsiTheme="minorEastAsia" w:eastAsiaTheme="minorEastAsia" w:cstheme="minorEastAsia"/>
          <w:b/>
          <w:bCs/>
          <w:color w:val="auto"/>
          <w:szCs w:val="21"/>
          <w:highlight w:val="none"/>
        </w:rPr>
        <w:t xml:space="preserve">整体验收</w:t>
      </w:r>
      <w:r>
        <w:rPr>
          <w:rFonts w:hint="eastAsia" w:asciiTheme="minorEastAsia" w:hAnsiTheme="minorEastAsia" w:eastAsiaTheme="minorEastAsia" w:cstheme="minorEastAsia"/>
          <w:color w:val="auto"/>
          <w:szCs w:val="21"/>
          <w:highlight w:val="none"/>
        </w:rPr>
        <w:t xml:space="preserve">按实际工作开展进度进行验收，具体验收标准如下：</w:t>
      </w:r>
      <w:r/>
    </w:p>
    <w:tbl>
      <w:tblPr>
        <w:tblStyle w:val="764"/>
        <w:tblW w:w="0" w:type="auto"/>
        <w:tblInd w:w="-195" w:type="dxa"/>
        <w:tblLayout w:type="autofit"/>
        <w:tblCellMar>
          <w:left w:w="108" w:type="dxa"/>
          <w:top w:w="0" w:type="dxa"/>
          <w:right w:w="108" w:type="dxa"/>
          <w:bottom w:w="0" w:type="dxa"/>
        </w:tblCellMar>
        <w:tblLook w:val="04A0" w:firstRow="1" w:lastRow="0" w:firstColumn="1" w:lastColumn="0" w:noHBand="0" w:noVBand="1"/>
      </w:tblPr>
      <w:tblGrid>
        <w:gridCol w:w="1060"/>
        <w:gridCol w:w="1481"/>
        <w:gridCol w:w="2526"/>
        <w:gridCol w:w="638"/>
        <w:gridCol w:w="3493"/>
      </w:tblGrid>
      <w:tr>
        <w:trPr>
          <w:trHeight w:val="540"/>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left"/>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验收类型</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auto"/>
                <w:szCs w:val="21"/>
                <w:highlight w:val="none"/>
                <w:lang w:bidi="ar"/>
              </w:rPr>
            </w:pPr>
            <w:r>
              <w:rPr>
                <w:rFonts w:hint="eastAsia" w:asciiTheme="minorEastAsia" w:hAnsiTheme="minorEastAsia" w:eastAsiaTheme="minorEastAsia" w:cstheme="minorEastAsia"/>
                <w:b/>
                <w:bCs/>
                <w:color w:val="auto"/>
                <w:szCs w:val="21"/>
                <w:highlight w:val="none"/>
                <w:lang w:bidi="ar"/>
              </w:rPr>
              <w:t xml:space="preserve">项目需求</w:t>
            </w:r>
            <w:r/>
          </w:p>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（设备类型）</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对应备品备件</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数量</w:t>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lang w:bidi="ar"/>
              </w:rPr>
              <w:t xml:space="preserve">验收标准</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部分验收</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更换</w:t>
            </w:r>
            <w:r/>
          </w:p>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3整套流量站</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雷达水位计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根据实际工作开展进度，可按每整套流量站为单位进行验收，由采购单位组织相关专家（需含水文专业）召开专家验收论证会，验收通过作为最终验收标准</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ADCP流量计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视频监控摄像头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遥测终端</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供电设备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更换</w:t>
            </w:r>
            <w:r/>
          </w:p>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流量站部件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雷达水位计</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根据实际工作开展进度，每台设备安装调试完成后，由</w:t>
            </w:r>
            <w:r>
              <w:rPr>
                <w:rFonts w:hint="eastAsia" w:asciiTheme="minorEastAsia" w:hAnsiTheme="minorEastAsia" w:eastAsiaTheme="minorEastAsia" w:cstheme="minorEastAsia"/>
                <w:color w:val="auto"/>
                <w:szCs w:val="21"/>
                <w:highlight w:val="none"/>
                <w:lang w:eastAsia="zh-CN" w:bidi="ar"/>
              </w:rPr>
              <w:t xml:space="preserve">采购人</w:t>
            </w:r>
            <w:r>
              <w:rPr>
                <w:rFonts w:hint="eastAsia" w:asciiTheme="minorEastAsia" w:hAnsiTheme="minorEastAsia" w:eastAsiaTheme="minorEastAsia" w:cstheme="minorEastAsia"/>
                <w:color w:val="auto"/>
                <w:szCs w:val="21"/>
                <w:highlight w:val="none"/>
                <w:lang w:bidi="ar"/>
              </w:rPr>
              <w:t xml:space="preserve">项目负责人签字确认为最终验收标准</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遥测终端（含配套软件）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供电设备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更换</w:t>
            </w:r>
            <w:r/>
          </w:p>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视频监控点位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视频监控摄像头</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整体验收</w:t>
            </w:r>
            <w:r/>
          </w:p>
        </w:tc>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Theme="minorEastAsia" w:hAnsiTheme="minorEastAsia" w:eastAsiaTheme="minorEastAsia" w:cstheme="minorEastAsia"/>
                <w:color w:val="auto"/>
                <w:szCs w:val="21"/>
                <w:highlight w:val="none"/>
                <w:lang w:bidi="ar"/>
              </w:rPr>
            </w:pPr>
            <w:r>
              <w:rPr>
                <w:rFonts w:hint="eastAsia" w:asciiTheme="minorEastAsia" w:hAnsiTheme="minorEastAsia" w:eastAsiaTheme="minorEastAsia" w:cstheme="minorEastAsia"/>
                <w:color w:val="auto"/>
                <w:szCs w:val="21"/>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待所有各类设备完成部分验收后，需进行项目整体验收。由采购单位组织召开专家验收会，验收通过后作为最终验收标准。</w:t>
            </w:r>
            <w:r/>
          </w:p>
        </w:tc>
      </w:tr>
    </w:tbl>
    <w:p>
      <w:pPr>
        <w:pStyle w:val="765"/>
        <w:ind w:left="0"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注： </w:t>
      </w:r>
      <w:r>
        <w:rPr>
          <w:rFonts w:asciiTheme="minorEastAsia" w:hAnsiTheme="minorEastAsia" w:eastAsiaTheme="minorEastAsia" w:cstheme="minorEastAsia"/>
          <w:b/>
          <w:bCs/>
          <w:color w:val="auto"/>
          <w:szCs w:val="21"/>
          <w:highlight w:val="none"/>
        </w:rPr>
        <w:t xml:space="preserve">项目验收阶段，</w:t>
      </w:r>
      <w:r>
        <w:rPr>
          <w:rFonts w:hint="eastAsia" w:asciiTheme="minorEastAsia" w:hAnsiTheme="minorEastAsia" w:eastAsiaTheme="minorEastAsia" w:cstheme="minorEastAsia"/>
          <w:b/>
          <w:bCs/>
          <w:color w:val="auto"/>
          <w:szCs w:val="21"/>
          <w:highlight w:val="none"/>
          <w:lang w:eastAsia="zh-CN"/>
        </w:rPr>
        <w:t xml:space="preserve">供应商</w:t>
      </w:r>
      <w:r>
        <w:rPr>
          <w:rFonts w:asciiTheme="minorEastAsia" w:hAnsiTheme="minorEastAsia" w:eastAsiaTheme="minorEastAsia" w:cstheme="minorEastAsia"/>
          <w:b/>
          <w:bCs/>
          <w:color w:val="auto"/>
          <w:szCs w:val="21"/>
          <w:highlight w:val="none"/>
        </w:rPr>
        <w:t xml:space="preserve">须完整提供全套设备安装图纸及相关技术图样资料，确保图纸内容真实、准确、与现场实际安装情况一致，保障项目验收工作合规有序开展。</w:t>
      </w:r>
      <w:r/>
    </w:p>
    <w:p>
      <w:pPr>
        <w:ind w:firstLine="482"/>
        <w:jc w:val="left"/>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（九）特别说明</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1.提供的产品（技术指标除另作规定外）均应符合现行国际、国内和行业相关标准。所投货物须提供相关说明；响应单位在响应文件中应提供设备的详细技术、功能配置表。</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2.所有投标产品必须附有详细的清单，硬件产品提供合格证书。</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3.响应单位须承诺所有投标产品不可以是对</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进行限制使用的产品，必须保证对</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完全开放，使用权归</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。针对本项目配置的软件著作权和软件代码对</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保持开放，使用权归</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具有修改和更新的权利，并保证与</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的双向对接服务。承诺书格式见附件质量保证承诺书。</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4.响应单位提供产品与响应投标的条款不符时，已成交者取消成交资格，已供货的全部退货并扣收履约保证金，并承担由此引起的全部费用，对成交单位和所提供的品牌产品提出警告并在相关媒体公布，且承担由此可能引发的法律责任。 </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5.成交单位在项目实施或服务过程中发生的重大人员、产品质量事故，或因成交单位企业管理不善等原因造成的人员伤亡等责任事故均由成交单位负责，采购人不承担任何法律及经济责任。</w:t>
      </w:r>
      <w:r/>
    </w:p>
    <w:p>
      <w:pPr>
        <w:ind w:firstLine="420"/>
        <w:jc w:val="left"/>
        <w:spacing w:line="360" w:lineRule="auto"/>
        <w:rPr>
          <w:rFonts w:hint="eastAsia" w:asciiTheme="minorEastAsia" w:hAnsiTheme="minorEastAsia" w:eastAsiaTheme="minorEastAsia" w:cstheme="minorEastAsia"/>
          <w:bCs/>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6.响应单位自行安排时间对安装现场进行考察，以获得由响应单位自己负责的有关编制响应文件和签署合同的所有信息，一旦成交这种考察即被认为其结果已在响应文件中的充分反映。考察现场的费用由响应单位自行承担；在现场考察过程中，如果发生人身伤亡、财务或其它损失，不论何种原因造成，均由响应单位自负。 </w:t>
      </w:r>
      <w:r/>
    </w:p>
    <w:p>
      <w:pPr>
        <w:jc w:val="left"/>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bCs/>
          <w:color w:val="auto"/>
          <w:szCs w:val="21"/>
          <w:highlight w:val="none"/>
        </w:rPr>
        <w:t xml:space="preserve">7.如采购人在项目的实施过程中对采购货物的需求如数量、型号等有变化，按实际发生量计量，单价按成交单价计算。</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8、保密要求：</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8.1中标单位在合作过程中知悉的采购方一切资料和信息，包括但不限于有关本合同采购方的内部资料、业务信息、技术资料及本合同项下的服务价格、合作条件等书面或口头信息，中标单位承诺严格遵守对上述信息的保密约定。中标单位承诺对保密信息之使用仅限于本合同签订与履行的，未经采购方明确书面同意，中标单位不得将保密信息用于其它任何范围或场合，不得向任何第三方披露保密信息。</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8.2本合同履行终止后，中标单位应当归还由采购方向其披露的一切保密信息的原始资料及其相关副本或复制品（包括书面的或电子的），中标单位返还保密信息资料后，应继续承担并履行其在本合同项下的其他义务。</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8.3中标单位应对服务人员实施定岗定责，中标单位服务人员等凡是有机会接触到保密信息的主体，均负有前述保密义务，中标单位应当采取充足措施保障前述主体履行保密义务，否则视为中标单位违反保密义务。</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8.4中标单位对保密信息未经采购方许可进行披露（包括且不限于故意，过失或疏忽）或有其他违反保密义务的行为，采购方有权解除本合同，且中标单位应当按合同总金额20%的标准向采购方支付泄密违约金，并向采购方及其关联主体赔偿因此受到的全部直接和间接损失。此外，采购方还有权寻求停止侵害的禁令或其他类似的法律救济。</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8.5无论本合同是否变更、解除或终止，合同的保密条款不受其限制而继续有效，中标单位都应继续承担保密条款约定的保密义务。保密义务的期限为永久。</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8.6无论基于何种原因，在合同履行过程中或合同履行完成时，当采购方向中标单位发出返还全部保密信息资料的媒体、复印件、影印件、摘要的书面通知后，中标单位应在书面通知送达后的5日内全部返还。本合同履行完成后，中标单位及其所属员工也不得再为任何目的使用上述保密信息。</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9、其他技术、服务等要求</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9.1投标单位需具有保质保量、按时完成项目的履约能力；能提供响应产品或服务通过检测、认证等情况。</w:t>
      </w:r>
      <w:r/>
    </w:p>
    <w:p>
      <w:pPr>
        <w:ind w:firstLine="420"/>
        <w:jc w:val="left"/>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9.2项目实施：投标单位需具有完善技术服务方案、售后服务方案、验收方案、培训服务、故障处理预案等内容。</w:t>
      </w:r>
      <w:r/>
    </w:p>
    <w:p>
      <w:pPr>
        <w:ind w:firstLine="422"/>
        <w:jc w:val="left"/>
        <w:spacing w:line="360" w:lineRule="auto"/>
        <w:rPr>
          <w:rFonts w:hint="eastAsia" w:asciiTheme="minorEastAsia" w:hAnsiTheme="minorEastAsia" w:eastAsiaTheme="minorEastAsia" w:cstheme="minorEastAsia"/>
          <w:b/>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五、综合说明：</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方须具备独立完成本项目的能力，保障货物质量、促进项目实施效率，具有较强售后服务能力。投标方可在投标前自行进行调研，了解项目情况及详细需求，但投标方不得因此使采购方承担有关的责任和蒙受损失。投标方应承担前期调研的责任和风险。投标方中标后，不得以不了解项目情况及详细需求为理由而向采购方提出任何索赔的要求，对此采购方不再承担任何责任。</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2、标书中的任何偏差都必须列入投标文件中的偏离表。任何不按此要求的投标文件将承担被拒绝接受的风险。中标后中标单位在合同谈判中的任何偏差都不得超越此偏差表中已被采购方确认的条款。</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投标方须对招标文件中提出的技术要求进行响应，如果其中某些条款不响应时，应在文件中逐条列出。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4、参加本次招标中标单位，无特殊约定不得将货物转包或分包给他人承制，一经发现将取消其成交资格并严肃追究其责任。</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5、中标单位逾期交付合格货物的，每逾期1日，中标单位应向采购方支付合同总价款的万分之四的违约金。如中标单位未按期按合同约定要求交货超过【30】日，采购方有权解除合同。</w:t>
      </w:r>
      <w:r/>
    </w:p>
    <w:p>
      <w:pPr>
        <w:ind w:firstLine="42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6、因包装或运输造成的货物的损坏、灭失等损失由中标单位承担。</w:t>
      </w:r>
      <w:r/>
    </w:p>
    <w:p>
      <w:pPr>
        <w:ind w:firstLine="422"/>
        <w:jc w:val="left"/>
        <w:spacing w:line="360" w:lineRule="auto"/>
        <w:widowControl/>
        <w:rPr>
          <w:rFonts w:hint="eastAsia" w:asciiTheme="minorEastAsia" w:hAnsiTheme="minorEastAsia" w:eastAsiaTheme="minorEastAsia" w:cstheme="minorEastAsia"/>
          <w:b/>
          <w:bCs/>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六、</w:t>
      </w:r>
      <w:r>
        <w:rPr>
          <w:rFonts w:hint="eastAsia" w:asciiTheme="minorEastAsia" w:hAnsiTheme="minorEastAsia" w:eastAsiaTheme="minorEastAsia" w:cstheme="minorEastAsia"/>
          <w:b/>
          <w:bCs/>
          <w:color w:val="auto"/>
          <w:szCs w:val="21"/>
          <w:highlight w:val="none"/>
        </w:rPr>
        <w:t xml:space="preserve">其他有关说明：</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1.投标方按照招标文件的要求提交投标文件，并对所提供的全部资料的真实性承担法律责任。</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此次投标报价应包括投标方提供全部产品、安装辅材及其备品备件和专用工具费用、税费、包装、运至最终目的地的运输、保险、现场安装调试、检测验收、检测费、技术支持与培训、质保和售后服务及相关劳务支出等履行本合同所发生的全部费用以及中标单位的企业利润、税金和政策性文件规定及合同包含的所有风险、责任等各项应有费用。除非本合同另有约定或经双方协商同意，中标单位不得再要求追加任何其他费用。同时，除本合同另有约定外，本合同价格在实施期间不因市场变化因素而变动。</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3.中标单位将根据招标文件、投标文件的相关约定，承担合同责任，履行合同义务。</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5、政府采购政策：</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5.1小、微企业</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2023〕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b/>
          <w:bCs/>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Theme="minorEastAsia" w:hAnsiTheme="minorEastAsia" w:eastAsiaTheme="minorEastAsia" w:cstheme="minorEastAsia"/>
          <w:color w:val="auto"/>
          <w:szCs w:val="21"/>
          <w:highlight w:val="none"/>
        </w:rPr>
        <w:t xml:space="preserve">。</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其中，供应商提供的货物既有中小企业制造货物，也有大型企业制造货物的，不享受中小企业扶持政策。</w:t>
      </w:r>
      <w:r/>
    </w:p>
    <w:p>
      <w:pPr>
        <w:ind w:firstLine="482"/>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根据《政府采购促进中小企业发展管理办法》（财库〔2020〕46号）及《中小企业划型标准规定》（工信部联企业〔2011〕300号），本采购标的对应的中小企业划分标准所属行业为：工业</w:t>
      </w:r>
      <w:r>
        <w:rPr>
          <w:rFonts w:hint="eastAsia" w:asciiTheme="minorEastAsia" w:hAnsiTheme="minorEastAsia" w:eastAsiaTheme="minorEastAsia" w:cstheme="minorEastAsia"/>
          <w:color w:val="auto"/>
          <w:szCs w:val="21"/>
          <w:highlight w:val="none"/>
        </w:rPr>
        <w:t xml:space="preserve">。</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5.2残疾人福利性单位</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5.3监狱企业</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5.4绿色采购</w:t>
      </w:r>
      <w:r/>
    </w:p>
    <w:p>
      <w:pPr>
        <w:ind w:firstLine="480"/>
        <w:spacing w:line="360" w:lineRule="auto"/>
        <w:widowControl/>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color w:val="auto"/>
          <w:szCs w:val="21"/>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5.5对本国产品的支持政策</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根据《国务院办公厅关于在</w:t>
      </w:r>
      <w:r>
        <w:rPr>
          <w:rFonts w:hint="eastAsia" w:asciiTheme="minorEastAsia" w:hAnsiTheme="minorEastAsia" w:eastAsiaTheme="minorEastAsia" w:cstheme="minorEastAsia"/>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6、关于对参与供应商信用记录的政府采购要求：</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6.1采购代理机构会在接收投标文件截止时间后，在中国政府采购网（www.ccgp.gov.cn）、信用中国（www.creditchina.gov.cn）、信用江苏（</w:t>
      </w:r>
      <w:r>
        <w:rPr>
          <w:color w:val="auto"/>
          <w:highlight w:val="none"/>
        </w:rPr>
        <w:fldChar w:fldCharType="begin"/>
      </w:r>
      <w:r>
        <w:rPr>
          <w:color w:val="auto"/>
          <w:highlight w:val="none"/>
        </w:rPr>
        <w:instrText xml:space="preserve"> HYPERLINK "http://www.jscredit.gov.cn/" \o "http://www.jscredit.gov.cn/" </w:instrText>
      </w:r>
      <w:r>
        <w:rPr>
          <w:color w:val="auto"/>
          <w:highlight w:val="none"/>
        </w:rPr>
        <w:fldChar w:fldCharType="separate"/>
      </w:r>
      <w:r>
        <w:rPr>
          <w:rFonts w:hint="eastAsia" w:asciiTheme="minorEastAsia" w:hAnsiTheme="minorEastAsia" w:eastAsiaTheme="minorEastAsia" w:cstheme="minorEastAsia"/>
          <w:color w:val="auto"/>
          <w:szCs w:val="21"/>
          <w:highlight w:val="none"/>
        </w:rPr>
        <w:t xml:space="preserve">www.jscredit.gov.cn</w:t>
      </w:r>
      <w:r>
        <w:rPr>
          <w:rFonts w:hint="eastAsia" w:asciiTheme="minorEastAsia" w:hAnsiTheme="minorEastAsia" w:eastAsiaTheme="minorEastAsia" w:cstheme="minorEastAsia"/>
          <w:color w:val="auto"/>
          <w:szCs w:val="21"/>
          <w:highlight w:val="none"/>
        </w:rPr>
        <w:fldChar w:fldCharType="end"/>
      </w:r>
      <w:r>
        <w:rPr>
          <w:rFonts w:hint="eastAsia" w:asciiTheme="minorEastAsia" w:hAnsiTheme="minorEastAsia" w:eastAsiaTheme="minorEastAsia" w:cstheme="minorEastAsia"/>
          <w:color w:val="auto"/>
          <w:szCs w:val="21"/>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7、商品包装和快递须按《商品包装政府采购需求标准（试行）》、《快递包装政府采购需求标准（试行）》规定执行。</w:t>
      </w:r>
      <w:r/>
    </w:p>
    <w:p>
      <w:pPr>
        <w:ind w:firstLine="482"/>
        <w:jc w:val="left"/>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b/>
          <w:color w:val="auto"/>
          <w:szCs w:val="21"/>
          <w:highlight w:val="none"/>
        </w:rPr>
        <w:t xml:space="preserve">七、凡涉及招标文件的补充说明和修改，均以苏州市政府采购网最新信息为准。</w:t>
      </w:r>
      <w:r>
        <w:rPr>
          <w:rFonts w:hint="eastAsia" w:asciiTheme="minorEastAsia" w:hAnsiTheme="minorEastAsia" w:eastAsiaTheme="minorEastAsia" w:cstheme="minorEastAsia"/>
          <w:color w:val="auto"/>
          <w:szCs w:val="21"/>
          <w:highlight w:val="none"/>
        </w:rPr>
        <w:br w:type="page" w:clear="all"/>
      </w:r>
      <w:r/>
    </w:p>
    <w:p>
      <w:pPr>
        <w:pStyle w:val="791"/>
        <w:jc w:val="center"/>
        <w:spacing w:before="75" w:beforeAutospacing="0" w:after="75" w:afterAutospacing="0"/>
        <w:widowControl/>
        <w:rPr>
          <w:rStyle w:val="796"/>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 xml:space="preserve">第五章  合同文本</w:t>
      </w:r>
      <w:r/>
    </w:p>
    <w:p>
      <w:pPr>
        <w:ind w:firstLine="480"/>
        <w:jc w:val="center"/>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项目编号：</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：苏州市水利水务信息调度指挥中心</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           </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地址：</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联系人：</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联系电话：</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根据《中华人民共和国民法典》等相关法律法规的规定，甲乙双方就此次中标的【】项目（以下简称“本项目”）购销事宜，签订本合同书，以兹共同遵守。</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（1）本合同书及本合同书签署后双方以书面形式确认的补充协议等；</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（2）中标通知书；</w:t>
      </w:r>
      <w:r>
        <w:rPr>
          <w:rFonts w:hint="eastAsia" w:asciiTheme="minorEastAsia" w:hAnsiTheme="minorEastAsia" w:eastAsiaTheme="minorEastAsia" w:cstheme="minorEastAsia"/>
          <w:color w:val="auto"/>
          <w:szCs w:val="21"/>
          <w:highlight w:val="none"/>
        </w:rPr>
        <w:tab/>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（3）采购文件；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（4）投标（响应）文件；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在开评标过程中所作的其它承诺、声明、书面澄清等。</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二、合同内容</w:t>
      </w:r>
      <w:r/>
    </w:p>
    <w:p>
      <w:pPr>
        <w:ind w:firstLine="420"/>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（一）项目内容：</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负责完成</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w:t>
      </w:r>
      <w:r>
        <w:rPr>
          <w:rFonts w:hint="eastAsia" w:asciiTheme="minorEastAsia" w:hAnsiTheme="minorEastAsia" w:eastAsiaTheme="minorEastAsia" w:cstheme="minorEastAsia"/>
          <w:color w:val="auto"/>
          <w:szCs w:val="21"/>
          <w:highlight w:val="none"/>
          <w:u w:val="single"/>
        </w:rPr>
        <w:t xml:space="preserve">“”</w:t>
      </w:r>
      <w:r>
        <w:rPr>
          <w:rFonts w:hint="eastAsia" w:asciiTheme="minorEastAsia" w:hAnsiTheme="minorEastAsia" w:eastAsiaTheme="minorEastAsia" w:cstheme="minorEastAsia"/>
          <w:color w:val="auto"/>
          <w:szCs w:val="21"/>
          <w:highlight w:val="none"/>
        </w:rPr>
        <w:t xml:space="preserve">，具体内容见下表：</w:t>
      </w:r>
      <w:r/>
    </w:p>
    <w:tbl>
      <w:tblPr>
        <w:tblStyle w:val="764"/>
        <w:tblW w:w="4997" w:type="pct"/>
        <w:jc w:val="center"/>
        <w:tblLayout w:type="autofit"/>
        <w:tblCellMar>
          <w:left w:w="0" w:type="dxa"/>
          <w:top w:w="0" w:type="dxa"/>
          <w:right w:w="0" w:type="dxa"/>
          <w:bottom w:w="0" w:type="dxa"/>
        </w:tblCellMar>
        <w:tblLook w:val="04A0" w:firstRow="1" w:lastRow="0" w:firstColumn="1" w:lastColumn="0" w:noHBand="0" w:noVBand="1"/>
      </w:tblPr>
      <w:tblGrid>
        <w:gridCol w:w="640"/>
        <w:gridCol w:w="1501"/>
        <w:gridCol w:w="2756"/>
        <w:gridCol w:w="628"/>
        <w:gridCol w:w="628"/>
        <w:gridCol w:w="1070"/>
        <w:gridCol w:w="1070"/>
        <w:gridCol w:w="509"/>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总价（含税）：                             ¥</w:t>
            </w:r>
            <w:r/>
          </w:p>
        </w:tc>
      </w:tr>
    </w:tbl>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（二）交付期限：根据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工作开展需要。</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（三）交付地点：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指定地点。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（四）质保期：不少于【1】年，自各类设备经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验收通过之日起开始计算。</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三、价格与支付</w:t>
      </w:r>
      <w:r/>
    </w:p>
    <w:p>
      <w:pPr>
        <w:ind w:firstLine="420"/>
        <w:spacing w:line="360" w:lineRule="auto"/>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 xml:space="preserve">（一）本合同金额按此次中标（成交）价格执行，</w:t>
      </w:r>
      <w:bookmarkStart w:id="40" w:name="_Hlk55399813"/>
      <w:r>
        <w:rPr>
          <w:rFonts w:hint="eastAsia" w:asciiTheme="minorEastAsia" w:hAnsiTheme="minorEastAsia" w:eastAsiaTheme="minorEastAsia" w:cstheme="minorEastAsia"/>
          <w:color w:val="auto"/>
          <w:szCs w:val="21"/>
          <w:highlight w:val="none"/>
        </w:rPr>
        <w:t xml:space="preserve">本合同总金额（含税）为人民币（大写）（¥：</w:t>
      </w:r>
      <w:r>
        <w:rPr>
          <w:rFonts w:hint="eastAsia" w:asciiTheme="minorEastAsia" w:hAnsiTheme="minorEastAsia" w:eastAsiaTheme="minorEastAsia" w:cstheme="minorEastAsia"/>
          <w:color w:val="auto"/>
          <w:szCs w:val="21"/>
          <w:highlight w:val="none"/>
          <w:u w:val="single"/>
        </w:rPr>
        <w:t xml:space="preserve">）</w:t>
      </w:r>
      <w:r>
        <w:rPr>
          <w:rFonts w:hint="eastAsia" w:asciiTheme="minorEastAsia" w:hAnsiTheme="minorEastAsia" w:eastAsiaTheme="minorEastAsia" w:cstheme="minorEastAsia"/>
          <w:color w:val="auto"/>
          <w:szCs w:val="21"/>
          <w:highlight w:val="none"/>
        </w:rPr>
        <w:t xml:space="preserve">。上述合同总金额</w:t>
      </w:r>
      <w:bookmarkEnd w:id="40"/>
      <w:r>
        <w:rPr>
          <w:rFonts w:hint="eastAsia" w:asciiTheme="minorEastAsia" w:hAnsiTheme="minorEastAsia" w:eastAsiaTheme="minorEastAsia" w:cstheme="minorEastAsia"/>
          <w:color w:val="auto"/>
          <w:szCs w:val="21"/>
          <w:highlight w:val="none"/>
        </w:rPr>
        <w:t xml:space="preserve">已包括</w:t>
      </w:r>
      <w:r>
        <w:rPr>
          <w:rFonts w:hint="eastAsia" w:asciiTheme="minorEastAsia" w:hAnsiTheme="minorEastAsia" w:eastAsiaTheme="minorEastAsia" w:cstheme="minorEastAsia"/>
          <w:color w:val="auto"/>
          <w:szCs w:val="21"/>
          <w:highlight w:val="none"/>
          <w:lang w:val="zh-CN"/>
        </w:rPr>
        <w:t xml:space="preserve">响应产品、</w:t>
      </w:r>
      <w:bookmarkStart w:id="41" w:name="_Hlk32483319"/>
      <w:r>
        <w:rPr>
          <w:rFonts w:hint="eastAsia" w:asciiTheme="minorEastAsia" w:hAnsiTheme="minorEastAsia" w:eastAsiaTheme="minorEastAsia" w:cstheme="minorEastAsia"/>
          <w:color w:val="auto"/>
          <w:szCs w:val="21"/>
          <w:highlight w:val="none"/>
          <w:lang w:val="zh-CN"/>
        </w:rPr>
        <w:t xml:space="preserve">安装辅材及其备品备件和专用工具费用</w:t>
      </w:r>
      <w:bookmarkEnd w:id="41"/>
      <w:r>
        <w:rPr>
          <w:rFonts w:hint="eastAsia" w:asciiTheme="minorEastAsia" w:hAnsiTheme="minorEastAsia" w:eastAsiaTheme="minorEastAsia" w:cstheme="minorEastAsia"/>
          <w:color w:val="auto"/>
          <w:szCs w:val="21"/>
          <w:highlight w:val="none"/>
          <w:lang w:val="zh-CN"/>
        </w:rPr>
        <w:t xml:space="preserve">、税费、包装、运至最终目的地的运输、保险、现场安装调试、检测验收、技术支持与培训、质保和售后服务及相关劳务支出等</w:t>
      </w:r>
      <w:r>
        <w:rPr>
          <w:rFonts w:hint="eastAsia" w:asciiTheme="minorEastAsia" w:hAnsiTheme="minorEastAsia" w:eastAsiaTheme="minorEastAsia" w:cstheme="minorEastAsia"/>
          <w:color w:val="auto"/>
          <w:szCs w:val="21"/>
          <w:highlight w:val="none"/>
        </w:rPr>
        <w:t xml:space="preserve">履行本合同</w:t>
      </w:r>
      <w:r>
        <w:rPr>
          <w:rFonts w:hint="eastAsia" w:asciiTheme="minorEastAsia" w:hAnsiTheme="minorEastAsia" w:eastAsiaTheme="minorEastAsia" w:cstheme="minorEastAsia"/>
          <w:color w:val="auto"/>
          <w:szCs w:val="21"/>
          <w:highlight w:val="none"/>
          <w:lang w:val="zh-CN"/>
        </w:rPr>
        <w:t xml:space="preserve">所发生的全部费用以及</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lang w:val="zh-CN"/>
        </w:rPr>
        <w:t xml:space="preserve">的企业利润、税金和政策性文件规定及合同包含的所有风险、责任等各项应有费用</w:t>
      </w:r>
      <w:r>
        <w:rPr>
          <w:rFonts w:hint="eastAsia" w:asciiTheme="minorEastAsia" w:hAnsiTheme="minorEastAsia" w:eastAsiaTheme="minorEastAsia" w:cstheme="minorEastAsia"/>
          <w:bCs/>
          <w:color w:val="auto"/>
          <w:szCs w:val="21"/>
          <w:highlight w:val="none"/>
        </w:rPr>
        <w:t xml:space="preserve">。</w:t>
      </w:r>
      <w:r>
        <w:rPr>
          <w:rFonts w:hint="eastAsia" w:asciiTheme="minorEastAsia" w:hAnsiTheme="minorEastAsia" w:eastAsiaTheme="minorEastAsia" w:cstheme="minorEastAsia"/>
          <w:color w:val="auto"/>
          <w:szCs w:val="21"/>
          <w:highlight w:val="none"/>
        </w:rPr>
        <w:t xml:space="preserve">除非本合同另有约定外，</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不得再要求追加任何其他费用，本合同价格在实施期间不因市场变化因素而变动。</w:t>
      </w:r>
      <w:r/>
    </w:p>
    <w:p>
      <w:pPr>
        <w:ind w:firstLine="420"/>
        <w:spacing w:line="360" w:lineRule="auto"/>
        <w:rPr>
          <w:rFonts w:hint="eastAsia"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rPr>
        <w:t xml:space="preserve">（</w:t>
      </w:r>
      <w:r>
        <w:rPr>
          <w:rFonts w:hint="eastAsia" w:asciiTheme="minorEastAsia" w:hAnsiTheme="minorEastAsia" w:eastAsiaTheme="minorEastAsia" w:cstheme="minorEastAsia"/>
          <w:color w:val="auto"/>
          <w:szCs w:val="21"/>
          <w:highlight w:val="none"/>
          <w:lang w:val="zh-CN"/>
        </w:rPr>
        <w:t xml:space="preserve">二</w:t>
      </w:r>
      <w:r>
        <w:rPr>
          <w:rFonts w:hint="eastAsia" w:asciiTheme="minorEastAsia" w:hAnsiTheme="minorEastAsia" w:eastAsiaTheme="minorEastAsia" w:cstheme="minorEastAsia"/>
          <w:color w:val="auto"/>
          <w:szCs w:val="21"/>
          <w:highlight w:val="none"/>
          <w:lang w:val="en-US"/>
        </w:rPr>
        <w:t xml:space="preserve">）</w:t>
      </w:r>
      <w:r>
        <w:rPr>
          <w:rFonts w:hint="eastAsia" w:asciiTheme="minorEastAsia" w:hAnsiTheme="minorEastAsia" w:eastAsiaTheme="minorEastAsia" w:cstheme="minorEastAsia"/>
          <w:color w:val="auto"/>
          <w:szCs w:val="21"/>
          <w:highlight w:val="none"/>
          <w:lang w:val="zh-CN"/>
        </w:rPr>
        <w:t xml:space="preserve">合同价款的支付及付款方式</w:t>
      </w:r>
      <w:r>
        <w:rPr>
          <w:rFonts w:hint="eastAsia" w:asciiTheme="minorEastAsia" w:hAnsiTheme="minorEastAsia" w:eastAsiaTheme="minorEastAsia" w:cstheme="minorEastAsia"/>
          <w:color w:val="auto"/>
          <w:szCs w:val="21"/>
          <w:highlight w:val="none"/>
          <w:lang w:val="en-US"/>
        </w:rPr>
        <w:t xml:space="preserve">：</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b/>
          <w:bCs/>
          <w:color w:val="auto"/>
          <w:szCs w:val="21"/>
          <w:highlight w:val="none"/>
        </w:rPr>
        <w:t xml:space="preserve">预付款：</w:t>
      </w:r>
      <w:r>
        <w:rPr>
          <w:rFonts w:hint="eastAsia" w:asciiTheme="minorEastAsia" w:hAnsiTheme="minorEastAsia" w:eastAsiaTheme="minorEastAsia" w:cstheme="minorEastAsia"/>
          <w:color w:val="auto"/>
          <w:szCs w:val="21"/>
          <w:highlight w:val="none"/>
        </w:rPr>
        <w:t xml:space="preserve">合同签订并生效后15日内，支付合同总金额的30%作为预付款；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b/>
          <w:bCs/>
          <w:color w:val="auto"/>
          <w:szCs w:val="21"/>
          <w:highlight w:val="none"/>
        </w:rPr>
        <w:t xml:space="preserve">进度款：</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根据货物实际交付及验收情况进行核算与支付。上述各批次货物金额，均以中标单位投标报价中的单价为准进行核算：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a. 整套流量站：</w:t>
      </w:r>
      <w:r>
        <w:rPr>
          <w:rFonts w:hint="eastAsia" w:asciiTheme="minorEastAsia" w:hAnsiTheme="minorEastAsia" w:eastAsiaTheme="minorEastAsia" w:cstheme="minorEastAsia"/>
          <w:color w:val="auto"/>
          <w:szCs w:val="21"/>
          <w:highlight w:val="none"/>
        </w:rPr>
        <w:t xml:space="preserve">到货并安装调试完成后，支付至该批次货物金额的60%；验收完成后，支付至该批次货物金额的90%。</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b. </w:t>
      </w:r>
      <w:r>
        <w:rPr>
          <w:rFonts w:hint="eastAsia" w:asciiTheme="minorEastAsia" w:hAnsiTheme="minorEastAsia" w:eastAsiaTheme="minorEastAsia" w:cstheme="minorEastAsia"/>
          <w:b/>
          <w:bCs/>
          <w:color w:val="auto"/>
          <w:szCs w:val="21"/>
          <w:highlight w:val="none"/>
        </w:rPr>
        <w:t xml:space="preserve">其他类设备：</w:t>
      </w:r>
      <w:r>
        <w:rPr>
          <w:rFonts w:hint="eastAsia" w:asciiTheme="minorEastAsia" w:hAnsiTheme="minorEastAsia" w:eastAsiaTheme="minorEastAsia" w:cstheme="minorEastAsia"/>
          <w:color w:val="auto"/>
          <w:szCs w:val="21"/>
          <w:highlight w:val="none"/>
        </w:rPr>
        <w:t xml:space="preserve">到货安装调试且通过验收后，支付至该批次货物金额的90%。</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C.</w:t>
      </w:r>
      <w:r>
        <w:rPr>
          <w:rFonts w:hint="eastAsia" w:asciiTheme="minorEastAsia" w:hAnsiTheme="minorEastAsia" w:eastAsiaTheme="minorEastAsia" w:cstheme="minorEastAsia"/>
          <w:b/>
          <w:bCs/>
          <w:color w:val="auto"/>
          <w:szCs w:val="21"/>
          <w:highlight w:val="none"/>
        </w:rPr>
        <w:t xml:space="preserve">支付前提（预付款抵扣）</w:t>
      </w:r>
      <w:r>
        <w:rPr>
          <w:rFonts w:hint="eastAsia" w:asciiTheme="minorEastAsia" w:hAnsiTheme="minorEastAsia" w:eastAsiaTheme="minorEastAsia" w:cstheme="minorEastAsia"/>
          <w:color w:val="auto"/>
          <w:szCs w:val="21"/>
          <w:highlight w:val="none"/>
        </w:rPr>
        <w:t xml:space="preserve">：若上述累计应付款高于已支付的预付款，则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支付超出部分的差额；若未超过预付款金额，则当期不予支付。</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rPr>
          <w:rFonts w:hint="eastAsia" w:asciiTheme="minorEastAsia" w:hAnsiTheme="minorEastAsia" w:eastAsiaTheme="minorEastAsia" w:cstheme="minorEastAsia"/>
          <w:b/>
          <w:bCs/>
          <w:color w:val="auto"/>
          <w:szCs w:val="21"/>
          <w:highlight w:val="none"/>
        </w:rPr>
        <w:t xml:space="preserve">）质保金：</w:t>
      </w:r>
      <w:r>
        <w:rPr>
          <w:rFonts w:hint="eastAsia" w:asciiTheme="minorEastAsia" w:hAnsiTheme="minorEastAsia" w:eastAsiaTheme="minorEastAsia" w:cstheme="minorEastAsia"/>
          <w:color w:val="auto"/>
          <w:szCs w:val="21"/>
          <w:highlight w:val="none"/>
        </w:rPr>
        <w:t xml:space="preserve">待整个项目通过</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项目整体验收合格满1年后，支付剩余的全部合同尾款。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提请</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付款前，应提供以下资料：</w:t>
      </w:r>
      <w:r/>
    </w:p>
    <w:p>
      <w:pPr>
        <w:pStyle w:val="998"/>
        <w:ind w:firstLine="420"/>
        <w:spacing w:line="360" w:lineRule="auto"/>
        <w:tabs>
          <w:tab w:val="left" w:pos="709"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（1）合法有效且符合</w:t>
      </w:r>
      <w:r>
        <w:rPr>
          <w:rFonts w:hint="eastAsia" w:asciiTheme="minorEastAsia" w:hAnsiTheme="minorEastAsia" w:eastAsiaTheme="minorEastAsia" w:cstheme="minorEastAsia"/>
          <w:color w:val="auto"/>
          <w:sz w:val="21"/>
          <w:szCs w:val="21"/>
          <w:highlight w:val="none"/>
          <w:lang w:eastAsia="zh-CN"/>
        </w:rPr>
        <w:t xml:space="preserve">采购人</w:t>
      </w:r>
      <w:r>
        <w:rPr>
          <w:rFonts w:hint="eastAsia" w:asciiTheme="minorEastAsia" w:hAnsiTheme="minorEastAsia" w:eastAsiaTheme="minorEastAsia" w:cstheme="minorEastAsia"/>
          <w:color w:val="auto"/>
          <w:sz w:val="21"/>
          <w:szCs w:val="21"/>
          <w:highlight w:val="none"/>
        </w:rPr>
        <w:t xml:space="preserve">要求的发票；</w:t>
      </w:r>
      <w:r/>
    </w:p>
    <w:p>
      <w:pPr>
        <w:pStyle w:val="998"/>
        <w:ind w:firstLine="420"/>
        <w:spacing w:line="360" w:lineRule="auto"/>
        <w:tabs>
          <w:tab w:val="left" w:pos="709"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（2）随货物附带的所有有关资料（如质量保证书等）；</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（3）由甲乙双方共同签章的《政府采购合同履行验收书》。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未按要求提供上述资料的，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有权延迟付款，且不承担逾期付款的违约责任。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3、付款方式：银行转账或数字人民币转账。</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数字人民币账户信息如下：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账户名：</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开户行：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数字人民币账号（数币钱包ID）：</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银行转账账户信息如下：</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开户名称：</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开户银行：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银行账号：</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4、未经双方书面协商一致，</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不得擅自变更收款账户信息，也不得转让债权；未经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书面同意的债权转让对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不发生法律效力，</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仍有权按照合同约定账户支付费用。若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将对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的债权擅自转让给第三人，则</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同意向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承担转让的债权金额10 %的违约金，同时</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有权单方面解除本合同。第三人因债权转让起诉的，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因此次诉讼而产生的案件诉讼费、第三人主张的违约金、利息损失、律师费、保全费、保函费、鉴定费等均由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5、根据现行税法对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征收的与本合同有关的一切税费均由</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承担；根据现行税法对</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征收的与本合同有关的一切税费均由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四、质量保证</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提供的货物是全新的、未使用过的，并且是非长期积压的库存商品，完全符合合同规定的质量、规格和性能的要求。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应保证其提供的货物在正确安装、正常使用和保养条件下，在其标称的使用寿命期内应具有良好的性能。在</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承诺的质量保证期限内，</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应对由于设计、工艺或材料的缺陷及伴随服务而造成的任何不足或故障负责。质保期内货物出现质量问题的，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应负责包修、包退、包换，由此产生的一切费用均由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（三）根据</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有权以书面形式通知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并提出索赔。</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w:t>
      </w:r>
      <w:bookmarkStart w:id="42" w:name="_Hlk32483710"/>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应保证对其提供的货物享有合法的权利，在其提供的货物上不存在任何未曾向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披露的担保物权，如抵押权、质押权、留置权、债权性质的担保、查封等。</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在使用该货物或其任何一部分时不受第三方提出侵犯其专利权、版权、商标权或其他权利的诉讼。如</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在使用</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提供的标的物构成上述侵权的，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应承担全部责任，并赔偿由此给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造成的一切直接、间接损失。</w:t>
      </w:r>
      <w:bookmarkEnd w:id="42"/>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五、包装与运输</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包装材料必须符合绿色包装相关要求。根据财政部办公厅、生态环境部办公厅、国家邮政局办公室关于印发《商品包装政府采购需求标准（试行）》、《快递包装政府采购需求标准（试行）》的通知（财办库〔2020〕123 号文）文件规定，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提供产品及相关快递服务的包装应符合标准要求。包装必须适用于远距离运输、防潮、防震、防锈、和防野蛮装卸等要求，确保货物安全无损运抵现场。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应保证其提供的货物是原包装未拆封的商品，在交付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验收前不得拆箱。</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（三）外包装应体现货物名称、规格型号、生产日期、保质期等相关信息。</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（四）如因包装、运输问题导致货物毁损或者品质下降，</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有权要求降价、换货、拒收部分或整批货物，由此造成</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的费用和损失，均由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（五）产品运输（送）安全由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全权负责，造成货物丢失或其他重大损失等情况，由此带来的经济损失、法律后果由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完全负责，</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将依据合同条款保留追究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责任的权利。</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（六）运输费用由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pStyle w:val="765"/>
        <w:ind w:left="0" w:firstLine="42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（七）运输须严格遵守《中华人民共和国道路运输条例》相关规定。</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 六、标的物的交付</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（一）本项目货物的所有权自货物由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交付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时转移。</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应当按照本合同约定的期限和约定的地点交付货物。</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（三）</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应当按照本合同约定或者交易习惯向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交付提取货物单证以外的有关单证和资料。</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（四）本合同中所称“交付”，除根据上下文明显指到货时的交货外，均指完成安装调试后的交付。</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负责安排货物运输，因交货产生的运输、装卸、安装、保险等相关费用全部由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承担。货物在交付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并通过验收合格前，其灭失、损毁的风险由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七、伴随服务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除应按照本合同约定及</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的要求履行按期按量交付合格货物的义务外，还应当提供下列服务：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1、货物的现场安装、启动、调试、监督（如果必须安装、调试的话）；</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2、提供货物组装和一般维修所必需的工具；</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3、在本合同规定的期限内对所提供的货物实行运行监督、维修服务的前提条件是该服务并不能免除</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在质量保证期内应承担的义务；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4、对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技术人员进行技术指导或培训服务。</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（二）除本合同另有规定外，伴随服务的费用均已包含在本合同总金额中，</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不再另行向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支付任何其他费用。</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八、分包与转包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（一）本合同项目不得转包与分包。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存在分包或转包行为，</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有权解除合同，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须返还全部已支付价款，并向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支付合同总金额20%的违约金。</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（三）因分包或转包导致</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遭受损失的，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应赔偿</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一切直接和间接损失。</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九、标的物的检验（检测）和验收</w:t>
      </w:r>
      <w:r/>
    </w:p>
    <w:p>
      <w:pPr>
        <w:pStyle w:val="877"/>
        <w:contextualSpacing w:val="0"/>
        <w:ind w:left="0"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（一）货物运抵</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指定地点后，由</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对照采购清单对数量、包装，货品的外观、做工、质量合格证书证等进行验收，双方应按要求填写《送货单》、《政府采购合同履行验收书》等单据。</w:t>
      </w:r>
      <w:r/>
    </w:p>
    <w:p>
      <w:pPr>
        <w:pStyle w:val="877"/>
        <w:contextualSpacing w:val="0"/>
        <w:ind w:left="0"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在收到货物后，有权按品目随机抽取任意1-2件货物送交具有法定资质的第三方检测机构对相关国家、行业标准及采购文件中的主要性能参数进行检测，所需费用由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承担。若检测报告中所有项均合格，视为抽检品目产品整体验收通过，</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不得以任何理由拒付货款；若检测报告有不合格项，则抽检品目产品验收不合格，</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有权退回抽检品目全部产品，</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需重新生产或返工抽检品目全部产品。</w:t>
      </w:r>
      <w:r/>
    </w:p>
    <w:p>
      <w:pPr>
        <w:pStyle w:val="877"/>
        <w:contextualSpacing w:val="0"/>
        <w:ind w:left="0"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（三）验收因抽检不合格而退回重新生产或返工的货物，交货时间为</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收到检测报告之日起的30日内，逾期按交货延误予以处罚，所产生的费用由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承担。待货物再次交货后，</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有权按上述要求和标准重新验收，所产生的费用由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承担。若再次验收不合格，</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有权终止与</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本次合作，</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应退还已支付的全部款项并向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支付合同总金额的20%作为违约赔偿金。</w:t>
      </w:r>
      <w:r/>
    </w:p>
    <w:p>
      <w:pPr>
        <w:pStyle w:val="765"/>
        <w:ind w:left="0" w:firstLine="42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 《政府采购合同履行验收书》上的签收日期为最终验收合格日期。</w:t>
      </w:r>
      <w:r/>
    </w:p>
    <w:p>
      <w:pPr>
        <w:ind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（六）采购文件、响应文件、政府采购合同等是履约验收工作的重要依据。在政府采购合同约定的履行验收条件达到时，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可以主动联系</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启动履约验收工作。</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将按照验收标准要求组织验收，验收内容和标准至少包括服务质量、用户满意度、服务过程文档资料、数据准确性等内容。</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 十、标的物提出异议的时间和办法</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在验收过程中，应当于双方约定的验收期间内将货物的数量或质量不符合约定的情况及处理方式以书面形式通知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。若货物存在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无法检验（检测）的质量问题，则对该货物的检验（检测）不受验收期间的限制，但</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应在发现质量问题后及时提出。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（二）如果</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在验收期满后【10】日内既不出具验收合格证明又未提出书面异议的，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应当自验收期满后【7】日内对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进行催告，经</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催告后</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在【7】日内仍未出具验收合格证明或提出书面异议的，视为</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所交付的货物符合本合同的规定。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在验收过程中向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发出书面异议通知的，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应自收到</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书面异议通知后24小时内将处理意见与办法书面答复</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，并于3日内负责解决问题，否则将视为</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默认</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提出的异议和处理意见。</w:t>
      </w:r>
      <w:r/>
    </w:p>
    <w:p>
      <w:pPr>
        <w:ind w:firstLine="422"/>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十一、保密条款</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在合作过程中知悉的采购方一切资料和信息，包括但不限于有关本合同</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的内部资料、业务信息、技术资料及本合同项下的服务价格、合作条件等书面或口头信息，</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承诺严格遵守对上述信息的保密约定。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承诺对保密信息之使用仅限于本合同签订与履行的，未经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明确书面同意，</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不得将保密信息用于其它任何范围或场合，不得向任何第三方披露保密信息。</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(二）本合同履行终止后，</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应当归还由</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向其披露的一切保密信息的原始资料及其相关副本或复制品（包括书面的或电子的），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返还保密信息资料后，应继续承担并履行其在本合同项下的其他义务。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应对服务人员实施定岗定责，</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服务人员等凡是有机会接触到保密信息的主体，均负有前述保密义务，</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应当采取充足措施保障前述主体履行保密义务，否则视为</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违反保密义务。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对保密信息未经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许可进行披露（包括且不限于故意，过失或疏忽）或有其他违反保密义务的行为，</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有权解除本合同，且</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应当按合同总金额20%的标准向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支付泄密违约金，并向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及其关联主体赔偿因此受到的全部直接和间接损失。此外，</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还有权寻求停止侵害的禁令或其他类似的法律救济。</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(五）无论本合同是否变更、解除或终止，合同的保密条款不受其限制而继续有效，</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都应继续承担保密条款约定的保密义务。保密义务的期限为永久。</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（六）无论基于何种原因，在合同履行过程中或合同履行完成时，当</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发出返还全部保密信息资料的媒体、复印件、影印件、摘要的书面通知后，</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应在书面通知送达后的5日内全部返还。本合同履行完成后，</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及其所属员工也不得再为任何目的使用上述保密信息。</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十二、售后服务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（一）本项目免费质量保证期要求不低于【 】年。免费质量保证期从货物供货、安装、调试使用正常且经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最终验收合格之日起算。</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在质保期内实行“三包”服务，如货物出现质量问题，</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根据实际情况进行修理、更换或退货处理，并承担由此发生的一切费用。</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（三）在免费质保期内，一旦发生质量问题，</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应在接到</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维修请求后的【 】小时内响应，并在【 】小时内赶到故障现场进行维修服务。【 】小时内恢复到故障前的正常状态。</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（四）在免费质保期内“医用急救箱”、“警用消防应急箱”中配备的产品若出现过期或临保情况的，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需配合</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及时更换成新鲜日期的产品，质保日期须与免费质保期同步。</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（五）</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应保证备品备件长期供应，因产品无法修理的，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调换货物。</w:t>
      </w:r>
      <w:r/>
    </w:p>
    <w:p>
      <w:pPr>
        <w:pStyle w:val="765"/>
        <w:ind w:left="0" w:firstLine="42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（六）</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未能按前述约定提供售后服务的，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有权自行聘请第三方进行维修，因此产生的费用由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有权直接从未支付的费用中扣除。同时，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支付本合同总金额20%的违约金，并赔偿</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因此产生的全部损失。</w:t>
      </w:r>
      <w:r/>
    </w:p>
    <w:p>
      <w:pPr>
        <w:pStyle w:val="765"/>
        <w:ind w:left="0" w:firstLine="42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（七）</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进行所供产品的技术培训，确保使用人员能够达到独立进行使用、维护和简单故障处理等工作。具体的培训时间、培训地点、培训方式、培训内容、培训人数由</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根据实际需求确定，</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不得再收取任何费用。</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十三、安全生产</w:t>
      </w:r>
      <w:r/>
    </w:p>
    <w:p>
      <w:pPr>
        <w:pStyle w:val="765"/>
        <w:ind w:left="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（一）在项目实施及质保期间，</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应当配备必要的安全生产管理人员，负责强化项目实施人员安全教育和安全管理，如实施过程中存在人身安全风险的，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应当为实施人员购买必要的人身安全保险。</w:t>
      </w:r>
      <w:r/>
    </w:p>
    <w:p>
      <w:pPr>
        <w:pStyle w:val="765"/>
        <w:ind w:left="0"/>
        <w:spacing w:after="0"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（二）所有作业人员均需按照国家法律法规之规定，取得对应上岗资格证书、作业许可证书、特种作业证书等相关资格证书，方可上岗作业。</w:t>
      </w:r>
      <w:r>
        <w:rPr>
          <w:rFonts w:hint="eastAsia" w:asciiTheme="minorEastAsia" w:hAnsiTheme="minorEastAsia" w:eastAsiaTheme="minorEastAsia" w:cstheme="minorEastAsia"/>
          <w:color w:val="auto"/>
          <w:szCs w:val="21"/>
          <w:highlight w:val="none"/>
        </w:rPr>
        <w:br/>
      </w:r>
      <w:r>
        <w:rPr>
          <w:rFonts w:hint="eastAsia" w:asciiTheme="minorEastAsia" w:hAnsiTheme="minorEastAsia" w:eastAsiaTheme="minorEastAsia" w:cstheme="minorEastAsia"/>
          <w:color w:val="auto"/>
          <w:szCs w:val="21"/>
          <w:highlight w:val="none"/>
        </w:rPr>
        <w:t xml:space="preserve">    （三）</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应按照法律法规制定安全作业规范，在项目实施过程中，</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一方发生的一切安全事故或给第三方造成的损害，由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自行承担责任，</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不对</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项目实施人员负任何安全责任；若给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造成损失和伤害的，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应承担相应责任，赔偿一切直接、间接损失。</w:t>
      </w:r>
      <w:r/>
    </w:p>
    <w:p>
      <w:pPr>
        <w:spacing w:line="360" w:lineRule="auto"/>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    十四、违约责任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合同一方不履行合同义务或者履行合同义务不符合约定的，应当承担继续履行、采取补救措施或赔偿损失等违约责任。</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违约责任</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1、本合同生效后，</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无正当理由要求退货的，应向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支付本合同总金额20%的违约金，违约金不足以弥补损失的，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补足。</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2、</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逾期支付合同价款的，每逾期1日，应向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支付逾期付款金额万分之四的违约金，</w:t>
      </w:r>
      <w:bookmarkStart w:id="43" w:name="_Hlk27642747"/>
      <w:r>
        <w:rPr>
          <w:rFonts w:hint="eastAsia" w:asciiTheme="minorEastAsia" w:hAnsiTheme="minorEastAsia" w:eastAsiaTheme="minorEastAsia" w:cstheme="minorEastAsia"/>
          <w:color w:val="auto"/>
          <w:szCs w:val="21"/>
          <w:highlight w:val="none"/>
        </w:rPr>
        <w:t xml:space="preserve">但</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支付的该项违约金总额以逾期付款金额的20%为限</w:t>
      </w:r>
      <w:bookmarkEnd w:id="43"/>
      <w:r>
        <w:rPr>
          <w:rFonts w:hint="eastAsia" w:asciiTheme="minorEastAsia" w:hAnsiTheme="minorEastAsia" w:eastAsiaTheme="minorEastAsia" w:cstheme="minorEastAsia"/>
          <w:color w:val="auto"/>
          <w:szCs w:val="21"/>
          <w:highlight w:val="none"/>
        </w:rPr>
        <w:t xml:space="preserve">。</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3、</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违反本合同规定，无正当理由拒绝接收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交付的合格标的物的，应当承担因此给</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造成的损失。</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（二）</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违约责任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未能按本合同约定的期限交付质量符合本合同约定货物的，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有权按顺序采取以下措施：</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（1）每逾期一日，要求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按照本合同总金额的万分之四向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支付违约金，并在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指定期限内交付符合本合同约定的货物。</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（2）逾期超过30日，仍不能按质按量交付的，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有权直接解除本合同，同时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应当立即退回已收取的全部款项并向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支付本合同总金额【20】%的违约金。</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2、因</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违约导致</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解除合同的，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有权另行采购本合同约定的设备，</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应当支付</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因此额外支付的费用和受到的损失，包括但不限于: 采购费用以及因退货所产生的运输、存储费用，因</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违约导致逾期交付的损失（损失参照合同约定的逾期交付违约金计算方式进行认定）等一切费用和损失。</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3、除本合同另有约定以外，若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违反本合同约定的，且经</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催告后【7】日内仍未改正的或该违约情形无法改正的，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立即向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支付本合同总金额【20】%的违约金，且</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有权解除本合同，要求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立即退回本合同项下已收取的全部款项。</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因履行本合同而需向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支付款项的（包括但不限于违约赔偿、退款等），</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有权直接自未付款项中予以抵扣，不足部分</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补足。</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逾期支付本合同约定的任何款项（包括但不限于违约赔偿、退款等）的，每逾期一日，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支付逾期金额万分之四的违约金。</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6、本合同约定的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应付违约金不足以弥补</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一切直接或间接损失的，</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应当足额赔偿。</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对招投标文件中承诺函所承诺的内容未按约定提供，</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有权终止合同，且</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需向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支付本合同总金额【20】%的违约金。</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8、</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违反本合同第八条约定之情形的，除按相应条款承担违约责任外，</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还有权依据本合同第十四条追究其违约责任。</w:t>
      </w:r>
      <w:r/>
    </w:p>
    <w:p>
      <w:pPr>
        <w:ind w:firstLine="422"/>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十五、不可抗力</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（一）合同一方因不可抗力不能履行合同的，根据不可抗力的影响，部分或者全部免除责任。但合同一方延迟履行后发生不可抗力的，不能免除责任。</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（二）合同一方因不可抗力不能履行合同的，应当在不可抗力发生后3日内通知对方，以减轻可能给对方造成的损失，并应当</w:t>
      </w:r>
      <w:bookmarkStart w:id="44" w:name="_Hlk62832803"/>
      <w:r>
        <w:rPr>
          <w:rFonts w:hint="eastAsia" w:asciiTheme="minorEastAsia" w:hAnsiTheme="minorEastAsia" w:eastAsiaTheme="minorEastAsia" w:cstheme="minorEastAsia"/>
          <w:color w:val="auto"/>
          <w:szCs w:val="21"/>
          <w:highlight w:val="none"/>
        </w:rPr>
        <w:t xml:space="preserve">在不可抗力通知发出后的7日</w:t>
      </w:r>
      <w:bookmarkEnd w:id="44"/>
      <w:r>
        <w:rPr>
          <w:rFonts w:hint="eastAsia" w:asciiTheme="minorEastAsia" w:hAnsiTheme="minorEastAsia" w:eastAsiaTheme="minorEastAsia" w:cstheme="minorEastAsia"/>
          <w:color w:val="auto"/>
          <w:szCs w:val="21"/>
          <w:highlight w:val="none"/>
        </w:rPr>
        <w:t xml:space="preserve">内提供书面证明文件。</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（三）</w:t>
      </w:r>
      <w:bookmarkStart w:id="45" w:name="_Hlk62832818"/>
      <w:r>
        <w:rPr>
          <w:rFonts w:hint="eastAsia" w:asciiTheme="minorEastAsia" w:hAnsiTheme="minorEastAsia" w:eastAsiaTheme="minorEastAsia" w:cstheme="minorEastAsia"/>
          <w:color w:val="auto"/>
          <w:szCs w:val="21"/>
          <w:highlight w:val="none"/>
        </w:rPr>
        <w:t xml:space="preserve">不可抗力事由消除后，合同继续履行或解除等相关事宜，由合同双方协商解决。</w:t>
      </w:r>
      <w:bookmarkEnd w:id="45"/>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十六、索赔</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（一）</w:t>
      </w:r>
      <w:bookmarkStart w:id="46" w:name="_Hlk62832834"/>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交付的本合同货物的质量、数量、规格、性能等经检验（检测）、验收不合格的，</w:t>
      </w:r>
      <w:bookmarkEnd w:id="46"/>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有权根据具有国家法定资质的第三方检验（检测）机构出具的检验（检测）结果、验收证书向</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提出索赔。</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（二）在本合同规定的检验（检测）期限和质量保证期内，如果</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对</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提出的索赔或异议有责任，则</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应按</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同意的下列一种或多种方式解决索赔事宜：</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1、</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同意退货，并按本合同规定的货币形式将货款退还给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2、根据货物的低劣程度、损坏程度以及</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遭受损失的数额，经甲乙双方协商确定降低货物的价格。</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3、</w:t>
      </w:r>
      <w:bookmarkStart w:id="47" w:name="_Hlk62832935"/>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应在收到</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书面索赔通知后7日内，</w:t>
      </w:r>
      <w:bookmarkEnd w:id="47"/>
      <w:r>
        <w:rPr>
          <w:rFonts w:hint="eastAsia" w:asciiTheme="minorEastAsia" w:hAnsiTheme="minorEastAsia" w:eastAsiaTheme="minorEastAsia" w:cstheme="minorEastAsia"/>
          <w:color w:val="auto"/>
          <w:szCs w:val="21"/>
          <w:highlight w:val="none"/>
        </w:rPr>
        <w:t xml:space="preserve">负责采用符合规格、质量和性能要求的新零件、部件或货物来更换有缺陷的部分或修补缺陷部分或直接更换，</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应承担由此产生的一切费用和风险，给</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造成损失的，应赔偿</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一切直接、间接损失。同时，</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应按本合同规定，相应延长修补或被更换部件或货物的质量保证期。</w:t>
      </w:r>
      <w:r/>
    </w:p>
    <w:p>
      <w:pPr>
        <w:spacing w:line="360" w:lineRule="auto"/>
        <w:tabs>
          <w:tab w:val="left" w:pos="251" w:leader="none"/>
        </w:tabs>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（三）如果在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发出书面索赔通知后7日内，</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未能答复的，上述索赔应视为已被</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接受。若</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未在</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提出书面索赔通知后7日内或</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同意的延长期限内，按照本合同规定的任何一种方法解决索赔事宜的，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有权从未支付的款项或</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提供的履约保证金（如有）中扣除索赔金额，如果此金额不足以弥补</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损失的，</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有权要求</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补足。 </w:t>
      </w:r>
      <w:r/>
    </w:p>
    <w:p>
      <w:pPr>
        <w:spacing w:line="360" w:lineRule="auto"/>
        <w:rPr>
          <w:rFonts w:hint="eastAsia" w:asciiTheme="minorEastAsia" w:hAnsiTheme="minorEastAsia" w:eastAsiaTheme="minorEastAsia" w:cstheme="minorEastAsia"/>
          <w:color w:val="auto"/>
          <w:szCs w:val="21"/>
          <w:highlight w:val="none"/>
        </w:rPr>
        <w:outlineLvl w:val="0"/>
      </w:pPr>
      <w:r>
        <w:rPr>
          <w:rFonts w:hint="eastAsia" w:asciiTheme="minorEastAsia" w:hAnsiTheme="minorEastAsia" w:eastAsiaTheme="minorEastAsia" w:cstheme="minorEastAsia"/>
          <w:b/>
          <w:bCs/>
          <w:color w:val="auto"/>
          <w:szCs w:val="21"/>
          <w:highlight w:val="none"/>
        </w:rPr>
        <w:t xml:space="preserve">     十七、合同的解除和转让</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 xml:space="preserve">（一）除《政府采购法》第49条、第50条第二款规定的情形及本合同约定的情形外，本合同签订后，甲乙双方不得擅自变更、解除或终止本合同。</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    （二）有下列情形之一的，合同一方可以解除合同：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1、因不可抗力致使不能实现合同目的的，未受不可抗力影响的一方有权解除合同；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2、因合同一方违约导致合同不能履行的，另一方有权解除合同；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存在违反本合同第八条之情形的，</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有权解除合同。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4、有权解除合同的一方，应当在违约事实或不可抗力发生后30日内书面通知对方解除本合同，本合同在书面通知到达对方时解除。</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    （三）未经</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书面同意，</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不得将本合同的部分或全部义务转让给任何第三方。</w:t>
      </w:r>
      <w:r/>
    </w:p>
    <w:p>
      <w:pPr>
        <w:spacing w:line="360" w:lineRule="auto"/>
        <w:rPr>
          <w:rFonts w:hint="eastAsia" w:asciiTheme="minorEastAsia" w:hAnsiTheme="minorEastAsia" w:eastAsiaTheme="minorEastAsia" w:cstheme="minorEastAsia"/>
          <w:color w:val="auto"/>
          <w:szCs w:val="21"/>
          <w:highlight w:val="none"/>
        </w:rPr>
      </w:pPr>
      <w:r/>
      <w:bookmarkStart w:id="48" w:name="_Toc13543222"/>
      <w:r>
        <w:rPr>
          <w:rFonts w:hint="eastAsia" w:asciiTheme="minorEastAsia" w:hAnsiTheme="minorEastAsia" w:eastAsiaTheme="minorEastAsia" w:cstheme="minorEastAsia"/>
          <w:b/>
          <w:bCs/>
          <w:color w:val="auto"/>
          <w:szCs w:val="21"/>
          <w:highlight w:val="none"/>
        </w:rPr>
        <w:t xml:space="preserve">    十八、合同的生效</w:t>
      </w:r>
      <w:bookmarkEnd w:id="48"/>
      <w:r/>
      <w:r/>
    </w:p>
    <w:p>
      <w:pPr>
        <w:ind w:firstLine="420"/>
        <w:spacing w:line="360" w:lineRule="auto"/>
        <w:rPr>
          <w:rFonts w:hint="eastAsia" w:asciiTheme="minorEastAsia" w:hAnsiTheme="minorEastAsia" w:eastAsiaTheme="minorEastAsia" w:cstheme="minorEastAsia"/>
          <w:color w:val="auto"/>
          <w:szCs w:val="21"/>
          <w:highlight w:val="none"/>
        </w:rPr>
      </w:pPr>
      <w:r/>
      <w:bookmarkStart w:id="49" w:name="_Toc13543223"/>
      <w:r>
        <w:rPr>
          <w:rFonts w:hint="eastAsia" w:asciiTheme="minorEastAsia" w:hAnsiTheme="minorEastAsia" w:eastAsiaTheme="minorEastAsia" w:cstheme="minorEastAsia"/>
          <w:color w:val="auto"/>
          <w:szCs w:val="21"/>
          <w:highlight w:val="none"/>
          <w:lang w:val="zh-CN"/>
        </w:rPr>
        <w:t xml:space="preserve">本合同经甲乙双方法定代表人或授权代表人签字并加盖公章后即生效，生效后须进行网上备案。</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十九、争议解决</w:t>
      </w:r>
      <w:bookmarkEnd w:id="49"/>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甲乙双方因履行本合同或与本合同有关的一切事项发生争议的，应友好协商解决；协商不成的，任何一方均有权向</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所在地人民法院起诉。</w:t>
      </w:r>
      <w:bookmarkStart w:id="50" w:name="_Hlk62833016"/>
      <w:r>
        <w:rPr>
          <w:rFonts w:hint="eastAsia" w:asciiTheme="minorEastAsia" w:hAnsiTheme="minorEastAsia" w:eastAsiaTheme="minorEastAsia" w:cstheme="minorEastAsia"/>
          <w:color w:val="auto"/>
          <w:szCs w:val="21"/>
          <w:highlight w:val="none"/>
        </w:rPr>
        <w:t xml:space="preserve">因</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违约或</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追究</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违约但不成立，导致</w:t>
      </w:r>
      <w:r>
        <w:rPr>
          <w:rFonts w:hint="eastAsia" w:asciiTheme="minorEastAsia" w:hAnsiTheme="minorEastAsia" w:eastAsiaTheme="minorEastAsia" w:cstheme="minorEastAsia"/>
          <w:color w:val="auto"/>
          <w:szCs w:val="21"/>
          <w:highlight w:val="none"/>
          <w:lang w:eastAsia="zh-CN"/>
        </w:rPr>
        <w:t xml:space="preserve">采购人</w:t>
      </w:r>
      <w:r>
        <w:rPr>
          <w:rFonts w:hint="eastAsia" w:asciiTheme="minorEastAsia" w:hAnsiTheme="minorEastAsia" w:eastAsiaTheme="minorEastAsia" w:cstheme="minorEastAsia"/>
          <w:color w:val="auto"/>
          <w:szCs w:val="21"/>
          <w:highlight w:val="none"/>
        </w:rPr>
        <w:t xml:space="preserve">为处理此纠纷产生的费用由</w:t>
      </w:r>
      <w:r>
        <w:rPr>
          <w:rFonts w:hint="eastAsia" w:asciiTheme="minorEastAsia" w:hAnsiTheme="minorEastAsia" w:eastAsiaTheme="minorEastAsia" w:cstheme="minorEastAsia"/>
          <w:color w:val="auto"/>
          <w:szCs w:val="21"/>
          <w:highlight w:val="none"/>
          <w:lang w:eastAsia="zh-CN"/>
        </w:rPr>
        <w:t xml:space="preserve">供应商</w:t>
      </w:r>
      <w:r>
        <w:rPr>
          <w:rFonts w:hint="eastAsia" w:asciiTheme="minorEastAsia" w:hAnsiTheme="minorEastAsia" w:eastAsiaTheme="minorEastAsia" w:cstheme="minorEastAsia"/>
          <w:color w:val="auto"/>
          <w:szCs w:val="21"/>
          <w:highlight w:val="none"/>
        </w:rPr>
        <w:t xml:space="preserve">承担，该费用包括但不限于公证费、诉讼费、保全费、鉴定费、执行费、律师费、差旅费等。</w:t>
      </w:r>
      <w:bookmarkEnd w:id="50"/>
      <w:r/>
      <w:bookmarkStart w:id="51" w:name="_Toc13543224"/>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 xml:space="preserve">    二十、</w:t>
      </w:r>
      <w:bookmarkEnd w:id="51"/>
      <w:r>
        <w:rPr>
          <w:rFonts w:hint="eastAsia" w:asciiTheme="minorEastAsia" w:hAnsiTheme="minorEastAsia" w:eastAsiaTheme="minorEastAsia" w:cstheme="minorEastAsia"/>
          <w:b/>
          <w:bCs/>
          <w:color w:val="auto"/>
          <w:szCs w:val="21"/>
          <w:highlight w:val="none"/>
        </w:rPr>
        <w:t xml:space="preserve">其他附则</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    （一）合同份数：本合同一式【 】份，</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执【 】份，</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执【】份，采购代理机构执【】份，各份合同具有同等法律效力。</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（二）本合同未尽事宜应按《中华人民共和国民法典》《中华人民共和国政府采购法》</w:t>
      </w:r>
      <w:bookmarkStart w:id="52" w:name="_Hlk32483171"/>
      <w:r>
        <w:rPr>
          <w:rFonts w:hint="eastAsia" w:asciiTheme="minorEastAsia" w:hAnsiTheme="minorEastAsia" w:eastAsiaTheme="minorEastAsia" w:cstheme="minorEastAsia"/>
          <w:bCs/>
          <w:color w:val="auto"/>
          <w:szCs w:val="21"/>
          <w:highlight w:val="none"/>
        </w:rPr>
        <w:t xml:space="preserve">以及其它法律、法规</w:t>
      </w:r>
      <w:bookmarkEnd w:id="52"/>
      <w:r>
        <w:rPr>
          <w:rFonts w:hint="eastAsia" w:asciiTheme="minorEastAsia" w:hAnsiTheme="minorEastAsia" w:eastAsiaTheme="minorEastAsia" w:cstheme="minorEastAsia"/>
          <w:bCs/>
          <w:color w:val="auto"/>
          <w:szCs w:val="21"/>
          <w:highlight w:val="none"/>
        </w:rPr>
        <w:t xml:space="preserve">之规定解释，在执行过程中甲乙双方应在不违背本合同和采购文件的原则下协商解决，协商结果以书面形式盖章记录，作为本合同的附件，与本合同具有同等法律效力。</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（三）</w:t>
      </w:r>
      <w:bookmarkStart w:id="53" w:name="_Hlk62833081"/>
      <w:r>
        <w:rPr>
          <w:rFonts w:hint="eastAsia" w:asciiTheme="minorEastAsia" w:hAnsiTheme="minorEastAsia" w:eastAsiaTheme="minorEastAsia" w:cstheme="minorEastAsia"/>
          <w:bCs/>
          <w:color w:val="auto"/>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（四）</w:t>
      </w: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根据本合同约定有权解除合同的，解除合同的通知自送达本合同首部填写的</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地址后生效；若</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拒绝签收或显示查无此人而导致解除合同的通知未能被</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实际签收的，解除合同的通知自退回之日视为送达。</w:t>
      </w:r>
      <w:r/>
    </w:p>
    <w:p>
      <w:pPr>
        <w:ind w:firstLine="48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（以下无正文）</w:t>
      </w:r>
      <w:bookmarkEnd w:id="53"/>
      <w:r/>
      <w:r/>
    </w:p>
    <w:p>
      <w:pPr>
        <w:ind w:firstLine="480"/>
        <w:spacing w:line="360" w:lineRule="auto"/>
        <w:rPr>
          <w:rFonts w:hint="eastAsia" w:asciiTheme="minorEastAsia" w:hAnsiTheme="minorEastAsia" w:eastAsiaTheme="minorEastAsia" w:cstheme="minorEastAsia"/>
          <w:bCs/>
          <w:color w:val="auto"/>
          <w:szCs w:val="21"/>
          <w:highlight w:val="none"/>
        </w:rPr>
      </w:pPr>
      <w:r/>
      <w:bookmarkStart w:id="54" w:name="_Hlk62833094"/>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lang w:eastAsia="zh-CN"/>
        </w:rPr>
        <w:t xml:space="preserve">采购人</w:t>
      </w:r>
      <w:r>
        <w:rPr>
          <w:rFonts w:hint="eastAsia" w:asciiTheme="minorEastAsia" w:hAnsiTheme="minorEastAsia" w:eastAsiaTheme="minorEastAsia" w:cstheme="minorEastAsia"/>
          <w:bCs/>
          <w:color w:val="auto"/>
          <w:szCs w:val="21"/>
          <w:highlight w:val="none"/>
        </w:rPr>
        <w:t xml:space="preserve">（盖章）：苏州市水利水务信息调度指挥中心                  </w:t>
      </w:r>
      <w:r>
        <w:rPr>
          <w:rFonts w:hint="eastAsia" w:asciiTheme="minorEastAsia" w:hAnsiTheme="minorEastAsia" w:eastAsiaTheme="minorEastAsia" w:cstheme="minorEastAsia"/>
          <w:bCs/>
          <w:color w:val="auto"/>
          <w:szCs w:val="21"/>
          <w:highlight w:val="none"/>
          <w:lang w:eastAsia="zh-CN"/>
        </w:rPr>
        <w:t xml:space="preserve">供应商</w:t>
      </w:r>
      <w:r>
        <w:rPr>
          <w:rFonts w:hint="eastAsia" w:asciiTheme="minorEastAsia" w:hAnsiTheme="minorEastAsia" w:eastAsiaTheme="minorEastAsia" w:cstheme="minorEastAsia"/>
          <w:bCs/>
          <w:color w:val="auto"/>
          <w:szCs w:val="21"/>
          <w:highlight w:val="none"/>
        </w:rPr>
        <w:t xml:space="preserve">（盖章）：</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法定（授权）代表人（签字）：                法定（授权）代表人（签字）：</w:t>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日期：   年   月   日                       日期：   年   月   日</w:t>
      </w:r>
      <w:bookmarkEnd w:id="54"/>
      <w:r/>
      <w:r/>
    </w:p>
    <w:p>
      <w:pP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pStyle w:val="782"/>
        <w:jc w:val="center"/>
        <w:spacing w:after="312" w:line="480" w:lineRule="auto"/>
        <w:tabs>
          <w:tab w:val="right" w:pos="8302" w:leader="dot"/>
        </w:tabs>
        <w:rPr>
          <w:rStyle w:val="796"/>
          <w:rFonts w:hint="eastAsia" w:asciiTheme="minorEastAsia" w:hAnsiTheme="minorEastAsia" w:eastAsiaTheme="minorEastAsia" w:cstheme="minorEastAsia"/>
          <w:color w:val="auto"/>
          <w:sz w:val="21"/>
          <w:szCs w:val="21"/>
          <w:highlight w:val="none"/>
        </w:rPr>
        <w:sectPr>
          <w:footerReference w:type="default" r:id="rId11"/>
          <w:footnotePr/>
          <w:endnotePr/>
          <w:type w:val="nextPage"/>
          <w:pgSz w:w="11906" w:h="16838" w:orient="portrait"/>
          <w:pgMar w:top="1418" w:right="1418" w:bottom="1418" w:left="1701" w:header="851" w:footer="992" w:gutter="0"/>
          <w:cols w:num="1" w:sep="0" w:space="720" w:equalWidth="1"/>
          <w:docGrid w:linePitch="360"/>
        </w:sectPr>
      </w:pPr>
      <w:r>
        <w:rPr>
          <w:rFonts w:hint="eastAsia" w:asciiTheme="minorEastAsia" w:hAnsiTheme="minorEastAsia" w:eastAsiaTheme="minorEastAsia" w:cstheme="minorEastAsia"/>
          <w:color w:val="auto"/>
          <w:sz w:val="21"/>
          <w:szCs w:val="21"/>
          <w:highlight w:val="none"/>
        </w:rPr>
      </w:r>
      <w:r/>
    </w:p>
    <w:p>
      <w:pPr>
        <w:pStyle w:val="782"/>
        <w:jc w:val="center"/>
        <w:spacing w:after="312" w:line="480" w:lineRule="auto"/>
        <w:tabs>
          <w:tab w:val="right" w:pos="8302" w:leader="dot"/>
        </w:tabs>
        <w:rPr>
          <w:rFonts w:hint="eastAsia" w:asciiTheme="minorEastAsia" w:hAnsiTheme="minorEastAsia" w:eastAsiaTheme="minorEastAsia" w:cstheme="minorEastAsia"/>
          <w:b/>
          <w:color w:val="auto"/>
          <w:sz w:val="32"/>
          <w:szCs w:val="32"/>
          <w:highlight w:val="none"/>
        </w:rPr>
      </w:pPr>
      <w:r>
        <w:rPr>
          <w:rStyle w:val="796"/>
          <w:rFonts w:hint="eastAsia" w:asciiTheme="minorEastAsia" w:hAnsiTheme="minorEastAsia" w:eastAsiaTheme="minorEastAsia" w:cstheme="minorEastAsia"/>
          <w:color w:val="auto"/>
          <w:sz w:val="32"/>
          <w:szCs w:val="32"/>
          <w:highlight w:val="none"/>
        </w:rPr>
        <w:t xml:space="preserve">第六章 评标办法及评分标准</w:t>
      </w:r>
      <w:r/>
    </w:p>
    <w:p>
      <w:pPr>
        <w:pStyle w:val="765"/>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一、评标方法：</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1.评标办法采用</w:t>
      </w:r>
      <w:r>
        <w:rPr>
          <w:rFonts w:hint="eastAsia" w:asciiTheme="minorEastAsia" w:hAnsiTheme="minorEastAsia" w:eastAsiaTheme="minorEastAsia" w:cstheme="minorEastAsia"/>
          <w:b/>
          <w:color w:val="auto"/>
          <w:szCs w:val="21"/>
          <w:highlight w:val="none"/>
        </w:rPr>
        <w:t xml:space="preserve">综合评分法</w:t>
      </w:r>
      <w:r>
        <w:rPr>
          <w:rFonts w:hint="eastAsia" w:asciiTheme="minorEastAsia" w:hAnsiTheme="minorEastAsia" w:eastAsiaTheme="minorEastAsia" w:cstheme="minorEastAsia"/>
          <w:color w:val="auto"/>
          <w:szCs w:val="21"/>
          <w:highlight w:val="none"/>
        </w:rPr>
        <w:t xml:space="preserve">。评标结果按评审后得分由高到低顺序排列。得分相同的，按投标报价由低到高顺序排列。得分且投标报价相同的并列，则由评标委员会组织抽签确定中标单位。投标文件满足招标文件全部实质性要求，且按照评审因素的量化指标评审得分最高的投标方为排名第一的中标候选人。</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2.中标原则：根据委托代理协议内容，由采购人授权评标委员会（评审小组）直接确定中标供应商</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3.评标时，评标委员会成员分别对每个有效投标方的标书进行评价、打分，直接将评委的评分按算术平均方法，计算出每个有效投标方的评委评审得分（保留小数点后两位）。投标报价得分直接计算取得。评委评审得分和投标报价得分相加为投标方的综合评分。</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如投标方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使用综合评分法的采购项目，提供相同品牌产品且通过资格审查、符合性审查的不同投标方参加同一合同项下投标的，按一家投标方计算，评审后得分最高的同品牌投标方获得中标单位推荐资格。非单一产品采购项目，多家投标方提供的核心产品品牌相同的，按照此规定处理。</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6.针对中小型企业、残疾人福利企业和监狱企业的评审：</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Theme="minorEastAsia" w:hAnsiTheme="minorEastAsia" w:eastAsiaTheme="minorEastAsia" w:cstheme="minorEastAsia"/>
          <w:b/>
          <w:bCs/>
          <w:color w:val="auto"/>
          <w:szCs w:val="21"/>
          <w:highlight w:val="none"/>
        </w:rPr>
        <w:t xml:space="preserve">本项目为专门面向中小企业采购的项目，不再执行价格评审优惠的扶持政策。</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投标方必须提供《中小企业声明函》或《残疾人福利性单位声明函》或由省级以上监狱管理局、戒毒管理局（含新疆生产建设兵团）出具的属于监狱企业的证明文件。</w:t>
      </w:r>
      <w:r>
        <w:rPr>
          <w:rFonts w:hint="eastAsia" w:asciiTheme="minorEastAsia" w:hAnsiTheme="minorEastAsia" w:eastAsiaTheme="minorEastAsia" w:cstheme="minorEastAsia"/>
          <w:b/>
          <w:color w:val="auto"/>
          <w:szCs w:val="21"/>
          <w:highlight w:val="none"/>
        </w:rPr>
        <w:t xml:space="preserve">服务类项目中供应商若使用退休人员，将不享受中小企业扶持政策。</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注：①填报“中小企业声明函”需严格按“工信部联企业〔2011〕300号通知中的《中小企业划型标准规定》进行。</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②若供应商提供的声明函或认定证明为虚假材料，按“政府采购法”相关规定处理并报请政府监管部门给予行政处罚。</w:t>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7.采购本国产品的支持政策</w:t>
      </w:r>
      <w:r/>
    </w:p>
    <w:p>
      <w:pPr>
        <w:ind w:firstLine="420"/>
        <w:spacing w:line="360" w:lineRule="auto"/>
        <w:rPr>
          <w:rFonts w:hint="eastAsia" w:asciiTheme="minorEastAsia" w:hAnsiTheme="minorEastAsia" w:eastAsiaTheme="minorEastAsia" w:cstheme="minorEastAsia"/>
          <w:color w:val="auto"/>
          <w:szCs w:val="21"/>
          <w:highlight w:val="none"/>
        </w:rPr>
      </w:pPr>
      <w:r/>
      <w:bookmarkStart w:id="55" w:name="OLE_LINK25"/>
      <w:r>
        <w:rPr>
          <w:rFonts w:hint="eastAsia" w:asciiTheme="minorEastAsia" w:hAnsiTheme="minorEastAsia" w:eastAsiaTheme="minorEastAsia" w:cstheme="minorEastAsia"/>
          <w:color w:val="auto"/>
          <w:szCs w:val="21"/>
          <w:highlight w:val="none"/>
        </w:rPr>
        <w:t xml:space="preserve">7.1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Theme="minorEastAsia" w:hAnsiTheme="minorEastAsia" w:eastAsiaTheme="minorEastAsia" w:cstheme="minorEastAsia"/>
          <w:b/>
          <w:color w:val="auto"/>
          <w:szCs w:val="21"/>
          <w:highlight w:val="none"/>
          <w:u w:val="single"/>
        </w:rPr>
        <w:t xml:space="preserve">20%</w:t>
      </w:r>
      <w:r>
        <w:rPr>
          <w:rFonts w:hint="eastAsia" w:asciiTheme="minorEastAsia" w:hAnsiTheme="minorEastAsia" w:eastAsiaTheme="minorEastAsia" w:cstheme="minorEastAsia"/>
          <w:color w:val="auto"/>
          <w:szCs w:val="21"/>
          <w:highlight w:val="none"/>
        </w:rPr>
        <w:t xml:space="preserve">的价格扣除，用扣除后的价格参与评审。</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color w:val="auto"/>
          <w:szCs w:val="21"/>
          <w:highlight w:val="none"/>
          <w:u w:val="single"/>
        </w:rPr>
        <w:t xml:space="preserve">20%</w:t>
      </w:r>
      <w:r>
        <w:rPr>
          <w:rFonts w:hint="eastAsia" w:asciiTheme="minorEastAsia" w:hAnsiTheme="minorEastAsia" w:eastAsiaTheme="minorEastAsia" w:cstheme="minorEastAsia"/>
          <w:color w:val="auto"/>
          <w:szCs w:val="21"/>
          <w:highlight w:val="none"/>
        </w:rPr>
        <w:t xml:space="preserve">的价格扣除，用扣除后的价格参与评审。</w:t>
      </w:r>
      <w:bookmarkStart w:id="56" w:name="OLE_LINK26"/>
      <w:r>
        <w:rPr>
          <w:rFonts w:hint="eastAsia" w:asciiTheme="minorEastAsia" w:hAnsiTheme="minorEastAsia" w:eastAsiaTheme="minorEastAsia" w:cstheme="minorEastAsia"/>
          <w:b/>
          <w:color w:val="auto"/>
          <w:szCs w:val="21"/>
          <w:highlight w:val="none"/>
        </w:rPr>
        <w:t xml:space="preserve">供应商未填写比例数值，或比例数值未达到</w:t>
      </w:r>
      <w:r>
        <w:rPr>
          <w:rFonts w:hint="eastAsia" w:asciiTheme="minorEastAsia" w:hAnsiTheme="minorEastAsia" w:eastAsiaTheme="minorEastAsia" w:cstheme="minorEastAsia"/>
          <w:b/>
          <w:color w:val="auto"/>
          <w:szCs w:val="21"/>
          <w:highlight w:val="none"/>
          <w:u w:val="single"/>
        </w:rPr>
        <w:t xml:space="preserve">80%</w:t>
      </w:r>
      <w:r>
        <w:rPr>
          <w:rFonts w:hint="eastAsia" w:asciiTheme="minorEastAsia" w:hAnsiTheme="minorEastAsia" w:eastAsiaTheme="minorEastAsia" w:cstheme="minorEastAsia"/>
          <w:b/>
          <w:color w:val="auto"/>
          <w:szCs w:val="21"/>
          <w:highlight w:val="none"/>
        </w:rPr>
        <w:t xml:space="preserve">的，将不享受本国产品价格评审优惠。</w:t>
      </w:r>
      <w:bookmarkEnd w:id="55"/>
      <w:r/>
      <w:bookmarkEnd w:id="56"/>
      <w:r/>
      <w:r/>
    </w:p>
    <w:p>
      <w:pPr>
        <w:ind w:firstLine="420"/>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7.3供应商需按照招标文件的要求对其提供的产品出具《关于符合本国产品标准的声明函》（以下简称《声明函》），如不提供将不享受本国产品价格评审优惠。</w:t>
      </w:r>
      <w:r/>
    </w:p>
    <w:p>
      <w:pPr>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5"/>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二、评分标准：</w:t>
      </w:r>
      <w:r/>
    </w:p>
    <w:p>
      <w:pPr>
        <w:pStyle w:val="1027"/>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(一）价格分：30分</w:t>
      </w:r>
      <w:r/>
    </w:p>
    <w:p>
      <w:pPr>
        <w:pStyle w:val="1027"/>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第一步：投标报价低于或等于财政预算价格（或最高限价）的，为有效投标报价。超财政预算（或最高限价）的投标报价为无效投标报价。</w:t>
      </w:r>
      <w:r/>
    </w:p>
    <w:p>
      <w:pPr>
        <w:pStyle w:val="1027"/>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pStyle w:val="1027"/>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投标报价得分＝（评标基准价/投标报价）×30％×100</w:t>
      </w:r>
      <w:r/>
    </w:p>
    <w:p>
      <w:pPr>
        <w:pStyle w:val="1027"/>
        <w:ind w:firstLine="422"/>
        <w:spacing w:line="360" w:lineRule="auto"/>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（二）技术及商务（70分）</w:t>
      </w:r>
      <w:r/>
    </w:p>
    <w:tbl>
      <w:tblPr>
        <w:tblStyle w:val="764"/>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1335"/>
        <w:gridCol w:w="5891"/>
        <w:gridCol w:w="708"/>
      </w:tblGrid>
      <w:tr>
        <w:trPr>
          <w:trHeight w:val="487"/>
        </w:trPr>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评审类别</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评审项</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评审规则</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分值</w:t>
            </w:r>
            <w:r/>
          </w:p>
        </w:tc>
      </w:tr>
      <w:tr>
        <w:trPr>
          <w:trHeight w:val="932"/>
        </w:trPr>
        <w:tc>
          <w:tcPr>
            <w:tcBorders>
              <w:top w:val="none" w:color="000000" w:sz="4" w:space="0"/>
              <w:left w:val="single" w:color="auto" w:sz="4" w:space="0"/>
              <w:right w:val="single" w:color="auto" w:sz="4" w:space="0"/>
            </w:tcBorders>
            <w:tcW w:w="594" w:type="pct"/>
            <w:vAlign w:val="center"/>
            <w:vMerge w:val="restart"/>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技术部分(49分)</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技术参数响应情况</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default"/>
                <w:color w:val="auto"/>
                <w:highlight w:val="none"/>
                <w:lang w:val="en-US" w:eastAsia="zh-CN"/>
              </w:rPr>
            </w:pPr>
            <w:r>
              <w:rPr>
                <w:rFonts w:hint="eastAsia" w:asciiTheme="minorEastAsia" w:hAnsiTheme="minorEastAsia" w:eastAsiaTheme="minorEastAsia" w:cstheme="minorEastAsia"/>
                <w:color w:val="auto"/>
                <w:szCs w:val="21"/>
                <w:highlight w:val="none"/>
              </w:rPr>
              <w:t xml:space="preserve">对所投设备性能指标、技术参数、是否满足技术参数内容进行分析评分，技术参数、性能等完全满足采购文件要求的得15分，如有负偏离的，每负偏离一项扣1分，扣完为止</w:t>
            </w:r>
            <w:r>
              <w:rPr>
                <w:rFonts w:hint="eastAsia" w:asciiTheme="minorEastAsia" w:hAnsiTheme="minorEastAsia" w:eastAsiaTheme="minorEastAsia" w:cstheme="minorEastAsia"/>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15分</w:t>
            </w:r>
            <w:r/>
          </w:p>
        </w:tc>
      </w:tr>
      <w:tr>
        <w:trPr>
          <w:trHeight w:val="1258"/>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项目建设实施方案</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投标单位针对本项目所提供的建设实施方案（包括项目现状等）准确、内容完整的得10分；方案较准确、内容较完整的得6分；方案内容简单，实施性一般得4分；方案较差，内容缺失的得1分；未提供的不得分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10分</w:t>
            </w:r>
            <w:r/>
          </w:p>
        </w:tc>
      </w:tr>
      <w:tr>
        <w:trPr>
          <w:trHeight w:val="978"/>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项目进度计划及保障措施方案</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进度计划安排科学、合理，对项目进度的保证措施方案完善、科学合理可行性高得6分；项目进度计划较为合理，对项目进度的保证措施方案较为科学合理较为可行得4分；项目进度计划合理性和对项目进度的保证措施方案措施可行性一般得2分；项目进度计划不够合理、对项目进度的保证措施方案措施较差得1分；未提供相关说明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6分</w:t>
            </w:r>
            <w:r/>
          </w:p>
        </w:tc>
      </w:tr>
      <w:tr>
        <w:trPr>
          <w:trHeight w:val="992"/>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项目实施质量保障措施方案</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响应单位对项目实施质量做出详细的保障方案并承诺，质量保障计划内容详实、合理可行性高得6分；对项目实施质量做出保障方案较为合理，质量保障计划内容较为详实、合理可行性较好的得4分；对项目实施质量做出保障方案的承诺以及质量保障计划内容一般的得2分；对项目实施质量做出保障方案承诺以及质量保证计划内容较差的得1分；未提供相关说明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6分</w:t>
            </w:r>
            <w:r/>
          </w:p>
        </w:tc>
      </w:tr>
      <w:tr>
        <w:trPr>
          <w:trHeight w:val="934"/>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系统对接方案</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响应单位针对本项目有详细合理、科学可行与现有系统的对接方案；系统对接方案合理、可行得6分；系统对接方案较合理、较可行得4分；系统对接方案内容简单，实施性一般得2分；系统对接方案不够合理，实施性较差得1分；未提供培训服务方案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6分</w:t>
            </w:r>
            <w:r/>
          </w:p>
        </w:tc>
      </w:tr>
      <w:tr>
        <w:trPr>
          <w:trHeight w:val="934"/>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响应文件中提供详细的售后服务方案及售后技术能力相关证明：方案详实具体、可行性高、措施及技术保障合理性可靠性强得6分；方案较为详细较为可行、措施及技术保障合理性可靠性较好得4分；方案不够详细、措施及技术保障合理性可靠性一般得2分；方案不详细、措施及技术保障合理性可靠性较差得1分；完全未提供说明的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szCs w:val="21"/>
                <w:highlight w:val="none"/>
              </w:rPr>
              <w:t xml:space="preserve">6分</w:t>
            </w:r>
            <w:r/>
          </w:p>
        </w:tc>
      </w:tr>
      <w:tr>
        <w:trPr>
          <w:trHeight w:val="1045"/>
        </w:trPr>
        <w:tc>
          <w:tcPr>
            <w:tcBorders>
              <w:top w:val="none" w:color="000000" w:sz="4" w:space="0"/>
              <w:left w:val="single" w:color="auto" w:sz="4" w:space="0"/>
              <w:bottom w:val="single" w:color="auto" w:sz="4" w:space="0"/>
              <w:right w:val="single" w:color="auto" w:sz="4" w:space="0"/>
            </w:tcBorders>
            <w:tcW w:w="594" w:type="pct"/>
            <w:vAlign w:val="center"/>
            <w:vMerge w:val="restart"/>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商务部分（21分）</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项目经理 </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投标人拟投入本项目的项目经理具有有效期内的信息系统项目管理师证书和</w:t>
            </w:r>
            <w:bookmarkStart w:id="57" w:name="OLE_LINK5"/>
            <w:r>
              <w:rPr>
                <w:rFonts w:hint="eastAsia" w:asciiTheme="minorEastAsia" w:hAnsiTheme="minorEastAsia" w:eastAsiaTheme="minorEastAsia" w:cstheme="minorEastAsia"/>
                <w:color w:val="auto"/>
                <w:szCs w:val="21"/>
                <w:highlight w:val="none"/>
              </w:rPr>
              <w:t xml:space="preserve">中级及以上计算机与网络专业工程师证书</w:t>
            </w:r>
            <w:bookmarkEnd w:id="57"/>
            <w:r>
              <w:rPr>
                <w:rFonts w:hint="eastAsia" w:asciiTheme="minorEastAsia" w:hAnsiTheme="minorEastAsia" w:eastAsiaTheme="minorEastAsia" w:cstheme="minorEastAsia"/>
                <w:color w:val="auto"/>
                <w:szCs w:val="21"/>
                <w:highlight w:val="none"/>
              </w:rPr>
              <w:t xml:space="preserve">的，有一个证书得2分，本项最多得4分。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tc>
      </w:tr>
      <w:tr>
        <w:trPr>
          <w:trHeight w:val="917"/>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技术负责人 </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投标人拟投入本项目的技术负责人具有注册信息安全专业人员（CISP）证书、信创集成项目管理师证书的，有一个证书得2分，本项最多得4分。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r>
      <w:tr>
        <w:trPr>
          <w:trHeight w:val="810"/>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网络工程师</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投标人拟投入本项目的网络工程师通过国家信息安全水平考试认证（NISP）的，有一个证书得2分，本项最多得4分。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tc>
      </w:tr>
      <w:tr>
        <w:trPr>
          <w:trHeight w:val="90"/>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实施工程师</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投标人拟投入本项目的实施工程师具有有效的中级及以上工程师技术职称的的，有一个证书得1分，本项最多得4分。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tc>
      </w:tr>
      <w:tr>
        <w:trPr>
          <w:trHeight w:val="924"/>
        </w:trPr>
        <w:tc>
          <w:tcPr>
            <w:tcBorders>
              <w:left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4405" w:type="pct"/>
            <w:vAlign w:val="center"/>
            <w:textDirection w:val="lrTb"/>
            <w:noWrap w:val="false"/>
          </w:tcPr>
          <w:p>
            <w:pPr>
              <w:pStyle w:val="766"/>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
                <w:bCs/>
                <w:color w:val="auto"/>
                <w:szCs w:val="21"/>
                <w:highlight w:val="none"/>
              </w:rPr>
              <w:t xml:space="preserve">注：以上人员一人持多证，不重复计分</w:t>
            </w:r>
            <w:r>
              <w:rPr>
                <w:rFonts w:hint="eastAsia" w:asciiTheme="minorEastAsia" w:hAnsiTheme="minorEastAsia" w:eastAsiaTheme="minorEastAsia" w:cstheme="minorEastAsia"/>
                <w:b/>
                <w:bCs/>
                <w:color w:val="auto"/>
                <w:szCs w:val="21"/>
                <w:highlight w:val="none"/>
                <w:lang w:eastAsia="zh-CN"/>
              </w:rPr>
              <w:t xml:space="preserve">，</w:t>
            </w:r>
            <w:r>
              <w:rPr>
                <w:rFonts w:hint="eastAsia" w:asciiTheme="minorEastAsia" w:hAnsiTheme="minorEastAsia" w:eastAsiaTheme="minorEastAsia" w:cstheme="minorEastAsia"/>
                <w:b/>
                <w:bCs/>
                <w:color w:val="auto"/>
                <w:szCs w:val="21"/>
                <w:highlight w:val="none"/>
              </w:rPr>
              <w:t xml:space="preserve">提供相关人员有效证书、投标单位为其缴纳的近期社保证明复印件，未提供不得分</w:t>
            </w:r>
            <w:r>
              <w:rPr>
                <w:rFonts w:hint="eastAsia" w:asciiTheme="minorEastAsia" w:hAnsiTheme="minorEastAsia" w:eastAsiaTheme="minorEastAsia" w:cstheme="minorEastAsia"/>
                <w:b/>
                <w:bCs/>
                <w:color w:val="auto"/>
                <w:szCs w:val="21"/>
                <w:highlight w:val="none"/>
                <w:lang w:eastAsia="zh-CN"/>
              </w:rPr>
              <w:t xml:space="preserve">。</w:t>
            </w:r>
            <w:r/>
          </w:p>
        </w:tc>
      </w:tr>
      <w:tr>
        <w:trPr>
          <w:trHeight w:val="981"/>
        </w:trPr>
        <w:tc>
          <w:tcPr>
            <w:tcBorders>
              <w:top w:val="none" w:color="000000" w:sz="4" w:space="0"/>
              <w:left w:val="single" w:color="auto" w:sz="4" w:space="0"/>
              <w:bottom w:val="single" w:color="auto" w:sz="4" w:space="0"/>
              <w:right w:val="single" w:color="auto" w:sz="4" w:space="0"/>
            </w:tcBorders>
            <w:tcW w:w="594" w:type="pct"/>
            <w:vAlign w:val="center"/>
            <w:vMerge w:val="continue"/>
            <w:textDirection w:val="lrTb"/>
            <w:noWrap w:val="false"/>
          </w:tcPr>
          <w:p>
            <w:pP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pStyle w:val="1028"/>
              <w:ind w:firstLine="0"/>
              <w:jc w:val="center"/>
              <w:spacing w:line="240" w:lineRule="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 xml:space="preserve">认证体系</w:t>
            </w:r>
            <w:r/>
          </w:p>
        </w:tc>
        <w:tc>
          <w:tcPr>
            <w:tcBorders>
              <w:top w:val="single" w:color="auto" w:sz="4" w:space="0"/>
              <w:left w:val="single" w:color="auto" w:sz="4" w:space="0"/>
              <w:bottom w:val="single" w:color="auto" w:sz="4" w:space="0"/>
              <w:right w:val="single" w:color="auto" w:sz="4" w:space="0"/>
            </w:tcBorders>
            <w:tcW w:w="3271" w:type="pct"/>
            <w:vAlign w:val="center"/>
            <w:textDirection w:val="lrTb"/>
            <w:noWrap w:val="false"/>
          </w:tcPr>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投标人具有有效期内的质量管理体系认证、职业健康安全管理体系认证、信息安全管理体系认证、信息技术服务管理体系认证、高新技术企业认证，每具备一项得1分，最高得5分</w:t>
            </w:r>
            <w:r/>
          </w:p>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（提供有效期内的证书复印件，不提供不得分）</w:t>
            </w:r>
            <w:r/>
          </w:p>
        </w:tc>
        <w:tc>
          <w:tcPr>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5分</w:t>
            </w:r>
            <w:r/>
          </w:p>
        </w:tc>
      </w:tr>
    </w:tbl>
    <w:p>
      <w:pP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备注：</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1.针对评分标准中评分的每一条，投标方均应提供相关资料并作出相应说明供评委评判，不提供相关资料的视为不具备该项得分的条件。</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2.投标文件中如出现前后不一致时，评委有权请投标方澄清说明，澄清说明事项涉及评分时，评委有权酌情扣分。</w:t>
      </w:r>
      <w:r/>
    </w:p>
    <w:p>
      <w:pPr>
        <w:ind w:firstLine="420"/>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3.投标方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jc w:val="left"/>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r>
      <w:r/>
    </w:p>
    <w:p>
      <w:pPr>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p>
      <w:pPr>
        <w:jc w:val="righ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（全文完）</w:t>
      </w:r>
      <w:r/>
    </w:p>
    <w:p>
      <w:pPr>
        <w:ind w:firstLine="480"/>
        <w:jc w:val="left"/>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Yu Gothic">
    <w:panose1 w:val="020B0400000000000000"/>
  </w:font>
  <w:font w:name="华文新魏">
    <w:panose1 w:val="02010800040101010101"/>
  </w:font>
  <w:font w:name="Calibri Light">
    <w:panose1 w:val="020F030202020403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separate"/>
    </w:r>
    <w:r>
      <w:rPr>
        <w:rStyle w:val="798"/>
      </w:rPr>
      <w:t xml:space="preserve">1</w:t>
    </w:r>
    <w:r>
      <w:rPr>
        <w:rStyle w:val="798"/>
      </w:rPr>
      <w:fldChar w:fldCharType="end"/>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separate"/>
    </w:r>
    <w:r>
      <w:rPr>
        <w:rStyle w:val="798"/>
      </w:rPr>
      <w:t xml:space="preserve">6</w:t>
    </w:r>
    <w:r>
      <w:rPr>
        <w:rStyle w:val="798"/>
      </w:rP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85"/>
        <w:rPr>
          <w:rFonts w:hint="eastAsia"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85"/>
        <w:rPr>
          <w:rFonts w:hint="eastAsia" w:ascii="宋体" w:hAnsi="宋体"/>
          <w:b/>
          <w:color w:val="000000"/>
          <w:lang w:eastAsia="zh-CN"/>
        </w:rPr>
      </w:pPr>
      <w:r>
        <w:rPr>
          <w:rFonts w:ascii="宋体" w:hAnsi="宋体"/>
          <w:color w:val="000000"/>
          <w:lang w:eastAsia="zh-CN"/>
        </w:rPr>
        <w:t xml:space="preserve">2.</w:t>
      </w:r>
      <w:r>
        <w:rPr>
          <w:lang w:eastAsia="zh-CN"/>
        </w:rPr>
        <w:t xml:space="preserve">在货物采购项目中，货物由中小企业制造，即货物由中小企业生产且使用该中小企业商号或者注册商标</w:t>
      </w:r>
      <w:r>
        <w:rPr>
          <w:rFonts w:hint="eastAsia" w:ascii="宋体" w:hAnsi="宋体"/>
          <w:b/>
          <w:color w:val="000000"/>
          <w:lang w:eastAsia="zh-CN"/>
        </w:rPr>
        <w:t xml:space="preserve">。</w:t>
      </w:r>
      <w:r>
        <w:rPr>
          <w:b/>
          <w:lang w:eastAsia="zh-CN"/>
        </w:rPr>
        <w:t xml:space="preserve">供应商提供的货物既有中小企业制造货物，也有大型企业制造货物的，不享受</w:t>
      </w:r>
      <w:r>
        <w:rPr>
          <w:rFonts w:hint="eastAsia"/>
          <w:b/>
          <w:lang w:eastAsia="zh-CN"/>
        </w:rPr>
        <w:t xml:space="preserve">相应</w:t>
      </w:r>
      <w:r>
        <w:rPr>
          <w:b/>
          <w:lang w:eastAsia="zh-CN"/>
        </w:rPr>
        <w:t xml:space="preserve">扶持政策。</w:t>
      </w:r>
      <w:r/>
    </w:p>
    <w:p>
      <w:pPr>
        <w:pStyle w:val="785"/>
        <w:rPr>
          <w:rFonts w:hint="eastAsia"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本采购标的对应的中小企业划分标准所属行业，以采购文件第四章《招标书》规定为准。</w:t>
      </w:r>
      <w:r/>
    </w:p>
    <w:p>
      <w:pPr>
        <w:pStyle w:val="785"/>
        <w:rPr>
          <w:rFonts w:hint="eastAsia"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85"/>
        <w:rPr>
          <w:rFonts w:hint="eastAsia" w:ascii="宋体" w:hAnsi="宋体"/>
          <w:color w:val="000000"/>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1"/>
      <w:isLgl w:val="false"/>
      <w:suff w:val="tab"/>
      <w:lvlText w:val="%1."/>
      <w:lvlJc w:val="left"/>
      <w:pPr>
        <w:ind w:left="720" w:hanging="720"/>
        <w:tabs>
          <w:tab w:val="left" w:pos="720" w:leader="none"/>
        </w:tabs>
      </w:pPr>
    </w:lvl>
    <w:lvl w:ilvl="1">
      <w:start w:val="1"/>
      <w:numFmt w:val="decimal"/>
      <w:pStyle w:val="1012"/>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761"/>
    <w:next w:val="761"/>
    <w:link w:val="860"/>
    <w:uiPriority w:val="9"/>
    <w:qFormat/>
    <w:pPr>
      <w:keepLines/>
      <w:keepNext/>
      <w:spacing w:before="480" w:after="200"/>
      <w:outlineLvl w:val="0"/>
    </w:pPr>
    <w:rPr>
      <w:rFonts w:ascii="Arial" w:hAnsi="Arial" w:eastAsia="Arial" w:cs="Arial"/>
      <w:sz w:val="40"/>
      <w:szCs w:val="40"/>
    </w:rPr>
  </w:style>
  <w:style w:type="paragraph" w:styleId="733">
    <w:name w:val="Heading 2"/>
    <w:basedOn w:val="761"/>
    <w:next w:val="761"/>
    <w:link w:val="862"/>
    <w:uiPriority w:val="9"/>
    <w:unhideWhenUsed/>
    <w:qFormat/>
    <w:pPr>
      <w:keepLines/>
      <w:keepNext/>
      <w:spacing w:before="360" w:after="200"/>
      <w:outlineLvl w:val="1"/>
    </w:pPr>
    <w:rPr>
      <w:rFonts w:ascii="Arial" w:hAnsi="Arial" w:eastAsia="Arial" w:cs="Arial"/>
      <w:sz w:val="34"/>
    </w:rPr>
  </w:style>
  <w:style w:type="paragraph" w:styleId="734">
    <w:name w:val="Heading 4"/>
    <w:basedOn w:val="761"/>
    <w:next w:val="761"/>
    <w:link w:val="866"/>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61"/>
    <w:next w:val="761"/>
    <w:link w:val="868"/>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61"/>
    <w:next w:val="761"/>
    <w:link w:val="87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61"/>
    <w:next w:val="761"/>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61"/>
    <w:next w:val="761"/>
    <w:link w:val="874"/>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61"/>
    <w:next w:val="761"/>
    <w:link w:val="876"/>
    <w:uiPriority w:val="9"/>
    <w:unhideWhenUsed/>
    <w:qFormat/>
    <w:pPr>
      <w:keepLines/>
      <w:keepNext/>
      <w:spacing w:before="320" w:after="200"/>
      <w:outlineLvl w:val="8"/>
    </w:pPr>
    <w:rPr>
      <w:rFonts w:ascii="Arial" w:hAnsi="Arial" w:eastAsia="Arial" w:cs="Arial"/>
      <w:i/>
      <w:iCs/>
      <w:sz w:val="21"/>
      <w:szCs w:val="21"/>
    </w:rPr>
  </w:style>
  <w:style w:type="paragraph" w:styleId="740">
    <w:name w:val="Caption"/>
    <w:basedOn w:val="761"/>
    <w:next w:val="761"/>
    <w:uiPriority w:val="35"/>
    <w:semiHidden/>
    <w:unhideWhenUsed/>
    <w:qFormat/>
    <w:pPr>
      <w:spacing w:line="276" w:lineRule="auto"/>
    </w:pPr>
    <w:rPr>
      <w:b/>
      <w:bCs/>
      <w:color w:val="4f81bd" w:themeColor="accent1"/>
      <w:sz w:val="18"/>
      <w:szCs w:val="18"/>
    </w:rPr>
  </w:style>
  <w:style w:type="table" w:styleId="74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0">
    <w:name w:val="TOC Heading"/>
    <w:uiPriority w:val="39"/>
    <w:unhideWhenUsed/>
  </w:style>
  <w:style w:type="paragraph" w:styleId="761" w:default="1">
    <w:name w:val="Normal"/>
    <w:next w:val="765"/>
    <w:uiPriority w:val="0"/>
    <w:qFormat/>
    <w:pPr>
      <w:jc w:val="both"/>
      <w:widowControl w:val="off"/>
    </w:pPr>
    <w:rPr>
      <w:rFonts w:ascii="Calibri" w:hAnsi="Calibri" w:eastAsia="宋体" w:cs="Times New Roman"/>
      <w:sz w:val="21"/>
      <w:szCs w:val="22"/>
      <w:lang w:val="en-US" w:eastAsia="zh-CN" w:bidi="ar-SA"/>
    </w:rPr>
  </w:style>
  <w:style w:type="paragraph" w:styleId="762">
    <w:name w:val="Heading 3"/>
    <w:basedOn w:val="761"/>
    <w:next w:val="767"/>
    <w:uiPriority w:val="0"/>
    <w:qFormat/>
    <w:pPr>
      <w:ind w:left="720"/>
      <w:spacing w:before="260" w:after="260" w:line="416" w:lineRule="auto"/>
      <w:outlineLvl w:val="2"/>
    </w:pPr>
    <w:rPr>
      <w:rFonts w:ascii="Times New Roman" w:hAnsi="Times New Roman"/>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Indent"/>
    <w:basedOn w:val="761"/>
    <w:next w:val="766"/>
    <w:link w:val="848"/>
    <w:uiPriority w:val="99"/>
    <w:semiHidden/>
    <w:unhideWhenUsed/>
    <w:qFormat/>
    <w:pPr>
      <w:ind w:left="420"/>
      <w:spacing w:after="120"/>
    </w:pPr>
  </w:style>
  <w:style w:type="paragraph" w:styleId="766">
    <w:name w:val="envelope return"/>
    <w:basedOn w:val="761"/>
    <w:uiPriority w:val="0"/>
    <w:qFormat/>
    <w:rPr>
      <w:rFonts w:ascii="Arial" w:hAnsi="Arial"/>
    </w:rPr>
  </w:style>
  <w:style w:type="paragraph" w:styleId="767" w:customStyle="1">
    <w:name w:val="正文2"/>
    <w:basedOn w:val="761"/>
    <w:next w:val="761"/>
    <w:uiPriority w:val="0"/>
    <w:qFormat/>
    <w:pPr>
      <w:ind w:hanging="2155"/>
      <w:spacing w:line="360" w:lineRule="auto"/>
      <w:shd w:val="clear" w:color="auto" w:fill="ffffff"/>
    </w:pPr>
    <w:rPr>
      <w:rFonts w:ascii="宋体" w:hAnsi="宋体"/>
    </w:rPr>
  </w:style>
  <w:style w:type="paragraph" w:styleId="768">
    <w:name w:val="toc 7"/>
    <w:basedOn w:val="761"/>
    <w:next w:val="761"/>
    <w:uiPriority w:val="39"/>
    <w:unhideWhenUsed/>
    <w:qFormat/>
    <w:pPr>
      <w:ind w:left="1701"/>
      <w:spacing w:after="57"/>
    </w:pPr>
  </w:style>
  <w:style w:type="paragraph" w:styleId="769">
    <w:name w:val="Normal Indent"/>
    <w:basedOn w:val="761"/>
    <w:next w:val="761"/>
    <w:uiPriority w:val="0"/>
    <w:qFormat/>
    <w:pPr>
      <w:ind w:firstLine="420"/>
      <w:jc w:val="left"/>
    </w:pPr>
    <w:rPr>
      <w:rFonts w:ascii="Times New Roman" w:hAnsi="Times New Roman" w:eastAsia="楷体_GB2312"/>
      <w:sz w:val="24"/>
      <w:szCs w:val="20"/>
    </w:rPr>
  </w:style>
  <w:style w:type="paragraph" w:styleId="770">
    <w:name w:val="Document Map"/>
    <w:basedOn w:val="761"/>
    <w:link w:val="845"/>
    <w:uiPriority w:val="99"/>
    <w:semiHidden/>
    <w:unhideWhenUsed/>
    <w:qFormat/>
    <w:rPr>
      <w:rFonts w:ascii="宋体"/>
      <w:sz w:val="18"/>
      <w:szCs w:val="18"/>
    </w:rPr>
  </w:style>
  <w:style w:type="paragraph" w:styleId="771">
    <w:name w:val="annotation text"/>
    <w:basedOn w:val="761"/>
    <w:link w:val="846"/>
    <w:uiPriority w:val="0"/>
    <w:unhideWhenUsed/>
    <w:qFormat/>
    <w:pPr>
      <w:jc w:val="left"/>
    </w:pPr>
    <w:rPr>
      <w:sz w:val="20"/>
      <w:szCs w:val="20"/>
      <w:lang w:eastAsia="en-US"/>
    </w:rPr>
  </w:style>
  <w:style w:type="paragraph" w:styleId="772">
    <w:name w:val="Body Text"/>
    <w:basedOn w:val="761"/>
    <w:link w:val="847"/>
    <w:uiPriority w:val="99"/>
    <w:semiHidden/>
    <w:unhideWhenUsed/>
    <w:qFormat/>
    <w:pPr>
      <w:ind w:firstLine="723"/>
      <w:spacing w:after="120" w:line="480" w:lineRule="exact"/>
    </w:pPr>
    <w:rPr>
      <w:rFonts w:ascii="Times New Roman" w:hAnsi="Times New Roman" w:eastAsia="仿宋" w:cstheme="minorBidi"/>
      <w:sz w:val="28"/>
    </w:rPr>
  </w:style>
  <w:style w:type="paragraph" w:styleId="773">
    <w:name w:val="Block Text"/>
    <w:basedOn w:val="761"/>
    <w:uiPriority w:val="0"/>
    <w:qFormat/>
    <w:pPr>
      <w:ind w:left="630" w:right="-609" w:firstLine="420"/>
      <w:spacing w:line="360" w:lineRule="auto"/>
    </w:pPr>
    <w:rPr>
      <w:rFonts w:hint="eastAsia" w:ascii="仿宋_GB2312" w:hAnsi="Times New Roman" w:eastAsia="仿宋_GB2312"/>
      <w:szCs w:val="20"/>
    </w:rPr>
  </w:style>
  <w:style w:type="paragraph" w:styleId="774">
    <w:name w:val="toc 5"/>
    <w:basedOn w:val="761"/>
    <w:next w:val="761"/>
    <w:uiPriority w:val="39"/>
    <w:unhideWhenUsed/>
    <w:qFormat/>
    <w:pPr>
      <w:ind w:left="1134"/>
      <w:spacing w:after="57"/>
    </w:pPr>
  </w:style>
  <w:style w:type="paragraph" w:styleId="775">
    <w:name w:val="toc 3"/>
    <w:basedOn w:val="761"/>
    <w:next w:val="761"/>
    <w:uiPriority w:val="39"/>
    <w:unhideWhenUsed/>
    <w:qFormat/>
    <w:pPr>
      <w:ind w:left="567"/>
      <w:spacing w:after="57"/>
    </w:pPr>
  </w:style>
  <w:style w:type="paragraph" w:styleId="776">
    <w:name w:val="Plain Text"/>
    <w:basedOn w:val="761"/>
    <w:link w:val="849"/>
    <w:uiPriority w:val="0"/>
    <w:qFormat/>
    <w:pPr>
      <w:jc w:val="left"/>
      <w:widowControl/>
    </w:pPr>
    <w:rPr>
      <w:rFonts w:ascii="宋体" w:hAnsi="Courier New" w:eastAsia="楷体_GB2312"/>
      <w:sz w:val="26"/>
      <w:szCs w:val="24"/>
      <w:lang w:eastAsia="en-US"/>
    </w:rPr>
  </w:style>
  <w:style w:type="paragraph" w:styleId="777">
    <w:name w:val="toc 8"/>
    <w:basedOn w:val="761"/>
    <w:next w:val="761"/>
    <w:uiPriority w:val="39"/>
    <w:unhideWhenUsed/>
    <w:qFormat/>
    <w:pPr>
      <w:ind w:left="1984"/>
      <w:spacing w:after="57"/>
    </w:pPr>
  </w:style>
  <w:style w:type="paragraph" w:styleId="778">
    <w:name w:val="endnote text"/>
    <w:basedOn w:val="761"/>
    <w:link w:val="850"/>
    <w:uiPriority w:val="99"/>
    <w:semiHidden/>
    <w:unhideWhenUsed/>
    <w:qFormat/>
    <w:rPr>
      <w:sz w:val="20"/>
    </w:rPr>
  </w:style>
  <w:style w:type="paragraph" w:styleId="779">
    <w:name w:val="Balloon Text"/>
    <w:basedOn w:val="761"/>
    <w:link w:val="851"/>
    <w:uiPriority w:val="99"/>
    <w:unhideWhenUsed/>
    <w:qFormat/>
    <w:rPr>
      <w:sz w:val="18"/>
      <w:szCs w:val="18"/>
      <w:lang w:eastAsia="en-US"/>
    </w:rPr>
  </w:style>
  <w:style w:type="paragraph" w:styleId="780">
    <w:name w:val="Footer"/>
    <w:basedOn w:val="761"/>
    <w:link w:val="1025"/>
    <w:uiPriority w:val="99"/>
    <w:unhideWhenUsed/>
    <w:qFormat/>
    <w:pPr>
      <w:jc w:val="left"/>
      <w:tabs>
        <w:tab w:val="center" w:pos="4153" w:leader="none"/>
        <w:tab w:val="right" w:pos="8306" w:leader="none"/>
      </w:tabs>
    </w:pPr>
    <w:rPr>
      <w:sz w:val="18"/>
      <w:szCs w:val="18"/>
    </w:rPr>
  </w:style>
  <w:style w:type="paragraph" w:styleId="781">
    <w:name w:val="Header"/>
    <w:basedOn w:val="761"/>
    <w:link w:val="10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61"/>
    <w:next w:val="761"/>
    <w:uiPriority w:val="0"/>
    <w:qFormat/>
    <w:pPr>
      <w:jc w:val="left"/>
    </w:pPr>
    <w:rPr>
      <w:rFonts w:ascii="Times New Roman" w:hAnsi="Times New Roman" w:eastAsia="楷体_GB2312"/>
      <w:sz w:val="24"/>
      <w:szCs w:val="20"/>
    </w:rPr>
  </w:style>
  <w:style w:type="paragraph" w:styleId="783">
    <w:name w:val="toc 4"/>
    <w:basedOn w:val="761"/>
    <w:next w:val="761"/>
    <w:uiPriority w:val="39"/>
    <w:unhideWhenUsed/>
    <w:qFormat/>
    <w:pPr>
      <w:ind w:left="850"/>
      <w:spacing w:after="57"/>
    </w:pPr>
  </w:style>
  <w:style w:type="paragraph" w:styleId="784">
    <w:name w:val="Subtitle"/>
    <w:basedOn w:val="761"/>
    <w:next w:val="761"/>
    <w:link w:val="854"/>
    <w:uiPriority w:val="11"/>
    <w:qFormat/>
    <w:pPr>
      <w:spacing w:before="200" w:after="200"/>
    </w:pPr>
    <w:rPr>
      <w:sz w:val="24"/>
      <w:szCs w:val="24"/>
    </w:rPr>
  </w:style>
  <w:style w:type="paragraph" w:styleId="785">
    <w:name w:val="footnote text"/>
    <w:basedOn w:val="761"/>
    <w:link w:val="855"/>
    <w:uiPriority w:val="0"/>
    <w:qFormat/>
    <w:pPr>
      <w:jc w:val="left"/>
    </w:pPr>
    <w:rPr>
      <w:sz w:val="18"/>
      <w:szCs w:val="18"/>
      <w:lang w:eastAsia="en-US"/>
    </w:rPr>
  </w:style>
  <w:style w:type="paragraph" w:styleId="786">
    <w:name w:val="toc 6"/>
    <w:basedOn w:val="761"/>
    <w:next w:val="761"/>
    <w:uiPriority w:val="39"/>
    <w:unhideWhenUsed/>
    <w:qFormat/>
    <w:pPr>
      <w:ind w:left="1417"/>
      <w:spacing w:after="57"/>
    </w:pPr>
  </w:style>
  <w:style w:type="paragraph" w:styleId="787">
    <w:name w:val="Body Text Indent 3"/>
    <w:basedOn w:val="761"/>
    <w:link w:val="856"/>
    <w:uiPriority w:val="0"/>
    <w:qFormat/>
    <w:pPr>
      <w:ind w:firstLine="480"/>
      <w:jc w:val="left"/>
      <w:spacing w:line="440" w:lineRule="atLeast"/>
    </w:pPr>
    <w:rPr>
      <w:rFonts w:ascii="Times New Roman" w:hAnsi="Times New Roman"/>
      <w:sz w:val="24"/>
      <w:szCs w:val="24"/>
      <w:lang w:eastAsia="en-US"/>
    </w:rPr>
  </w:style>
  <w:style w:type="paragraph" w:styleId="788">
    <w:name w:val="table of figures"/>
    <w:basedOn w:val="761"/>
    <w:next w:val="761"/>
    <w:uiPriority w:val="99"/>
    <w:unhideWhenUsed/>
    <w:qFormat/>
  </w:style>
  <w:style w:type="paragraph" w:styleId="789">
    <w:name w:val="toc 2"/>
    <w:basedOn w:val="761"/>
    <w:next w:val="761"/>
    <w:uiPriority w:val="39"/>
    <w:unhideWhenUsed/>
    <w:qFormat/>
    <w:pPr>
      <w:ind w:left="283"/>
      <w:spacing w:after="57"/>
    </w:pPr>
  </w:style>
  <w:style w:type="paragraph" w:styleId="790">
    <w:name w:val="toc 9"/>
    <w:basedOn w:val="761"/>
    <w:next w:val="761"/>
    <w:uiPriority w:val="39"/>
    <w:unhideWhenUsed/>
    <w:qFormat/>
    <w:pPr>
      <w:ind w:left="2268"/>
      <w:spacing w:after="57"/>
    </w:pPr>
  </w:style>
  <w:style w:type="paragraph" w:styleId="791">
    <w:name w:val="Normal (Web)"/>
    <w:basedOn w:val="761"/>
    <w:uiPriority w:val="99"/>
    <w:qFormat/>
    <w:pPr>
      <w:jc w:val="left"/>
      <w:spacing w:beforeAutospacing="1" w:afterAutospacing="1"/>
    </w:pPr>
    <w:rPr>
      <w:sz w:val="24"/>
      <w:szCs w:val="24"/>
    </w:rPr>
  </w:style>
  <w:style w:type="paragraph" w:styleId="792">
    <w:name w:val="Title"/>
    <w:basedOn w:val="761"/>
    <w:next w:val="761"/>
    <w:link w:val="857"/>
    <w:uiPriority w:val="10"/>
    <w:qFormat/>
    <w:pPr>
      <w:contextualSpacing/>
      <w:spacing w:before="300" w:after="200"/>
    </w:pPr>
    <w:rPr>
      <w:sz w:val="48"/>
      <w:szCs w:val="48"/>
    </w:rPr>
  </w:style>
  <w:style w:type="paragraph" w:styleId="793">
    <w:name w:val="annotation subject"/>
    <w:basedOn w:val="771"/>
    <w:next w:val="771"/>
    <w:link w:val="858"/>
    <w:uiPriority w:val="99"/>
    <w:unhideWhenUsed/>
    <w:qFormat/>
    <w:rPr>
      <w:b/>
      <w:bCs/>
    </w:rPr>
  </w:style>
  <w:style w:type="paragraph" w:styleId="794">
    <w:name w:val="Body Text First Indent 2"/>
    <w:basedOn w:val="765"/>
    <w:link w:val="1021"/>
    <w:uiPriority w:val="99"/>
    <w:semiHidden/>
    <w:unhideWhenUsed/>
    <w:qFormat/>
    <w:pPr>
      <w:ind w:left="200" w:firstLine="42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22"/>
    <w:qFormat/>
    <w:rPr>
      <w:b/>
    </w:rPr>
  </w:style>
  <w:style w:type="character" w:styleId="797">
    <w:name w:val="endnote reference"/>
    <w:uiPriority w:val="99"/>
    <w:semiHidden/>
    <w:unhideWhenUsed/>
    <w:qFormat/>
    <w:rPr>
      <w:vertAlign w:val="superscript"/>
    </w:rPr>
  </w:style>
  <w:style w:type="character" w:styleId="798">
    <w:name w:val="page number"/>
    <w:basedOn w:val="763"/>
    <w:uiPriority w:val="99"/>
    <w:unhideWhenUsed/>
    <w:qFormat/>
  </w:style>
  <w:style w:type="character" w:styleId="799">
    <w:name w:val="Emphasis"/>
    <w:basedOn w:val="763"/>
    <w:uiPriority w:val="20"/>
    <w:qFormat/>
    <w:rPr>
      <w:i/>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annotation reference"/>
    <w:uiPriority w:val="0"/>
    <w:unhideWhenUsed/>
    <w:qFormat/>
    <w:rPr>
      <w:sz w:val="21"/>
      <w:szCs w:val="21"/>
    </w:rPr>
  </w:style>
  <w:style w:type="character" w:styleId="802">
    <w:name w:val="footnote reference"/>
    <w:uiPriority w:val="99"/>
    <w:unhideWhenUsed/>
    <w:qFormat/>
    <w:rPr>
      <w:vertAlign w:val="superscript"/>
    </w:rPr>
  </w:style>
  <w:style w:type="paragraph" w:styleId="803" w:customStyle="1">
    <w:name w:val="TOC 标题1"/>
    <w:uiPriority w:val="39"/>
    <w:unhideWhenUsed/>
    <w:qFormat/>
    <w:rPr>
      <w:rFonts w:ascii="Times New Roman" w:hAnsi="Times New Roman" w:eastAsia="宋体" w:cs="Times New Roman"/>
      <w:lang w:val="en-US" w:eastAsia="zh-CN" w:bidi="ar-SA"/>
    </w:rPr>
  </w:style>
  <w:style w:type="paragraph" w:styleId="804" w:customStyle="1">
    <w:name w:val="TOC 标题112"/>
    <w:uiPriority w:val="39"/>
    <w:unhideWhenUsed/>
    <w:qFormat/>
    <w:rPr>
      <w:rFonts w:ascii="Times New Roman" w:hAnsi="Times New Roman" w:eastAsia="宋体" w:cs="Times New Roman"/>
      <w:lang w:val="en-US" w:eastAsia="zh-CN" w:bidi="ar-SA"/>
    </w:rPr>
  </w:style>
  <w:style w:type="paragraph" w:styleId="805" w:customStyle="1">
    <w:name w:val="标题 11"/>
    <w:basedOn w:val="761"/>
    <w:next w:val="761"/>
    <w:uiPriority w:val="0"/>
    <w:qFormat/>
    <w:pPr>
      <w:keepLines/>
      <w:keepNext/>
      <w:spacing w:before="480" w:after="200"/>
      <w:outlineLvl w:val="0"/>
    </w:pPr>
    <w:rPr>
      <w:rFonts w:ascii="Arial" w:hAnsi="Arial" w:eastAsia="Arial" w:cs="Arial"/>
      <w:sz w:val="40"/>
      <w:szCs w:val="40"/>
    </w:rPr>
  </w:style>
  <w:style w:type="paragraph" w:styleId="806" w:customStyle="1">
    <w:name w:val="标题 51"/>
    <w:basedOn w:val="761"/>
    <w:next w:val="761"/>
    <w:uiPriority w:val="9"/>
    <w:unhideWhenUsed/>
    <w:qFormat/>
    <w:pPr>
      <w:keepLines/>
      <w:keepNext/>
      <w:spacing w:before="320" w:after="200"/>
      <w:outlineLvl w:val="4"/>
    </w:pPr>
    <w:rPr>
      <w:rFonts w:ascii="Arial" w:hAnsi="Arial" w:eastAsia="Arial" w:cs="Arial"/>
      <w:b/>
      <w:bCs/>
      <w:sz w:val="24"/>
      <w:szCs w:val="24"/>
    </w:rPr>
  </w:style>
  <w:style w:type="paragraph" w:styleId="807" w:customStyle="1">
    <w:name w:val="标题 61"/>
    <w:basedOn w:val="761"/>
    <w:next w:val="761"/>
    <w:uiPriority w:val="9"/>
    <w:unhideWhenUsed/>
    <w:qFormat/>
    <w:pPr>
      <w:keepLines/>
      <w:keepNext/>
      <w:spacing w:before="320" w:after="200"/>
      <w:outlineLvl w:val="5"/>
    </w:pPr>
    <w:rPr>
      <w:rFonts w:ascii="Arial" w:hAnsi="Arial" w:eastAsia="Arial" w:cs="Arial"/>
      <w:b/>
      <w:bCs/>
      <w:sz w:val="22"/>
    </w:rPr>
  </w:style>
  <w:style w:type="paragraph" w:styleId="808" w:customStyle="1">
    <w:name w:val="标题 71"/>
    <w:basedOn w:val="761"/>
    <w:next w:val="761"/>
    <w:uiPriority w:val="9"/>
    <w:unhideWhenUsed/>
    <w:qFormat/>
    <w:pPr>
      <w:keepLines/>
      <w:keepNext/>
      <w:spacing w:before="320" w:after="200"/>
      <w:outlineLvl w:val="6"/>
    </w:pPr>
    <w:rPr>
      <w:rFonts w:ascii="Arial" w:hAnsi="Arial" w:eastAsia="Arial" w:cs="Arial"/>
      <w:b/>
      <w:bCs/>
      <w:i/>
      <w:iCs/>
      <w:sz w:val="22"/>
    </w:rPr>
  </w:style>
  <w:style w:type="paragraph" w:styleId="809" w:customStyle="1">
    <w:name w:val="标题 81"/>
    <w:basedOn w:val="761"/>
    <w:next w:val="761"/>
    <w:uiPriority w:val="9"/>
    <w:unhideWhenUsed/>
    <w:qFormat/>
    <w:pPr>
      <w:keepLines/>
      <w:keepNext/>
      <w:spacing w:before="320" w:after="200"/>
      <w:outlineLvl w:val="7"/>
    </w:pPr>
    <w:rPr>
      <w:rFonts w:ascii="Arial" w:hAnsi="Arial" w:eastAsia="Arial" w:cs="Arial"/>
      <w:i/>
      <w:iCs/>
      <w:sz w:val="22"/>
    </w:rPr>
  </w:style>
  <w:style w:type="paragraph" w:styleId="810" w:customStyle="1">
    <w:name w:val="标题 91"/>
    <w:basedOn w:val="761"/>
    <w:next w:val="761"/>
    <w:uiPriority w:val="9"/>
    <w:unhideWhenUsed/>
    <w:qFormat/>
    <w:pPr>
      <w:keepLines/>
      <w:keepNext/>
      <w:spacing w:before="320" w:after="200"/>
      <w:outlineLvl w:val="8"/>
    </w:pPr>
    <w:rPr>
      <w:rFonts w:ascii="Arial" w:hAnsi="Arial" w:eastAsia="Arial" w:cs="Arial"/>
      <w:i/>
      <w:iCs/>
      <w:szCs w:val="21"/>
    </w:rPr>
  </w:style>
  <w:style w:type="character" w:styleId="811" w:customStyle="1">
    <w:name w:val="Title Char"/>
    <w:basedOn w:val="763"/>
    <w:uiPriority w:val="10"/>
    <w:qFormat/>
    <w:rPr>
      <w:sz w:val="48"/>
      <w:szCs w:val="48"/>
    </w:rPr>
  </w:style>
  <w:style w:type="character" w:styleId="812" w:customStyle="1">
    <w:name w:val="Subtitle Char"/>
    <w:basedOn w:val="763"/>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paragraph" w:styleId="815" w:customStyle="1">
    <w:name w:val="题注1"/>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816"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4"/>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6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76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清单表 7 彩色1"/>
    <w:basedOn w:val="76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5" w:customStyle="1">
    <w:name w:val="Endnote Text Char"/>
    <w:uiPriority w:val="99"/>
    <w:qFormat/>
    <w:rPr>
      <w:sz w:val="20"/>
    </w:rPr>
  </w:style>
  <w:style w:type="paragraph" w:styleId="836" w:customStyle="1">
    <w:name w:val="TOC 标题111"/>
    <w:uiPriority w:val="39"/>
    <w:unhideWhenUsed/>
    <w:qFormat/>
    <w:rPr>
      <w:rFonts w:ascii="Times New Roman" w:hAnsi="Times New Roman" w:eastAsia="宋体" w:cs="Times New Roman"/>
      <w:lang w:val="en-US" w:eastAsia="zh-CN" w:bidi="ar-SA"/>
    </w:rPr>
  </w:style>
  <w:style w:type="paragraph" w:styleId="837" w:customStyle="1">
    <w:name w:val="标题 21"/>
    <w:basedOn w:val="761"/>
    <w:next w:val="761"/>
    <w:link w:val="843"/>
    <w:uiPriority w:val="0"/>
    <w:qFormat/>
    <w:pPr>
      <w:keepLines/>
      <w:keepNext/>
      <w:spacing w:before="260" w:after="260" w:line="416" w:lineRule="auto"/>
      <w:outlineLvl w:val="1"/>
    </w:pPr>
    <w:rPr>
      <w:rFonts w:ascii="Calibri Light" w:hAnsi="Calibri Light"/>
      <w:b/>
      <w:bCs/>
      <w:sz w:val="32"/>
      <w:szCs w:val="32"/>
      <w:lang w:eastAsia="en-US"/>
    </w:rPr>
  </w:style>
  <w:style w:type="paragraph" w:styleId="838" w:customStyle="1">
    <w:name w:val="标题 31"/>
    <w:basedOn w:val="761"/>
    <w:next w:val="767"/>
    <w:uiPriority w:val="0"/>
    <w:qFormat/>
    <w:pPr>
      <w:ind w:left="720"/>
      <w:spacing w:before="260" w:after="260" w:line="416" w:lineRule="auto"/>
      <w:outlineLvl w:val="2"/>
    </w:pPr>
    <w:rPr>
      <w:rFonts w:ascii="Times New Roman" w:hAnsi="Times New Roman"/>
    </w:rPr>
  </w:style>
  <w:style w:type="paragraph" w:styleId="839" w:customStyle="1">
    <w:name w:val="标题 41"/>
    <w:basedOn w:val="761"/>
    <w:next w:val="761"/>
    <w:link w:val="844"/>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0" w:customStyle="1">
    <w:name w:val="页脚1"/>
    <w:basedOn w:val="761"/>
    <w:link w:val="852"/>
    <w:uiPriority w:val="99"/>
    <w:unhideWhenUsed/>
    <w:qFormat/>
    <w:pPr>
      <w:jc w:val="left"/>
      <w:tabs>
        <w:tab w:val="center" w:pos="4153" w:leader="none"/>
        <w:tab w:val="right" w:pos="8306" w:leader="none"/>
      </w:tabs>
    </w:pPr>
    <w:rPr>
      <w:sz w:val="18"/>
      <w:szCs w:val="18"/>
      <w:lang w:eastAsia="en-US"/>
    </w:rPr>
  </w:style>
  <w:style w:type="paragraph" w:styleId="841" w:customStyle="1">
    <w:name w:val="页眉1"/>
    <w:basedOn w:val="761"/>
    <w:link w:val="853"/>
    <w:uiPriority w:val="99"/>
    <w:unhideWhenUsed/>
    <w:qFormat/>
    <w:pPr>
      <w:jc w:val="center"/>
      <w:tabs>
        <w:tab w:val="center" w:pos="4153" w:leader="none"/>
        <w:tab w:val="right" w:pos="8306" w:leader="none"/>
      </w:tabs>
    </w:pPr>
    <w:rPr>
      <w:sz w:val="18"/>
      <w:szCs w:val="18"/>
      <w:lang w:eastAsia="en-US"/>
    </w:rPr>
  </w:style>
  <w:style w:type="paragraph" w:styleId="842" w:customStyle="1">
    <w:name w:val="段"/>
    <w:next w:val="761"/>
    <w:uiPriority w:val="0"/>
    <w:qFormat/>
    <w:pPr>
      <w:ind w:firstLine="200"/>
      <w:jc w:val="both"/>
    </w:pPr>
    <w:rPr>
      <w:rFonts w:ascii="宋体" w:hAnsi="Times New Roman" w:eastAsia="宋体" w:cs="Times New Roman"/>
      <w:sz w:val="21"/>
      <w:lang w:val="en-US" w:eastAsia="zh-CN" w:bidi="ar-SA"/>
    </w:rPr>
  </w:style>
  <w:style w:type="character" w:styleId="843" w:customStyle="1">
    <w:name w:val="标题 2 Char"/>
    <w:link w:val="837"/>
    <w:uiPriority w:val="0"/>
    <w:qFormat/>
    <w:rPr>
      <w:rFonts w:ascii="Calibri Light" w:hAnsi="Calibri Light" w:eastAsia="宋体" w:cs="Times New Roman"/>
      <w:b/>
      <w:bCs/>
      <w:sz w:val="32"/>
      <w:szCs w:val="32"/>
    </w:rPr>
  </w:style>
  <w:style w:type="character" w:styleId="844" w:customStyle="1">
    <w:name w:val="标题 4 Char"/>
    <w:basedOn w:val="763"/>
    <w:link w:val="839"/>
    <w:uiPriority w:val="0"/>
    <w:qFormat/>
    <w:rPr>
      <w:rFonts w:asciiTheme="majorHAnsi" w:hAnsiTheme="majorHAnsi" w:eastAsiaTheme="majorEastAsia" w:cstheme="majorBidi"/>
      <w:b/>
      <w:bCs/>
      <w:sz w:val="28"/>
      <w:szCs w:val="28"/>
    </w:rPr>
  </w:style>
  <w:style w:type="character" w:styleId="845" w:customStyle="1">
    <w:name w:val="文档结构图 字符"/>
    <w:basedOn w:val="763"/>
    <w:link w:val="770"/>
    <w:uiPriority w:val="99"/>
    <w:semiHidden/>
    <w:qFormat/>
    <w:rPr>
      <w:rFonts w:ascii="宋体"/>
      <w:sz w:val="18"/>
      <w:szCs w:val="18"/>
    </w:rPr>
  </w:style>
  <w:style w:type="character" w:styleId="846" w:customStyle="1">
    <w:name w:val="批注文字 字符"/>
    <w:link w:val="771"/>
    <w:uiPriority w:val="0"/>
    <w:qFormat/>
    <w:rPr>
      <w:rFonts w:ascii="Calibri" w:hAnsi="Calibri" w:eastAsia="宋体" w:cs="Times New Roman"/>
    </w:rPr>
  </w:style>
  <w:style w:type="character" w:styleId="847" w:customStyle="1">
    <w:name w:val="正文文本 字符"/>
    <w:basedOn w:val="763"/>
    <w:link w:val="772"/>
    <w:uiPriority w:val="99"/>
    <w:semiHidden/>
    <w:qFormat/>
    <w:rPr>
      <w:rFonts w:ascii="Times New Roman" w:hAnsi="Times New Roman" w:eastAsia="仿宋" w:cstheme="minorBidi"/>
      <w:sz w:val="28"/>
      <w:szCs w:val="22"/>
    </w:rPr>
  </w:style>
  <w:style w:type="character" w:styleId="848" w:customStyle="1">
    <w:name w:val="正文文本缩进 字符"/>
    <w:basedOn w:val="763"/>
    <w:link w:val="765"/>
    <w:uiPriority w:val="99"/>
    <w:semiHidden/>
    <w:qFormat/>
    <w:rPr>
      <w:sz w:val="21"/>
      <w:szCs w:val="22"/>
    </w:rPr>
  </w:style>
  <w:style w:type="character" w:styleId="849" w:customStyle="1">
    <w:name w:val="纯文本 字符"/>
    <w:link w:val="776"/>
    <w:uiPriority w:val="0"/>
    <w:qFormat/>
    <w:rPr>
      <w:rFonts w:ascii="宋体" w:hAnsi="Courier New" w:eastAsia="楷体_GB2312" w:cs="Times New Roman"/>
      <w:sz w:val="26"/>
      <w:szCs w:val="24"/>
    </w:rPr>
  </w:style>
  <w:style w:type="character" w:styleId="850" w:customStyle="1">
    <w:name w:val="尾注文本 字符"/>
    <w:link w:val="778"/>
    <w:uiPriority w:val="99"/>
    <w:qFormat/>
    <w:rPr>
      <w:sz w:val="20"/>
    </w:rPr>
  </w:style>
  <w:style w:type="character" w:styleId="851" w:customStyle="1">
    <w:name w:val="批注框文本 字符"/>
    <w:link w:val="779"/>
    <w:uiPriority w:val="99"/>
    <w:qFormat/>
    <w:rPr>
      <w:rFonts w:ascii="Calibri" w:hAnsi="Calibri" w:eastAsia="宋体" w:cs="Times New Roman"/>
      <w:sz w:val="18"/>
      <w:szCs w:val="18"/>
    </w:rPr>
  </w:style>
  <w:style w:type="character" w:styleId="852" w:customStyle="1">
    <w:name w:val="页脚 Char"/>
    <w:link w:val="840"/>
    <w:uiPriority w:val="99"/>
    <w:qFormat/>
    <w:rPr>
      <w:rFonts w:ascii="Calibri" w:hAnsi="Calibri" w:eastAsia="宋体" w:cs="Times New Roman"/>
      <w:sz w:val="18"/>
      <w:szCs w:val="18"/>
    </w:rPr>
  </w:style>
  <w:style w:type="character" w:styleId="853" w:customStyle="1">
    <w:name w:val="页眉 Char"/>
    <w:link w:val="841"/>
    <w:uiPriority w:val="99"/>
    <w:qFormat/>
    <w:rPr>
      <w:sz w:val="18"/>
      <w:szCs w:val="18"/>
    </w:rPr>
  </w:style>
  <w:style w:type="character" w:styleId="854" w:customStyle="1">
    <w:name w:val="副标题 字符"/>
    <w:link w:val="784"/>
    <w:uiPriority w:val="11"/>
    <w:qFormat/>
    <w:rPr>
      <w:sz w:val="24"/>
      <w:szCs w:val="24"/>
    </w:rPr>
  </w:style>
  <w:style w:type="character" w:styleId="855" w:customStyle="1">
    <w:name w:val="脚注文本 字符"/>
    <w:link w:val="785"/>
    <w:uiPriority w:val="0"/>
    <w:qFormat/>
    <w:rPr>
      <w:rFonts w:ascii="Calibri" w:hAnsi="Calibri" w:eastAsia="宋体" w:cs="Times New Roman"/>
      <w:sz w:val="18"/>
      <w:szCs w:val="18"/>
    </w:rPr>
  </w:style>
  <w:style w:type="character" w:styleId="856" w:customStyle="1">
    <w:name w:val="正文文本缩进 3 字符"/>
    <w:link w:val="787"/>
    <w:uiPriority w:val="0"/>
    <w:qFormat/>
    <w:rPr>
      <w:rFonts w:ascii="Times New Roman" w:hAnsi="Times New Roman" w:eastAsia="宋体" w:cs="Times New Roman"/>
      <w:sz w:val="24"/>
      <w:szCs w:val="24"/>
    </w:rPr>
  </w:style>
  <w:style w:type="character" w:styleId="857" w:customStyle="1">
    <w:name w:val="标题 字符"/>
    <w:link w:val="792"/>
    <w:uiPriority w:val="10"/>
    <w:qFormat/>
    <w:rPr>
      <w:sz w:val="48"/>
      <w:szCs w:val="48"/>
    </w:rPr>
  </w:style>
  <w:style w:type="character" w:styleId="858" w:customStyle="1">
    <w:name w:val="批注主题 字符"/>
    <w:link w:val="793"/>
    <w:uiPriority w:val="99"/>
    <w:qFormat/>
    <w:rPr>
      <w:rFonts w:ascii="Calibri" w:hAnsi="Calibri" w:eastAsia="宋体" w:cs="Times New Roman"/>
      <w:b/>
      <w:bCs/>
      <w:sz w:val="20"/>
      <w:szCs w:val="20"/>
    </w:rPr>
  </w:style>
  <w:style w:type="paragraph" w:styleId="859" w:customStyle="1">
    <w:name w:val="标题 111"/>
    <w:basedOn w:val="761"/>
    <w:next w:val="761"/>
    <w:link w:val="860"/>
    <w:uiPriority w:val="9"/>
    <w:qFormat/>
    <w:pPr>
      <w:keepLines/>
      <w:keepNext/>
      <w:spacing w:before="480" w:after="200"/>
      <w:outlineLvl w:val="0"/>
    </w:pPr>
    <w:rPr>
      <w:rFonts w:ascii="Arial" w:hAnsi="Arial" w:eastAsia="Arial" w:cs="Arial"/>
      <w:sz w:val="40"/>
      <w:szCs w:val="40"/>
    </w:rPr>
  </w:style>
  <w:style w:type="character" w:styleId="860" w:customStyle="1">
    <w:name w:val="Heading 1 Char"/>
    <w:link w:val="859"/>
    <w:uiPriority w:val="9"/>
    <w:qFormat/>
    <w:rPr>
      <w:rFonts w:ascii="Arial" w:hAnsi="Arial" w:eastAsia="Arial" w:cs="Arial"/>
      <w:sz w:val="40"/>
      <w:szCs w:val="40"/>
    </w:rPr>
  </w:style>
  <w:style w:type="paragraph" w:styleId="861" w:customStyle="1">
    <w:name w:val="标题 211"/>
    <w:basedOn w:val="761"/>
    <w:next w:val="761"/>
    <w:link w:val="862"/>
    <w:uiPriority w:val="9"/>
    <w:unhideWhenUsed/>
    <w:qFormat/>
    <w:pPr>
      <w:keepLines/>
      <w:keepNext/>
      <w:spacing w:before="360" w:after="200"/>
      <w:outlineLvl w:val="1"/>
    </w:pPr>
    <w:rPr>
      <w:rFonts w:ascii="Arial" w:hAnsi="Arial" w:eastAsia="Arial" w:cs="Arial"/>
      <w:sz w:val="34"/>
    </w:rPr>
  </w:style>
  <w:style w:type="character" w:styleId="862" w:customStyle="1">
    <w:name w:val="Heading 2 Char"/>
    <w:link w:val="861"/>
    <w:uiPriority w:val="9"/>
    <w:qFormat/>
    <w:rPr>
      <w:rFonts w:ascii="Arial" w:hAnsi="Arial" w:eastAsia="Arial" w:cs="Arial"/>
      <w:sz w:val="34"/>
    </w:rPr>
  </w:style>
  <w:style w:type="paragraph" w:styleId="863" w:customStyle="1">
    <w:name w:val="标题 311"/>
    <w:basedOn w:val="761"/>
    <w:next w:val="761"/>
    <w:link w:val="864"/>
    <w:uiPriority w:val="0"/>
    <w:unhideWhenUsed/>
    <w:qFormat/>
    <w:pPr>
      <w:keepLines/>
      <w:keepNext/>
      <w:spacing w:before="320" w:after="200"/>
      <w:outlineLvl w:val="2"/>
    </w:pPr>
    <w:rPr>
      <w:rFonts w:ascii="Arial" w:hAnsi="Arial" w:eastAsia="Arial" w:cs="Arial"/>
      <w:sz w:val="30"/>
      <w:szCs w:val="30"/>
    </w:rPr>
  </w:style>
  <w:style w:type="character" w:styleId="864" w:customStyle="1">
    <w:name w:val="Heading 3 Char"/>
    <w:link w:val="863"/>
    <w:uiPriority w:val="9"/>
    <w:qFormat/>
    <w:rPr>
      <w:rFonts w:ascii="Arial" w:hAnsi="Arial" w:eastAsia="Arial" w:cs="Arial"/>
      <w:sz w:val="30"/>
      <w:szCs w:val="30"/>
    </w:rPr>
  </w:style>
  <w:style w:type="paragraph" w:styleId="865" w:customStyle="1">
    <w:name w:val="标题 411"/>
    <w:basedOn w:val="761"/>
    <w:next w:val="761"/>
    <w:link w:val="866"/>
    <w:uiPriority w:val="9"/>
    <w:unhideWhenUsed/>
    <w:qFormat/>
    <w:pPr>
      <w:keepLines/>
      <w:keepNext/>
      <w:spacing w:before="320" w:after="200"/>
      <w:outlineLvl w:val="3"/>
    </w:pPr>
    <w:rPr>
      <w:rFonts w:ascii="Arial" w:hAnsi="Arial" w:eastAsia="Arial" w:cs="Arial"/>
      <w:b/>
      <w:bCs/>
      <w:sz w:val="26"/>
      <w:szCs w:val="26"/>
    </w:rPr>
  </w:style>
  <w:style w:type="character" w:styleId="866" w:customStyle="1">
    <w:name w:val="Heading 4 Char"/>
    <w:link w:val="865"/>
    <w:uiPriority w:val="9"/>
    <w:qFormat/>
    <w:rPr>
      <w:rFonts w:ascii="Arial" w:hAnsi="Arial" w:eastAsia="Arial" w:cs="Arial"/>
      <w:b/>
      <w:bCs/>
      <w:sz w:val="26"/>
      <w:szCs w:val="26"/>
    </w:rPr>
  </w:style>
  <w:style w:type="paragraph" w:styleId="867" w:customStyle="1">
    <w:name w:val="标题 511"/>
    <w:basedOn w:val="761"/>
    <w:next w:val="761"/>
    <w:link w:val="868"/>
    <w:uiPriority w:val="9"/>
    <w:unhideWhenUsed/>
    <w:qFormat/>
    <w:pPr>
      <w:keepLines/>
      <w:keepNext/>
      <w:spacing w:before="320" w:after="200"/>
      <w:outlineLvl w:val="4"/>
    </w:pPr>
    <w:rPr>
      <w:rFonts w:ascii="Arial" w:hAnsi="Arial" w:eastAsia="Arial" w:cs="Arial"/>
      <w:b/>
      <w:bCs/>
      <w:sz w:val="24"/>
      <w:szCs w:val="24"/>
    </w:rPr>
  </w:style>
  <w:style w:type="character" w:styleId="868" w:customStyle="1">
    <w:name w:val="Heading 5 Char"/>
    <w:link w:val="867"/>
    <w:uiPriority w:val="9"/>
    <w:qFormat/>
    <w:rPr>
      <w:rFonts w:ascii="Arial" w:hAnsi="Arial" w:eastAsia="Arial" w:cs="Arial"/>
      <w:b/>
      <w:bCs/>
      <w:sz w:val="24"/>
      <w:szCs w:val="24"/>
    </w:rPr>
  </w:style>
  <w:style w:type="paragraph" w:styleId="869" w:customStyle="1">
    <w:name w:val="标题 611"/>
    <w:basedOn w:val="761"/>
    <w:next w:val="761"/>
    <w:link w:val="870"/>
    <w:uiPriority w:val="9"/>
    <w:unhideWhenUsed/>
    <w:qFormat/>
    <w:pPr>
      <w:keepLines/>
      <w:keepNext/>
      <w:spacing w:before="320" w:after="200"/>
      <w:outlineLvl w:val="5"/>
    </w:pPr>
    <w:rPr>
      <w:rFonts w:ascii="Arial" w:hAnsi="Arial" w:eastAsia="Arial" w:cs="Arial"/>
      <w:b/>
      <w:bCs/>
      <w:sz w:val="22"/>
    </w:rPr>
  </w:style>
  <w:style w:type="character" w:styleId="870" w:customStyle="1">
    <w:name w:val="Heading 6 Char"/>
    <w:link w:val="869"/>
    <w:uiPriority w:val="9"/>
    <w:qFormat/>
    <w:rPr>
      <w:rFonts w:ascii="Arial" w:hAnsi="Arial" w:eastAsia="Arial" w:cs="Arial"/>
      <w:b/>
      <w:bCs/>
      <w:sz w:val="22"/>
      <w:szCs w:val="22"/>
    </w:rPr>
  </w:style>
  <w:style w:type="paragraph" w:styleId="871" w:customStyle="1">
    <w:name w:val="标题 711"/>
    <w:basedOn w:val="761"/>
    <w:next w:val="761"/>
    <w:link w:val="872"/>
    <w:uiPriority w:val="9"/>
    <w:unhideWhenUsed/>
    <w:qFormat/>
    <w:pPr>
      <w:keepLines/>
      <w:keepNext/>
      <w:spacing w:before="320" w:after="200"/>
      <w:outlineLvl w:val="6"/>
    </w:pPr>
    <w:rPr>
      <w:rFonts w:ascii="Arial" w:hAnsi="Arial" w:eastAsia="Arial" w:cs="Arial"/>
      <w:b/>
      <w:bCs/>
      <w:i/>
      <w:iCs/>
      <w:sz w:val="22"/>
    </w:rPr>
  </w:style>
  <w:style w:type="character" w:styleId="872" w:customStyle="1">
    <w:name w:val="Heading 7 Char"/>
    <w:link w:val="871"/>
    <w:uiPriority w:val="9"/>
    <w:qFormat/>
    <w:rPr>
      <w:rFonts w:ascii="Arial" w:hAnsi="Arial" w:eastAsia="Arial" w:cs="Arial"/>
      <w:b/>
      <w:bCs/>
      <w:i/>
      <w:iCs/>
      <w:sz w:val="22"/>
      <w:szCs w:val="22"/>
    </w:rPr>
  </w:style>
  <w:style w:type="paragraph" w:styleId="873" w:customStyle="1">
    <w:name w:val="标题 811"/>
    <w:basedOn w:val="761"/>
    <w:next w:val="761"/>
    <w:link w:val="874"/>
    <w:uiPriority w:val="9"/>
    <w:unhideWhenUsed/>
    <w:qFormat/>
    <w:pPr>
      <w:keepLines/>
      <w:keepNext/>
      <w:spacing w:before="320" w:after="200"/>
      <w:outlineLvl w:val="7"/>
    </w:pPr>
    <w:rPr>
      <w:rFonts w:ascii="Arial" w:hAnsi="Arial" w:eastAsia="Arial" w:cs="Arial"/>
      <w:i/>
      <w:iCs/>
      <w:sz w:val="22"/>
    </w:rPr>
  </w:style>
  <w:style w:type="character" w:styleId="874" w:customStyle="1">
    <w:name w:val="Heading 8 Char"/>
    <w:link w:val="873"/>
    <w:uiPriority w:val="9"/>
    <w:qFormat/>
    <w:rPr>
      <w:rFonts w:ascii="Arial" w:hAnsi="Arial" w:eastAsia="Arial" w:cs="Arial"/>
      <w:i/>
      <w:iCs/>
      <w:sz w:val="22"/>
      <w:szCs w:val="22"/>
    </w:rPr>
  </w:style>
  <w:style w:type="paragraph" w:styleId="875" w:customStyle="1">
    <w:name w:val="标题 911"/>
    <w:basedOn w:val="761"/>
    <w:next w:val="761"/>
    <w:link w:val="876"/>
    <w:uiPriority w:val="9"/>
    <w:unhideWhenUsed/>
    <w:qFormat/>
    <w:pPr>
      <w:keepLines/>
      <w:keepNext/>
      <w:spacing w:before="320" w:after="200"/>
      <w:outlineLvl w:val="8"/>
    </w:pPr>
    <w:rPr>
      <w:rFonts w:ascii="Arial" w:hAnsi="Arial" w:eastAsia="Arial" w:cs="Arial"/>
      <w:i/>
      <w:iCs/>
      <w:szCs w:val="21"/>
    </w:rPr>
  </w:style>
  <w:style w:type="character" w:styleId="876" w:customStyle="1">
    <w:name w:val="Heading 9 Char"/>
    <w:link w:val="875"/>
    <w:uiPriority w:val="9"/>
    <w:qFormat/>
    <w:rPr>
      <w:rFonts w:ascii="Arial" w:hAnsi="Arial" w:eastAsia="Arial" w:cs="Arial"/>
      <w:i/>
      <w:iCs/>
      <w:sz w:val="21"/>
      <w:szCs w:val="21"/>
    </w:rPr>
  </w:style>
  <w:style w:type="paragraph" w:styleId="877">
    <w:name w:val="List Paragraph"/>
    <w:basedOn w:val="761"/>
    <w:uiPriority w:val="34"/>
    <w:qFormat/>
    <w:pPr>
      <w:contextualSpacing/>
      <w:ind w:left="720"/>
    </w:pPr>
  </w:style>
  <w:style w:type="paragraph" w:styleId="878">
    <w:name w:val="No Spacing"/>
    <w:uiPriority w:val="1"/>
    <w:qFormat/>
    <w:rPr>
      <w:rFonts w:ascii="Calibri" w:hAnsi="Calibri" w:eastAsia="宋体" w:cs="Times New Roman"/>
      <w:lang w:val="en-US" w:eastAsia="zh-CN" w:bidi="ar-SA"/>
    </w:rPr>
  </w:style>
  <w:style w:type="paragraph" w:styleId="879">
    <w:name w:val="Quote"/>
    <w:basedOn w:val="761"/>
    <w:next w:val="761"/>
    <w:link w:val="880"/>
    <w:uiPriority w:val="29"/>
    <w:qFormat/>
    <w:pPr>
      <w:ind w:left="720" w:right="720"/>
    </w:pPr>
    <w:rPr>
      <w:i/>
    </w:rPr>
  </w:style>
  <w:style w:type="character" w:styleId="880" w:customStyle="1">
    <w:name w:val="引用 字符"/>
    <w:link w:val="879"/>
    <w:uiPriority w:val="29"/>
    <w:qFormat/>
    <w:rPr>
      <w:i/>
    </w:rPr>
  </w:style>
  <w:style w:type="paragraph" w:styleId="881">
    <w:name w:val="Intense Quote"/>
    <w:basedOn w:val="761"/>
    <w:next w:val="761"/>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字符"/>
    <w:link w:val="881"/>
    <w:uiPriority w:val="30"/>
    <w:qFormat/>
    <w:rPr>
      <w:i/>
    </w:rPr>
  </w:style>
  <w:style w:type="paragraph" w:styleId="883" w:customStyle="1">
    <w:name w:val="页眉11"/>
    <w:basedOn w:val="761"/>
    <w:link w:val="884"/>
    <w:uiPriority w:val="99"/>
    <w:unhideWhenUsed/>
    <w:qFormat/>
    <w:pPr>
      <w:tabs>
        <w:tab w:val="center" w:pos="7143" w:leader="none"/>
        <w:tab w:val="right" w:pos="14287" w:leader="none"/>
      </w:tabs>
    </w:pPr>
  </w:style>
  <w:style w:type="character" w:styleId="884" w:customStyle="1">
    <w:name w:val="Header Char"/>
    <w:link w:val="883"/>
    <w:uiPriority w:val="99"/>
    <w:qFormat/>
  </w:style>
  <w:style w:type="paragraph" w:styleId="885" w:customStyle="1">
    <w:name w:val="页脚11"/>
    <w:basedOn w:val="761"/>
    <w:link w:val="886"/>
    <w:uiPriority w:val="99"/>
    <w:unhideWhenUsed/>
    <w:qFormat/>
    <w:pPr>
      <w:tabs>
        <w:tab w:val="center" w:pos="7143" w:leader="none"/>
        <w:tab w:val="right" w:pos="14287" w:leader="none"/>
      </w:tabs>
    </w:pPr>
  </w:style>
  <w:style w:type="character" w:styleId="886" w:customStyle="1">
    <w:name w:val="Caption Char"/>
    <w:link w:val="885"/>
    <w:uiPriority w:val="99"/>
    <w:qFormat/>
  </w:style>
  <w:style w:type="character" w:styleId="887" w:customStyle="1">
    <w:name w:val="Footer Char"/>
    <w:uiPriority w:val="99"/>
    <w:qFormat/>
  </w:style>
  <w:style w:type="paragraph" w:styleId="888" w:customStyle="1">
    <w:name w:val="题注11"/>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8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5" w:customStyle="1">
    <w:name w:val="Footnote Text Char"/>
    <w:uiPriority w:val="99"/>
    <w:qFormat/>
    <w:rPr>
      <w:sz w:val="18"/>
    </w:rPr>
  </w:style>
  <w:style w:type="paragraph" w:styleId="996" w:customStyle="1">
    <w:name w:val="TOC 标题11"/>
    <w:uiPriority w:val="39"/>
    <w:unhideWhenUsed/>
    <w:qFormat/>
    <w:rPr>
      <w:rFonts w:ascii="Calibri" w:hAnsi="Calibri" w:eastAsia="宋体" w:cs="Times New Roman"/>
      <w:lang w:val="en-US" w:eastAsia="zh-CN" w:bidi="ar-SA"/>
    </w:rPr>
  </w:style>
  <w:style w:type="paragraph" w:styleId="997" w:customStyle="1">
    <w:name w:val="纯文本4"/>
    <w:basedOn w:val="761"/>
    <w:uiPriority w:val="0"/>
    <w:qFormat/>
    <w:rPr>
      <w:rFonts w:ascii="宋体" w:hAnsi="Courier New" w:eastAsia="楷体_GB2312"/>
      <w:sz w:val="26"/>
      <w:szCs w:val="20"/>
    </w:rPr>
  </w:style>
  <w:style w:type="paragraph" w:styleId="998" w:customStyle="1">
    <w:name w:val="纯文本1"/>
    <w:basedOn w:val="761"/>
    <w:uiPriority w:val="0"/>
    <w:qFormat/>
    <w:rPr>
      <w:rFonts w:ascii="宋体" w:hAnsi="Courier New" w:eastAsia="楷体_GB2312"/>
      <w:sz w:val="28"/>
      <w:szCs w:val="20"/>
    </w:rPr>
  </w:style>
  <w:style w:type="character" w:styleId="999" w:customStyle="1">
    <w:name w:val="批注文字 Char1"/>
    <w:basedOn w:val="763"/>
    <w:uiPriority w:val="0"/>
    <w:qFormat/>
  </w:style>
  <w:style w:type="character" w:styleId="1000" w:customStyle="1">
    <w:name w:val="页眉 Char1"/>
    <w:uiPriority w:val="0"/>
    <w:qFormat/>
    <w:rPr>
      <w:sz w:val="18"/>
      <w:szCs w:val="18"/>
    </w:rPr>
  </w:style>
  <w:style w:type="character" w:styleId="1001" w:customStyle="1">
    <w:name w:val="页脚 Char1"/>
    <w:uiPriority w:val="0"/>
    <w:qFormat/>
    <w:rPr>
      <w:sz w:val="18"/>
      <w:szCs w:val="18"/>
    </w:rPr>
  </w:style>
  <w:style w:type="character" w:styleId="1002" w:customStyle="1">
    <w:name w:val="批注框文本 Char1"/>
    <w:uiPriority w:val="0"/>
    <w:qFormat/>
    <w:rPr>
      <w:sz w:val="18"/>
      <w:szCs w:val="18"/>
    </w:rPr>
  </w:style>
  <w:style w:type="character" w:styleId="1003" w:customStyle="1">
    <w:name w:val="脚注文本 Char1"/>
    <w:uiPriority w:val="0"/>
    <w:qFormat/>
    <w:rPr>
      <w:sz w:val="18"/>
      <w:szCs w:val="18"/>
    </w:rPr>
  </w:style>
  <w:style w:type="character" w:styleId="1004" w:customStyle="1">
    <w:name w:val="纯文本 Char1"/>
    <w:uiPriority w:val="0"/>
    <w:qFormat/>
    <w:rPr>
      <w:rFonts w:ascii="宋体" w:hAnsi="Courier New" w:eastAsia="宋体" w:cs="Courier New"/>
      <w:szCs w:val="21"/>
    </w:rPr>
  </w:style>
  <w:style w:type="character" w:styleId="1005" w:customStyle="1">
    <w:name w:val="批注主题 Char1"/>
    <w:uiPriority w:val="0"/>
    <w:qFormat/>
    <w:rPr>
      <w:b/>
      <w:bCs/>
    </w:rPr>
  </w:style>
  <w:style w:type="paragraph" w:styleId="1006" w:customStyle="1">
    <w:name w:val="修订1"/>
    <w:uiPriority w:val="99"/>
    <w:semiHidden/>
    <w:qFormat/>
    <w:rPr>
      <w:rFonts w:ascii="Calibri" w:hAnsi="Calibri" w:eastAsia="宋体" w:cs="Times New Roman"/>
      <w:sz w:val="21"/>
      <w:szCs w:val="22"/>
      <w:lang w:val="en-US" w:eastAsia="zh-CN" w:bidi="ar-SA"/>
    </w:rPr>
  </w:style>
  <w:style w:type="character" w:styleId="1007" w:customStyle="1">
    <w:name w:val="正文文本缩进 3 Char1"/>
    <w:uiPriority w:val="0"/>
    <w:qFormat/>
    <w:rPr>
      <w:sz w:val="16"/>
      <w:szCs w:val="16"/>
    </w:rPr>
  </w:style>
  <w:style w:type="paragraph" w:styleId="1008" w:customStyle="1">
    <w:name w:val="表格字体"/>
    <w:basedOn w:val="761"/>
    <w:uiPriority w:val="0"/>
    <w:qFormat/>
    <w:pPr>
      <w:ind w:firstLine="723"/>
      <w:spacing w:line="400" w:lineRule="exact"/>
      <w:widowControl/>
    </w:pPr>
    <w:rPr>
      <w:rFonts w:hint="eastAsia" w:ascii="Times New Roman" w:hAnsi="Times New Roman" w:eastAsia="仿宋" w:cs="宋体"/>
      <w:bCs/>
      <w:color w:val="000000"/>
      <w:sz w:val="24"/>
      <w:szCs w:val="18"/>
    </w:rPr>
  </w:style>
  <w:style w:type="paragraph" w:styleId="1009" w:customStyle="1">
    <w:name w:val="首行缩进"/>
    <w:basedOn w:val="761"/>
    <w:uiPriority w:val="0"/>
    <w:qFormat/>
    <w:pPr>
      <w:ind w:left="1024" w:firstLine="480"/>
      <w:widowControl/>
    </w:pPr>
    <w:rPr>
      <w:rFonts w:ascii="Times New Roman" w:hAnsi="Times New Roman"/>
      <w:sz w:val="20"/>
      <w:szCs w:val="20"/>
      <w:lang w:val="zh-CN"/>
    </w:rPr>
  </w:style>
  <w:style w:type="paragraph" w:styleId="1010" w:customStyle="1">
    <w:name w:val="备注"/>
    <w:basedOn w:val="761"/>
    <w:uiPriority w:val="0"/>
    <w:qFormat/>
    <w:pPr>
      <w:ind w:firstLine="723"/>
      <w:jc w:val="left"/>
      <w:spacing w:line="400" w:lineRule="exact"/>
      <w:widowControl/>
    </w:pPr>
    <w:rPr>
      <w:rFonts w:hint="eastAsia" w:ascii="宋体" w:hAnsi="宋体" w:eastAsia="仿宋" w:cs="宋体"/>
      <w:b/>
      <w:color w:val="000000"/>
      <w:sz w:val="24"/>
      <w:szCs w:val="18"/>
    </w:rPr>
  </w:style>
  <w:style w:type="paragraph" w:styleId="1011" w:customStyle="1">
    <w:name w:val="附录标识"/>
    <w:basedOn w:val="761"/>
    <w:uiPriority w:val="0"/>
    <w:qFormat/>
    <w:pPr>
      <w:numPr>
        <w:ilvl w:val="0"/>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1012" w:customStyle="1">
    <w:name w:val="附录章标题"/>
    <w:next w:val="842"/>
    <w:uiPriority w:val="0"/>
    <w:qFormat/>
    <w:pPr>
      <w:numPr>
        <w:ilvl w:val="1"/>
        <w:numId w:val="1"/>
      </w:numPr>
      <w:jc w:val="both"/>
      <w:outlineLvl w:val="1"/>
    </w:pPr>
    <w:rPr>
      <w:rFonts w:ascii="黑体" w:hAnsi="Times New Roman" w:eastAsia="黑体" w:cs="Times New Roman"/>
      <w:sz w:val="21"/>
      <w:lang w:val="en-US" w:eastAsia="zh-CN" w:bidi="ar-SA"/>
    </w:rPr>
  </w:style>
  <w:style w:type="paragraph" w:styleId="1013"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1014" w:customStyle="1">
    <w:name w:val="修订2"/>
    <w:hidden/>
    <w:uiPriority w:val="99"/>
    <w:semiHidden/>
    <w:qFormat/>
    <w:rPr>
      <w:rFonts w:ascii="Calibri" w:hAnsi="Calibri" w:eastAsia="宋体" w:cs="Times New Roman"/>
      <w:sz w:val="21"/>
      <w:szCs w:val="22"/>
      <w:lang w:val="en-US" w:eastAsia="zh-CN" w:bidi="ar-SA"/>
    </w:rPr>
  </w:style>
  <w:style w:type="paragraph" w:styleId="1015" w:customStyle="1">
    <w:name w:val="marklang-paragraph"/>
    <w:basedOn w:val="761"/>
    <w:uiPriority w:val="0"/>
    <w:qFormat/>
    <w:pPr>
      <w:jc w:val="left"/>
      <w:spacing w:before="100" w:beforeAutospacing="1" w:after="100" w:afterAutospacing="1"/>
      <w:widowControl/>
    </w:pPr>
    <w:rPr>
      <w:rFonts w:ascii="宋体" w:hAnsi="宋体" w:cs="宋体"/>
      <w:sz w:val="24"/>
      <w:szCs w:val="24"/>
    </w:rPr>
  </w:style>
  <w:style w:type="character" w:styleId="1016" w:customStyle="1">
    <w:name w:val="font21"/>
    <w:basedOn w:val="763"/>
    <w:uiPriority w:val="0"/>
    <w:qFormat/>
    <w:rPr>
      <w:rFonts w:hint="eastAsia" w:ascii="宋体" w:hAnsi="宋体" w:eastAsia="宋体" w:cs="宋体"/>
      <w:color w:val="000000"/>
      <w:sz w:val="18"/>
      <w:szCs w:val="18"/>
      <w:u w:val="none"/>
    </w:rPr>
  </w:style>
  <w:style w:type="character" w:styleId="1017" w:customStyle="1">
    <w:name w:val="font51"/>
    <w:basedOn w:val="763"/>
    <w:uiPriority w:val="0"/>
    <w:qFormat/>
    <w:rPr>
      <w:rFonts w:hint="eastAsia" w:ascii="宋体" w:hAnsi="宋体" w:eastAsia="宋体" w:cs="宋体"/>
      <w:color w:val="339966"/>
      <w:sz w:val="18"/>
      <w:szCs w:val="18"/>
      <w:u w:val="none"/>
    </w:rPr>
  </w:style>
  <w:style w:type="character" w:styleId="1018" w:customStyle="1">
    <w:name w:val="font61"/>
    <w:basedOn w:val="763"/>
    <w:uiPriority w:val="0"/>
    <w:qFormat/>
    <w:rPr>
      <w:rFonts w:ascii="Yu Gothic" w:hAnsi="Yu Gothic" w:eastAsia="Yu Gothic" w:cs="Yu Gothic"/>
      <w:color w:val="000000"/>
      <w:sz w:val="18"/>
      <w:szCs w:val="18"/>
      <w:u w:val="none"/>
    </w:rPr>
  </w:style>
  <w:style w:type="character" w:styleId="1019" w:customStyle="1">
    <w:name w:val="font41"/>
    <w:basedOn w:val="763"/>
    <w:uiPriority w:val="0"/>
    <w:qFormat/>
    <w:rPr>
      <w:rFonts w:hint="eastAsia" w:ascii="宋体" w:hAnsi="宋体" w:eastAsia="宋体" w:cs="宋体"/>
      <w:color w:val="000000"/>
      <w:sz w:val="20"/>
      <w:szCs w:val="20"/>
      <w:u w:val="none"/>
    </w:rPr>
  </w:style>
  <w:style w:type="character" w:styleId="1020" w:customStyle="1">
    <w:name w:val="font81"/>
    <w:basedOn w:val="763"/>
    <w:uiPriority w:val="0"/>
    <w:qFormat/>
    <w:rPr>
      <w:rFonts w:ascii="Calibri" w:hAnsi="Calibri" w:cs="Calibri"/>
      <w:color w:val="000000"/>
      <w:sz w:val="18"/>
      <w:szCs w:val="18"/>
      <w:u w:val="none"/>
    </w:rPr>
  </w:style>
  <w:style w:type="character" w:styleId="1021" w:customStyle="1">
    <w:name w:val="正文文本首行缩进 2 字符"/>
    <w:basedOn w:val="848"/>
    <w:link w:val="794"/>
    <w:uiPriority w:val="99"/>
    <w:semiHidden/>
    <w:qFormat/>
    <w:rPr>
      <w:rFonts w:ascii="Calibri" w:hAnsi="Calibri"/>
      <w:sz w:val="21"/>
      <w:szCs w:val="22"/>
    </w:rPr>
  </w:style>
  <w:style w:type="paragraph" w:styleId="1022" w:customStyle="1">
    <w:name w:val="正文文本缩进1"/>
    <w:basedOn w:val="761"/>
    <w:next w:val="761"/>
    <w:uiPriority w:val="0"/>
    <w:qFormat/>
    <w:pPr>
      <w:ind w:firstLine="420"/>
      <w:spacing w:line="360" w:lineRule="exact"/>
    </w:pPr>
    <w:rPr>
      <w:szCs w:val="21"/>
    </w:rPr>
  </w:style>
  <w:style w:type="character" w:styleId="1023" w:customStyle="1">
    <w:name w:val="NormalCharacter1"/>
    <w:uiPriority w:val="0"/>
    <w:semiHidden/>
    <w:qFormat/>
    <w:rPr>
      <w:rFonts w:hint="default" w:ascii="Calibri" w:hAnsi="Calibri" w:eastAsia="宋体" w:cs="Times New Roman"/>
      <w:sz w:val="21"/>
      <w:szCs w:val="22"/>
    </w:rPr>
  </w:style>
  <w:style w:type="character" w:styleId="1024" w:customStyle="1">
    <w:name w:val="页眉 字符"/>
    <w:basedOn w:val="763"/>
    <w:link w:val="781"/>
    <w:uiPriority w:val="99"/>
    <w:qFormat/>
    <w:rPr>
      <w:rFonts w:ascii="Calibri" w:hAnsi="Calibri"/>
      <w:sz w:val="18"/>
      <w:szCs w:val="18"/>
    </w:rPr>
  </w:style>
  <w:style w:type="character" w:styleId="1025" w:customStyle="1">
    <w:name w:val="页脚 字符"/>
    <w:basedOn w:val="763"/>
    <w:link w:val="780"/>
    <w:uiPriority w:val="99"/>
    <w:qFormat/>
    <w:rPr>
      <w:rFonts w:ascii="Calibri" w:hAnsi="Calibri"/>
      <w:sz w:val="18"/>
      <w:szCs w:val="18"/>
    </w:rPr>
  </w:style>
  <w:style w:type="paragraph" w:styleId="1026" w:customStyle="1">
    <w:name w:val="正文文本缩进 31"/>
    <w:basedOn w:val="761"/>
    <w:uiPriority w:val="0"/>
    <w:qFormat/>
    <w:pPr>
      <w:ind w:left="420"/>
    </w:pPr>
    <w:rPr>
      <w:sz w:val="16"/>
      <w:szCs w:val="20"/>
    </w:rPr>
  </w:style>
  <w:style w:type="paragraph" w:styleId="1027" w:customStyle="1">
    <w:name w:val="纯文本2"/>
    <w:basedOn w:val="761"/>
    <w:uiPriority w:val="0"/>
    <w:qFormat/>
    <w:rPr>
      <w:rFonts w:ascii="宋体" w:hAnsi="Courier New"/>
    </w:rPr>
  </w:style>
  <w:style w:type="paragraph" w:styleId="1028" w:customStyle="1">
    <w:name w:val="批注文字1"/>
    <w:basedOn w:val="761"/>
    <w:uiPriority w:val="0"/>
    <w:qFormat/>
    <w:pPr>
      <w:ind w:firstLine="627"/>
      <w:jc w:val="left"/>
      <w:spacing w:line="560" w:lineRule="exact"/>
      <w:shd w:val="clear" w:color="auto" w:fill="ffffff"/>
      <w:widowControl/>
    </w:pPr>
    <w:rPr>
      <w:rFonts w:ascii="仿宋_GB2312" w:hAnsi="仿宋_GB2312" w:cs="仿宋_GB2312"/>
      <w:color w:val="0f1115"/>
      <w:sz w:val="24"/>
      <w:szCs w:val="40"/>
      <w:shd w:val="clear" w:color="auto" w:fill="ffffff"/>
    </w:rPr>
  </w:style>
  <w:style w:type="paragraph" w:styleId="1029" w:customStyle="1">
    <w:name w:val="xm表内文字"/>
    <w:uiPriority w:val="0"/>
    <w:qFormat/>
    <w:pPr>
      <w:jc w:val="center"/>
    </w:pPr>
    <w:rPr>
      <w:rFonts w:ascii="Times New Roman" w:hAnsi="Times New Roman" w:eastAsia="宋体" w:cstheme="minorBidi"/>
      <w:sz w:val="21"/>
      <w:szCs w:val="24"/>
      <w:lang w:val="en-US" w:eastAsia="zh-CN" w:bidi="ar-SA"/>
    </w:rPr>
  </w:style>
  <w:style w:type="paragraph" w:styleId="1030" w:customStyle="1">
    <w:name w:val="修订3"/>
    <w:hidden/>
    <w:uiPriority w:val="99"/>
    <w:unhideWhenUsed/>
    <w:qFormat/>
    <w:rPr>
      <w:rFonts w:ascii="Calibri" w:hAnsi="Calibri" w:eastAsia="宋体" w:cs="Times New Roman"/>
      <w:sz w:val="21"/>
      <w:szCs w:val="22"/>
      <w:lang w:val="en-US" w:eastAsia="zh-CN" w:bidi="ar-SA"/>
    </w:rPr>
  </w:style>
  <w:style w:type="paragraph" w:styleId="1031" w:customStyle="1">
    <w:name w:val="Revision"/>
    <w:hidden/>
    <w:uiPriority w:val="99"/>
    <w:unhideWhenUsed/>
    <w:qFormat/>
    <w:rPr>
      <w:rFonts w:ascii="Calibri" w:hAnsi="Calibri" w:eastAsia="宋体" w:cs="Times New Roman"/>
      <w:sz w:val="21"/>
      <w:szCs w:val="22"/>
      <w:lang w:val="en-US" w:eastAsia="zh-CN" w:bidi="ar-SA"/>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9D9B19-5A7D-4757-8773-79DE49D263DB}"/>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徐珊珊</cp:lastModifiedBy>
  <cp:revision>5</cp:revision>
  <dcterms:created xsi:type="dcterms:W3CDTF">2026-05-28T17:57:00Z</dcterms:created>
  <dcterms:modified xsi:type="dcterms:W3CDTF">2026-05-29T08:53:56Z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2BCCB970809506561C3F196A8A9058F2_43</vt:lpwstr>
  </property>
  <property fmtid="{D5CDD505-2E9C-101B-9397-08002B2CF9AE}" pid="4" name="KSOTemplateDocerSaveRecord">
    <vt:lpwstr>eyJoZGlkIjoiNjE0ZTgyMDUwYmUwZmM1YThiMmY2YzA4NmFkZDllZDIiLCJ1c2VySWQiOiI3MDgyNTg5NDUifQ==</vt:lpwstr>
  </property>
</Properties>
</file>