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default" w:ascii="仿宋" w:hAnsi="仿宋" w:eastAsia="仿宋" w:cs="仿宋"/>
          <w:color w:val="000000"/>
          <w:lang w:val="en-US" w:eastAsia="zh-CN"/>
        </w:rPr>
      </w:pPr>
      <w:r>
        <w:rPr>
          <w:rFonts w:hint="eastAsia" w:ascii="仿宋" w:hAnsi="仿宋" w:eastAsia="仿宋" w:cs="仿宋"/>
          <w:color w:val="000000"/>
          <w:lang w:val="en-US" w:eastAsia="zh-CN"/>
        </w:rPr>
        <w:t xml:space="preserve">    </w:t>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830"/>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val="en-US" w:eastAsia="zh-CN" w:bidi="ar"/>
        </w:rPr>
        <w:t xml:space="preserve"> </w:t>
      </w: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泗洪县社会治理服务中心保洁服务采购项目</w:t>
      </w:r>
      <w:r/>
    </w:p>
    <w:p>
      <w:pPr>
        <w:ind w:firstLine="904"/>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bidi="ar"/>
        </w:rPr>
        <w:t xml:space="preserve">项目编号</w:t>
      </w:r>
      <w:r>
        <w:rPr>
          <w:rFonts w:hint="eastAsia" w:ascii="仿宋" w:hAnsi="仿宋" w:eastAsia="仿宋" w:cs="仿宋"/>
          <w:b/>
          <w:color w:val="000000"/>
          <w:sz w:val="30"/>
          <w:szCs w:val="30"/>
          <w:highlight w:val="none"/>
          <w:lang w:bidi="ar"/>
        </w:rPr>
        <w:t xml:space="preserve">：</w:t>
      </w:r>
      <w:r>
        <w:rPr>
          <w:rFonts w:hint="eastAsia" w:ascii="仿宋" w:hAnsi="仿宋" w:eastAsia="仿宋" w:cs="仿宋"/>
          <w:b/>
          <w:color w:val="000000"/>
          <w:sz w:val="30"/>
          <w:szCs w:val="30"/>
          <w:highlight w:val="none"/>
          <w:lang w:eastAsia="zh-CN" w:bidi="ar"/>
        </w:rPr>
        <w:t xml:space="preserve">JSZC-321324-JZCG-C2026-0008</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firstLine="1506"/>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 </w:t>
      </w:r>
      <w:r/>
    </w:p>
    <w:p>
      <w:pPr>
        <w:ind w:left="2800" w:hanging="2800"/>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bidi="ar"/>
        </w:rPr>
        <w:t xml:space="preserve">          </w:t>
      </w:r>
      <w:r>
        <w:rPr>
          <w:rFonts w:hint="eastAsia" w:ascii="仿宋" w:hAnsi="仿宋" w:eastAsia="仿宋" w:cs="仿宋"/>
          <w:b/>
          <w:color w:val="000000"/>
          <w:sz w:val="28"/>
          <w:szCs w:val="28"/>
          <w:highlight w:val="none"/>
          <w:lang w:bidi="ar"/>
        </w:rPr>
        <w:t xml:space="preserve"> </w:t>
      </w:r>
      <w:r/>
    </w:p>
    <w:p>
      <w:pPr>
        <w:ind w:firstLine="1334"/>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bookmarkStart w:id="2" w:name="_Toc11013"/>
      <w:r>
        <w:rPr>
          <w:rFonts w:hint="eastAsia" w:ascii="仿宋" w:hAnsi="仿宋" w:eastAsia="仿宋" w:cs="仿宋"/>
          <w:b/>
          <w:sz w:val="30"/>
          <w:highlight w:val="none"/>
        </w:rPr>
        <w:t xml:space="preserve">（</w:t>
      </w:r>
      <w:r>
        <w:rPr>
          <w:rFonts w:hint="eastAsia" w:ascii="仿宋" w:hAnsi="仿宋" w:eastAsia="仿宋" w:cs="仿宋"/>
          <w:b/>
          <w:sz w:val="30"/>
          <w:highlight w:val="none"/>
          <w:u w:val="single"/>
        </w:rPr>
        <w:t xml:space="preserve">服务</w:t>
      </w:r>
      <w:r>
        <w:rPr>
          <w:rFonts w:hint="eastAsia" w:ascii="仿宋" w:hAnsi="仿宋" w:eastAsia="仿宋" w:cs="仿宋"/>
          <w:b/>
          <w:sz w:val="30"/>
          <w:highlight w:val="none"/>
        </w:rPr>
        <w:t xml:space="preserve">类项目，本项目</w:t>
      </w:r>
      <w:r>
        <w:rPr>
          <w:rFonts w:hint="eastAsia" w:ascii="仿宋" w:hAnsi="仿宋" w:eastAsia="仿宋" w:cs="仿宋"/>
          <w:b/>
          <w:sz w:val="30"/>
          <w:highlight w:val="none"/>
          <w:u w:val="single"/>
        </w:rPr>
        <w:t xml:space="preserve"> 专 </w:t>
      </w:r>
      <w:r>
        <w:rPr>
          <w:rFonts w:hint="eastAsia" w:ascii="仿宋" w:hAnsi="仿宋" w:eastAsia="仿宋" w:cs="仿宋"/>
          <w:b/>
          <w:sz w:val="30"/>
          <w:highlight w:val="none"/>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95"/>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泗洪县信访局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泗洪县公共资源交易中心</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4</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29</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t xml:space="preserve">目 录</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TOC \o "1-1" \h \u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"_Toc6519"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第一章  投标邀请</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3</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"_Toc31014"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第二章  </w:t>
      </w:r>
      <w:r>
        <w:rPr>
          <w:rFonts w:hint="eastAsia" w:ascii="仿宋" w:hAnsi="仿宋" w:eastAsia="仿宋" w:cs="仿宋"/>
          <w:sz w:val="32"/>
          <w:szCs w:val="32"/>
          <w:highlight w:val="none"/>
          <w:lang w:eastAsia="zh-CN"/>
        </w:rPr>
        <w:t xml:space="preserve">供应商</w:t>
      </w:r>
      <w:r>
        <w:rPr>
          <w:rFonts w:hint="eastAsia" w:ascii="仿宋" w:hAnsi="仿宋" w:eastAsia="仿宋" w:cs="仿宋"/>
          <w:sz w:val="32"/>
          <w:szCs w:val="32"/>
          <w:highlight w:val="none"/>
        </w:rPr>
        <w:t xml:space="preserve">须知</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6</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"_Toc12086"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第三章  资格审查及评标方法</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21</w:t>
      </w:r>
      <w:r/>
    </w:p>
    <w:p>
      <w:pPr>
        <w:pStyle w:val="814"/>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"_Toc18143"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第四章  采购需求</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24</w:t>
      </w:r>
      <w:r/>
    </w:p>
    <w:p>
      <w:pPr>
        <w:pStyle w:val="814"/>
        <w:spacing w:after="0" w:line="700" w:lineRule="exact"/>
        <w:tabs>
          <w:tab w:val="right" w:pos="9185" w:leader="dot"/>
        </w:tabs>
        <w:rPr>
          <w:rFonts w:hint="default"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"_Toc26310"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第五章  合同文本</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32</w:t>
      </w:r>
      <w:r/>
    </w:p>
    <w:p>
      <w:pPr>
        <w:pStyle w:val="814"/>
        <w:spacing w:after="0" w:line="700" w:lineRule="exact"/>
        <w:tabs>
          <w:tab w:val="right" w:pos="9185" w:leader="dot"/>
        </w:tabs>
        <w:rPr>
          <w:rFonts w:hint="eastAsia" w:ascii="仿宋" w:hAnsi="仿宋" w:eastAsia="仿宋" w:cs="仿宋"/>
          <w:sz w:val="32"/>
          <w:szCs w:val="32"/>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"_Toc21789"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第六章  </w:t>
      </w:r>
      <w:r>
        <w:rPr>
          <w:rFonts w:hint="eastAsia" w:ascii="仿宋" w:hAnsi="仿宋" w:eastAsia="仿宋" w:cs="仿宋"/>
          <w:sz w:val="32"/>
          <w:szCs w:val="32"/>
          <w:highlight w:val="none"/>
          <w:lang w:eastAsia="zh-CN"/>
        </w:rPr>
        <w:t xml:space="preserve">响应文件</w:t>
      </w:r>
      <w:r>
        <w:rPr>
          <w:rFonts w:hint="eastAsia" w:ascii="仿宋" w:hAnsi="仿宋" w:eastAsia="仿宋" w:cs="仿宋"/>
          <w:sz w:val="32"/>
          <w:szCs w:val="32"/>
          <w:highlight w:val="none"/>
        </w:rPr>
        <w:t xml:space="preserve">格式</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t xml:space="preserve">40</w:t>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highlight w:val="none"/>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89"/>
      <w:r/>
      <w:bookmarkStart w:id="4" w:name="_Toc81575152"/>
      <w:r/>
      <w:r/>
    </w:p>
    <w:p>
      <w:pPr>
        <w:pStyle w:val="869"/>
        <w:jc w:val="center"/>
        <w:spacing w:before="200"/>
        <w:rPr>
          <w:rFonts w:hint="eastAsia" w:ascii="仿宋" w:hAnsi="仿宋" w:eastAsia="仿宋" w:cs="仿宋"/>
          <w:color w:val="000000"/>
          <w:sz w:val="44"/>
        </w:rPr>
      </w:pPr>
      <w:r/>
      <w:bookmarkStart w:id="5" w:name="_Toc30943"/>
      <w:r/>
      <w:bookmarkStart w:id="6" w:name="_Toc6519"/>
      <w:r/>
      <w:bookmarkStart w:id="7" w:name="_Toc25722"/>
      <w:r>
        <w:rPr>
          <w:rFonts w:hint="eastAsia" w:ascii="仿宋" w:hAnsi="仿宋" w:eastAsia="仿宋" w:cs="仿宋"/>
          <w:color w:val="000000"/>
          <w:sz w:val="44"/>
        </w:rPr>
        <w:t xml:space="preserve">第一章  </w:t>
      </w:r>
      <w:bookmarkEnd w:id="3"/>
      <w:r/>
      <w:bookmarkEnd w:id="4"/>
      <w:r/>
      <w:bookmarkEnd w:id="5"/>
      <w:r/>
      <w:bookmarkEnd w:id="6"/>
      <w:r/>
      <w:bookmarkEnd w:id="7"/>
      <w:r>
        <w:rPr>
          <w:rFonts w:hint="eastAsia" w:ascii="仿宋" w:hAnsi="仿宋" w:eastAsia="仿宋" w:cs="仿宋"/>
          <w:b/>
          <w:bCs/>
          <w:color w:val="auto"/>
          <w:sz w:val="44"/>
          <w:szCs w:val="44"/>
          <w:highlight w:val="none"/>
          <w:lang w:val="en-US" w:eastAsia="zh-CN" w:bidi="ar-SA"/>
        </w:rPr>
        <w:t xml:space="preserve">磋商邀请</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泗洪县信访局</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rPr>
        <w:t xml:space="preserve">公共资源交易中心</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泗洪县社会治理服务中心保洁服务采购项目</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eastAsia="zh-CN"/>
        </w:rPr>
        <w:t xml:space="preserve">JSZC-321324-JZCG-C2026-0008</w:t>
      </w:r>
      <w:r>
        <w:rPr>
          <w:rFonts w:hint="eastAsia" w:ascii="仿宋" w:hAnsi="仿宋" w:eastAsia="仿宋" w:cs="仿宋"/>
          <w:color w:val="000000"/>
          <w:sz w:val="24"/>
          <w:u w:val="single"/>
        </w:rPr>
        <w:t xml:space="preserve">)</w:t>
      </w:r>
      <w:r>
        <w:rPr>
          <w:rFonts w:hint="eastAsia" w:ascii="仿宋" w:hAnsi="仿宋" w:eastAsia="仿宋" w:cs="仿宋"/>
          <w:color w:val="000000"/>
          <w:sz w:val="24"/>
          <w:szCs w:val="24"/>
        </w:rPr>
        <w:t xml:space="preserve">进行竞争性磋商采购，欢迎符合条件的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w:t>
      </w:r>
      <w:r/>
    </w:p>
    <w:p>
      <w:pPr>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泗洪县社会治理服务中心保洁服务采购项目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可在“江苏政府采购网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，并于</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rPr>
        <w:t xml:space="preserve">年</w:t>
      </w:r>
      <w:r>
        <w:rPr>
          <w:rFonts w:hint="eastAsia" w:ascii="仿宋" w:hAnsi="仿宋" w:eastAsia="仿宋" w:cs="仿宋"/>
          <w:bCs/>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13</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bCs/>
          <w:color w:val="000000"/>
          <w:sz w:val="24"/>
          <w:szCs w:val="24"/>
          <w:highlight w:val="none"/>
          <w:u w:val="single"/>
        </w:rPr>
        <w:t xml:space="preserve">09点30分（</w:t>
      </w:r>
      <w:r>
        <w:rPr>
          <w:rFonts w:hint="eastAsia" w:ascii="仿宋" w:hAnsi="仿宋" w:eastAsia="仿宋" w:cs="仿宋"/>
          <w:bCs/>
          <w:color w:val="000000"/>
          <w:sz w:val="24"/>
          <w:szCs w:val="24"/>
        </w:rPr>
        <w:t xml:space="preserve">北京时间）前递交</w:t>
      </w:r>
      <w:r>
        <w:rPr>
          <w:rFonts w:hint="eastAsia" w:ascii="仿宋" w:hAnsi="仿宋" w:eastAsia="仿宋" w:cs="仿宋"/>
          <w:bCs/>
          <w:color w:val="000000"/>
          <w:sz w:val="24"/>
          <w:szCs w:val="24"/>
          <w:lang w:eastAsia="zh-CN"/>
        </w:rPr>
        <w:t xml:space="preserve">响应文件</w:t>
      </w:r>
      <w:r>
        <w:rPr>
          <w:rFonts w:hint="eastAsia" w:ascii="仿宋" w:hAnsi="仿宋" w:eastAsia="仿宋" w:cs="仿宋"/>
          <w:color w:val="000000"/>
          <w:sz w:val="24"/>
          <w:szCs w:val="24"/>
        </w:rPr>
        <w:t xml:space="preserve">。</w:t>
      </w:r>
      <w:r/>
    </w:p>
    <w:p>
      <w:pPr>
        <w:pStyle w:val="870"/>
        <w:ind w:firstLine="643"/>
        <w:spacing w:before="0" w:after="0" w:line="480" w:lineRule="exact"/>
        <w:rPr>
          <w:rFonts w:hint="eastAsia" w:ascii="仿宋" w:hAnsi="仿宋" w:eastAsia="仿宋" w:cs="仿宋"/>
          <w:bCs/>
          <w:color w:val="000000"/>
          <w:szCs w:val="22"/>
        </w:rPr>
      </w:pPr>
      <w:r/>
      <w:bookmarkStart w:id="8" w:name="_Toc35393790"/>
      <w:r/>
      <w:bookmarkStart w:id="9" w:name="_Toc2584"/>
      <w:r/>
      <w:bookmarkStart w:id="10" w:name="_Toc38985263"/>
      <w:r/>
      <w:bookmarkStart w:id="11" w:name="_Toc35393621"/>
      <w:r/>
      <w:bookmarkStart w:id="12" w:name="_Toc28359079"/>
      <w:r/>
      <w:bookmarkStart w:id="13" w:name="_Toc28359002"/>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eastAsia="zh-CN"/>
        </w:rPr>
        <w:t xml:space="preserve">JSZC-321324-JZCG-C2026-0008</w:t>
      </w:r>
      <w:r>
        <w:rPr>
          <w:rFonts w:hint="eastAsia" w:ascii="仿宋" w:hAnsi="仿宋" w:eastAsia="仿宋" w:cs="仿宋"/>
          <w:color w:val="000000"/>
          <w:sz w:val="24"/>
          <w:lang w:eastAsia="zh-CN"/>
        </w:rPr>
        <w:t xml:space="preserve">。</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泗洪县社会治理服务中心保洁服务采购项目。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1年预算14.64万元，2年总预算 29.28万元。</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w:t>
      </w:r>
      <w:r>
        <w:rPr>
          <w:rFonts w:hint="eastAsia" w:ascii="仿宋" w:hAnsi="仿宋" w:eastAsia="仿宋" w:cs="仿宋"/>
          <w:b w:val="0"/>
          <w:bCs w:val="0"/>
          <w:color w:val="000000"/>
          <w:sz w:val="24"/>
          <w:szCs w:val="24"/>
          <w:highlight w:val="none"/>
        </w:rPr>
        <w:t xml:space="preserve">最高限价</w:t>
      </w:r>
      <w:r>
        <w:rPr>
          <w:rFonts w:hint="eastAsia" w:ascii="仿宋" w:hAnsi="仿宋" w:eastAsia="仿宋" w:cs="仿宋"/>
          <w:color w:val="000000"/>
          <w:sz w:val="24"/>
          <w:szCs w:val="24"/>
          <w:lang w:val="en-US" w:eastAsia="zh-CN"/>
        </w:rPr>
        <w:t xml:space="preserve">14.64</w:t>
      </w:r>
      <w:r>
        <w:rPr>
          <w:rFonts w:hint="eastAsia" w:ascii="仿宋" w:hAnsi="仿宋" w:eastAsia="仿宋" w:cs="仿宋"/>
          <w:b w:val="0"/>
          <w:bCs w:val="0"/>
          <w:color w:val="000000"/>
          <w:sz w:val="24"/>
          <w:szCs w:val="24"/>
          <w:highlight w:val="none"/>
        </w:rPr>
        <w:t xml:space="preserve">万元</w:t>
      </w:r>
      <w:bookmarkStart w:id="15" w:name="OLE_LINK2"/>
      <w:r>
        <w:rPr>
          <w:rFonts w:hint="eastAsia" w:ascii="仿宋" w:hAnsi="仿宋" w:eastAsia="仿宋" w:cs="仿宋"/>
          <w:b w:val="0"/>
          <w:bCs w:val="0"/>
          <w:color w:val="000000"/>
          <w:sz w:val="24"/>
          <w:szCs w:val="24"/>
          <w:highlight w:val="none"/>
        </w:rPr>
        <w:t xml:space="preserve">/年</w:t>
      </w:r>
      <w:bookmarkEnd w:id="15"/>
      <w:r>
        <w:rPr>
          <w:rFonts w:hint="eastAsia" w:ascii="仿宋" w:hAnsi="仿宋" w:eastAsia="仿宋" w:cs="仿宋"/>
          <w:b w:val="0"/>
          <w:bCs w:val="0"/>
          <w:color w:val="000000"/>
          <w:sz w:val="24"/>
          <w:szCs w:val="24"/>
          <w:highlight w:val="none"/>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w:t>
      </w:r>
      <w:r>
        <w:rPr>
          <w:rFonts w:hint="eastAsia" w:ascii="仿宋" w:hAnsi="仿宋" w:eastAsia="仿宋" w:cs="仿宋"/>
          <w:color w:val="000000"/>
          <w:sz w:val="24"/>
          <w:lang w:eastAsia="zh-CN"/>
        </w:rPr>
        <w:t xml:space="preserve">泗洪县社会治理服务中心保洁服务采购项目，</w:t>
      </w:r>
      <w:r>
        <w:rPr>
          <w:rFonts w:hint="eastAsia" w:ascii="仿宋" w:hAnsi="仿宋" w:eastAsia="仿宋" w:cs="仿宋"/>
          <w:color w:val="000000"/>
          <w:sz w:val="24"/>
        </w:rPr>
        <w:t xml:space="preserve">具体详见采购需求。</w:t>
      </w:r>
      <w:r/>
    </w:p>
    <w:p>
      <w:pPr>
        <w:ind w:left="1" w:firstLine="420"/>
        <w:spacing w:before="0" w:after="0" w:line="500" w:lineRule="atLeas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年（具体以合同签订时间为准）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合同一年一签，一年后，若双方就服务内容及质量满意度较高可续签（合同有效期的一年度内，平均考核分数80分（含）以上的）（详见考核标准），最多续签一年。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870"/>
        <w:ind w:firstLine="643"/>
        <w:spacing w:before="0" w:after="0" w:line="480" w:lineRule="exact"/>
        <w:rPr>
          <w:rFonts w:hint="eastAsia" w:ascii="仿宋" w:hAnsi="仿宋" w:eastAsia="仿宋" w:cs="仿宋"/>
          <w:bCs/>
          <w:color w:val="000000"/>
          <w:szCs w:val="22"/>
        </w:rPr>
      </w:pPr>
      <w:r/>
      <w:bookmarkStart w:id="16" w:name="_Toc35393622"/>
      <w:r/>
      <w:bookmarkStart w:id="17" w:name="_Toc28359003"/>
      <w:r/>
      <w:bookmarkStart w:id="18" w:name="_Toc27291"/>
      <w:r/>
      <w:bookmarkStart w:id="19" w:name="_Toc38985264"/>
      <w:r/>
      <w:bookmarkStart w:id="20" w:name="_Toc28359080"/>
      <w:r/>
      <w:bookmarkStart w:id="21" w:name="_Toc35393791"/>
      <w:r>
        <w:rPr>
          <w:rFonts w:hint="eastAsia" w:ascii="仿宋" w:hAnsi="仿宋" w:eastAsia="仿宋" w:cs="仿宋"/>
          <w:bCs/>
          <w:color w:val="000000"/>
          <w:szCs w:val="22"/>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仿宋" w:hAnsi="仿宋" w:eastAsia="仿宋" w:cs="仿宋"/>
          <w:color w:val="000000"/>
          <w:sz w:val="24"/>
          <w:szCs w:val="24"/>
        </w:rPr>
      </w:pPr>
      <w:r/>
      <w:bookmarkStart w:id="22" w:name="_Toc35393623"/>
      <w:r/>
      <w:bookmarkStart w:id="23" w:name="_Toc28359004"/>
      <w:r/>
      <w:bookmarkStart w:id="24" w:name="_Toc38985265"/>
      <w:r/>
      <w:bookmarkStart w:id="25" w:name="_Toc35393792"/>
      <w:r/>
      <w:bookmarkStart w:id="26" w:name="_Toc28359081"/>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2.信用信息：在“信用中国”网站（www.creditchina.gov.cn）查询，不存在被列入失信被执行人、重大税收违法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.投标代理人(授权委托人)必须为本单位正式员工，并在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中提供投标截止日前6个月内由本单位为其缴纳的任意1个月社会养老保险证明。</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870"/>
        <w:ind w:firstLine="643"/>
        <w:spacing w:before="0" w:after="0" w:line="480" w:lineRule="exact"/>
        <w:rPr>
          <w:rFonts w:hint="eastAsia" w:ascii="仿宋" w:hAnsi="仿宋" w:eastAsia="仿宋" w:cs="仿宋"/>
          <w:bCs/>
          <w:color w:val="000000"/>
          <w:szCs w:val="22"/>
          <w:lang w:eastAsia="zh-CN"/>
        </w:rPr>
      </w:pPr>
      <w:r/>
      <w:bookmarkStart w:id="27" w:name="_Toc22204"/>
      <w:r>
        <w:rPr>
          <w:rFonts w:hint="eastAsia" w:ascii="仿宋" w:hAnsi="仿宋" w:eastAsia="仿宋" w:cs="仿宋"/>
          <w:bCs/>
          <w:color w:val="000000"/>
          <w:szCs w:val="22"/>
        </w:rPr>
        <w:t xml:space="preserve">三、获取</w:t>
      </w:r>
      <w:bookmarkEnd w:id="22"/>
      <w:r/>
      <w:bookmarkEnd w:id="23"/>
      <w:r/>
      <w:bookmarkEnd w:id="24"/>
      <w:r/>
      <w:bookmarkEnd w:id="25"/>
      <w:r/>
      <w:bookmarkEnd w:id="26"/>
      <w:r/>
      <w:bookmarkEnd w:id="27"/>
      <w:r>
        <w:rPr>
          <w:rFonts w:hint="eastAsia" w:ascii="仿宋" w:hAnsi="仿宋" w:eastAsia="仿宋" w:cs="仿宋"/>
          <w:bCs/>
          <w:color w:val="000000"/>
          <w:szCs w:val="22"/>
          <w:lang w:eastAsia="zh-CN"/>
        </w:rPr>
        <w:t xml:space="preserve">磋商文件</w:t>
      </w:r>
      <w:r/>
    </w:p>
    <w:p>
      <w:pPr>
        <w:ind w:firstLine="480"/>
        <w:spacing w:line="480" w:lineRule="exact"/>
        <w:rPr>
          <w:rFonts w:hint="eastAsia" w:ascii="仿宋" w:hAnsi="仿宋" w:eastAsia="仿宋" w:cs="仿宋"/>
          <w:color w:val="000000"/>
          <w:sz w:val="24"/>
          <w:szCs w:val="24"/>
        </w:rPr>
      </w:pPr>
      <w:r/>
      <w:bookmarkStart w:id="28" w:name="_Toc28359005"/>
      <w:r/>
      <w:bookmarkStart w:id="29" w:name="_Toc28359082"/>
      <w:r/>
      <w:bookmarkStart w:id="30" w:name="_Toc35393793"/>
      <w:r/>
      <w:bookmarkStart w:id="31" w:name="_Toc38985266"/>
      <w:r/>
      <w:bookmarkStart w:id="32" w:name="_Toc35393624"/>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应在</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提供的时间内，通过“苏采云”系统（网址： http://jszfcg.jsczt.cn/），使用CA锁登录系统后，找到本项目获取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（后缀名为“.kedt”）。</w:t>
      </w:r>
      <w:r/>
    </w:p>
    <w:p>
      <w:pPr>
        <w:ind w:firstLine="480"/>
        <w:spacing w:line="480" w:lineRule="exact"/>
        <w:rPr>
          <w:rFonts w:hint="eastAsia" w:ascii="仿宋" w:hAnsi="仿宋" w:eastAsia="仿宋" w:cs="仿宋"/>
          <w:color w:val="000000"/>
          <w:sz w:val="24"/>
          <w:szCs w:val="24"/>
        </w:rPr>
      </w:pPr>
      <w:r/>
      <w:bookmarkStart w:id="33" w:name="EB0c44ff4da61f4af989d119fe214be450"/>
      <w:r>
        <w:rPr>
          <w:rFonts w:hint="eastAsia" w:ascii="仿宋" w:hAnsi="仿宋" w:eastAsia="仿宋" w:cs="仿宋"/>
          <w:color w:val="000000"/>
          <w:sz w:val="24"/>
          <w:szCs w:val="24"/>
        </w:rPr>
        <w:t xml:space="preserve">3.本项目共分一个采购包。</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参与多个采购包投标的，应按采购包分别获取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未按要求获取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，后果自负（其</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不予接受）。</w:t>
      </w:r>
      <w:bookmarkEnd w:id="33"/>
      <w:r/>
      <w:r/>
    </w:p>
    <w:p>
      <w:pPr>
        <w:pStyle w:val="870"/>
        <w:ind w:firstLine="643"/>
        <w:spacing w:before="0" w:after="0" w:line="480" w:lineRule="exact"/>
        <w:rPr>
          <w:rFonts w:hint="eastAsia" w:ascii="仿宋" w:hAnsi="仿宋" w:eastAsia="仿宋" w:cs="仿宋"/>
          <w:bCs/>
          <w:color w:val="000000"/>
          <w:szCs w:val="22"/>
        </w:rPr>
      </w:pPr>
      <w:r/>
      <w:bookmarkStart w:id="34" w:name="_Toc19148"/>
      <w:r>
        <w:rPr>
          <w:rFonts w:hint="eastAsia" w:ascii="仿宋" w:hAnsi="仿宋" w:eastAsia="仿宋" w:cs="仿宋"/>
          <w:bCs/>
          <w:color w:val="000000"/>
          <w:szCs w:val="22"/>
        </w:rPr>
        <w:t xml:space="preserve">四、提交</w:t>
      </w:r>
      <w:bookmarkEnd w:id="28"/>
      <w:r/>
      <w:bookmarkEnd w:id="29"/>
      <w:r>
        <w:rPr>
          <w:rFonts w:hint="eastAsia" w:ascii="仿宋" w:hAnsi="仿宋" w:eastAsia="仿宋" w:cs="仿宋"/>
          <w:bCs/>
          <w:color w:val="000000"/>
          <w:szCs w:val="22"/>
          <w:lang w:eastAsia="zh-CN"/>
        </w:rPr>
        <w:t xml:space="preserve">响应文件</w:t>
      </w:r>
      <w:r>
        <w:rPr>
          <w:rFonts w:hint="eastAsia" w:ascii="仿宋" w:hAnsi="仿宋" w:eastAsia="仿宋" w:cs="仿宋"/>
          <w:bCs/>
          <w:color w:val="000000"/>
          <w:szCs w:val="22"/>
        </w:rPr>
        <w:t xml:space="preserve">截止时间、开标时间和地点</w:t>
      </w:r>
      <w:bookmarkEnd w:id="30"/>
      <w:r/>
      <w:bookmarkEnd w:id="31"/>
      <w:r/>
      <w:bookmarkEnd w:id="32"/>
      <w:r/>
      <w:bookmarkEnd w:id="34"/>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截止时间</w:t>
      </w:r>
      <w:r>
        <w:rPr>
          <w:rFonts w:hint="eastAsia" w:ascii="仿宋" w:hAnsi="仿宋" w:eastAsia="仿宋" w:cs="仿宋"/>
          <w:color w:val="000000"/>
          <w:sz w:val="24"/>
          <w:szCs w:val="24"/>
          <w:highlight w:val="none"/>
        </w:rPr>
        <w:t xml:space="preserve">、开标时间：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rPr>
        <w:t xml:space="preserve">09点30分</w:t>
      </w:r>
      <w:r>
        <w:rPr>
          <w:rFonts w:hint="eastAsia" w:ascii="仿宋" w:hAnsi="仿宋" w:eastAsia="仿宋" w:cs="仿宋"/>
          <w:color w:val="000000"/>
          <w:sz w:val="24"/>
          <w:szCs w:val="24"/>
          <w:highlight w:val="none"/>
        </w:rPr>
        <w:t xml:space="preserve">（北京</w:t>
      </w:r>
      <w:r>
        <w:rPr>
          <w:rFonts w:hint="eastAsia" w:ascii="仿宋" w:hAnsi="仿宋" w:eastAsia="仿宋" w:cs="仿宋"/>
          <w:color w:val="000000"/>
          <w:sz w:val="24"/>
          <w:szCs w:val="24"/>
        </w:rPr>
        <w:t xml:space="preserve">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70"/>
        <w:ind w:firstLine="643"/>
        <w:spacing w:before="0" w:after="0" w:line="480" w:lineRule="exact"/>
        <w:rPr>
          <w:rFonts w:hint="eastAsia" w:ascii="仿宋" w:hAnsi="仿宋" w:eastAsia="仿宋" w:cs="仿宋"/>
          <w:bCs/>
          <w:color w:val="000000"/>
          <w:szCs w:val="22"/>
        </w:rPr>
      </w:pPr>
      <w:r/>
      <w:bookmarkStart w:id="35" w:name="_Toc24820"/>
      <w:r/>
      <w:bookmarkStart w:id="36" w:name="_Toc38985267"/>
      <w:r/>
      <w:bookmarkStart w:id="37" w:name="_Toc28359084"/>
      <w:r/>
      <w:bookmarkStart w:id="38" w:name="_Toc28359007"/>
      <w:r/>
      <w:bookmarkStart w:id="39" w:name="_Toc35393625"/>
      <w:r/>
      <w:bookmarkStart w:id="40" w:name="_Toc35393794"/>
      <w:r>
        <w:rPr>
          <w:rFonts w:hint="eastAsia" w:ascii="仿宋" w:hAnsi="仿宋" w:eastAsia="仿宋" w:cs="仿宋"/>
          <w:bCs/>
          <w:color w:val="000000"/>
          <w:szCs w:val="22"/>
        </w:rPr>
        <w:t xml:space="preserve">五、公告期限</w:t>
      </w:r>
      <w:bookmarkEnd w:id="35"/>
      <w:r/>
      <w:bookmarkEnd w:id="36"/>
      <w:r/>
      <w:bookmarkEnd w:id="37"/>
      <w:r/>
      <w:bookmarkEnd w:id="38"/>
      <w:r/>
      <w:bookmarkEnd w:id="39"/>
      <w:r/>
      <w:bookmarkEnd w:id="40"/>
      <w:r/>
      <w:r/>
    </w:p>
    <w:p>
      <w:pPr>
        <w:ind w:left="0" w:right="0" w:firstLine="480"/>
        <w:keepLines w:val="0"/>
        <w:keepNext w:val="0"/>
        <w:pageBreakBefore w:val="0"/>
        <w:spacing w:line="440" w:lineRule="exact"/>
        <w:rPr>
          <w:rFonts w:hint="eastAsia" w:ascii="仿宋" w:hAnsi="仿宋" w:eastAsia="仿宋" w:cs="仿宋"/>
          <w:bCs/>
          <w:color w:val="000000"/>
          <w:sz w:val="24"/>
          <w:szCs w:val="24"/>
        </w:rPr>
      </w:pPr>
      <w:r/>
      <w:bookmarkStart w:id="41" w:name="_Toc35393795"/>
      <w:r/>
      <w:bookmarkStart w:id="42" w:name="_Toc35393626"/>
      <w:r/>
      <w:bookmarkStart w:id="43" w:name="_Toc13415"/>
      <w:r/>
      <w:bookmarkStart w:id="44" w:name="_Toc38985268"/>
      <w:r>
        <w:rPr>
          <w:rFonts w:hint="eastAsia" w:ascii="仿宋" w:hAnsi="仿宋" w:eastAsia="仿宋" w:cs="仿宋"/>
          <w:bCs/>
          <w:color w:val="000000"/>
          <w:sz w:val="24"/>
          <w:szCs w:val="24"/>
        </w:rPr>
        <w:t xml:space="preserve">磋商公告及磋商文件公告期限为自本公告发布</w:t>
      </w:r>
      <w:r>
        <w:rPr>
          <w:rFonts w:hint="eastAsia" w:ascii="仿宋" w:hAnsi="仿宋" w:eastAsia="仿宋" w:cs="仿宋"/>
          <w:bCs/>
          <w:color w:val="auto"/>
          <w:sz w:val="24"/>
          <w:szCs w:val="24"/>
          <w:highlight w:val="none"/>
        </w:rPr>
        <w:t xml:space="preserve">之日起</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个工作日。</w:t>
      </w:r>
      <w:r>
        <w:rPr>
          <w:rFonts w:hint="eastAsia" w:ascii="仿宋" w:hAnsi="仿宋" w:eastAsia="仿宋" w:cs="仿宋"/>
          <w:bCs/>
          <w:color w:val="000000"/>
          <w:sz w:val="24"/>
          <w:szCs w:val="24"/>
        </w:rPr>
        <w:t xml:space="preserve">采购公告发布媒体：宿迁市政府采购网、</w:t>
      </w:r>
      <w:r>
        <w:rPr>
          <w:rFonts w:hint="eastAsia" w:ascii="仿宋" w:hAnsi="仿宋" w:eastAsia="仿宋" w:cs="仿宋"/>
          <w:bCs/>
          <w:color w:val="000000"/>
          <w:sz w:val="24"/>
          <w:szCs w:val="24"/>
          <w:lang w:val="en-US" w:eastAsia="zh-CN"/>
        </w:rPr>
        <w:t xml:space="preserve">宿迁市公共资源交易平台、</w:t>
      </w:r>
      <w:r>
        <w:rPr>
          <w:rFonts w:hint="eastAsia" w:ascii="仿宋" w:hAnsi="仿宋" w:eastAsia="仿宋" w:cs="仿宋"/>
          <w:bCs/>
          <w:color w:val="000000"/>
          <w:sz w:val="24"/>
          <w:szCs w:val="24"/>
        </w:rPr>
        <w:t xml:space="preserve">江苏省财政部门指定的媒体。</w:t>
      </w:r>
      <w:r/>
    </w:p>
    <w:p>
      <w:pPr>
        <w:pStyle w:val="870"/>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六、其他补充事宜</w:t>
      </w:r>
      <w:bookmarkEnd w:id="41"/>
      <w:r/>
      <w:bookmarkEnd w:id="42"/>
      <w:r/>
      <w:bookmarkEnd w:id="43"/>
      <w:r/>
      <w:bookmarkEnd w:id="44"/>
      <w:r/>
      <w:r/>
    </w:p>
    <w:p>
      <w:pPr>
        <w:ind w:firstLine="480"/>
        <w:spacing w:line="480" w:lineRule="exact"/>
        <w:rPr>
          <w:rFonts w:hint="eastAsia" w:ascii="仿宋" w:hAnsi="仿宋" w:eastAsia="仿宋" w:cs="仿宋"/>
          <w:color w:val="000000"/>
          <w:sz w:val="24"/>
          <w:szCs w:val="24"/>
        </w:rPr>
      </w:pPr>
      <w:r/>
      <w:bookmarkStart w:id="45" w:name="EB64e1f522fd8c43fcb4d3ba471386b3e7"/>
      <w:r/>
      <w:bookmarkStart w:id="46" w:name="_Toc35393627"/>
      <w:r/>
      <w:bookmarkStart w:id="47" w:name="_Toc28359008"/>
      <w:r/>
      <w:bookmarkStart w:id="48" w:name="_Toc35393796"/>
      <w:r/>
      <w:bookmarkStart w:id="49" w:name="_Toc38985269"/>
      <w:r/>
      <w:bookmarkStart w:id="50" w:name="_Toc28359085"/>
      <w:r>
        <w:rPr>
          <w:rFonts w:hint="eastAsia" w:ascii="仿宋" w:hAnsi="仿宋" w:eastAsia="仿宋" w:cs="仿宋"/>
          <w:color w:val="000000"/>
          <w:sz w:val="24"/>
          <w:szCs w:val="24"/>
        </w:rPr>
        <w:t xml:space="preserve">1.招标公告发布媒体：</w:t>
      </w:r>
      <w:bookmarkStart w:id="51" w:name="OLE_LINK3"/>
      <w:r>
        <w:rPr>
          <w:rFonts w:hint="eastAsia" w:ascii="仿宋" w:hAnsi="仿宋" w:eastAsia="仿宋" w:cs="仿宋"/>
          <w:color w:val="000000"/>
          <w:sz w:val="24"/>
          <w:szCs w:val="24"/>
        </w:rPr>
        <w:t xml:space="preserve">江苏政府采购网</w:t>
      </w:r>
      <w:bookmarkEnd w:id="51"/>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3.宿迁地区“苏采云”系统技术支持客服电话：0527-</w:t>
      </w:r>
      <w:r>
        <w:rPr>
          <w:rFonts w:hint="eastAsia" w:ascii="仿宋" w:hAnsi="仿宋" w:eastAsia="仿宋" w:cs="仿宋"/>
          <w:color w:val="000000"/>
          <w:sz w:val="24"/>
          <w:szCs w:val="24"/>
          <w:lang w:val="en-US" w:eastAsia="zh-CN"/>
        </w:rPr>
        <w:t xml:space="preserve">84363067</w:t>
      </w:r>
      <w:r>
        <w:rPr>
          <w:rFonts w:hint="eastAsia" w:ascii="仿宋" w:hAnsi="仿宋" w:eastAsia="仿宋" w:cs="仿宋"/>
          <w:color w:val="000000"/>
          <w:sz w:val="24"/>
          <w:szCs w:val="24"/>
        </w:rPr>
        <w:t xml:space="preserve">、0519-86722806。</w:t>
      </w:r>
      <w:bookmarkEnd w:id="45"/>
      <w:r/>
      <w:r/>
    </w:p>
    <w:p>
      <w:pPr>
        <w:ind w:firstLine="480"/>
        <w:spacing w:line="480" w:lineRule="exact"/>
        <w:rPr>
          <w:rFonts w:hint="eastAsia" w:ascii="仿宋" w:hAnsi="仿宋" w:eastAsia="仿宋" w:cs="仿宋"/>
          <w:color w:val="000000"/>
          <w:sz w:val="24"/>
          <w:szCs w:val="24"/>
        </w:rPr>
      </w:pPr>
      <w:r/>
      <w:bookmarkStart w:id="52" w:name="_Toc29049"/>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质疑渠道：</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登录“苏采云”系统“项目质疑申请”模块向采购人提出，质疑处理联系方式详见“采购人信息”；</w:t>
      </w:r>
      <w:r>
        <w:rPr>
          <w:rFonts w:hint="eastAsia" w:ascii="仿宋" w:hAnsi="仿宋" w:eastAsia="仿宋" w:cs="仿宋"/>
          <w:color w:val="000000"/>
          <w:sz w:val="24"/>
          <w:szCs w:val="24"/>
        </w:rPr>
        <w:t xml:space="preserve">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70"/>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泗洪县信访局</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w:t>
      </w:r>
      <w:r>
        <w:rPr>
          <w:rFonts w:hint="eastAsia" w:ascii="仿宋" w:hAnsi="仿宋" w:eastAsia="仿宋" w:cs="仿宋"/>
          <w:color w:val="000000"/>
          <w:sz w:val="24"/>
          <w:szCs w:val="24"/>
          <w:lang w:val="en-US" w:eastAsia="zh-CN"/>
        </w:rPr>
        <w:t xml:space="preserve">泗洪县体育北路与长江东路交叉口</w:t>
      </w:r>
      <w:r>
        <w:rPr>
          <w:rFonts w:hint="eastAsia" w:ascii="仿宋" w:hAnsi="仿宋" w:eastAsia="仿宋" w:cs="仿宋"/>
          <w:color w:val="000000"/>
          <w:sz w:val="24"/>
          <w:szCs w:val="24"/>
          <w:lang w:val="en-US" w:eastAsia="zh-CN"/>
        </w:rPr>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人：杨烨琼</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3" w:name="_Toc28359086"/>
      <w:r/>
      <w:bookmarkStart w:id="54" w:name="_Toc28359009"/>
      <w:r>
        <w:rPr>
          <w:rFonts w:hint="eastAsia" w:ascii="仿宋" w:hAnsi="仿宋" w:eastAsia="仿宋" w:cs="仿宋"/>
          <w:color w:val="000000"/>
          <w:sz w:val="24"/>
          <w:szCs w:val="24"/>
          <w:lang w:val="en-US" w:eastAsia="zh-CN"/>
        </w:rPr>
        <w:t xml:space="preserve">18951061258</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3"/>
      <w:r/>
      <w:bookmarkEnd w:id="54"/>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称：泗洪县公共资源交易中心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联系方式：18262853445</w:t>
      </w:r>
      <w:r/>
    </w:p>
    <w:p>
      <w:pPr>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5" w:name="_Toc15265"/>
      <w:r/>
      <w:bookmarkStart w:id="56" w:name="_Toc31014"/>
      <w:r/>
      <w:bookmarkStart w:id="57" w:name="_Toc81575153"/>
      <w:r/>
      <w:bookmarkStart w:id="58" w:name="_Toc81575190"/>
      <w:r/>
      <w:bookmarkStart w:id="59" w:name="_Toc11687"/>
      <w:r>
        <w:rPr>
          <w:rFonts w:hint="eastAsia" w:ascii="仿宋" w:hAnsi="仿宋" w:eastAsia="仿宋" w:cs="仿宋"/>
          <w:color w:val="000000"/>
          <w:sz w:val="44"/>
        </w:rPr>
        <w:t xml:space="preserve">第二章  </w:t>
      </w:r>
      <w:r>
        <w:rPr>
          <w:rFonts w:hint="eastAsia" w:ascii="仿宋" w:hAnsi="仿宋" w:eastAsia="仿宋" w:cs="仿宋"/>
          <w:color w:val="000000"/>
          <w:sz w:val="44"/>
          <w:lang w:eastAsia="zh-CN"/>
        </w:rPr>
        <w:t xml:space="preserve">供应商</w:t>
      </w:r>
      <w:r>
        <w:rPr>
          <w:rFonts w:hint="eastAsia" w:ascii="仿宋" w:hAnsi="仿宋" w:eastAsia="仿宋" w:cs="仿宋"/>
          <w:color w:val="000000"/>
          <w:sz w:val="44"/>
        </w:rPr>
        <w:t xml:space="preserve">须知</w:t>
      </w:r>
      <w:bookmarkEnd w:id="55"/>
      <w:r/>
      <w:bookmarkEnd w:id="56"/>
      <w:r/>
      <w:bookmarkEnd w:id="57"/>
      <w:r/>
      <w:bookmarkEnd w:id="58"/>
      <w:r/>
      <w:bookmarkEnd w:id="59"/>
      <w:r/>
      <w:r/>
    </w:p>
    <w:p>
      <w:pPr>
        <w:pStyle w:val="786"/>
        <w:spacing w:before="0" w:line="520" w:lineRule="exact"/>
        <w:rPr>
          <w:rFonts w:hint="eastAsia" w:ascii="仿宋" w:hAnsi="仿宋" w:eastAsia="仿宋" w:cs="仿宋"/>
          <w:b/>
          <w:bCs/>
          <w:sz w:val="32"/>
        </w:rPr>
      </w:pPr>
      <w:r/>
      <w:bookmarkStart w:id="60" w:name="_Toc141869961"/>
      <w:r/>
      <w:bookmarkStart w:id="61" w:name="_Toc20823275"/>
      <w:r/>
      <w:bookmarkStart w:id="62" w:name="_Toc16938519"/>
      <w:r/>
      <w:bookmarkStart w:id="63" w:name="_Toc513029203"/>
      <w:r/>
      <w:bookmarkStart w:id="64" w:name="_Toc120614214"/>
      <w:r/>
      <w:bookmarkStart w:id="65" w:name="_Toc81575164"/>
      <w:r/>
      <w:bookmarkStart w:id="66" w:name="_Toc81575201"/>
      <w:r/>
      <w:bookmarkStart w:id="67" w:name="_Toc12086"/>
      <w:r/>
      <w:bookmarkStart w:id="68" w:name="_Hlk166141273"/>
      <w:r>
        <w:rPr>
          <w:rFonts w:hint="eastAsia" w:ascii="仿宋" w:hAnsi="仿宋" w:eastAsia="仿宋" w:cs="仿宋"/>
          <w:b/>
          <w:bCs/>
          <w:sz w:val="32"/>
        </w:rPr>
        <w:t xml:space="preserve">供应商须知前附表：</w:t>
      </w:r>
      <w:bookmarkEnd w:id="60"/>
      <w:r/>
      <w:r/>
    </w:p>
    <w:tbl>
      <w:tblPr>
        <w:tblStyle w:val="79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98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597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rHeight w:val="724"/>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项目类别</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69" w:name="EB9a5853ee094f4f0ea6ec3169265f6f2c"/>
            <w:r>
              <w:rPr>
                <w:rFonts w:hint="eastAsia" w:ascii="仿宋" w:hAnsi="仿宋" w:eastAsia="仿宋" w:cs="仿宋"/>
                <w:sz w:val="24"/>
                <w:szCs w:val="24"/>
              </w:rPr>
              <w:t xml:space="preserve">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种确定：</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bookmarkEnd w:id="69"/>
            <w:r>
              <w:rPr>
                <w:rFonts w:hint="eastAsia" w:ascii="仿宋" w:hAnsi="仿宋" w:eastAsia="仿宋" w:cs="仿宋"/>
                <w:sz w:val="24"/>
                <w:szCs w:val="24"/>
              </w:rPr>
              <w:t xml:space="preserve">.货物</w:t>
            </w:r>
            <w:bookmarkStart w:id="70" w:name="EBd5c6c026f9674c39b21b31ecd0c1e7fa"/>
            <w:r>
              <w:rPr>
                <w:rFonts w:hint="eastAsia" w:ascii="仿宋" w:hAnsi="仿宋" w:eastAsia="仿宋" w:cs="仿宋"/>
                <w:sz w:val="24"/>
                <w:szCs w:val="24"/>
              </w:rPr>
              <w:t xml:space="preserve">采购；2.</w:t>
            </w:r>
            <w:bookmarkEnd w:id="70"/>
            <w:r>
              <w:rPr>
                <w:rFonts w:hint="eastAsia" w:ascii="仿宋" w:hAnsi="仿宋" w:eastAsia="仿宋" w:cs="仿宋"/>
                <w:sz w:val="24"/>
                <w:szCs w:val="24"/>
              </w:rPr>
              <w:t xml:space="preserve">服务</w:t>
            </w:r>
            <w:bookmarkStart w:id="71" w:name="EBf7d2a4f44ecb4166a93ea852e73be69f"/>
            <w:r>
              <w:rPr>
                <w:rFonts w:hint="eastAsia" w:ascii="仿宋" w:hAnsi="仿宋" w:eastAsia="仿宋" w:cs="仿宋"/>
                <w:sz w:val="24"/>
                <w:szCs w:val="24"/>
              </w:rPr>
              <w:t xml:space="preserve">采购；3.</w:t>
            </w:r>
            <w:bookmarkEnd w:id="71"/>
            <w:r>
              <w:rPr>
                <w:rFonts w:hint="eastAsia" w:ascii="仿宋" w:hAnsi="仿宋" w:eastAsia="仿宋" w:cs="仿宋"/>
                <w:sz w:val="24"/>
                <w:szCs w:val="24"/>
              </w:rPr>
              <w:t xml:space="preserve">工程采购。</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响应有效期</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bookmarkStart w:id="72" w:name="EBf2540e281f614ac8b4efc83b6e64d4d2"/>
            <w:r>
              <w:rPr>
                <w:rFonts w:hint="eastAsia" w:ascii="仿宋" w:hAnsi="仿宋" w:eastAsia="仿宋" w:cs="仿宋"/>
                <w:sz w:val="24"/>
                <w:szCs w:val="24"/>
              </w:rPr>
              <w:t xml:space="preserve">60</w:t>
            </w:r>
            <w:bookmarkEnd w:id="72"/>
            <w:r>
              <w:rPr>
                <w:rFonts w:hint="eastAsia" w:ascii="仿宋" w:hAnsi="仿宋" w:eastAsia="仿宋"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bookmarkStart w:id="73" w:name="OLE_LINK8"/>
            <w:r>
              <w:rPr>
                <w:rFonts w:hint="eastAsia" w:ascii="仿宋" w:hAnsi="仿宋" w:eastAsia="仿宋" w:cs="仿宋"/>
                <w:sz w:val="24"/>
              </w:rPr>
              <w:t xml:space="preserve">应当符合《政</w:t>
            </w:r>
            <w:bookmarkStart w:id="74" w:name="OLE_LINK1"/>
            <w:r>
              <w:rPr>
                <w:rFonts w:hint="eastAsia" w:ascii="仿宋" w:hAnsi="仿宋" w:eastAsia="仿宋" w:cs="仿宋"/>
                <w:sz w:val="24"/>
              </w:rPr>
              <w:t xml:space="preserve">府采购进口产品管理办法</w:t>
            </w:r>
            <w:bookmarkEnd w:id="74"/>
            <w:r>
              <w:rPr>
                <w:rFonts w:hint="eastAsia" w:ascii="仿宋" w:hAnsi="仿宋" w:eastAsia="仿宋" w:cs="仿宋"/>
                <w:sz w:val="24"/>
              </w:rPr>
              <w:t xml:space="preserve">》（财库〔2007〕119号）《关于政府采购进口产品管理有关问题的通知》（财办库〔2008〕248号）等相关规定</w:t>
            </w:r>
            <w:r>
              <w:rPr>
                <w:rFonts w:hint="eastAsia" w:ascii="仿宋" w:hAnsi="仿宋" w:eastAsia="仿宋" w:cs="仿宋"/>
                <w:sz w:val="24"/>
                <w:szCs w:val="24"/>
              </w:rPr>
              <w:t xml:space="preserve">；</w:t>
            </w:r>
            <w:bookmarkEnd w:id="73"/>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评审方法</w:t>
            </w:r>
            <w:r/>
          </w:p>
        </w:tc>
        <w:tc>
          <w:tcPr>
            <w:tcW w:w="5975" w:type="dxa"/>
            <w:vAlign w:val="center"/>
            <w:textDirection w:val="lrTb"/>
            <w:noWrap w:val="false"/>
          </w:tcPr>
          <w:p>
            <w:pPr>
              <w:pStyle w:val="896"/>
              <w:spacing w:line="360" w:lineRule="exact"/>
              <w:rPr>
                <w:rFonts w:hint="eastAsia" w:ascii="仿宋" w:hAnsi="仿宋" w:eastAsia="仿宋" w:cs="仿宋"/>
                <w:sz w:val="24"/>
                <w:szCs w:val="24"/>
              </w:rPr>
            </w:pPr>
            <w:r>
              <w:rPr>
                <w:rFonts w:hint="eastAsia" w:ascii="仿宋" w:hAnsi="仿宋" w:eastAsia="仿宋" w:cs="仿宋"/>
                <w:sz w:val="24"/>
                <w:szCs w:val="24"/>
              </w:rPr>
              <w:t xml:space="preserve">综合评分法。具体细则详见磋商文件评审方法和评审标准部分。</w:t>
            </w:r>
            <w:r/>
          </w:p>
          <w:p>
            <w:pPr>
              <w:pStyle w:val="896"/>
              <w:spacing w:line="360" w:lineRule="exact"/>
              <w:rPr>
                <w:rFonts w:hint="eastAsia" w:ascii="仿宋" w:hAnsi="仿宋" w:eastAsia="仿宋" w:cs="仿宋"/>
                <w:sz w:val="24"/>
              </w:rPr>
            </w:pPr>
            <w:r>
              <w:rPr>
                <w:rFonts w:hint="eastAsia" w:ascii="仿宋" w:hAnsi="仿宋" w:eastAsia="仿宋" w:cs="仿宋"/>
                <w:b/>
                <w:bCs/>
                <w:color w:val="000000"/>
                <w:sz w:val="24"/>
                <w:szCs w:val="24"/>
              </w:rPr>
              <w:t xml:space="preserve">注：本项目采用暗标，项目实施方案不得出现投标单位名称、相关人员姓名和其他可识别投标单位身份的字符、徽标、人员名称等。否则做无效标处理。</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种方式确定成交人：</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bookmarkStart w:id="75"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lang w:val="en-US" w:eastAsia="zh-CN"/>
              </w:rPr>
              <w:t xml:space="preserve">2</w:t>
            </w:r>
            <w:r>
              <w:rPr>
                <w:rFonts w:hint="eastAsia" w:ascii="仿宋" w:hAnsi="仿宋" w:eastAsia="仿宋" w:cs="仿宋"/>
                <w:b/>
                <w:bCs/>
                <w:sz w:val="24"/>
                <w:u w:val="single"/>
              </w:rPr>
              <w:t xml:space="preserve"> </w:t>
            </w:r>
            <w:r>
              <w:rPr>
                <w:rFonts w:hint="eastAsia" w:ascii="仿宋" w:hAnsi="仿宋" w:eastAsia="仿宋" w:cs="仿宋"/>
                <w:sz w:val="24"/>
                <w:szCs w:val="24"/>
              </w:rPr>
              <w:t xml:space="preserve">种方式确定：</w:t>
            </w:r>
            <w:bookmarkEnd w:id="75"/>
            <w:r/>
            <w:r/>
          </w:p>
          <w:p>
            <w:pPr>
              <w:numPr>
                <w:ilvl w:val="255"/>
                <w:numId w:val="0"/>
              </w:num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允许分包。</w:t>
            </w:r>
            <w:r/>
          </w:p>
          <w:p>
            <w:pPr>
              <w:numPr>
                <w:ilvl w:val="255"/>
                <w:numId w:val="0"/>
              </w:num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允许分包的内容：</w:t>
            </w:r>
            <w:r>
              <w:rPr>
                <w:rFonts w:hint="eastAsia" w:ascii="仿宋" w:hAnsi="仿宋" w:eastAsia="仿宋" w:cs="仿宋"/>
                <w:sz w:val="24"/>
                <w:szCs w:val="24"/>
                <w:lang w:val="en-US" w:eastAsia="zh-CN"/>
              </w:rPr>
              <w:t xml:space="preserve">/</w:t>
            </w:r>
            <w:r/>
          </w:p>
          <w:p>
            <w:pPr>
              <w:jc w:val="left"/>
              <w:spacing w:line="360" w:lineRule="exact"/>
              <w:widowControl/>
              <w:rPr>
                <w:rFonts w:hint="eastAsia" w:ascii="仿宋" w:hAnsi="仿宋" w:eastAsia="仿宋" w:cs="仿宋"/>
                <w:sz w:val="24"/>
              </w:rPr>
            </w:pPr>
            <w:r>
              <w:rPr>
                <w:rFonts w:hint="eastAsia" w:ascii="仿宋" w:hAnsi="仿宋" w:eastAsia="仿宋" w:cs="仿宋"/>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本项目不收取代理费</w:t>
            </w:r>
            <w:r/>
          </w:p>
        </w:tc>
      </w:tr>
      <w:tr>
        <w:trPr/>
        <w:tc>
          <w:tcPr>
            <w:tcW w:w="1101"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9</w:t>
            </w:r>
            <w:r/>
          </w:p>
        </w:tc>
        <w:tc>
          <w:tcPr>
            <w:tcW w:w="1984"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highlight w:val="none"/>
                <w:lang w:bidi="ar-SA"/>
              </w:rPr>
              <w:t xml:space="preserve">专家评审劳务报酬支付标准、方式及周期</w:t>
            </w:r>
            <w:r/>
          </w:p>
        </w:tc>
        <w:tc>
          <w:tcPr>
            <w:tcW w:w="5975" w:type="dxa"/>
            <w:vAlign w:val="center"/>
            <w:textDirection w:val="lrTb"/>
            <w:noWrap w:val="false"/>
          </w:tcPr>
          <w:p>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小时计算；连续评审超过8小时，超出部分按200元/人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小时计算。)。费用由</w:t>
            </w:r>
            <w:r>
              <w:rPr>
                <w:rFonts w:hint="eastAsia" w:ascii="仿宋" w:hAnsi="仿宋" w:eastAsia="仿宋" w:cs="仿宋"/>
                <w:color w:val="auto"/>
                <w:sz w:val="24"/>
                <w:highlight w:val="none"/>
                <w:lang w:val="en-US" w:eastAsia="zh-CN" w:bidi="ar-SA"/>
              </w:rPr>
              <w:t xml:space="preserve">泗洪县公共资源交易中心</w:t>
            </w:r>
            <w:r>
              <w:rPr>
                <w:rFonts w:hint="eastAsia" w:ascii="仿宋" w:hAnsi="仿宋" w:eastAsia="仿宋" w:cs="仿宋"/>
                <w:color w:val="auto"/>
                <w:sz w:val="24"/>
                <w:highlight w:val="none"/>
                <w:lang w:eastAsia="zh-CN" w:bidi="ar-SA"/>
              </w:rPr>
              <w:t xml:space="preserve">通过预算一体化系统支付评审费，支付周期不超过评审结束后25个工作日。</w:t>
            </w:r>
            <w:r/>
          </w:p>
        </w:tc>
      </w:tr>
      <w:tr>
        <w:trPr>
          <w:trHeight w:val="604"/>
        </w:trPr>
        <w:tc>
          <w:tcPr>
            <w:tcW w:w="110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color w:val="auto"/>
                <w:sz w:val="24"/>
                <w:highlight w:val="none"/>
                <w:lang w:bidi="ar-SA"/>
              </w:rPr>
              <w:t xml:space="preserve">10</w:t>
            </w:r>
            <w:r/>
          </w:p>
        </w:tc>
        <w:tc>
          <w:tcPr>
            <w:tcW w:w="1984"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其他</w:t>
            </w:r>
            <w:r/>
          </w:p>
        </w:tc>
        <w:tc>
          <w:tcPr>
            <w:shd w:val="clear" w:color="auto" w:fill="auto"/>
            <w:tcW w:w="5975" w:type="dxa"/>
            <w:vAlign w:val="center"/>
            <w:textDirection w:val="lrTb"/>
            <w:noWrap w:val="false"/>
          </w:tcPr>
          <w:p>
            <w:pPr>
              <w:jc w:val="left"/>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r/>
          </w:p>
        </w:tc>
      </w:tr>
    </w:tbl>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t xml:space="preserve">一、总则</w:t>
      </w:r>
      <w:bookmarkEnd w:id="61"/>
      <w:r/>
      <w:bookmarkEnd w:id="62"/>
      <w:r/>
      <w:bookmarkEnd w:id="63"/>
      <w:r/>
      <w:bookmarkEnd w:id="64"/>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76" w:name="_Hlt16619475"/>
      <w:r/>
      <w:bookmarkEnd w:id="76"/>
      <w:r/>
      <w:bookmarkStart w:id="77" w:name="_Toc458694821"/>
      <w:r/>
      <w:bookmarkStart w:id="78" w:name="_Toc513029204"/>
      <w:r/>
      <w:bookmarkStart w:id="79" w:name="_Toc16938520"/>
      <w:r/>
      <w:bookmarkStart w:id="80" w:name="_Toc20823276"/>
      <w:r>
        <w:rPr>
          <w:rFonts w:hint="eastAsia" w:ascii="仿宋" w:hAnsi="仿宋" w:eastAsia="仿宋" w:cs="仿宋"/>
          <w:b/>
          <w:bCs/>
          <w:color w:val="000000"/>
          <w:sz w:val="24"/>
          <w:szCs w:val="24"/>
        </w:rPr>
        <w:t xml:space="preserve">1</w:t>
      </w:r>
      <w:bookmarkEnd w:id="77"/>
      <w:r>
        <w:rPr>
          <w:rFonts w:hint="eastAsia" w:ascii="仿宋" w:hAnsi="仿宋" w:eastAsia="仿宋" w:cs="仿宋"/>
          <w:b/>
          <w:bCs/>
          <w:color w:val="000000"/>
          <w:sz w:val="24"/>
          <w:szCs w:val="24"/>
        </w:rPr>
        <w:t xml:space="preserve">、采购方式</w:t>
      </w:r>
      <w:bookmarkEnd w:id="78"/>
      <w:r/>
      <w:bookmarkEnd w:id="79"/>
      <w:r/>
      <w:bookmarkEnd w:id="8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本次政府采购活动采取竞争性磋商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以下简称磋商)方式，本磋商文件仅适用于磋商公告中所述项目。</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1" w:name="_Toc20823277"/>
      <w:r/>
      <w:bookmarkStart w:id="82" w:name="_Toc16938521"/>
      <w:r/>
      <w:bookmarkStart w:id="83" w:name="_Toc513029205"/>
      <w:r>
        <w:rPr>
          <w:rFonts w:hint="eastAsia" w:ascii="仿宋" w:hAnsi="仿宋" w:eastAsia="仿宋" w:cs="仿宋"/>
          <w:b/>
          <w:bCs/>
          <w:color w:val="000000"/>
          <w:sz w:val="24"/>
          <w:szCs w:val="24"/>
        </w:rPr>
        <w:t xml:space="preserve">2、合格的</w:t>
      </w:r>
      <w:bookmarkEnd w:id="81"/>
      <w:r/>
      <w:bookmarkEnd w:id="82"/>
      <w:r/>
      <w:bookmarkEnd w:id="83"/>
      <w:r>
        <w:rPr>
          <w:rFonts w:hint="eastAsia" w:ascii="仿宋" w:hAnsi="仿宋" w:eastAsia="仿宋" w:cs="仿宋"/>
          <w:b/>
          <w:bCs/>
          <w:color w:val="000000"/>
          <w:sz w:val="24"/>
          <w:szCs w:val="24"/>
        </w:rPr>
        <w:t xml:space="preserve">供应商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2.1满足磋商公告中供应商资格要求的规定。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 满足本磋商文件实质性要求和条件的规定。</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4" w:name="_Toc16938522"/>
      <w:r/>
      <w:bookmarkStart w:id="85" w:name="_Toc513029206"/>
      <w:r/>
      <w:bookmarkStart w:id="86" w:name="_Toc20823278"/>
      <w:r>
        <w:rPr>
          <w:rFonts w:hint="eastAsia" w:ascii="仿宋" w:hAnsi="仿宋" w:eastAsia="仿宋" w:cs="仿宋"/>
          <w:b/>
          <w:bCs/>
          <w:color w:val="000000"/>
          <w:sz w:val="24"/>
          <w:szCs w:val="24"/>
        </w:rPr>
        <w:t xml:space="preserve">3、适用法律</w:t>
      </w:r>
      <w:bookmarkEnd w:id="84"/>
      <w:r/>
      <w:bookmarkEnd w:id="85"/>
      <w:r/>
      <w:bookmarkEnd w:id="86"/>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 本次磋商及由此产生的合同受中华人民共和国有关的法律法规制约和保护。</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7" w:name="_Toc20823279"/>
      <w:r/>
      <w:bookmarkStart w:id="88" w:name="_Toc16938523"/>
      <w:r/>
      <w:bookmarkStart w:id="89" w:name="_Toc462564067"/>
      <w:r/>
      <w:bookmarkStart w:id="90" w:name="_Toc513029207"/>
      <w:r>
        <w:rPr>
          <w:rFonts w:hint="eastAsia" w:ascii="仿宋" w:hAnsi="仿宋" w:eastAsia="仿宋" w:cs="仿宋"/>
          <w:b/>
          <w:bCs/>
          <w:color w:val="000000"/>
          <w:sz w:val="24"/>
          <w:szCs w:val="24"/>
        </w:rPr>
        <w:t xml:space="preserve">4、磋商费用</w:t>
      </w:r>
      <w:bookmarkEnd w:id="87"/>
      <w:r/>
      <w:bookmarkEnd w:id="88"/>
      <w:r/>
      <w:bookmarkEnd w:id="89"/>
      <w:r/>
      <w:bookmarkEnd w:id="9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4.2代理费用收取方式及标准：按以下第</w:t>
      </w:r>
      <w:r>
        <w:rPr>
          <w:rFonts w:hint="eastAsia" w:ascii="仿宋" w:hAnsi="仿宋" w:eastAsia="仿宋" w:cs="仿宋"/>
          <w:color w:val="000000"/>
          <w:sz w:val="24"/>
          <w:szCs w:val="24"/>
          <w:highlight w:val="none"/>
          <w:u w:val="single"/>
        </w:rPr>
        <w:t xml:space="preserve"> 4.2.2 </w:t>
      </w:r>
      <w:r>
        <w:rPr>
          <w:rFonts w:hint="eastAsia" w:ascii="仿宋" w:hAnsi="仿宋" w:eastAsia="仿宋" w:cs="仿宋"/>
          <w:color w:val="000000"/>
          <w:sz w:val="24"/>
          <w:szCs w:val="24"/>
        </w:rPr>
        <w:t xml:space="preserve">种方式执行</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4.2.1无需支付；</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zh-CN"/>
        </w:rPr>
        <w:t xml:space="preserve">4.2.2具体方式及标准为：</w:t>
      </w:r>
      <w:r>
        <w:rPr>
          <w:rFonts w:hint="eastAsia" w:ascii="仿宋" w:hAnsi="仿宋" w:eastAsia="仿宋" w:cs="仿宋"/>
          <w:color w:val="000000"/>
          <w:sz w:val="24"/>
          <w:szCs w:val="24"/>
          <w:u w:val="single"/>
          <w:lang w:val="zh-CN" w:eastAsia="zh-CN"/>
        </w:rPr>
        <w:t xml:space="preserve">本项目不收取代理费</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5、磋商文件的约束力</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91" w:name="_Toc513029209"/>
      <w:r/>
      <w:bookmarkStart w:id="92" w:name="_Toc120614215"/>
      <w:r/>
      <w:bookmarkStart w:id="93" w:name="_Toc16938525"/>
      <w:r/>
      <w:bookmarkStart w:id="94" w:name="_Toc20823281"/>
      <w:r>
        <w:rPr>
          <w:rFonts w:hint="eastAsia" w:ascii="仿宋" w:hAnsi="仿宋" w:eastAsia="仿宋" w:cs="仿宋"/>
          <w:b/>
          <w:bCs/>
          <w:color w:val="000000"/>
          <w:sz w:val="24"/>
          <w:szCs w:val="24"/>
        </w:rPr>
        <w:t xml:space="preserve">二、</w:t>
      </w:r>
      <w:bookmarkEnd w:id="91"/>
      <w:r/>
      <w:bookmarkEnd w:id="92"/>
      <w:r/>
      <w:bookmarkEnd w:id="93"/>
      <w:r/>
      <w:bookmarkEnd w:id="94"/>
      <w:r>
        <w:rPr>
          <w:rFonts w:hint="eastAsia" w:ascii="仿宋" w:hAnsi="仿宋" w:eastAsia="仿宋" w:cs="仿宋"/>
          <w:b/>
          <w:bCs/>
          <w:color w:val="000000"/>
          <w:sz w:val="24"/>
          <w:szCs w:val="24"/>
        </w:rPr>
        <w:t xml:space="preserve">磋商文件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5" w:name="_Toc16938526"/>
      <w:r/>
      <w:bookmarkStart w:id="96" w:name="_Toc20823282"/>
      <w:r/>
      <w:bookmarkStart w:id="97" w:name="_Toc513029210"/>
      <w:r>
        <w:rPr>
          <w:rFonts w:hint="eastAsia" w:ascii="仿宋" w:hAnsi="仿宋" w:eastAsia="仿宋" w:cs="仿宋"/>
          <w:b/>
          <w:bCs/>
          <w:color w:val="000000"/>
          <w:sz w:val="24"/>
          <w:szCs w:val="24"/>
        </w:rPr>
        <w:t xml:space="preserve">6、磋商文件构成</w:t>
      </w:r>
      <w:bookmarkEnd w:id="95"/>
      <w:r/>
      <w:bookmarkEnd w:id="96"/>
      <w:r/>
      <w:bookmarkEnd w:id="9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请仔细检查磋商文件是否齐全，如有缺漏请立即与采购代理机构联系解决。</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6.2</w:t>
      </w:r>
      <w:r>
        <w:rPr>
          <w:rFonts w:hint="eastAsia" w:ascii="仿宋" w:hAnsi="仿宋" w:eastAsia="仿宋" w:cs="仿宋"/>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8" w:name="_Toc20823283"/>
      <w:r/>
      <w:bookmarkStart w:id="99" w:name="_Toc16938527"/>
      <w:r/>
      <w:bookmarkStart w:id="100" w:name="_Toc462564070"/>
      <w:r/>
      <w:bookmarkStart w:id="101" w:name="_Toc513029211"/>
      <w:r>
        <w:rPr>
          <w:rFonts w:hint="eastAsia" w:ascii="仿宋" w:hAnsi="仿宋" w:eastAsia="仿宋" w:cs="仿宋"/>
          <w:b/>
          <w:bCs/>
          <w:color w:val="000000"/>
          <w:sz w:val="24"/>
          <w:szCs w:val="24"/>
        </w:rPr>
        <w:t xml:space="preserve">7、磋商文件的澄清</w:t>
      </w:r>
      <w:bookmarkEnd w:id="98"/>
      <w:r/>
      <w:bookmarkEnd w:id="99"/>
      <w:r/>
      <w:bookmarkEnd w:id="100"/>
      <w:r/>
      <w:bookmarkEnd w:id="101"/>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7.1</w:t>
      </w:r>
      <w:r>
        <w:rPr>
          <w:rFonts w:hint="eastAsia" w:ascii="仿宋" w:hAnsi="仿宋" w:eastAsia="仿宋" w:cs="仿宋"/>
          <w:color w:val="000000"/>
          <w:sz w:val="24"/>
          <w:szCs w:val="24"/>
        </w:rPr>
        <w:t xml:space="preserve">任何要求对磋商文件进行澄清的供应商，应在磋商截止期5日前按磋商公告中的通讯地址，以书面形式通知采购代理机构。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02" w:name="_Toc462564071"/>
      <w:r/>
      <w:bookmarkStart w:id="103" w:name="_Toc513029212"/>
      <w:r/>
      <w:bookmarkStart w:id="104" w:name="_Toc20823284"/>
      <w:r/>
      <w:bookmarkStart w:id="105" w:name="_Toc16938528"/>
      <w:r>
        <w:rPr>
          <w:rFonts w:hint="eastAsia" w:ascii="仿宋" w:hAnsi="仿宋" w:eastAsia="仿宋" w:cs="仿宋"/>
          <w:b/>
          <w:bCs/>
          <w:color w:val="000000"/>
          <w:sz w:val="24"/>
          <w:szCs w:val="24"/>
        </w:rPr>
        <w:t xml:space="preserve">8、磋商文件的澄清和修改</w:t>
      </w:r>
      <w:bookmarkEnd w:id="102"/>
      <w:r/>
      <w:bookmarkEnd w:id="103"/>
      <w:r/>
      <w:bookmarkEnd w:id="104"/>
      <w:r/>
      <w:bookmarkEnd w:id="105"/>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至少5日前发出；不足5日的，采购代理机构应当顺延</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8.2</w:t>
      </w:r>
      <w:r>
        <w:rPr>
          <w:rFonts w:hint="eastAsia" w:ascii="仿宋" w:hAnsi="仿宋" w:eastAsia="仿宋" w:cs="仿宋"/>
          <w:color w:val="000000"/>
          <w:sz w:val="24"/>
          <w:szCs w:val="24"/>
        </w:rPr>
        <w:t xml:space="preserve">在响应文件提交截止时间前</w:t>
      </w:r>
      <w:r>
        <w:rPr>
          <w:rFonts w:hint="eastAsia" w:ascii="仿宋" w:hAnsi="仿宋" w:eastAsia="仿宋" w:cs="仿宋"/>
          <w:bCs/>
          <w:color w:val="000000"/>
          <w:sz w:val="24"/>
          <w:szCs w:val="24"/>
        </w:rPr>
        <w:t xml:space="preserve">，采购代理机构可以对磋商文件进行修改。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8.3采购代理机构有权按照法定的要求推迟响应文件递交截止日期和磋商日期。</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8.4磋商文件的修改将在原公告媒体上发布更正公告，</w:t>
      </w:r>
      <w:r>
        <w:rPr>
          <w:rFonts w:hint="eastAsia" w:ascii="仿宋" w:hAnsi="仿宋" w:eastAsia="仿宋" w:cs="仿宋"/>
          <w:color w:val="000000"/>
          <w:sz w:val="24"/>
          <w:szCs w:val="24"/>
        </w:rPr>
        <w:t xml:space="preserve">更正公告内容将作为磋商文件的组成部分</w:t>
      </w:r>
      <w:r>
        <w:rPr>
          <w:rFonts w:hint="eastAsia" w:ascii="仿宋" w:hAnsi="仿宋" w:eastAsia="仿宋" w:cs="仿宋"/>
          <w:bCs/>
          <w:color w:val="000000"/>
          <w:sz w:val="24"/>
          <w:szCs w:val="24"/>
        </w:rPr>
        <w:t xml:space="preserve">，并对供应商具有约束力，发布的更正公告视同为以书面形式通知所有获取</w:t>
      </w:r>
      <w:r>
        <w:rPr>
          <w:rFonts w:hint="eastAsia" w:ascii="仿宋" w:hAnsi="仿宋" w:eastAsia="仿宋" w:cs="仿宋"/>
          <w:bCs/>
          <w:color w:val="000000"/>
          <w:sz w:val="24"/>
          <w:szCs w:val="24"/>
          <w:lang w:eastAsia="zh-CN"/>
        </w:rPr>
        <w:t xml:space="preserve">磋商文件</w:t>
      </w:r>
      <w:r>
        <w:rPr>
          <w:rFonts w:hint="eastAsia" w:ascii="仿宋" w:hAnsi="仿宋" w:eastAsia="仿宋" w:cs="仿宋"/>
          <w:bCs/>
          <w:color w:val="000000"/>
          <w:sz w:val="24"/>
          <w:szCs w:val="24"/>
        </w:rPr>
        <w:t xml:space="preserve">的潜在</w:t>
      </w: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8.5供应商应及时登录“苏采云”系统获取澄清答疑文件（修改后磋商文件），如因供应商原因未能及时下载澄清和修改后的磋商文件，由</w:t>
      </w:r>
      <w:r>
        <w:rPr>
          <w:rFonts w:hint="eastAsia" w:ascii="仿宋" w:hAnsi="仿宋" w:eastAsia="仿宋" w:cs="仿宋"/>
          <w:color w:val="000000"/>
          <w:sz w:val="24"/>
          <w:szCs w:val="24"/>
        </w:rPr>
        <w:t xml:space="preserve">此造成的相关责任，由供应商承担。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06" w:name="_Toc16938529"/>
      <w:r/>
      <w:bookmarkStart w:id="107" w:name="_Toc462564072"/>
      <w:r/>
      <w:bookmarkStart w:id="108" w:name="_Toc120614216"/>
      <w:r/>
      <w:bookmarkStart w:id="109" w:name="_Toc513029213"/>
      <w:r/>
      <w:bookmarkStart w:id="110" w:name="_Toc20823285"/>
      <w:r>
        <w:rPr>
          <w:rFonts w:hint="eastAsia" w:ascii="仿宋" w:hAnsi="仿宋" w:eastAsia="仿宋" w:cs="仿宋"/>
          <w:b/>
          <w:bCs/>
          <w:color w:val="000000"/>
          <w:sz w:val="24"/>
          <w:szCs w:val="24"/>
        </w:rPr>
        <w:t xml:space="preserve">三、响应文件的编制</w:t>
      </w:r>
      <w:bookmarkEnd w:id="106"/>
      <w:r/>
      <w:bookmarkEnd w:id="107"/>
      <w:r/>
      <w:bookmarkEnd w:id="108"/>
      <w:r/>
      <w:bookmarkEnd w:id="109"/>
      <w:r/>
      <w:bookmarkEnd w:id="110"/>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1" w:name="_Toc20823286"/>
      <w:r/>
      <w:bookmarkStart w:id="112" w:name="_Toc513029214"/>
      <w:r/>
      <w:bookmarkStart w:id="113" w:name="_Toc16938530"/>
      <w:r/>
      <w:bookmarkStart w:id="114" w:name="_Toc462564073"/>
      <w:r>
        <w:rPr>
          <w:rFonts w:hint="eastAsia" w:ascii="仿宋" w:hAnsi="仿宋" w:eastAsia="仿宋" w:cs="仿宋"/>
          <w:b/>
          <w:bCs/>
          <w:color w:val="000000"/>
          <w:sz w:val="24"/>
          <w:szCs w:val="24"/>
        </w:rPr>
        <w:t xml:space="preserve">9、响应文件的语言及度量衡单位</w:t>
      </w:r>
      <w:bookmarkEnd w:id="111"/>
      <w:r/>
      <w:bookmarkEnd w:id="112"/>
      <w:r/>
      <w:bookmarkEnd w:id="113"/>
      <w:r/>
      <w:bookmarkEnd w:id="114"/>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9.1</w:t>
      </w:r>
      <w:r>
        <w:rPr>
          <w:rFonts w:hint="eastAsia" w:ascii="仿宋" w:hAnsi="仿宋" w:eastAsia="仿宋" w:cs="仿宋"/>
          <w:color w:val="000000"/>
          <w:sz w:val="24"/>
          <w:szCs w:val="24"/>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9.2</w:t>
      </w:r>
      <w:r>
        <w:rPr>
          <w:rFonts w:hint="eastAsia" w:ascii="仿宋" w:hAnsi="仿宋" w:eastAsia="仿宋" w:cs="仿宋"/>
          <w:color w:val="000000"/>
          <w:sz w:val="24"/>
          <w:szCs w:val="24"/>
        </w:rPr>
        <w:t xml:space="preserve"> 除技术性能另有规定外，响应文件所使用的度量衡单位，均须采用国家法定计量单位。</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5" w:name="_Toc16938531"/>
      <w:r/>
      <w:bookmarkStart w:id="116" w:name="_Toc462564074"/>
      <w:r/>
      <w:bookmarkStart w:id="117" w:name="_Toc513029215"/>
      <w:r/>
      <w:bookmarkStart w:id="118" w:name="_Toc20823287"/>
      <w:r>
        <w:rPr>
          <w:rFonts w:hint="eastAsia" w:ascii="仿宋" w:hAnsi="仿宋" w:eastAsia="仿宋" w:cs="仿宋"/>
          <w:b/>
          <w:bCs/>
          <w:color w:val="000000"/>
          <w:sz w:val="24"/>
          <w:szCs w:val="24"/>
        </w:rPr>
        <w:t xml:space="preserve">10、响应文件构成</w:t>
      </w:r>
      <w:bookmarkEnd w:id="115"/>
      <w:r/>
      <w:bookmarkEnd w:id="116"/>
      <w:r/>
      <w:bookmarkEnd w:id="117"/>
      <w:r/>
      <w:bookmarkEnd w:id="11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各供应商在编制</w:t>
      </w:r>
      <w:r>
        <w:rPr>
          <w:rFonts w:hint="eastAsia" w:ascii="仿宋" w:hAnsi="仿宋" w:eastAsia="仿宋" w:cs="仿宋"/>
          <w:bCs/>
          <w:color w:val="000000"/>
          <w:sz w:val="24"/>
          <w:szCs w:val="24"/>
        </w:rPr>
        <w:t xml:space="preserve">响应文件</w:t>
      </w:r>
      <w:r>
        <w:rPr>
          <w:rFonts w:hint="eastAsia" w:ascii="仿宋" w:hAnsi="仿宋" w:eastAsia="仿宋" w:cs="仿宋"/>
          <w:bCs/>
          <w:color w:val="000000"/>
          <w:sz w:val="24"/>
          <w:szCs w:val="24"/>
          <w:lang w:val="zh-CN"/>
        </w:rPr>
        <w:t xml:space="preserve">时请按照磋商文件</w:t>
      </w:r>
      <w:r>
        <w:rPr>
          <w:rFonts w:hint="eastAsia" w:ascii="仿宋" w:hAnsi="仿宋" w:eastAsia="仿宋" w:cs="仿宋"/>
          <w:bCs/>
          <w:color w:val="000000"/>
          <w:sz w:val="24"/>
          <w:szCs w:val="24"/>
          <w:highlight w:val="none"/>
          <w:lang w:val="zh-CN"/>
        </w:rPr>
        <w:t xml:space="preserve">第六</w:t>
      </w:r>
      <w:r>
        <w:rPr>
          <w:rFonts w:hint="eastAsia" w:ascii="仿宋" w:hAnsi="仿宋" w:eastAsia="仿宋" w:cs="仿宋"/>
          <w:bCs/>
          <w:color w:val="000000"/>
          <w:sz w:val="24"/>
          <w:szCs w:val="24"/>
          <w:highlight w:val="none"/>
        </w:rPr>
        <w:t xml:space="preserve">章</w:t>
      </w:r>
      <w:r>
        <w:rPr>
          <w:rFonts w:hint="eastAsia" w:ascii="仿宋" w:hAnsi="仿宋" w:eastAsia="仿宋" w:cs="仿宋"/>
          <w:bCs/>
          <w:color w:val="000000"/>
          <w:sz w:val="24"/>
          <w:szCs w:val="24"/>
          <w:lang w:val="zh-CN"/>
        </w:rPr>
        <w:t xml:space="preserve">规定的格式进行，混乱的编排导致</w:t>
      </w:r>
      <w:r>
        <w:rPr>
          <w:rFonts w:hint="eastAsia" w:ascii="仿宋" w:hAnsi="仿宋" w:eastAsia="仿宋" w:cs="仿宋"/>
          <w:bCs/>
          <w:color w:val="000000"/>
          <w:sz w:val="24"/>
          <w:szCs w:val="24"/>
        </w:rPr>
        <w:t xml:space="preserve">响应</w:t>
      </w:r>
      <w:r>
        <w:rPr>
          <w:rFonts w:hint="eastAsia" w:ascii="仿宋" w:hAnsi="仿宋" w:eastAsia="仿宋" w:cs="仿宋"/>
          <w:bCs/>
          <w:color w:val="000000"/>
          <w:sz w:val="24"/>
          <w:szCs w:val="24"/>
          <w:lang w:val="zh-CN"/>
        </w:rPr>
        <w:t xml:space="preserve">文件被误读或磋商小组查找不到有效文件是供应商的风险。</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10.2供应商编写的响应文件应包括资格证明文件、分项报价表、响应及偏离表、其他证明文件、磋商申请及声明函、开标一览表等部分。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10.3响应文件须加盖电子签章之处，应按要求加盖</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数字证书的电子签章。其他需要盖章但未明确要求电子签章的，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可按要求加盖公章后上传材料电子件或直接加盖电子签章。 </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10.4本项目通过“苏采云”系统进行电子招标投标，即</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，按照无效响应处理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因“苏采云”系统导致解密失败的除外)。</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10.5如标书制作工具</w:t>
      </w:r>
      <w:r>
        <w:rPr>
          <w:rFonts w:hint="eastAsia" w:ascii="仿宋" w:hAnsi="仿宋" w:eastAsia="仿宋" w:cs="仿宋"/>
          <w:bCs/>
          <w:color w:val="000000"/>
          <w:sz w:val="24"/>
          <w:szCs w:val="24"/>
          <w:lang w:eastAsia="zh-CN"/>
        </w:rPr>
        <w:t xml:space="preserve">中的</w:t>
      </w:r>
      <w:r>
        <w:rPr>
          <w:rFonts w:hint="eastAsia" w:ascii="仿宋" w:hAnsi="仿宋" w:eastAsia="仿宋" w:cs="仿宋"/>
          <w:bCs/>
          <w:color w:val="000000"/>
          <w:sz w:val="24"/>
          <w:szCs w:val="24"/>
        </w:rPr>
        <w:t xml:space="preserve">格式和内容与“宿迁市政府采购网”发布的磋商文件不一致，请以“宿迁市政府采购网”发布的磋商文件为准。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10.6成交后按相关要求提供与电子响应文件一致的纸质打印响应文件</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份。 </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19" w:name="EBc50e2bb832bb43068403b10c1cce6141"/>
      <w:r>
        <w:rPr>
          <w:rFonts w:hint="eastAsia" w:ascii="仿宋" w:hAnsi="仿宋" w:eastAsia="仿宋" w:cs="仿宋"/>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20" w:name="_Hlt26954838"/>
      <w:r/>
      <w:bookmarkEnd w:id="120"/>
      <w:r/>
      <w:bookmarkStart w:id="121" w:name="_Hlt26670360"/>
      <w:r/>
      <w:bookmarkEnd w:id="121"/>
      <w:r/>
      <w:bookmarkStart w:id="122" w:name="_Hlt26668975"/>
      <w:r/>
      <w:bookmarkEnd w:id="122"/>
      <w:r/>
      <w:bookmarkStart w:id="123" w:name="_Toc14577357"/>
      <w:r/>
      <w:bookmarkStart w:id="124" w:name="_Toc14577354"/>
      <w:r/>
      <w:bookmarkStart w:id="125" w:name="_Toc513029216"/>
      <w:r/>
      <w:bookmarkStart w:id="126" w:name="_Toc49090507"/>
      <w:r/>
      <w:bookmarkStart w:id="127" w:name="_Toc513029219"/>
      <w:r/>
      <w:bookmarkStart w:id="128" w:name="_Toc49090509"/>
      <w:r/>
      <w:bookmarkStart w:id="129" w:name="_Toc14577355"/>
      <w:r/>
      <w:bookmarkStart w:id="130" w:name="_Toc49090508"/>
      <w:r>
        <w:rPr>
          <w:rFonts w:hint="eastAsia" w:ascii="仿宋" w:hAnsi="仿宋" w:eastAsia="仿宋" w:cs="仿宋"/>
          <w:b/>
          <w:bCs/>
          <w:color w:val="000000"/>
          <w:sz w:val="24"/>
          <w:szCs w:val="24"/>
        </w:rPr>
        <w:t xml:space="preserve">11、证明磋商响应标的符合磋商文件规定的文件</w:t>
      </w:r>
      <w:bookmarkEnd w:id="123"/>
      <w:r/>
      <w:bookmarkEnd w:id="124"/>
      <w:r/>
      <w:bookmarkEnd w:id="125"/>
      <w:r/>
      <w:bookmarkEnd w:id="126"/>
      <w:r/>
      <w:bookmarkEnd w:id="127"/>
      <w:r/>
      <w:bookmarkEnd w:id="128"/>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11.1供应商应按照磋商文件要求提交证明文件，证明其及磋商响应标的符合磋商文件规定。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29"/>
      <w:r/>
      <w:bookmarkEnd w:id="130"/>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12、分项报价表</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12.1</w:t>
      </w:r>
      <w:r>
        <w:rPr>
          <w:rFonts w:hint="eastAsia" w:ascii="仿宋" w:hAnsi="仿宋" w:eastAsia="仿宋" w:cs="仿宋"/>
          <w:color w:val="000000"/>
          <w:sz w:val="24"/>
          <w:szCs w:val="24"/>
        </w:rPr>
        <w:t xml:space="preserve">供应商应按照磋商文件规定格式填报分项报价表。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w:t>
      </w:r>
      <w:r>
        <w:rPr>
          <w:rFonts w:hint="eastAsia" w:ascii="仿宋" w:hAnsi="仿宋" w:eastAsia="仿宋" w:cs="仿宋"/>
          <w:bCs/>
          <w:color w:val="000000"/>
          <w:sz w:val="24"/>
          <w:szCs w:val="24"/>
        </w:rPr>
        <w:t xml:space="preserve">磋商货币。响应文件中的单价和总价无特殊规定的采用人民币报价，以元为单位标注</w:t>
      </w:r>
      <w:r>
        <w:rPr>
          <w:rFonts w:hint="eastAsia" w:ascii="仿宋" w:hAnsi="仿宋" w:eastAsia="仿宋" w:cs="仿宋"/>
          <w:bCs/>
          <w:color w:val="000000"/>
          <w:sz w:val="24"/>
          <w:szCs w:val="24"/>
          <w:lang w:eastAsia="zh-CN"/>
        </w:rPr>
        <w:t xml:space="preserve">，</w:t>
      </w:r>
      <w:r>
        <w:rPr>
          <w:rFonts w:hint="eastAsia" w:ascii="仿宋" w:hAnsi="仿宋" w:eastAsia="仿宋" w:cs="仿宋"/>
          <w:sz w:val="24"/>
        </w:rPr>
        <w:t xml:space="preserve">最多保留至小数点后两位</w:t>
      </w:r>
      <w:r>
        <w:rPr>
          <w:rFonts w:hint="eastAsia" w:ascii="仿宋" w:hAnsi="仿宋" w:eastAsia="仿宋" w:cs="仿宋"/>
          <w:sz w:val="24"/>
          <w:lang w:eastAsia="zh-CN"/>
        </w:rPr>
        <w:t xml:space="preserve">，</w:t>
      </w:r>
      <w:r>
        <w:rPr>
          <w:rFonts w:hint="eastAsia" w:ascii="仿宋" w:hAnsi="仿宋" w:eastAsia="仿宋" w:cs="仿宋"/>
          <w:color w:val="000000"/>
          <w:sz w:val="24"/>
          <w:szCs w:val="24"/>
        </w:rPr>
        <w:t xml:space="preserve">磋商文件中另有规定的按规定执行。</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12.</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本项目不接受备选的投标方案或有选择的报价，只允许有一个报价。供应商响应文件中的报价作为首次报价，不公开；以最后报价作为评审价</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投标报价内容包括：</w:t>
      </w:r>
      <w:bookmarkStart w:id="131" w:name="_Hlt26670486"/>
      <w:r/>
      <w:bookmarkEnd w:id="131"/>
      <w:r/>
      <w:bookmarkStart w:id="132" w:name="_Hlt26954848"/>
      <w:r/>
      <w:bookmarkEnd w:id="132"/>
      <w:r/>
      <w:bookmarkStart w:id="133" w:name="_Hlt26954731"/>
      <w:r/>
      <w:bookmarkEnd w:id="133"/>
      <w:r/>
      <w:bookmarkStart w:id="134" w:name="_Hlt26670482"/>
      <w:r/>
      <w:bookmarkEnd w:id="134"/>
      <w:r/>
      <w:bookmarkStart w:id="135" w:name="_Hlt26954846"/>
      <w:r/>
      <w:bookmarkEnd w:id="135"/>
      <w:r>
        <w:rPr>
          <w:rFonts w:hint="eastAsia" w:ascii="仿宋" w:hAnsi="仿宋" w:eastAsia="仿宋" w:cs="仿宋"/>
          <w:bCs/>
          <w:color w:val="000000"/>
          <w:sz w:val="24"/>
          <w:szCs w:val="24"/>
        </w:rPr>
        <w:t xml:space="preserve">完成本项工作所需的人员工资及社保等以及服务过程中涉及到的其他一切费用。</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13、技术要求响应及偏离表、商务要求响应及偏离表</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bCs/>
          <w:color w:val="000000"/>
          <w:sz w:val="24"/>
          <w:szCs w:val="24"/>
          <w:lang w:val="zh-CN"/>
        </w:rPr>
        <w:t xml:space="preserve">13.1</w:t>
      </w:r>
      <w:r>
        <w:rPr>
          <w:rFonts w:hint="eastAsia" w:ascii="仿宋" w:hAnsi="仿宋" w:eastAsia="仿宋" w:cs="仿宋"/>
          <w:color w:val="000000"/>
          <w:sz w:val="24"/>
          <w:szCs w:val="24"/>
          <w:lang w:val="zh-CN"/>
        </w:rPr>
        <w:t xml:space="preserve">供应商需对磋商文件中的技术要求与商务要求逐项作出响应或偏离，并说明原因。</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13.2供应商可在响应文件中提供认为需要的其他技术文件或说明。</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14、服务承诺、培训计划、人员安排及其他</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供应商需根据磋商文件要求提供有关售后服务的管理制度，售后服务机构的分布情况，售后服务人员的数量、素质、技术水平及售后服务的反应能力等。</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14.2供应商需根据磋商文件要求提供培训计划。</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14.3供应商需根据磋商文件要求提供</w:t>
      </w:r>
      <w:r>
        <w:rPr>
          <w:rFonts w:hint="eastAsia" w:ascii="仿宋" w:hAnsi="仿宋" w:eastAsia="仿宋" w:cs="仿宋"/>
          <w:color w:val="000000"/>
          <w:sz w:val="24"/>
          <w:szCs w:val="24"/>
          <w:lang w:val="zh-CN"/>
        </w:rPr>
        <w:t xml:space="preserve">磋商响应标的的主要组成部分、功能设计、实现思路及关键技术等。</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6" w:name="_Toc49090510"/>
      <w:r/>
      <w:bookmarkStart w:id="137" w:name="_Toc14577359"/>
      <w:r>
        <w:rPr>
          <w:rFonts w:hint="eastAsia" w:ascii="仿宋" w:hAnsi="仿宋" w:eastAsia="仿宋" w:cs="仿宋"/>
          <w:b/>
          <w:bCs/>
          <w:color w:val="000000"/>
          <w:sz w:val="24"/>
          <w:szCs w:val="24"/>
        </w:rPr>
        <w:t xml:space="preserve">15、磋商响应函</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15.1</w:t>
      </w:r>
      <w:r>
        <w:rPr>
          <w:rFonts w:hint="eastAsia" w:ascii="仿宋" w:hAnsi="仿宋" w:eastAsia="仿宋" w:cs="仿宋"/>
          <w:color w:val="000000"/>
          <w:sz w:val="24"/>
          <w:szCs w:val="24"/>
        </w:rPr>
        <w:t xml:space="preserve">供应商应按照磋商文件中提供的格式完整、正确填写磋商响应函。</w:t>
      </w:r>
      <w:bookmarkEnd w:id="136"/>
      <w:r/>
      <w:bookmarkEnd w:id="137"/>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8" w:name="_Toc14577360"/>
      <w:r/>
      <w:bookmarkStart w:id="139" w:name="_Toc49090511"/>
      <w:r>
        <w:rPr>
          <w:rFonts w:hint="eastAsia" w:ascii="仿宋" w:hAnsi="仿宋" w:eastAsia="仿宋" w:cs="仿宋"/>
          <w:b/>
          <w:bCs/>
          <w:color w:val="000000"/>
          <w:sz w:val="24"/>
          <w:szCs w:val="24"/>
        </w:rPr>
        <w:t xml:space="preserve">16、磋商有效期</w:t>
      </w:r>
      <w:bookmarkEnd w:id="138"/>
      <w:r/>
      <w:bookmarkEnd w:id="139"/>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16.1磋商有效期为提交响应文件截止之日后</w:t>
      </w:r>
      <w:r>
        <w:rPr>
          <w:rFonts w:hint="eastAsia" w:ascii="仿宋" w:hAnsi="仿宋" w:eastAsia="仿宋" w:cs="仿宋"/>
          <w:b/>
          <w:color w:val="000000"/>
          <w:sz w:val="24"/>
          <w:szCs w:val="24"/>
          <w:u w:val="single"/>
        </w:rPr>
        <w:t xml:space="preserve">六十（60）天</w:t>
      </w:r>
      <w:r>
        <w:rPr>
          <w:rFonts w:hint="eastAsia" w:ascii="仿宋" w:hAnsi="仿宋" w:eastAsia="仿宋" w:cs="仿宋"/>
          <w:bCs/>
          <w:color w:val="000000"/>
          <w:sz w:val="24"/>
          <w:szCs w:val="24"/>
        </w:rPr>
        <w:t xml:space="preserve">。磋商有效期比规定短的将被视为非实质性响应磋商文件而予以拒绝。</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17、磋商有效期的延长</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17.1在特殊情况下，</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17.2</w:t>
      </w:r>
      <w:r>
        <w:rPr>
          <w:rFonts w:hint="eastAsia" w:ascii="仿宋" w:hAnsi="仿宋" w:eastAsia="仿宋" w:cs="仿宋"/>
          <w:color w:val="000000"/>
          <w:sz w:val="24"/>
          <w:szCs w:val="24"/>
        </w:rPr>
        <w:t xml:space="preserve">成交人的响应文件作为项目合同的附件，其有效期至成交人全部合同义务履行完毕为止。</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40" w:name="_Hlt26954852"/>
      <w:r/>
      <w:bookmarkEnd w:id="140"/>
      <w:r/>
      <w:bookmarkStart w:id="141" w:name="_Hlt26954739"/>
      <w:r/>
      <w:bookmarkEnd w:id="141"/>
      <w:r/>
      <w:bookmarkStart w:id="142" w:name="_Toc20823296"/>
      <w:r/>
      <w:bookmarkStart w:id="143" w:name="_Toc120614217"/>
      <w:r/>
      <w:bookmarkStart w:id="144" w:name="_Toc513029224"/>
      <w:r/>
      <w:bookmarkStart w:id="145" w:name="_Toc16938540"/>
      <w:r>
        <w:rPr>
          <w:rFonts w:hint="eastAsia" w:ascii="仿宋" w:hAnsi="仿宋" w:eastAsia="仿宋" w:cs="仿宋"/>
          <w:b/>
          <w:bCs/>
          <w:color w:val="000000"/>
          <w:sz w:val="24"/>
          <w:szCs w:val="24"/>
        </w:rPr>
        <w:t xml:space="preserve">四、响应文件的递交</w:t>
      </w:r>
      <w:bookmarkEnd w:id="142"/>
      <w:r/>
      <w:bookmarkEnd w:id="143"/>
      <w:r/>
      <w:bookmarkEnd w:id="144"/>
      <w:r/>
      <w:bookmarkEnd w:id="145"/>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46" w:name="_Toc16938541"/>
      <w:r/>
      <w:bookmarkStart w:id="147" w:name="_Toc20823297"/>
      <w:r/>
      <w:bookmarkStart w:id="148" w:name="_Toc513029225"/>
      <w:r/>
      <w:bookmarkStart w:id="149" w:name="_Toc462564084"/>
      <w:r>
        <w:rPr>
          <w:rFonts w:hint="eastAsia" w:ascii="仿宋" w:hAnsi="仿宋" w:eastAsia="仿宋" w:cs="仿宋"/>
          <w:b/>
          <w:bCs/>
          <w:color w:val="000000"/>
          <w:sz w:val="24"/>
          <w:szCs w:val="24"/>
        </w:rPr>
        <w:t xml:space="preserve">18、电子磋商</w:t>
      </w:r>
      <w:bookmarkEnd w:id="146"/>
      <w:r/>
      <w:bookmarkEnd w:id="147"/>
      <w:r/>
      <w:bookmarkEnd w:id="148"/>
      <w:r/>
      <w:bookmarkEnd w:id="149"/>
      <w:r>
        <w:rPr>
          <w:rFonts w:hint="eastAsia" w:ascii="仿宋" w:hAnsi="仿宋" w:eastAsia="仿宋" w:cs="仿宋"/>
          <w:b/>
          <w:bCs/>
          <w:color w:val="000000"/>
          <w:sz w:val="24"/>
          <w:szCs w:val="24"/>
        </w:rPr>
        <w:t xml:space="preserve">响应文件的递交</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18.1供应商应当按照《操作手册》规定，在提交响应文件截止时间前制作并上传电子响应文件。</w:t>
      </w:r>
      <w:bookmarkStart w:id="150" w:name="_Toc513029226"/>
      <w:r/>
      <w:bookmarkStart w:id="151" w:name="_Toc16938542"/>
      <w:r/>
      <w:bookmarkStart w:id="152" w:name="_Toc20823298"/>
      <w:r/>
      <w:r/>
    </w:p>
    <w:p>
      <w:pPr>
        <w:ind w:left="0" w:right="0" w:firstLine="480"/>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18.2</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通过“苏采云”系统不见面开标大厅在线参与开标活动。（具体操作详见《“苏采云”系统</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操作手册》，网址链接http://www.ccgp-jiangsu.gov.cn//webfile/jiangsu/202311/1699268553318052447.pdf）</w:t>
      </w:r>
      <w:r>
        <w:rPr>
          <w:rFonts w:hint="eastAsia" w:ascii="仿宋" w:hAnsi="仿宋" w:eastAsia="仿宋" w:cs="仿宋"/>
          <w:color w:val="000000"/>
          <w:sz w:val="24"/>
          <w:szCs w:val="24"/>
          <w:lang w:eastAsia="zh-CN"/>
        </w:rPr>
        <w:t xml:space="preserve">。</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rPr>
          <w:rFonts w:hint="eastAsia" w:ascii="仿宋" w:hAnsi="仿宋" w:eastAsia="仿宋" w:cs="仿宋"/>
          <w:b/>
          <w:bCs w:val="0"/>
          <w:color w:val="000000"/>
          <w:sz w:val="24"/>
          <w:szCs w:val="24"/>
        </w:rPr>
        <w:t xml:space="preserve">19、提交响应文件截止时间</w:t>
      </w:r>
      <w:bookmarkEnd w:id="150"/>
      <w:r/>
      <w:bookmarkEnd w:id="151"/>
      <w:r/>
      <w:bookmarkEnd w:id="152"/>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19.1供应商上传电子响应文件的时间不得迟于磋商公告中规定的提交响应文件截止时间。</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19.2采购代理机构</w:t>
      </w:r>
      <w:r>
        <w:rPr>
          <w:rFonts w:hint="eastAsia" w:ascii="仿宋" w:hAnsi="仿宋" w:eastAsia="仿宋" w:cs="仿宋"/>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3" w:name="_Toc513029227"/>
      <w:r/>
      <w:bookmarkStart w:id="154" w:name="_Toc20823299"/>
      <w:r/>
      <w:bookmarkStart w:id="155" w:name="_Toc16938543"/>
      <w:r>
        <w:rPr>
          <w:rFonts w:hint="eastAsia" w:ascii="仿宋" w:hAnsi="仿宋" w:eastAsia="仿宋" w:cs="仿宋"/>
          <w:b/>
          <w:bCs/>
          <w:color w:val="000000"/>
          <w:sz w:val="24"/>
          <w:szCs w:val="24"/>
        </w:rPr>
        <w:t xml:space="preserve">20、响应文件</w:t>
      </w:r>
      <w:bookmarkEnd w:id="153"/>
      <w:r/>
      <w:bookmarkEnd w:id="154"/>
      <w:r/>
      <w:bookmarkEnd w:id="155"/>
      <w:r>
        <w:rPr>
          <w:rFonts w:hint="eastAsia" w:ascii="仿宋" w:hAnsi="仿宋" w:eastAsia="仿宋" w:cs="仿宋"/>
          <w:b/>
          <w:bCs/>
          <w:color w:val="000000"/>
          <w:sz w:val="24"/>
          <w:szCs w:val="24"/>
        </w:rPr>
        <w:t xml:space="preserve">的拒收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20.1 </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6" w:name="_Toc513029228"/>
      <w:r/>
      <w:bookmarkStart w:id="157" w:name="_Toc20823300"/>
      <w:r/>
      <w:bookmarkStart w:id="158" w:name="_Toc16938544"/>
      <w:r>
        <w:rPr>
          <w:rFonts w:hint="eastAsia" w:ascii="仿宋" w:hAnsi="仿宋" w:eastAsia="仿宋" w:cs="仿宋"/>
          <w:b/>
          <w:bCs/>
          <w:color w:val="000000"/>
          <w:sz w:val="24"/>
          <w:szCs w:val="24"/>
        </w:rPr>
        <w:t xml:space="preserve">21、响应文件的撤回和修改</w:t>
      </w:r>
      <w:bookmarkEnd w:id="156"/>
      <w:r/>
      <w:bookmarkEnd w:id="157"/>
      <w:r/>
      <w:bookmarkEnd w:id="158"/>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21.1.1电子响应文件的撤回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截止时间前，撤回其电子响应文件，具体操作方法见《操作手册》。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.1供应商可在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截止时间前，对其电子响应文件进行修改，具体操作方法见《操作手册》。</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bCs/>
          <w:color w:val="000000"/>
          <w:sz w:val="24"/>
          <w:szCs w:val="24"/>
        </w:rPr>
        <w:t xml:space="preserve">在提交响应文件截止时间之后，供应商不得对其电子响应文件</w:t>
      </w:r>
      <w:r>
        <w:rPr>
          <w:rFonts w:hint="eastAsia" w:ascii="仿宋" w:hAnsi="仿宋" w:eastAsia="仿宋" w:cs="仿宋"/>
          <w:bCs/>
          <w:color w:val="000000"/>
          <w:sz w:val="24"/>
          <w:szCs w:val="24"/>
          <w:lang w:eastAsia="zh-CN"/>
        </w:rPr>
        <w:t xml:space="preserve">做</w:t>
      </w:r>
      <w:r>
        <w:rPr>
          <w:rFonts w:hint="eastAsia" w:ascii="仿宋" w:hAnsi="仿宋" w:eastAsia="仿宋" w:cs="仿宋"/>
          <w:bCs/>
          <w:color w:val="000000"/>
          <w:sz w:val="24"/>
          <w:szCs w:val="24"/>
        </w:rPr>
        <w:t xml:space="preserve">任何修改。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3</w:t>
      </w:r>
      <w:r>
        <w:rPr>
          <w:rFonts w:hint="eastAsia" w:ascii="仿宋" w:hAnsi="仿宋" w:eastAsia="仿宋" w:cs="仿宋"/>
          <w:bCs/>
          <w:color w:val="000000"/>
          <w:sz w:val="24"/>
          <w:szCs w:val="24"/>
        </w:rPr>
        <w:t xml:space="preserve">在提交响应文件截止时间至磋商文件中规定的磋商有效期满之间的这段时间内，供应商不得撤回其响应文件。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59" w:name="_Toc16938545"/>
      <w:r/>
      <w:bookmarkStart w:id="160" w:name="_Toc513029229"/>
      <w:r/>
      <w:bookmarkStart w:id="161" w:name="_Toc120614218"/>
      <w:r/>
      <w:bookmarkStart w:id="162" w:name="_Toc20823301"/>
      <w:r>
        <w:rPr>
          <w:rFonts w:hint="eastAsia" w:ascii="仿宋" w:hAnsi="仿宋" w:eastAsia="仿宋" w:cs="仿宋"/>
          <w:b/>
          <w:bCs/>
          <w:color w:val="000000"/>
          <w:sz w:val="24"/>
          <w:szCs w:val="24"/>
        </w:rPr>
        <w:t xml:space="preserve">五、响应文件的解密与评审</w:t>
      </w:r>
      <w:bookmarkEnd w:id="159"/>
      <w:r/>
      <w:bookmarkEnd w:id="160"/>
      <w:r/>
      <w:bookmarkEnd w:id="161"/>
      <w:r/>
      <w:bookmarkEnd w:id="162"/>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3" w:name="_Toc20823302"/>
      <w:r/>
      <w:bookmarkStart w:id="164" w:name="_Toc513029230"/>
      <w:r/>
      <w:bookmarkStart w:id="165" w:name="_Toc16938546"/>
      <w:r>
        <w:rPr>
          <w:rFonts w:hint="eastAsia" w:ascii="仿宋" w:hAnsi="仿宋" w:eastAsia="仿宋" w:cs="仿宋"/>
          <w:b/>
          <w:bCs/>
          <w:color w:val="000000"/>
          <w:sz w:val="24"/>
          <w:szCs w:val="24"/>
        </w:rPr>
        <w:t xml:space="preserve">22、</w:t>
      </w:r>
      <w:bookmarkEnd w:id="163"/>
      <w:r/>
      <w:bookmarkEnd w:id="164"/>
      <w:r/>
      <w:bookmarkEnd w:id="165"/>
      <w:r>
        <w:rPr>
          <w:rFonts w:hint="eastAsia" w:ascii="仿宋" w:hAnsi="仿宋" w:eastAsia="仿宋" w:cs="仿宋"/>
          <w:b/>
          <w:bCs/>
          <w:color w:val="000000"/>
          <w:sz w:val="24"/>
          <w:szCs w:val="24"/>
        </w:rPr>
        <w:t xml:space="preserve">响应文件解密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22.1供应商应当按照《“苏采云”系统供应商操作手册》规定，参加磋商活动和在苏采云系统规定的时间内对磋商响应文件进行解密。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6" w:name="_Toc513029231"/>
      <w:r/>
      <w:bookmarkStart w:id="167" w:name="_Toc20823303"/>
      <w:r/>
      <w:bookmarkStart w:id="168" w:name="_Toc16938547"/>
      <w:r>
        <w:rPr>
          <w:rFonts w:hint="eastAsia" w:ascii="仿宋" w:hAnsi="仿宋" w:eastAsia="仿宋" w:cs="仿宋"/>
          <w:b/>
          <w:bCs/>
          <w:color w:val="000000"/>
          <w:sz w:val="24"/>
          <w:szCs w:val="24"/>
        </w:rPr>
        <w:t xml:space="preserve">23、磋商小组</w:t>
      </w:r>
      <w:r/>
    </w:p>
    <w:p>
      <w:pPr>
        <w:ind w:left="0" w:right="0" w:firstLine="48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23.1采购代理机构将组织磋商小组对响应文件进行评审。磋商小组由采购人代表和有关技术、经济等方面的专家组成，且人员构成符合政府采购有关规定。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w:t>
      </w:r>
      <w:r>
        <w:rPr>
          <w:rFonts w:hint="eastAsia" w:ascii="仿宋" w:hAnsi="仿宋" w:eastAsia="仿宋" w:cs="仿宋"/>
          <w:color w:val="000000"/>
          <w:sz w:val="24"/>
          <w:szCs w:val="24"/>
          <w:lang w:eastAsia="zh-CN"/>
        </w:rPr>
        <w:t xml:space="preserve">候选人</w:t>
      </w:r>
      <w:r>
        <w:rPr>
          <w:rFonts w:hint="eastAsia" w:ascii="仿宋" w:hAnsi="仿宋" w:eastAsia="仿宋" w:cs="仿宋"/>
          <w:color w:val="000000"/>
          <w:sz w:val="24"/>
          <w:szCs w:val="24"/>
        </w:rPr>
        <w:t xml:space="preserve">。</w:t>
      </w:r>
      <w:r/>
    </w:p>
    <w:p>
      <w:pPr>
        <w:ind w:left="0" w:right="0" w:firstLine="482"/>
        <w:keepLines/>
        <w:keepNext/>
        <w:pageBreakBefore w:val="0"/>
        <w:spacing w:line="440" w:lineRule="exact"/>
        <w:widowControl w:val="off"/>
        <w:rPr>
          <w:rFonts w:hint="eastAsia" w:ascii="仿宋" w:hAnsi="仿宋" w:eastAsia="仿宋" w:cs="仿宋"/>
          <w:color w:val="000000"/>
          <w:sz w:val="24"/>
          <w:szCs w:val="24"/>
        </w:rPr>
        <w:outlineLvl w:val="3"/>
      </w:pPr>
      <w:r>
        <w:rPr>
          <w:rFonts w:hint="eastAsia" w:ascii="仿宋" w:hAnsi="仿宋" w:eastAsia="仿宋" w:cs="仿宋"/>
          <w:b/>
          <w:bCs/>
          <w:color w:val="000000"/>
          <w:sz w:val="24"/>
          <w:szCs w:val="24"/>
        </w:rPr>
        <w:t xml:space="preserve">24、评审过程的保密与公正</w:t>
      </w:r>
      <w:bookmarkEnd w:id="166"/>
      <w:r/>
      <w:bookmarkEnd w:id="167"/>
      <w:r/>
      <w:bookmarkEnd w:id="16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24.1</w:t>
      </w:r>
      <w:r>
        <w:rPr>
          <w:rFonts w:hint="eastAsia" w:ascii="仿宋" w:hAnsi="仿宋" w:eastAsia="仿宋" w:cs="仿宋"/>
          <w:bCs/>
          <w:color w:val="000000"/>
          <w:sz w:val="24"/>
          <w:szCs w:val="24"/>
        </w:rPr>
        <w:t xml:space="preserve">磋商小组、采购人和</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工作人员、相关监督人员等与评审工作有关的人员，对评审情况以及在评审过程中获悉的国家秘密、商业秘密负有保密责任。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24.2在评审过程中，供应商不得以任何行为影响磋商评审过程，否则其响应文件将被</w:t>
      </w:r>
      <w:r>
        <w:rPr>
          <w:rFonts w:hint="eastAsia" w:ascii="仿宋" w:hAnsi="仿宋" w:eastAsia="仿宋" w:cs="仿宋"/>
          <w:color w:val="000000"/>
          <w:sz w:val="24"/>
          <w:szCs w:val="24"/>
          <w:lang w:eastAsia="zh-CN"/>
        </w:rPr>
        <w:t xml:space="preserve">视为</w:t>
      </w:r>
      <w:r>
        <w:rPr>
          <w:rFonts w:hint="eastAsia" w:ascii="仿宋" w:hAnsi="仿宋" w:eastAsia="仿宋" w:cs="仿宋"/>
          <w:color w:val="000000"/>
          <w:sz w:val="24"/>
          <w:szCs w:val="24"/>
        </w:rPr>
        <w:t xml:space="preserve">无效响应文件。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24.3在项目评审期间，采购代理机构将设专门人员与供应商联系。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24.4 采购代理机构和磋商小组不向未成交的供应商解释未成交原因，也不公布评审过程中的相关细节。</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9" w:name="_Toc20823304"/>
      <w:r/>
      <w:bookmarkStart w:id="170" w:name="_Toc513029232"/>
      <w:r/>
      <w:bookmarkStart w:id="171" w:name="_Toc16938548"/>
      <w:r>
        <w:rPr>
          <w:rFonts w:hint="eastAsia" w:ascii="仿宋" w:hAnsi="仿宋" w:eastAsia="仿宋" w:cs="仿宋"/>
          <w:b/>
          <w:bCs/>
          <w:color w:val="000000"/>
          <w:sz w:val="24"/>
          <w:szCs w:val="24"/>
        </w:rPr>
        <w:t xml:space="preserve">25、评审过程</w:t>
      </w:r>
      <w:r>
        <w:rPr>
          <w:rFonts w:hint="eastAsia" w:ascii="仿宋" w:hAnsi="仿宋" w:eastAsia="仿宋" w:cs="仿宋"/>
          <w:b/>
          <w:bCs/>
          <w:color w:val="000000"/>
          <w:sz w:val="24"/>
          <w:szCs w:val="24"/>
          <w:lang w:eastAsia="zh-CN"/>
        </w:rPr>
        <w:t xml:space="preserve">中的</w:t>
      </w:r>
      <w:r>
        <w:rPr>
          <w:rFonts w:hint="eastAsia" w:ascii="仿宋" w:hAnsi="仿宋" w:eastAsia="仿宋" w:cs="仿宋"/>
          <w:b/>
          <w:bCs/>
          <w:color w:val="000000"/>
          <w:sz w:val="24"/>
          <w:szCs w:val="24"/>
        </w:rPr>
        <w:t xml:space="preserve">澄清</w:t>
      </w:r>
      <w:bookmarkEnd w:id="169"/>
      <w:r/>
      <w:bookmarkEnd w:id="170"/>
      <w:r/>
      <w:bookmarkEnd w:id="171"/>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仿宋" w:hAnsi="仿宋" w:eastAsia="仿宋" w:cs="仿宋"/>
          <w:color w:val="000000"/>
          <w:sz w:val="24"/>
          <w:szCs w:val="24"/>
          <w:lang w:eastAsia="zh-CN"/>
        </w:rPr>
        <w:t xml:space="preserve">系统</w:t>
      </w:r>
      <w:r>
        <w:rPr>
          <w:rFonts w:hint="eastAsia" w:ascii="仿宋" w:hAnsi="仿宋" w:eastAsia="仿宋" w:cs="仿宋"/>
          <w:color w:val="000000"/>
          <w:sz w:val="24"/>
          <w:szCs w:val="24"/>
        </w:rPr>
        <w:t xml:space="preserve">提交“澄清响应函”并加盖CA电子公章。澄清、说明和更正的内容作为响应文件的补充部分，具体操作方式见《操作手册》。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25.3接到磋商小组澄清、说明和更正要求的供应商如未按规定</w:t>
      </w:r>
      <w:r>
        <w:rPr>
          <w:rFonts w:hint="eastAsia" w:ascii="仿宋" w:hAnsi="仿宋" w:eastAsia="仿宋" w:cs="仿宋"/>
          <w:color w:val="000000"/>
          <w:sz w:val="24"/>
          <w:szCs w:val="24"/>
          <w:lang w:eastAsia="zh-CN"/>
        </w:rPr>
        <w:t xml:space="preserve">作出</w:t>
      </w:r>
      <w:r>
        <w:rPr>
          <w:rFonts w:hint="eastAsia" w:ascii="仿宋" w:hAnsi="仿宋" w:eastAsia="仿宋" w:cs="仿宋"/>
          <w:color w:val="000000"/>
          <w:sz w:val="24"/>
          <w:szCs w:val="24"/>
        </w:rPr>
        <w:t xml:space="preserve">澄清、说明和 更正，其风险由供应商自行承担。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72" w:name="_Toc513029233"/>
      <w:r/>
      <w:bookmarkStart w:id="173" w:name="_Toc16938549"/>
      <w:r/>
      <w:bookmarkStart w:id="174" w:name="_Toc20823305"/>
      <w:r>
        <w:rPr>
          <w:rFonts w:hint="eastAsia" w:ascii="仿宋" w:hAnsi="仿宋" w:eastAsia="仿宋" w:cs="仿宋"/>
          <w:b/>
          <w:bCs/>
          <w:color w:val="000000"/>
          <w:sz w:val="24"/>
          <w:szCs w:val="24"/>
        </w:rPr>
        <w:t xml:space="preserve">26、对响应文件的审</w:t>
      </w:r>
      <w:bookmarkEnd w:id="172"/>
      <w:r/>
      <w:bookmarkEnd w:id="173"/>
      <w:r/>
      <w:bookmarkEnd w:id="174"/>
      <w:r>
        <w:rPr>
          <w:rFonts w:hint="eastAsia" w:ascii="仿宋" w:hAnsi="仿宋" w:eastAsia="仿宋" w:cs="仿宋"/>
          <w:b/>
          <w:bCs/>
          <w:color w:val="000000"/>
          <w:sz w:val="24"/>
          <w:szCs w:val="24"/>
        </w:rPr>
        <w:t xml:space="preserve">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26.1</w:t>
      </w:r>
      <w:r>
        <w:rPr>
          <w:rFonts w:hint="eastAsia" w:ascii="仿宋" w:hAnsi="仿宋" w:eastAsia="仿宋" w:cs="仿宋"/>
          <w:bCs/>
          <w:color w:val="000000"/>
          <w:sz w:val="24"/>
          <w:szCs w:val="24"/>
        </w:rPr>
        <w:t xml:space="preserve">响应文件审查分为资格审查和符合性审查。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26.1.1资格审查：由磋商小组依据法律法规和磋商文件的规定，对响应文件中的资格证明文件进行审查，以确定供应商是否具备参加磋商的资格。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磋商小组在进行资格审查的同时，将在“信用中国”网站（www.creditchina.gov.cn）查询供应商的信用记录，以确定供应商是否具备磋商资格</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查询结果留存并归档。</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联合体成员中任何一方存在不良信用记录的，视同联合体存在不良应用记录。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26.1.3未通过资格审查或符合性审查的供应商，磋商小组将在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中告知未通过资格审查或符合性审查的原因，评审结束后，磋商小组将不再告知未通过资格审查或符合性审查的原因。</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26.3未实质性响应磋商文件的情形</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26.3.1供应商在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26.3.2供应商未按照磋商文件要求上传电子响应文件的。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26.3.3同一供应商提交两个（含两个）以上不同的响应文件或者最后报价的。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26.3.4供应商不具备磋商文件中规定资格要求的。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26.3.5供应商的最后报价超过了采购预算。</w:t>
      </w:r>
      <w:r/>
    </w:p>
    <w:p>
      <w:pPr>
        <w:ind w:left="0" w:right="0" w:firstLine="480"/>
        <w:pageBreakBefore w:val="0"/>
        <w:spacing w:line="44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rPr>
        <w:t xml:space="preserve">26.3.6不符合磋商文件中规定的实质性要求和条件的</w:t>
      </w:r>
      <w:r>
        <w:rPr>
          <w:rFonts w:hint="eastAsia" w:ascii="仿宋" w:hAnsi="仿宋" w:eastAsia="仿宋" w:cs="仿宋"/>
          <w:bCs/>
          <w:caps w:val="0"/>
          <w:color w:val="000000"/>
          <w:sz w:val="24"/>
          <w:szCs w:val="24"/>
          <w:highlight w:val="none"/>
        </w:rPr>
        <w:t xml:space="preserve">（</w:t>
      </w:r>
      <w:r>
        <w:rPr>
          <w:rFonts w:hint="eastAsia" w:ascii="仿宋" w:hAnsi="仿宋" w:eastAsia="仿宋" w:cs="仿宋"/>
          <w:bCs/>
          <w:i/>
          <w:caps w:val="0"/>
          <w:color w:val="000000"/>
          <w:sz w:val="24"/>
          <w:szCs w:val="24"/>
          <w:highlight w:val="none"/>
          <w:u w:val="single"/>
        </w:rPr>
        <w:t xml:space="preserve">加斜体下划线内容或打“★”内容</w:t>
      </w:r>
      <w:r>
        <w:rPr>
          <w:rFonts w:hint="eastAsia" w:ascii="仿宋" w:hAnsi="仿宋" w:eastAsia="仿宋" w:cs="仿宋"/>
          <w:bCs/>
          <w:i/>
          <w:caps w:val="0"/>
          <w:color w:val="000000"/>
          <w:sz w:val="24"/>
          <w:szCs w:val="24"/>
          <w:highlight w:val="none"/>
          <w:u w:val="single"/>
          <w:lang w:val="en-US" w:eastAsia="zh-CN"/>
        </w:rPr>
        <w:t xml:space="preserve">为实质性</w:t>
      </w:r>
      <w:r>
        <w:rPr>
          <w:rFonts w:hint="eastAsia" w:ascii="仿宋" w:hAnsi="仿宋" w:eastAsia="仿宋" w:cs="仿宋"/>
          <w:bCs/>
          <w:i/>
          <w:caps w:val="0"/>
          <w:color w:val="000000"/>
          <w:sz w:val="24"/>
          <w:szCs w:val="24"/>
          <w:highlight w:val="none"/>
          <w:u w:val="single"/>
        </w:rPr>
        <w:t xml:space="preserve">要求和条件）。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26.3.8响应文件含有采购人不能接受的附加条件的。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26.3.9本项目采购产品被财政部、国家发改委、生态环境部等列入“节能产品品目清单</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26.3.10响应文件未按照磋商文件要求加盖CA电子公章的。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26.4未实质性响应磋商文件的响应文件按无效响应处理。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26.5</w:t>
      </w:r>
      <w:r>
        <w:rPr>
          <w:rFonts w:hint="eastAsia" w:ascii="仿宋" w:hAnsi="仿宋" w:eastAsia="仿宋" w:cs="仿宋"/>
          <w:bCs/>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75" w:name="_Toc16938550"/>
      <w:r/>
      <w:bookmarkStart w:id="176" w:name="_Toc20823306"/>
      <w:r/>
      <w:bookmarkStart w:id="177" w:name="_Toc513029234"/>
      <w:r>
        <w:rPr>
          <w:rFonts w:hint="eastAsia" w:ascii="仿宋" w:hAnsi="仿宋" w:eastAsia="仿宋" w:cs="仿宋"/>
          <w:color w:val="000000"/>
          <w:sz w:val="24"/>
          <w:szCs w:val="24"/>
        </w:rPr>
        <w:t xml:space="preserve">26.6供应商在项目评审全过程中应保持通讯畅通，并安排专人与采购代理机构及磋商小组联系。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27、</w:t>
      </w:r>
      <w:bookmarkEnd w:id="175"/>
      <w:r/>
      <w:bookmarkEnd w:id="176"/>
      <w:r/>
      <w:bookmarkEnd w:id="177"/>
      <w:r>
        <w:rPr>
          <w:rFonts w:hint="eastAsia" w:ascii="仿宋" w:hAnsi="仿宋" w:eastAsia="仿宋" w:cs="仿宋"/>
          <w:b/>
          <w:bCs/>
          <w:color w:val="000000"/>
          <w:sz w:val="24"/>
          <w:szCs w:val="24"/>
        </w:rPr>
        <w:t xml:space="preserve">磋商程序及评审方法和评审标准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w:t>
      </w:r>
      <w:r>
        <w:rPr>
          <w:rFonts w:hint="eastAsia" w:ascii="仿宋" w:hAnsi="仿宋" w:eastAsia="仿宋" w:cs="仿宋"/>
          <w:color w:val="000000"/>
          <w:sz w:val="24"/>
          <w:szCs w:val="24"/>
          <w:lang w:eastAsia="zh-CN"/>
        </w:rPr>
        <w:t xml:space="preserve">式管</w:t>
      </w:r>
      <w:r>
        <w:rPr>
          <w:rFonts w:hint="eastAsia" w:ascii="仿宋" w:hAnsi="仿宋" w:eastAsia="仿宋" w:cs="仿宋"/>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否则视为未提交最后报价。已提交响应文件的供应商，在提交最后报价之前，可以根据磋商情况退出磋商，并在苏采云系统中提交“退出磋商函”并加盖CA电子公章。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27.3采购活动终止的情况</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27.3.1因情况变化，不再符合规定的竞争性磋商采购方式适用情形的。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27.3.2出现影响采购公正的违法、违规行为的。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27.3.4在苏采云系统规定时间内成功解密电子响应文件的供应商不足3家的。</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27.3.5</w:t>
      </w:r>
      <w:r>
        <w:rPr>
          <w:rFonts w:hint="eastAsia" w:ascii="仿宋" w:hAnsi="仿宋" w:eastAsia="仿宋" w:cs="仿宋"/>
          <w:b/>
          <w:bCs/>
          <w:color w:val="000000"/>
          <w:sz w:val="24"/>
          <w:szCs w:val="24"/>
        </w:rPr>
        <w:t xml:space="preserve">评审过程中出现下列情形之一的，评审委员会应当启动异常低价投标（响应）审查程序： </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（1）投标报价低于全部通过符合性审查供应商投标报价平均值50%的，即投标报价&lt;全部通过符合性审查供应商投标报价平均值×50%；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（2）投标报价低于通过符合性审查的次低报价供应商投标报价50%的，即投标报价&lt;通过符合性审查的次低报价供应商投标报价×50%；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（3）投标报价低于采购项目最高限价45%的，即投标报价&lt;采购项目最高限价×45%；</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（4）评标委员会基于专业判断，认为供应商报价过低，有可能</w:t>
      </w:r>
      <w:r>
        <w:rPr>
          <w:rFonts w:hint="eastAsia" w:ascii="仿宋" w:hAnsi="仿宋" w:eastAsia="仿宋" w:cs="仿宋"/>
          <w:b/>
          <w:bCs/>
          <w:color w:val="000000"/>
          <w:sz w:val="24"/>
          <w:szCs w:val="24"/>
        </w:rPr>
        <w:t xml:space="preserve">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w:t>
      </w:r>
      <w:r>
        <w:rPr>
          <w:rFonts w:hint="eastAsia" w:ascii="仿宋" w:hAnsi="仿宋" w:eastAsia="仿宋" w:cs="仿宋"/>
          <w:b/>
          <w:bCs/>
          <w:color w:val="000000"/>
          <w:sz w:val="24"/>
          <w:szCs w:val="24"/>
          <w:lang w:val="en-US" w:eastAsia="zh-CN"/>
        </w:rPr>
        <w:t xml:space="preserve">3.6</w:t>
      </w:r>
      <w:r>
        <w:rPr>
          <w:rFonts w:hint="eastAsia" w:ascii="仿宋" w:hAnsi="仿宋" w:eastAsia="仿宋" w:cs="仿宋"/>
          <w:b/>
          <w:bCs/>
          <w:color w:val="000000"/>
          <w:sz w:val="24"/>
          <w:szCs w:val="24"/>
        </w:rPr>
        <w:t xml:space="preserve">其他法律、法规及本</w:t>
      </w:r>
      <w:r>
        <w:rPr>
          <w:rFonts w:hint="eastAsia" w:ascii="仿宋" w:hAnsi="仿宋" w:eastAsia="仿宋" w:cs="仿宋"/>
          <w:b/>
          <w:bCs/>
          <w:color w:val="000000"/>
          <w:sz w:val="24"/>
          <w:szCs w:val="24"/>
          <w:lang w:eastAsia="zh-CN"/>
        </w:rPr>
        <w:t xml:space="preserve">磋商文件</w:t>
      </w:r>
      <w:r>
        <w:rPr>
          <w:rFonts w:hint="eastAsia" w:ascii="仿宋" w:hAnsi="仿宋" w:eastAsia="仿宋" w:cs="仿宋"/>
          <w:b/>
          <w:bCs/>
          <w:color w:val="000000"/>
          <w:sz w:val="24"/>
          <w:szCs w:val="24"/>
        </w:rPr>
        <w:t xml:space="preserve">规定的属无效投标的。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78" w:name="_Toc513029235"/>
      <w:r/>
      <w:bookmarkStart w:id="179" w:name="_Toc16938551"/>
      <w:r/>
      <w:bookmarkStart w:id="180" w:name="_Toc120614219"/>
      <w:r/>
      <w:bookmarkStart w:id="181" w:name="_Toc20823307"/>
      <w:r>
        <w:rPr>
          <w:rFonts w:hint="eastAsia" w:ascii="仿宋" w:hAnsi="仿宋" w:eastAsia="仿宋" w:cs="仿宋"/>
          <w:b/>
          <w:bCs/>
          <w:color w:val="000000"/>
          <w:sz w:val="24"/>
          <w:szCs w:val="24"/>
        </w:rPr>
        <w:t xml:space="preserve">六、</w:t>
      </w:r>
      <w:bookmarkEnd w:id="178"/>
      <w:r/>
      <w:bookmarkEnd w:id="179"/>
      <w:r/>
      <w:bookmarkEnd w:id="180"/>
      <w:r/>
      <w:bookmarkEnd w:id="181"/>
      <w:r>
        <w:rPr>
          <w:rFonts w:hint="eastAsia" w:ascii="仿宋" w:hAnsi="仿宋" w:eastAsia="仿宋" w:cs="仿宋"/>
          <w:b/>
          <w:bCs/>
          <w:color w:val="000000"/>
          <w:sz w:val="24"/>
          <w:szCs w:val="24"/>
        </w:rPr>
        <w:t xml:space="preserve">成交</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2" w:name="_Toc513029238"/>
      <w:r/>
      <w:bookmarkStart w:id="183" w:name="_Toc20823310"/>
      <w:r/>
      <w:bookmarkStart w:id="184" w:name="_Toc16938554"/>
      <w:r>
        <w:rPr>
          <w:rFonts w:hint="eastAsia" w:ascii="仿宋" w:hAnsi="仿宋" w:eastAsia="仿宋" w:cs="仿宋"/>
          <w:b/>
          <w:bCs w:val="0"/>
          <w:color w:val="000000"/>
          <w:sz w:val="24"/>
          <w:szCs w:val="24"/>
        </w:rPr>
        <w:t xml:space="preserve">28、</w:t>
      </w:r>
      <w:bookmarkEnd w:id="182"/>
      <w:r>
        <w:rPr>
          <w:rFonts w:hint="eastAsia" w:ascii="仿宋" w:hAnsi="仿宋" w:eastAsia="仿宋" w:cs="仿宋"/>
          <w:b/>
          <w:bCs w:val="0"/>
          <w:color w:val="000000"/>
          <w:sz w:val="24"/>
          <w:szCs w:val="24"/>
        </w:rPr>
        <w:t xml:space="preserve">确定</w:t>
      </w:r>
      <w:bookmarkEnd w:id="183"/>
      <w:r/>
      <w:bookmarkEnd w:id="184"/>
      <w:r>
        <w:rPr>
          <w:rFonts w:hint="eastAsia" w:ascii="仿宋" w:hAnsi="仿宋" w:eastAsia="仿宋" w:cs="仿宋"/>
          <w:b/>
          <w:bCs w:val="0"/>
          <w:color w:val="000000"/>
          <w:sz w:val="24"/>
          <w:szCs w:val="24"/>
        </w:rPr>
        <w:t xml:space="preserve">成交单位</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28.1</w:t>
      </w:r>
      <w:r>
        <w:rPr>
          <w:rFonts w:hint="eastAsia" w:ascii="仿宋" w:hAnsi="仿宋" w:eastAsia="仿宋" w:cs="仿宋"/>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28.2采购人从评审报告提出的成交候选供应商中，按照排序由高到低的原则确定成交供应商。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按以下第</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lang w:val="en-US" w:eastAsia="zh-CN"/>
        </w:rPr>
        <w:t xml:space="preserve">1</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lang w:val="zh-CN"/>
        </w:rPr>
        <w:t xml:space="preserve">种方式确定成交供应商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（1）磋商小组直接确定排名第一的</w:t>
      </w:r>
      <w:r>
        <w:rPr>
          <w:rFonts w:hint="eastAsia" w:ascii="仿宋" w:hAnsi="仿宋" w:eastAsia="仿宋" w:cs="仿宋"/>
          <w:bCs/>
          <w:color w:val="auto"/>
          <w:sz w:val="24"/>
          <w:szCs w:val="24"/>
        </w:rPr>
        <w:t xml:space="preserve">成交候选供应商</w:t>
      </w:r>
      <w:r>
        <w:rPr>
          <w:rFonts w:hint="eastAsia" w:ascii="仿宋" w:hAnsi="仿宋" w:eastAsia="仿宋" w:cs="仿宋"/>
          <w:bCs/>
          <w:color w:val="auto"/>
          <w:sz w:val="24"/>
          <w:szCs w:val="24"/>
          <w:lang w:val="zh-CN"/>
        </w:rPr>
        <w:t xml:space="preserve">为成交供应商；</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（2）采购人</w:t>
      </w:r>
      <w:r>
        <w:rPr>
          <w:rFonts w:hint="eastAsia" w:ascii="仿宋" w:hAnsi="仿宋" w:eastAsia="仿宋" w:cs="仿宋"/>
          <w:bCs/>
          <w:color w:val="000000"/>
          <w:sz w:val="24"/>
          <w:szCs w:val="24"/>
        </w:rPr>
        <w:t xml:space="preserve">从评审报告提出</w:t>
      </w:r>
      <w:r>
        <w:rPr>
          <w:rFonts w:hint="eastAsia" w:ascii="仿宋" w:hAnsi="仿宋" w:eastAsia="仿宋" w:cs="仿宋"/>
          <w:bCs/>
          <w:color w:val="000000"/>
          <w:sz w:val="24"/>
          <w:szCs w:val="24"/>
          <w:lang w:val="zh-CN"/>
        </w:rPr>
        <w:t xml:space="preserve">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 xml:space="preserve">按第</w:t>
      </w: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zh-CN"/>
        </w:rPr>
        <w:t xml:space="preserve">种方式确定成交供应商的，</w:t>
      </w:r>
      <w:r>
        <w:rPr>
          <w:rFonts w:hint="eastAsia" w:ascii="仿宋" w:hAnsi="仿宋" w:eastAsia="仿宋" w:cs="仿宋"/>
          <w:bCs/>
          <w:color w:val="000000"/>
          <w:sz w:val="24"/>
          <w:szCs w:val="24"/>
        </w:rPr>
        <w:t xml:space="preserve">采购代理机构</w:t>
      </w:r>
      <w:r>
        <w:rPr>
          <w:rFonts w:hint="eastAsia" w:ascii="仿宋" w:hAnsi="仿宋" w:eastAsia="仿宋" w:cs="仿宋"/>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28.3成交供应商确定后，采购代理机构将在“宿迁市政府采购网”发布成交结果公告，公告期限为1个工作日。</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28.4若有充分证据证明，成交供应商出现下列情况之一的，一经查实，将被取消成交资格：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28.4.1提供虚假材料谋取成交的。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28.4.2与评审专家、采购人、其他供应商或者</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工作人员恶意串通的。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28.4.3向评审专家、采购人或</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工作人员行贿或者提供其他不正当利益的。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28.4.4恶意竞争，最后报价明显低于其自身合理成本且又无法提供证明的。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28.4.5不满足本磋商文件规定的实质性要求，但在评审过程中又未被磋商小组发现的。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28.4.6成交后无正当理由拒不与采购人签订政府采购合同或者未按照磋商文件确定的事项签订政府采购合同的。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28.4.7将政府采购合同转包的。</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5" w:name="_Toc200451960"/>
      <w:r>
        <w:rPr>
          <w:rFonts w:hint="eastAsia" w:ascii="仿宋" w:hAnsi="仿宋" w:eastAsia="仿宋" w:cs="仿宋"/>
          <w:b/>
          <w:bCs w:val="0"/>
          <w:color w:val="000000"/>
          <w:sz w:val="24"/>
          <w:szCs w:val="24"/>
        </w:rPr>
        <w:t xml:space="preserve">29、质疑处理</w:t>
      </w:r>
      <w:bookmarkEnd w:id="185"/>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29.1提出质疑的供应商应当是参与所质疑项目采购活动的供应商。潜在供应商依法获取其可质疑的采购文件的，可以对采购文件提出质疑。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pageBreakBefore w:val="0"/>
        <w:spacing w:line="440" w:lineRule="exact"/>
        <w:widowControl w:val="off"/>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29.4 </w:t>
      </w:r>
      <w:r>
        <w:rPr>
          <w:rFonts w:hint="eastAsia" w:ascii="仿宋" w:hAnsi="仿宋" w:eastAsia="仿宋" w:cs="仿宋"/>
          <w:color w:val="000000"/>
          <w:sz w:val="24"/>
          <w:szCs w:val="24"/>
          <w:lang w:val="en-US" w:eastAsia="zh-CN"/>
        </w:rPr>
        <w:t xml:space="preserve">供应商应以书面形式向采购人或者其委托的采购代理机构提出质疑。质疑超出采购机构代理范围的，供应商应当向采购人提出。</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接收质疑函的方</w:t>
      </w:r>
      <w:r>
        <w:rPr>
          <w:rFonts w:hint="eastAsia" w:ascii="仿宋" w:hAnsi="仿宋" w:eastAsia="仿宋" w:cs="仿宋"/>
          <w:color w:val="000000"/>
          <w:sz w:val="24"/>
          <w:szCs w:val="24"/>
          <w:highlight w:val="none"/>
        </w:rPr>
        <w:t xml:space="preserve">式：现场接收或邮寄接收。</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lang w:eastAsia="zh-CN"/>
        </w:rPr>
        <w:t xml:space="preserve">泗洪县信访局</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泗洪县公共资源交易中心</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18951061258</w:t>
      </w:r>
      <w:r>
        <w:rPr>
          <w:rFonts w:hint="eastAsia" w:ascii="仿宋" w:hAnsi="仿宋" w:eastAsia="仿宋" w:cs="仿宋"/>
          <w:color w:val="000000"/>
          <w:sz w:val="24"/>
          <w:szCs w:val="24"/>
          <w:u w:val="single"/>
          <w:lang w:val="en-US" w:eastAsia="zh-CN"/>
        </w:rPr>
        <w:t xml:space="preserve">、18262853445</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color w:val="000000"/>
          <w:sz w:val="24"/>
          <w:szCs w:val="24"/>
          <w:highlight w:val="none"/>
          <w:u w:val="single"/>
          <w:lang w:val="en-US" w:eastAsia="zh-CN"/>
        </w:rPr>
        <w:t xml:space="preserve">泗洪县体育北路与长江东路交叉口</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eastAsia="zh-CN"/>
        </w:rPr>
        <w:t xml:space="preserve">泗洪县仁和路</w:t>
      </w:r>
      <w:r>
        <w:rPr>
          <w:rFonts w:hint="eastAsia" w:ascii="仿宋" w:hAnsi="仿宋" w:eastAsia="仿宋" w:cs="仿宋"/>
          <w:color w:val="000000"/>
          <w:sz w:val="24"/>
          <w:szCs w:val="24"/>
          <w:u w:val="single"/>
          <w:lang w:val="en-US" w:eastAsia="zh-CN"/>
        </w:rPr>
        <w:t xml:space="preserve">5</w:t>
      </w:r>
      <w:r>
        <w:rPr>
          <w:rFonts w:hint="eastAsia" w:ascii="仿宋" w:hAnsi="仿宋" w:eastAsia="仿宋" w:cs="仿宋"/>
          <w:color w:val="000000"/>
          <w:sz w:val="24"/>
          <w:szCs w:val="24"/>
          <w:u w:val="single"/>
          <w:lang w:eastAsia="zh-CN"/>
        </w:rPr>
        <w:t xml:space="preserve">号</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29.5.3以传真、电子邮件等方式递交的非原件形式的质疑。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29.5.4未参加磋商活动的供应商或在磋商活动中自身权益未受到损害的供应商所提出的质疑。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30、成交通知书</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86" w:name="_Toc120614220"/>
      <w:r/>
      <w:bookmarkStart w:id="187" w:name="_Toc513029236"/>
      <w:r/>
      <w:bookmarkStart w:id="188" w:name="_Toc20823308"/>
      <w:r/>
      <w:bookmarkStart w:id="189" w:name="_Toc16938552"/>
      <w:r>
        <w:rPr>
          <w:rFonts w:hint="eastAsia" w:ascii="仿宋" w:hAnsi="仿宋" w:eastAsia="仿宋" w:cs="仿宋"/>
          <w:b/>
          <w:bCs/>
          <w:color w:val="000000"/>
          <w:sz w:val="24"/>
          <w:szCs w:val="24"/>
        </w:rPr>
        <w:t xml:space="preserve">七、授予合同</w:t>
      </w:r>
      <w:bookmarkEnd w:id="186"/>
      <w:r/>
      <w:bookmarkEnd w:id="187"/>
      <w:r/>
      <w:bookmarkEnd w:id="188"/>
      <w:r/>
      <w:bookmarkEnd w:id="189"/>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90" w:name="_Toc513029237"/>
      <w:r/>
      <w:bookmarkStart w:id="191" w:name="_Toc20823309"/>
      <w:r/>
      <w:bookmarkStart w:id="192" w:name="_Toc16938553"/>
      <w:r>
        <w:rPr>
          <w:rFonts w:hint="eastAsia" w:ascii="仿宋" w:hAnsi="仿宋" w:eastAsia="仿宋" w:cs="仿宋"/>
          <w:b/>
          <w:bCs w:val="0"/>
          <w:color w:val="000000"/>
          <w:sz w:val="24"/>
          <w:szCs w:val="24"/>
        </w:rPr>
        <w:t xml:space="preserve">31. 签订合同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.l成交供应商应当在成交通知书发出之日起15日内，按照磋商文件确定的事项与采购人签订政府采购合同。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31.2磋商文件、成交供应商的响应文件及磋商过程中有关澄清、承诺文件均应作为合同附件。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否则采购人有权终止合同。转包或分包造成采购人损失的，成交供应商应承担相应赔偿责任。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.4本项目的非主体、非关键性工作是否允许</w:t>
      </w:r>
      <w:r>
        <w:rPr>
          <w:rFonts w:hint="eastAsia" w:ascii="仿宋" w:hAnsi="仿宋" w:eastAsia="仿宋" w:cs="仿宋"/>
          <w:color w:val="000000"/>
          <w:sz w:val="24"/>
          <w:szCs w:val="24"/>
          <w:highlight w:val="none"/>
        </w:rPr>
        <w:t xml:space="preserve">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w:t>
      </w:r>
      <w:r>
        <w:rPr>
          <w:rFonts w:hint="eastAsia" w:ascii="仿宋" w:hAnsi="仿宋" w:eastAsia="仿宋" w:cs="仿宋"/>
          <w:color w:val="000000"/>
          <w:sz w:val="24"/>
          <w:szCs w:val="24"/>
        </w:rPr>
        <w:t xml:space="preserve">式确定：</w:t>
      </w:r>
      <w:r/>
    </w:p>
    <w:p>
      <w:pPr>
        <w:ind w:left="0" w:right="0" w:firstLine="480"/>
        <w:pageBreakBefore w:val="0"/>
        <w:spacing w:line="44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允许分包，允许大中型企业向一家或者多家小微企业分包，分包具体内容、金额或比例：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rPr>
        <w:t xml:space="preserve">；</w:t>
      </w:r>
      <w:r/>
    </w:p>
    <w:p>
      <w:pPr>
        <w:ind w:left="0" w:right="0" w:firstLine="48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不允许分包。未经采购人同意，成交供应商也不得采用分包形式履行合同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w:t>
      </w:r>
      <w:r>
        <w:rPr>
          <w:rFonts w:hint="eastAsia" w:ascii="仿宋" w:hAnsi="仿宋" w:eastAsia="仿宋" w:cs="仿宋"/>
          <w:color w:val="auto"/>
          <w:sz w:val="24"/>
          <w:szCs w:val="24"/>
        </w:rPr>
        <w:t xml:space="preserve">担相应赔偿责任。</w:t>
      </w:r>
      <w:r/>
    </w:p>
    <w:p>
      <w:pPr>
        <w:ind w:left="0" w:right="0" w:firstLine="480"/>
        <w:pageBreakBefore w:val="0"/>
        <w:spacing w:line="44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w:t>
      </w:r>
      <w:r>
        <w:rPr>
          <w:rFonts w:hint="eastAsia" w:ascii="仿宋" w:hAnsi="仿宋" w:eastAsia="仿宋" w:cs="仿宋"/>
          <w:bCs/>
          <w:color w:val="auto"/>
          <w:sz w:val="24"/>
          <w:szCs w:val="24"/>
          <w:lang w:val="en-US" w:eastAsia="zh-CN"/>
        </w:rPr>
        <w:t xml:space="preserve">1</w:t>
      </w:r>
      <w:r>
        <w:rPr>
          <w:rFonts w:hint="eastAsia" w:ascii="仿宋" w:hAnsi="仿宋" w:eastAsia="仿宋" w:cs="仿宋"/>
          <w:bCs/>
          <w:color w:val="auto"/>
          <w:sz w:val="24"/>
          <w:szCs w:val="24"/>
        </w:rPr>
        <w:t xml:space="preserve">.5履约保证金</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按照以下第</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
          <w:bCs w:val="0"/>
          <w:color w:val="000000"/>
          <w:sz w:val="24"/>
          <w:szCs w:val="24"/>
          <w:u w:val="single"/>
          <w:lang w:val="en-US" w:eastAsia="zh-CN"/>
        </w:rPr>
        <w:t xml:space="preserve">2</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Cs/>
          <w:color w:val="000000"/>
          <w:sz w:val="24"/>
          <w:szCs w:val="24"/>
          <w:lang w:val="zh-CN"/>
        </w:rPr>
        <w:t xml:space="preserve">方式确定履约保证收取方式。</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不收取履约保证金。</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本项目收取履约保证金。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31.5.1</w:t>
      </w:r>
      <w:r>
        <w:rPr>
          <w:rFonts w:hint="eastAsia" w:ascii="仿宋" w:hAnsi="仿宋" w:eastAsia="仿宋" w:cs="仿宋"/>
          <w:color w:val="auto"/>
          <w:sz w:val="24"/>
          <w:highlight w:val="none"/>
          <w:lang w:bidi="ar-SA"/>
        </w:rPr>
        <w:t xml:space="preserve">履约保证金提交形式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履约保证金应</w:t>
      </w:r>
      <w:r>
        <w:rPr>
          <w:rFonts w:hint="eastAsia" w:ascii="仿宋" w:hAnsi="仿宋" w:eastAsia="仿宋" w:cs="仿宋"/>
          <w:color w:val="auto"/>
          <w:sz w:val="24"/>
          <w:highlight w:val="none"/>
          <w:lang w:val="zh-CN" w:eastAsia="zh-CN" w:bidi="ar-SA"/>
        </w:rPr>
        <w:t xml:space="preserve">在中标公告发布之日起7日历天内提交。</w:t>
      </w:r>
      <w:r>
        <w:rPr>
          <w:rFonts w:hint="eastAsia" w:ascii="仿宋" w:hAnsi="仿宋" w:eastAsia="仿宋" w:cs="仿宋"/>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31.5.2</w:t>
      </w:r>
      <w:r>
        <w:rPr>
          <w:rFonts w:hint="eastAsia" w:ascii="仿宋" w:hAnsi="仿宋" w:eastAsia="仿宋" w:cs="仿宋"/>
          <w:color w:val="auto"/>
          <w:sz w:val="24"/>
          <w:highlight w:val="none"/>
          <w:lang w:bidi="ar-SA"/>
        </w:rPr>
        <w:t xml:space="preserve">履约保证金提交金额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按采购合同总价的</w:t>
      </w:r>
      <w:r>
        <w:rPr>
          <w:rFonts w:hint="eastAsia" w:ascii="仿宋" w:hAnsi="仿宋" w:eastAsia="仿宋" w:cs="仿宋"/>
          <w:color w:val="auto"/>
          <w:sz w:val="24"/>
          <w:highlight w:val="none"/>
          <w:u w:val="single"/>
          <w:lang w:val="en-US" w:eastAsia="zh-CN" w:bidi="ar-SA"/>
        </w:rPr>
        <w:t xml:space="preserve">   5</w:t>
      </w:r>
      <w:r>
        <w:rPr>
          <w:rFonts w:hint="eastAsia" w:ascii="仿宋" w:hAnsi="仿宋" w:eastAsia="仿宋" w:cs="仿宋"/>
          <w:color w:val="auto"/>
          <w:sz w:val="24"/>
          <w:highlight w:val="none"/>
          <w:u w:val="single"/>
          <w:lang w:bidi="ar-SA"/>
        </w:rPr>
        <w:t xml:space="preserve">%</w:t>
      </w:r>
      <w:r>
        <w:rPr>
          <w:rFonts w:hint="eastAsia" w:ascii="仿宋" w:hAnsi="仿宋" w:eastAsia="仿宋" w:cs="仿宋"/>
          <w:color w:val="auto"/>
          <w:sz w:val="24"/>
          <w:highlight w:val="none"/>
          <w:u w:val="single"/>
          <w:lang w:val="en-US" w:eastAsia="zh-CN" w:bidi="ar-SA"/>
        </w:rPr>
        <w:t xml:space="preserve">  </w:t>
      </w:r>
      <w:r>
        <w:rPr>
          <w:rFonts w:hint="eastAsia" w:ascii="仿宋" w:hAnsi="仿宋" w:eastAsia="仿宋" w:cs="仿宋"/>
          <w:color w:val="auto"/>
          <w:sz w:val="24"/>
          <w:highlight w:val="none"/>
          <w:lang w:bidi="ar-SA"/>
        </w:rPr>
        <w:t xml:space="preserve">提交。</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color w:val="auto"/>
          <w:sz w:val="24"/>
          <w:highlight w:val="none"/>
          <w:u w:val="single"/>
          <w:lang w:val="en-US" w:eastAsia="zh-CN" w:bidi="ar-SA"/>
        </w:rPr>
        <w:t xml:space="preserve">3</w:t>
      </w:r>
      <w:r>
        <w:rPr>
          <w:rFonts w:hint="eastAsia" w:ascii="仿宋" w:hAnsi="仿宋" w:eastAsia="仿宋" w:cs="仿宋"/>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31.5.3</w:t>
      </w:r>
      <w:r>
        <w:rPr>
          <w:rFonts w:hint="eastAsia" w:ascii="仿宋" w:hAnsi="仿宋" w:eastAsia="仿宋" w:cs="仿宋"/>
          <w:color w:val="auto"/>
          <w:sz w:val="24"/>
          <w:highlight w:val="none"/>
          <w:lang w:bidi="ar-SA"/>
        </w:rPr>
        <w:t xml:space="preserve">履约保证金退还方式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31.5.4</w:t>
      </w:r>
      <w:r>
        <w:rPr>
          <w:rFonts w:hint="eastAsia" w:ascii="仿宋" w:hAnsi="仿宋" w:eastAsia="仿宋" w:cs="仿宋"/>
          <w:color w:val="auto"/>
          <w:sz w:val="24"/>
          <w:highlight w:val="none"/>
          <w:lang w:bidi="ar-SA"/>
        </w:rPr>
        <w:t xml:space="preserve">履约保证金退还条件</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u w:val="single"/>
          <w:lang w:val="en-US" w:eastAsia="zh-CN" w:bidi="ar-SA"/>
        </w:rPr>
        <w:t xml:space="preserve">b</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lang w:eastAsia="zh-CN" w:bidi="ar-SA"/>
        </w:rPr>
        <w:t xml:space="preserve">方式执行</w:t>
      </w:r>
      <w:r>
        <w:rPr>
          <w:rFonts w:hint="eastAsia" w:ascii="仿宋" w:hAnsi="仿宋" w:eastAsia="仿宋" w:cs="仿宋"/>
          <w:color w:val="auto"/>
          <w:sz w:val="24"/>
          <w:highlight w:val="none"/>
          <w:lang w:bidi="ar-SA"/>
        </w:rPr>
        <w:t xml:space="preserve">：</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31.5.5</w:t>
      </w:r>
      <w:r>
        <w:rPr>
          <w:rFonts w:hint="eastAsia" w:ascii="仿宋" w:hAnsi="仿宋" w:eastAsia="仿宋" w:cs="仿宋"/>
          <w:color w:val="auto"/>
          <w:sz w:val="24"/>
          <w:highlight w:val="none"/>
          <w:lang w:bidi="ar-SA"/>
        </w:rPr>
        <w:t xml:space="preserve">履约保证金退还时间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采购人收到投标人退付申请后5个工作日内退还。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31.5.6</w:t>
      </w:r>
      <w:r>
        <w:rPr>
          <w:rFonts w:hint="eastAsia" w:ascii="仿宋" w:hAnsi="仿宋" w:eastAsia="仿宋" w:cs="仿宋"/>
          <w:color w:val="auto"/>
          <w:sz w:val="24"/>
          <w:highlight w:val="none"/>
          <w:lang w:bidi="ar-SA"/>
        </w:rPr>
        <w:t xml:space="preserve">履约保证金不予退还情形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31.5.7</w:t>
      </w:r>
      <w:r>
        <w:rPr>
          <w:rFonts w:hint="eastAsia" w:ascii="仿宋" w:hAnsi="仿宋" w:eastAsia="仿宋" w:cs="仿宋"/>
          <w:color w:val="auto"/>
          <w:sz w:val="24"/>
          <w:highlight w:val="none"/>
          <w:lang w:bidi="ar-SA"/>
        </w:rPr>
        <w:t xml:space="preserve">逾期退还履约保证金违约责任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31.5.8</w:t>
      </w:r>
      <w:r>
        <w:rPr>
          <w:rFonts w:hint="eastAsia" w:ascii="仿宋" w:hAnsi="仿宋" w:eastAsia="仿宋" w:cs="仿宋"/>
          <w:color w:val="auto"/>
          <w:sz w:val="24"/>
          <w:highlight w:val="none"/>
          <w:lang w:bidi="ar-SA"/>
        </w:rPr>
        <w:t xml:space="preserve">如中标人未在规定时间内缴纳履约保证金，视为虚假承诺，采购人有权报请财政部门进行处理。</w:t>
      </w:r>
      <w:bookmarkEnd w:id="190"/>
      <w:r/>
      <w:bookmarkEnd w:id="191"/>
      <w:r/>
      <w:bookmarkEnd w:id="192"/>
      <w:r/>
      <w:r/>
    </w:p>
    <w:p>
      <w:pPr>
        <w:numPr>
          <w:ilvl w:val="0"/>
          <w:numId w:val="0"/>
        </w:numPr>
        <w:ind w:right="0"/>
        <w:jc w:val="both"/>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r>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val="en-US" w:eastAsia="zh-CN" w:bidi="ar-SA"/>
        </w:rPr>
        <w:t xml:space="preserve">32</w:t>
      </w:r>
      <w:r>
        <w:rPr>
          <w:rFonts w:hint="eastAsia" w:ascii="仿宋" w:hAnsi="仿宋" w:eastAsia="仿宋" w:cs="仿宋"/>
          <w:b/>
          <w:color w:val="auto"/>
          <w:sz w:val="24"/>
          <w:highlight w:val="none"/>
          <w:lang w:bidi="ar-SA"/>
        </w:rPr>
        <w:t xml:space="preserve">、合同履行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.1政府采购合同订立后，合同各方不得擅自变更、中止或者终止合同。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33、政府采购履约资金扶持政策</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33.1</w:t>
      </w:r>
      <w:r>
        <w:rPr>
          <w:rFonts w:hint="eastAsia" w:ascii="仿宋" w:hAnsi="仿宋" w:eastAsia="仿宋" w:cs="仿宋"/>
          <w:bCs/>
          <w:color w:val="auto"/>
          <w:sz w:val="24"/>
          <w:szCs w:val="24"/>
          <w:highlight w:val="none"/>
          <w:lang w:bidi="ar-SA"/>
        </w:rPr>
        <w:t xml:space="preserve">中标供应商可凭政府采购合同办理融资贷款，详情请见江苏政府采购网“政采贷”专栏。</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lang w:val="en-US" w:eastAsia="zh-CN"/>
        </w:rPr>
        <w:outlineLvl w:val="3"/>
      </w:pPr>
      <w:r>
        <w:rPr>
          <w:rFonts w:hint="eastAsia" w:ascii="仿宋" w:hAnsi="仿宋" w:eastAsia="仿宋" w:cs="仿宋"/>
          <w:b/>
          <w:bCs w:val="0"/>
          <w:color w:val="000000"/>
          <w:sz w:val="24"/>
          <w:szCs w:val="24"/>
        </w:rPr>
        <w:t xml:space="preserve">34、验收</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34.2采购人可以邀请参加本项目的其他供应商或者第三方机构参与验收。参与验收的供应商或者第三方机构的意见作为验收书的参考资料一并存档。</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34.3严格按照采购合同开展履约验收。</w:t>
      </w:r>
      <w:r>
        <w:rPr>
          <w:rFonts w:hint="eastAsia" w:ascii="仿宋" w:hAnsi="仿宋" w:eastAsia="仿宋" w:cs="仿宋"/>
          <w:bCs/>
          <w:color w:val="000000"/>
          <w:sz w:val="24"/>
          <w:szCs w:val="24"/>
          <w:lang w:val="en-US" w:eastAsia="zh-CN"/>
        </w:rPr>
        <w:t xml:space="preserve">根据项目需要，如需由</w:t>
      </w:r>
      <w:r>
        <w:rPr>
          <w:rFonts w:hint="eastAsia" w:ascii="仿宋" w:hAnsi="仿宋" w:eastAsia="仿宋" w:cs="仿宋"/>
          <w:bCs/>
          <w:color w:val="000000"/>
          <w:sz w:val="24"/>
          <w:szCs w:val="24"/>
        </w:rPr>
        <w:t xml:space="preserve">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869"/>
        <w:jc w:val="left"/>
        <w:spacing w:before="20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rPr>
          <w:rFonts w:hint="eastAsia" w:ascii="仿宋" w:hAnsi="仿宋" w:eastAsia="仿宋" w:cs="仿宋"/>
          <w:bCs/>
          <w:color w:val="000000"/>
          <w:sz w:val="24"/>
          <w:szCs w:val="24"/>
        </w:rPr>
      </w:pPr>
      <w:r>
        <w:rPr>
          <w:rFonts w:hint="eastAsia" w:ascii="仿宋" w:hAnsi="仿宋" w:eastAsia="仿宋" w:cs="仿宋"/>
          <w:bCs/>
          <w:color w:val="000000"/>
          <w:sz w:val="24"/>
          <w:szCs w:val="24"/>
        </w:rPr>
        <w:br w:type="page" w:clear="all"/>
      </w:r>
      <w:r/>
    </w:p>
    <w:p>
      <w:pPr>
        <w:pStyle w:val="869"/>
        <w:jc w:val="center"/>
        <w:spacing w:before="200"/>
        <w:rPr>
          <w:rFonts w:hint="eastAsia" w:ascii="仿宋" w:hAnsi="仿宋" w:eastAsia="仿宋" w:cs="仿宋"/>
          <w:color w:val="000000"/>
        </w:rPr>
      </w:pPr>
      <w:r>
        <w:rPr>
          <w:rFonts w:hint="eastAsia" w:ascii="仿宋" w:hAnsi="仿宋" w:eastAsia="仿宋" w:cs="仿宋"/>
          <w:b/>
          <w:color w:val="000000"/>
          <w:sz w:val="44"/>
          <w:szCs w:val="44"/>
        </w:rPr>
        <w:t xml:space="preserve">第三章  资格审查及评标</w:t>
      </w:r>
      <w:bookmarkEnd w:id="65"/>
      <w:r/>
      <w:bookmarkEnd w:id="66"/>
      <w:r>
        <w:rPr>
          <w:rFonts w:hint="eastAsia" w:ascii="仿宋" w:hAnsi="仿宋" w:eastAsia="仿宋" w:cs="仿宋"/>
          <w:b/>
          <w:color w:val="000000"/>
          <w:sz w:val="44"/>
          <w:szCs w:val="44"/>
        </w:rPr>
        <w:t xml:space="preserve">方法</w:t>
      </w:r>
      <w:bookmarkEnd w:id="67"/>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的资格进行审查，未通过审查的为无效标，不参与评标。</w:t>
      </w:r>
      <w:r/>
    </w:p>
    <w:tbl>
      <w:tblPr>
        <w:tblStyle w:val="79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落实政府采购政策需满足的资格要求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投标代理人(授权委托人)资格要求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评标委员会对符合资格的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w:t>
      </w:r>
      <w:r>
        <w:rPr>
          <w:rFonts w:hint="eastAsia" w:ascii="仿宋" w:hAnsi="仿宋" w:eastAsia="仿宋" w:cs="仿宋"/>
          <w:color w:val="000000"/>
          <w:sz w:val="24"/>
          <w:szCs w:val="28"/>
          <w:lang w:eastAsia="zh-CN"/>
        </w:rPr>
        <w:t xml:space="preserve">响应文件</w:t>
      </w:r>
      <w:r>
        <w:rPr>
          <w:rFonts w:hint="eastAsia" w:ascii="仿宋" w:hAnsi="仿宋" w:eastAsia="仿宋" w:cs="仿宋"/>
          <w:color w:val="000000"/>
          <w:sz w:val="24"/>
          <w:szCs w:val="28"/>
        </w:rPr>
        <w:t xml:space="preserve">进行符合性审查，未通过审查的为无效标，不再参与评审。</w:t>
      </w:r>
      <w:r/>
    </w:p>
    <w:tbl>
      <w:tblPr>
        <w:tblStyle w:val="79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开标一览表及报价</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法人授权书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排序推荐中标候选人，并形成评标报告。</w:t>
      </w:r>
      <w:r/>
    </w:p>
    <w:p>
      <w:pPr>
        <w:numPr>
          <w:ilvl w:val="0"/>
          <w:numId w:val="4"/>
        </w:numPr>
        <w:ind w:firstLine="482"/>
        <w:jc w:val="left"/>
        <w:spacing w:line="48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评标标准</w:t>
      </w:r>
      <w:r/>
    </w:p>
    <w:p>
      <w:pPr>
        <w:ind w:firstLine="480"/>
        <w:jc w:val="left"/>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评标委员会根据评标后</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排序推荐中标候选人，并形成评标报告。</w:t>
      </w:r>
      <w:r/>
    </w:p>
    <w:tbl>
      <w:tblPr>
        <w:tblStyle w:val="795"/>
        <w:tblpPr w:horzAnchor="page" w:tblpX="1781" w:vertAnchor="text" w:tblpY="398" w:leftFromText="180" w:topFromText="0" w:rightFromText="180" w:bottomFromText="0"/>
        <w:tblW w:w="5197"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42"/>
        <w:gridCol w:w="976"/>
        <w:gridCol w:w="7244"/>
      </w:tblGrid>
      <w:tr>
        <w:trPr>
          <w:trHeight w:val="487"/>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磋商报价</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25.00</w:t>
            </w:r>
            <w:r/>
          </w:p>
        </w:tc>
        <w:tc>
          <w:tcPr>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25。（四舍五入保留到小数点后两位）。</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服务要求承诺（一）</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8.00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三条：人员配备及职责中1、人员配备；2、日常出勤”标准服务的，得8分。注：响应文件中需提供加盖本单位公章的承诺函电子件，格式见磋商文件“第六章”，未提供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服务要求承诺（二）</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default"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8.00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供应商承诺中标后按照“第四章、采购需求第四条：人员素质要求”标准服务的，得8分。注：响应文件中需提供加盖本单位公章的承诺函电子件，格式见磋商文件“第六章”，未提供不得分。</w:t>
            </w:r>
            <w:r/>
          </w:p>
        </w:tc>
      </w:tr>
      <w:tr>
        <w:trPr>
          <w:trHeight w:val="1014"/>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服务要求承诺（三）及相关服务方案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12.00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numPr>
                <w:ilvl w:val="0"/>
                <w:numId w:val="5"/>
              </w:numPr>
              <w:ind w:right="0"/>
              <w:jc w:val="left"/>
              <w:spacing w:line="480" w:lineRule="exact"/>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供应商承诺中标后按照“第四章、采购需求第五条：（一）保洁服务管理”标准服务的，得8分。注：响应文件中需提供加盖本单位公章的承诺函电子件，格式见磋商文件“第六章”，未提供不得分。</w:t>
            </w:r>
            <w:r/>
          </w:p>
          <w:p>
            <w:pPr>
              <w:numPr>
                <w:ilvl w:val="0"/>
                <w:numId w:val="0"/>
              </w:numPr>
              <w:ind w:right="0"/>
              <w:jc w:val="left"/>
              <w:spacing w:line="480" w:lineRule="exact"/>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2、投标人对保洁服务管理的采购需求内容，自行提供上述服务方案，服务方案全部优于采购需求的，得4分；没内容不得分。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服务要求承诺（四）</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8.00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w:t>
            </w:r>
            <w:r>
              <w:rPr>
                <w:rFonts w:hint="eastAsia" w:ascii="仿宋" w:hAnsi="仿宋" w:eastAsia="仿宋" w:cs="仿宋"/>
                <w:b w:val="0"/>
                <w:bCs w:val="0"/>
                <w:color w:val="auto"/>
                <w:sz w:val="24"/>
                <w:szCs w:val="24"/>
                <w:highlight w:val="none"/>
                <w:rtl w:val="0"/>
                <w:lang w:val="en-US" w:eastAsia="zh-CN" w:bidi="ar-SA"/>
              </w:rPr>
              <w:t xml:space="preserve">九</w:t>
            </w:r>
            <w:r>
              <w:rPr>
                <w:rFonts w:hint="eastAsia" w:ascii="仿宋" w:hAnsi="仿宋" w:eastAsia="仿宋" w:cs="仿宋"/>
                <w:color w:val="auto"/>
                <w:sz w:val="24"/>
                <w:szCs w:val="24"/>
                <w:highlight w:val="none"/>
                <w:rtl w:val="0"/>
                <w:lang w:val="en-US" w:eastAsia="zh-CN" w:bidi="ar-SA"/>
              </w:rPr>
              <w:t xml:space="preserve">条：其他要求”</w:t>
            </w:r>
            <w:r>
              <w:rPr>
                <w:rFonts w:hint="eastAsia" w:ascii="仿宋" w:hAnsi="仿宋" w:eastAsia="仿宋" w:cs="仿宋"/>
                <w:b w:val="0"/>
                <w:bCs w:val="0"/>
                <w:color w:val="auto"/>
                <w:sz w:val="24"/>
                <w:szCs w:val="24"/>
                <w:highlight w:val="none"/>
                <w:rtl w:val="0"/>
                <w:lang w:val="en-US" w:eastAsia="zh-CN" w:bidi="ar-SA"/>
              </w:rPr>
              <w:t xml:space="preserve">的标准服务的，得8分。注：响</w:t>
            </w:r>
            <w:r>
              <w:rPr>
                <w:rFonts w:hint="eastAsia" w:ascii="仿宋" w:hAnsi="仿宋" w:eastAsia="仿宋" w:cs="仿宋"/>
                <w:color w:val="auto"/>
                <w:sz w:val="24"/>
                <w:szCs w:val="24"/>
                <w:highlight w:val="none"/>
                <w:rtl w:val="0"/>
                <w:lang w:val="en-US" w:eastAsia="zh-CN" w:bidi="ar-SA"/>
              </w:rPr>
              <w:t xml:space="preserve">应文件中需提供加盖本单位公章的承诺函电子件，格式见磋商文件“第六章”，未提供不得分。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考核标准承诺</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default"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w:t>
            </w:r>
            <w:r>
              <w:rPr>
                <w:rFonts w:hint="eastAsia" w:ascii="仿宋" w:hAnsi="仿宋" w:eastAsia="仿宋" w:cs="仿宋"/>
                <w:b w:val="0"/>
                <w:bCs w:val="0"/>
                <w:color w:val="auto"/>
                <w:sz w:val="24"/>
                <w:szCs w:val="24"/>
                <w:highlight w:val="none"/>
                <w:rtl w:val="0"/>
                <w:lang w:val="en-US" w:eastAsia="zh-CN" w:bidi="ar-SA"/>
              </w:rPr>
              <w:t xml:space="preserve">六</w:t>
            </w:r>
            <w:r>
              <w:rPr>
                <w:rFonts w:hint="eastAsia" w:ascii="仿宋" w:hAnsi="仿宋" w:eastAsia="仿宋" w:cs="仿宋"/>
                <w:color w:val="auto"/>
                <w:sz w:val="24"/>
                <w:szCs w:val="24"/>
                <w:highlight w:val="none"/>
                <w:rtl w:val="0"/>
                <w:lang w:val="en-US" w:eastAsia="zh-CN" w:bidi="ar-SA"/>
              </w:rPr>
              <w:t xml:space="preserve">条：考核标准”要求实施，得5分。注：响应文件中需提供加盖本单位公章的承诺函电子件，格式见磋商文件“第六章”，未提供不得分。</w:t>
            </w:r>
            <w:r/>
          </w:p>
        </w:tc>
      </w:tr>
      <w:tr>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b w:val="0"/>
                <w:bCs w:val="0"/>
                <w:color w:val="auto"/>
                <w:sz w:val="24"/>
                <w:szCs w:val="24"/>
                <w:highlight w:val="none"/>
                <w:rtl w:val="0"/>
                <w:lang w:val="en-US" w:eastAsia="zh-CN" w:bidi="ar-SA"/>
              </w:rPr>
            </w:pPr>
            <w:r>
              <w:rPr>
                <w:rFonts w:hint="eastAsia" w:ascii="仿宋" w:hAnsi="仿宋" w:eastAsia="仿宋" w:cs="仿宋"/>
                <w:b w:val="0"/>
                <w:bCs w:val="0"/>
                <w:color w:val="auto"/>
                <w:sz w:val="24"/>
                <w:szCs w:val="24"/>
                <w:highlight w:val="none"/>
                <w:rtl w:val="0"/>
                <w:lang w:val="en-US" w:eastAsia="zh-CN" w:bidi="ar-SA"/>
              </w:rPr>
              <w:t xml:space="preserve">企业经营业绩</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ind w:firstLine="240"/>
              <w:jc w:val="left"/>
              <w:keepLines w:val="0"/>
              <w:keepNext w:val="0"/>
              <w:pageBreakBefore w:val="0"/>
              <w:spacing w:after="0" w:afterAutospacing="0" w:line="400" w:lineRule="exact"/>
              <w:widowControl w:val="off"/>
              <w:rPr>
                <w:rFonts w:hint="eastAsia" w:ascii="仿宋" w:hAnsi="仿宋" w:eastAsia="仿宋" w:cs="仿宋"/>
                <w:b w:val="0"/>
                <w:bCs w:val="0"/>
                <w:color w:val="auto"/>
                <w:sz w:val="24"/>
                <w:szCs w:val="24"/>
                <w:highlight w:val="none"/>
                <w:rtl w:val="0"/>
                <w:lang w:val="en-US" w:eastAsia="zh-CN" w:bidi="ar-SA"/>
              </w:rPr>
            </w:pPr>
            <w:r>
              <w:rPr>
                <w:rFonts w:hint="eastAsia" w:ascii="仿宋" w:hAnsi="仿宋" w:eastAsia="仿宋" w:cs="仿宋"/>
                <w:b w:val="0"/>
                <w:bCs w:val="0"/>
                <w:color w:val="auto"/>
                <w:sz w:val="24"/>
                <w:szCs w:val="24"/>
                <w:highlight w:val="none"/>
                <w:rtl w:val="0"/>
                <w:lang w:val="en-US" w:eastAsia="zh-CN" w:bidi="ar-SA"/>
              </w:rPr>
              <w:t xml:space="preserve">9.00</w:t>
            </w:r>
            <w:r/>
          </w:p>
        </w:tc>
        <w:tc>
          <w:tcPr>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b w:val="0"/>
                <w:bCs w:val="0"/>
                <w:color w:val="auto"/>
                <w:sz w:val="24"/>
                <w:szCs w:val="24"/>
                <w:highlight w:val="none"/>
                <w:rtl w:val="0"/>
                <w:lang w:val="en-US" w:eastAsia="zh-CN" w:bidi="ar-SA"/>
              </w:rPr>
            </w:pPr>
            <w:r>
              <w:rPr>
                <w:rFonts w:hint="eastAsia" w:ascii="仿宋" w:hAnsi="仿宋" w:eastAsia="仿宋" w:cs="仿宋"/>
                <w:b w:val="0"/>
                <w:bCs w:val="0"/>
                <w:color w:val="auto"/>
                <w:sz w:val="24"/>
                <w:szCs w:val="24"/>
                <w:highlight w:val="none"/>
                <w:rtl w:val="0"/>
                <w:lang w:val="en-US" w:eastAsia="zh-CN" w:bidi="ar-SA"/>
              </w:rPr>
              <w:t xml:space="preserve">供应商自2023年1月1日以来（以合同签订时间为准），具有类似（非住宅物业服务）物业服务项目业绩，每有一个得3分，本项最高得9分。</w:t>
            </w:r>
            <w:r/>
          </w:p>
          <w:p>
            <w:pPr>
              <w:ind w:firstLine="480"/>
              <w:jc w:val="left"/>
              <w:keepLines w:val="0"/>
              <w:keepNext w:val="0"/>
              <w:pageBreakBefore w:val="0"/>
              <w:spacing w:after="0" w:afterAutospacing="0" w:line="400" w:lineRule="exact"/>
              <w:widowControl w:val="off"/>
              <w:rPr>
                <w:rFonts w:hint="eastAsia" w:ascii="仿宋" w:hAnsi="仿宋" w:eastAsia="仿宋" w:cs="仿宋"/>
                <w:b w:val="0"/>
                <w:bCs w:val="0"/>
                <w:color w:val="auto"/>
                <w:sz w:val="24"/>
                <w:szCs w:val="24"/>
                <w:highlight w:val="none"/>
                <w:rtl w:val="0"/>
                <w:lang w:val="en-US" w:eastAsia="zh-CN" w:bidi="ar-SA"/>
              </w:rPr>
            </w:pPr>
            <w:r>
              <w:rPr>
                <w:rFonts w:hint="eastAsia" w:ascii="仿宋" w:hAnsi="仿宋" w:eastAsia="仿宋" w:cs="仿宋"/>
                <w:color w:val="auto"/>
                <w:szCs w:val="24"/>
                <w:highlight w:val="none"/>
                <w:rtl w:val="0"/>
                <w:lang w:val="en-US" w:eastAsia="zh-CN"/>
              </w:rPr>
              <w:t xml:space="preserve">注：①业绩证明材料为：服务合同、任意一张合同服务费发票电子件，二者缺一不可，未提供或提供不齐全不得分；②中标人提供的有关业绩将随中标结果同步公开。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tl w:val="0"/>
                <w:lang w:val="en-US" w:eastAsia="zh-CN" w:bidi="ar"/>
              </w:rPr>
            </w:pPr>
            <w:r>
              <w:rPr>
                <w:rFonts w:hint="eastAsia" w:ascii="仿宋" w:hAnsi="仿宋" w:eastAsia="仿宋" w:cs="仿宋"/>
                <w:color w:val="000000"/>
                <w:sz w:val="24"/>
                <w:szCs w:val="24"/>
                <w:highlight w:val="none"/>
                <w:lang w:val="en-US" w:eastAsia="zh-CN" w:bidi="ar"/>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tl w:val="0"/>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numPr>
                <w:ilvl w:val="0"/>
                <w:numId w:val="0"/>
              </w:num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“第四章、采购需求第五条：（</w:t>
            </w:r>
            <w:r>
              <w:rPr>
                <w:rFonts w:hint="eastAsia" w:ascii="仿宋" w:hAnsi="仿宋" w:eastAsia="仿宋" w:cs="仿宋"/>
                <w:b w:val="0"/>
                <w:bCs w:val="0"/>
                <w:color w:val="auto"/>
                <w:sz w:val="24"/>
                <w:szCs w:val="24"/>
                <w:highlight w:val="none"/>
                <w:rtl w:val="0"/>
                <w:lang w:val="en-US" w:eastAsia="zh-CN" w:bidi="ar-SA"/>
              </w:rPr>
              <w:t xml:space="preserve">二）</w:t>
            </w:r>
            <w:r>
              <w:rPr>
                <w:rFonts w:hint="eastAsia" w:ascii="仿宋" w:hAnsi="仿宋" w:eastAsia="仿宋" w:cs="仿宋"/>
                <w:b w:val="0"/>
                <w:bCs w:val="0"/>
                <w:sz w:val="24"/>
                <w:szCs w:val="24"/>
                <w:highlight w:val="none"/>
                <w:lang w:val="en-US" w:eastAsia="zh-CN"/>
              </w:rPr>
              <w:t xml:space="preserve">进退场交接</w:t>
            </w:r>
            <w:r>
              <w:rPr>
                <w:rFonts w:hint="eastAsia" w:ascii="仿宋" w:hAnsi="仿宋" w:eastAsia="仿宋" w:cs="仿宋"/>
                <w:b w:val="0"/>
                <w:bCs w:val="0"/>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基础之上评委根据供应商提供的进退场交接方案进行打分。优于采购需求得5分；满足采购需求得3分；没有内容不得分。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设备、工具、服装要求</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“第四章、采购需求第五条：（三）</w:t>
            </w:r>
            <w:r>
              <w:rPr>
                <w:rFonts w:hint="eastAsia" w:ascii="仿宋" w:hAnsi="仿宋" w:eastAsia="仿宋" w:cs="仿宋"/>
                <w:color w:val="000000"/>
                <w:sz w:val="24"/>
                <w:szCs w:val="24"/>
                <w:highlight w:val="none"/>
                <w:lang w:val="en-US" w:eastAsia="zh-CN" w:bidi="ar"/>
              </w:rPr>
              <w:t xml:space="preserve">设备、工具、服装要求</w:t>
            </w:r>
            <w:r>
              <w:rPr>
                <w:rFonts w:hint="eastAsia" w:ascii="仿宋" w:hAnsi="仿宋" w:eastAsia="仿宋" w:cs="仿宋"/>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基础之上，根据供应商对拟投入本项目设备、耗材、服装方面打分。优于采购需求得5分；满足采购需求得3分；没有内容不得分。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default" w:ascii="仿宋" w:hAnsi="仿宋" w:eastAsia="仿宋" w:cs="仿宋"/>
                <w:color w:val="000000"/>
                <w:sz w:val="24"/>
                <w:szCs w:val="24"/>
                <w:highlight w:val="none"/>
                <w:lang w:val="en-US" w:eastAsia="zh-CN" w:bidi="ar"/>
              </w:rPr>
            </w:pPr>
            <w:r>
              <w:rPr>
                <w:rFonts w:hint="eastAsia" w:ascii="仿宋" w:hAnsi="仿宋" w:eastAsia="仿宋" w:cs="仿宋"/>
                <w:b w:val="0"/>
                <w:bCs w:val="0"/>
                <w:sz w:val="24"/>
                <w:szCs w:val="24"/>
                <w:highlight w:val="none"/>
                <w:lang w:val="en-US" w:eastAsia="zh-CN"/>
              </w:rPr>
              <w:t xml:space="preserve">特殊时期的应急保障措施方案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default"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w:t>
            </w:r>
            <w:r>
              <w:rPr>
                <w:rFonts w:hint="eastAsia" w:ascii="仿宋" w:hAnsi="仿宋" w:eastAsia="仿宋" w:cs="仿宋"/>
                <w:b w:val="0"/>
                <w:bCs w:val="0"/>
                <w:color w:val="auto"/>
                <w:sz w:val="24"/>
                <w:szCs w:val="24"/>
                <w:highlight w:val="none"/>
                <w:rtl w:val="0"/>
                <w:lang w:val="en-US" w:eastAsia="zh-CN" w:bidi="ar-SA"/>
              </w:rPr>
              <w:t xml:space="preserve">七条：</w:t>
            </w:r>
            <w:r>
              <w:rPr>
                <w:rFonts w:hint="eastAsia" w:ascii="仿宋" w:hAnsi="仿宋" w:eastAsia="仿宋" w:cs="仿宋"/>
                <w:b w:val="0"/>
                <w:bCs w:val="0"/>
                <w:sz w:val="24"/>
                <w:szCs w:val="24"/>
                <w:highlight w:val="none"/>
                <w:lang w:val="en-US" w:eastAsia="zh-CN"/>
              </w:rPr>
              <w:t xml:space="preserve">特殊时期的应急保障措施</w:t>
            </w:r>
            <w:r>
              <w:rPr>
                <w:rFonts w:hint="eastAsia" w:ascii="仿宋" w:hAnsi="仿宋" w:eastAsia="仿宋" w:cs="仿宋"/>
                <w:b w:val="0"/>
                <w:bCs w:val="0"/>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基础之上，根据供应商对拟</w:t>
            </w:r>
            <w:r>
              <w:rPr>
                <w:rFonts w:hint="eastAsia" w:ascii="仿宋" w:hAnsi="仿宋" w:eastAsia="仿宋" w:cs="仿宋"/>
                <w:b w:val="0"/>
                <w:bCs w:val="0"/>
                <w:sz w:val="24"/>
                <w:szCs w:val="24"/>
                <w:highlight w:val="none"/>
                <w:lang w:val="en-US" w:eastAsia="zh-CN"/>
              </w:rPr>
              <w:t xml:space="preserve">特殊时期的应急保障措施方案</w:t>
            </w:r>
            <w:r>
              <w:rPr>
                <w:rFonts w:hint="eastAsia" w:ascii="仿宋" w:hAnsi="仿宋" w:eastAsia="仿宋" w:cs="仿宋"/>
                <w:color w:val="000000"/>
                <w:sz w:val="24"/>
                <w:szCs w:val="24"/>
                <w:highlight w:val="none"/>
                <w:lang w:val="en-US" w:eastAsia="zh-CN" w:bidi="ar"/>
              </w:rPr>
              <w:t xml:space="preserve">方面打分。优于采购需求得5分；满足采购需求得3分；没有内容不得分。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内部考核及培训方案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000000"/>
                <w:sz w:val="24"/>
                <w:szCs w:val="24"/>
                <w:highlight w:val="none"/>
                <w:rtl w:val="0"/>
                <w:lang w:val="en-US" w:eastAsia="zh-CN" w:bidi="ar"/>
              </w:rPr>
              <w:t xml:space="preserve">“</w:t>
            </w:r>
            <w:r>
              <w:rPr>
                <w:rFonts w:hint="eastAsia" w:ascii="仿宋" w:hAnsi="仿宋" w:eastAsia="仿宋" w:cs="仿宋"/>
                <w:color w:val="auto"/>
                <w:sz w:val="24"/>
                <w:szCs w:val="24"/>
                <w:highlight w:val="none"/>
                <w:rtl w:val="0"/>
                <w:lang w:val="en-US" w:eastAsia="zh-CN" w:bidi="ar-SA"/>
              </w:rPr>
              <w:t xml:space="preserve">第四章、采购需求第八条：内部考核与培训</w:t>
            </w:r>
            <w:r>
              <w:rPr>
                <w:rFonts w:hint="eastAsia" w:ascii="仿宋" w:hAnsi="仿宋" w:eastAsia="仿宋" w:cs="仿宋"/>
                <w:color w:val="000000"/>
                <w:sz w:val="24"/>
                <w:szCs w:val="24"/>
                <w:highlight w:val="none"/>
                <w:rtl w:val="0"/>
                <w:lang w:val="en-US" w:eastAsia="zh-CN" w:bidi="ar"/>
              </w:rPr>
              <w:t xml:space="preserve">”</w:t>
            </w:r>
            <w:r>
              <w:rPr>
                <w:rFonts w:hint="eastAsia" w:ascii="仿宋" w:hAnsi="仿宋" w:eastAsia="仿宋" w:cs="仿宋"/>
                <w:color w:val="000000"/>
                <w:sz w:val="24"/>
                <w:szCs w:val="24"/>
                <w:highlight w:val="none"/>
                <w:lang w:val="en-US" w:eastAsia="zh-CN" w:bidi="ar"/>
              </w:rPr>
              <w:t xml:space="preserve">基础之上评委根据供应商提供的内部考核及培训方案进行打分。优于采购需求得5分；满足采购需求得3分；没有内容不得分。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服务费用方案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7"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“第四章、采购需求第十条：服务费用方案”</w:t>
            </w:r>
            <w:r>
              <w:rPr>
                <w:rFonts w:hint="eastAsia" w:ascii="仿宋" w:hAnsi="仿宋" w:eastAsia="仿宋" w:cs="仿宋"/>
                <w:color w:val="000000"/>
                <w:sz w:val="24"/>
                <w:szCs w:val="24"/>
                <w:highlight w:val="none"/>
                <w:lang w:val="en-US" w:eastAsia="zh-CN" w:bidi="ar"/>
              </w:rPr>
              <w:t xml:space="preserve">基础之上根</w:t>
            </w:r>
            <w:r>
              <w:rPr>
                <w:rFonts w:hint="eastAsia" w:ascii="仿宋" w:hAnsi="仿宋" w:eastAsia="仿宋" w:cs="仿宋"/>
                <w:color w:val="auto"/>
                <w:sz w:val="24"/>
                <w:szCs w:val="24"/>
                <w:highlight w:val="none"/>
                <w:rtl w:val="0"/>
                <w:lang w:val="en-US" w:eastAsia="zh-CN" w:bidi="ar-SA"/>
              </w:rPr>
              <w:t xml:space="preserve">据供应商提供的费用分配方案和费用测算分析说明进行打分。有利于保障并提高服务质量，优于采购需求的得5分，能够实现采购需求的得3分，其他不得分。</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注：明细报价表中如出现“主动让利、优惠、折扣”等视为报价不合理，本项不得分。 </w:t>
            </w:r>
            <w:r/>
          </w:p>
        </w:tc>
      </w:tr>
    </w:tbl>
    <w:p>
      <w:pPr>
        <w:jc w:val="center"/>
        <w:keepLines/>
        <w:keepNext/>
        <w:pageBreakBefore/>
        <w:rPr>
          <w:rFonts w:hint="eastAsia" w:ascii="仿宋" w:hAnsi="仿宋" w:eastAsia="仿宋" w:cs="仿宋"/>
          <w:b/>
          <w:color w:val="000000"/>
          <w:sz w:val="44"/>
          <w:szCs w:val="44"/>
        </w:rPr>
        <w:outlineLvl w:val="0"/>
      </w:pPr>
      <w:r/>
      <w:bookmarkStart w:id="193" w:name="_Toc18143"/>
      <w:r/>
      <w:bookmarkStart w:id="194" w:name="_Toc12255"/>
      <w:r/>
      <w:bookmarkStart w:id="195" w:name="_Toc81575205"/>
      <w:r/>
      <w:bookmarkStart w:id="196" w:name="_Toc81575168"/>
      <w:r/>
      <w:bookmarkStart w:id="197" w:name="_Toc2916"/>
      <w:r>
        <w:rPr>
          <w:rFonts w:hint="eastAsia" w:ascii="仿宋" w:hAnsi="仿宋" w:eastAsia="仿宋" w:cs="仿宋"/>
          <w:b/>
          <w:color w:val="000000"/>
          <w:sz w:val="44"/>
          <w:szCs w:val="44"/>
        </w:rPr>
        <w:t xml:space="preserve">第四章  采购需求</w:t>
      </w:r>
      <w:bookmarkEnd w:id="193"/>
      <w:r/>
      <w:bookmarkEnd w:id="194"/>
      <w:r/>
      <w:bookmarkEnd w:id="195"/>
      <w:r/>
      <w:bookmarkEnd w:id="196"/>
      <w:r/>
      <w:bookmarkEnd w:id="197"/>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w:t>
            </w:r>
            <w:r/>
          </w:p>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划分标准所属行业</w:t>
            </w:r>
            <w:r/>
          </w:p>
        </w:tc>
      </w:tr>
      <w:tr>
        <w:trPr>
          <w:cantSplit/>
          <w:jc w:val="center"/>
          <w:trHeight w:val="291"/>
        </w:trPr>
        <w:tc>
          <w:tcPr>
            <w:tcW w:w="6168" w:type="dxa"/>
            <w:vAlign w:val="top"/>
            <w:textDirection w:val="lrTb"/>
            <w:noWrap w:val="false"/>
          </w:tcPr>
          <w:p>
            <w:pPr>
              <w:jc w:val="center"/>
              <w:spacing w:line="480" w:lineRule="exact"/>
              <w:tabs>
                <w:tab w:val="left" w:pos="202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泗洪县社会治理服务中心保洁服务采购项目</w:t>
            </w:r>
            <w:r/>
          </w:p>
        </w:tc>
        <w:tc>
          <w:tcPr>
            <w:tcW w:w="231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物业管理</w:t>
            </w:r>
            <w:bookmarkEnd w:id="68"/>
            <w:r/>
            <w:r/>
          </w:p>
        </w:tc>
      </w:tr>
    </w:tbl>
    <w:p>
      <w:pPr>
        <w:ind w:firstLine="480"/>
        <w:jc w:val="both"/>
        <w:spacing w:before="0" w:after="0" w:line="520" w:lineRule="atLeast"/>
        <w:widowControl w:val="off"/>
        <w:rPr>
          <w:rFonts w:hint="eastAsia" w:ascii="仿宋" w:hAnsi="仿宋" w:eastAsia="仿宋" w:cs="仿宋"/>
          <w:sz w:val="24"/>
          <w:szCs w:val="24"/>
        </w:rPr>
      </w:pPr>
      <w:r/>
      <w:bookmarkStart w:id="198" w:name="_Toc7742"/>
      <w:r/>
      <w:bookmarkStart w:id="199" w:name="_Toc26310"/>
      <w:r/>
      <w:bookmarkStart w:id="200" w:name="_Toc81575170"/>
      <w:r/>
      <w:bookmarkStart w:id="201" w:name="_Toc9003"/>
      <w:r/>
      <w:bookmarkStart w:id="202" w:name="_Toc19649"/>
      <w:r/>
      <w:bookmarkStart w:id="203" w:name="_Toc81575207"/>
      <w:r/>
      <w:bookmarkStart w:id="204" w:name="_Toc22853"/>
      <w:r>
        <w:rPr>
          <w:rFonts w:hint="eastAsia" w:ascii="仿宋" w:hAnsi="仿宋" w:eastAsia="仿宋" w:cs="仿宋"/>
          <w:b/>
          <w:bCs/>
          <w:sz w:val="24"/>
          <w:szCs w:val="24"/>
        </w:rPr>
        <w:t xml:space="preserve">一、项目概况</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1、项目名称：</w:t>
      </w:r>
      <w:r>
        <w:rPr>
          <w:rFonts w:hint="eastAsia" w:ascii="仿宋" w:hAnsi="仿宋" w:eastAsia="仿宋" w:cs="仿宋"/>
          <w:sz w:val="24"/>
          <w:szCs w:val="24"/>
          <w:lang w:eastAsia="zh-CN"/>
        </w:rPr>
        <w:t xml:space="preserve">泗洪县社会治理服务中心保洁服务采购项目。</w:t>
      </w:r>
      <w:r/>
    </w:p>
    <w:p>
      <w:pPr>
        <w:ind w:firstLine="480"/>
        <w:jc w:val="both"/>
        <w:spacing w:before="0" w:after="0" w:line="480" w:lineRule="atLeas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2、项目内容：为营造洁净、温馨、舒适的办公环境，泗洪县信访局拟采购第三方服务机构进行保洁服务，保洁面积约6000平方米。</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3、付款方式：</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预付款：合同金额的10%，甲方自收到发票之日起10个工作日内支付； </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进度款：甲乙双方按</w:t>
      </w:r>
      <w:r>
        <w:rPr>
          <w:rFonts w:hint="eastAsia" w:ascii="仿宋" w:hAnsi="仿宋" w:eastAsia="仿宋" w:cs="仿宋"/>
          <w:color w:val="auto"/>
          <w:sz w:val="24"/>
          <w:szCs w:val="24"/>
          <w:highlight w:val="none"/>
          <w:lang w:val="en-US" w:eastAsia="zh-CN"/>
        </w:rPr>
        <w:t xml:space="preserve">三个月</w:t>
      </w:r>
      <w:r>
        <w:rPr>
          <w:rFonts w:hint="eastAsia" w:ascii="仿宋" w:hAnsi="仿宋" w:eastAsia="仿宋" w:cs="仿宋"/>
          <w:color w:val="auto"/>
          <w:sz w:val="24"/>
          <w:szCs w:val="24"/>
          <w:highlight w:val="none"/>
        </w:rPr>
        <w:t xml:space="preserve">为一个周期结算服务费用，每周期结束后，</w:t>
      </w:r>
      <w:r>
        <w:rPr>
          <w:rFonts w:hint="eastAsia" w:ascii="仿宋" w:hAnsi="仿宋" w:eastAsia="仿宋" w:cs="仿宋"/>
          <w:sz w:val="24"/>
          <w:szCs w:val="24"/>
          <w:highlight w:val="none"/>
        </w:rPr>
        <w:t xml:space="preserve">甲乙双方按考核结果确定实际支付费用（注：第一周期费用含预付款），乙方向甲方开具正式发票，甲方自收到发票之日起10个工作日内支付。（可采用数字人民币支付）</w:t>
      </w:r>
      <w:r/>
    </w:p>
    <w:p>
      <w:pPr>
        <w:pStyle w:val="1303"/>
        <w:ind w:firstLine="480"/>
        <w:spacing w:line="360" w:lineRule="auto"/>
        <w:tabs>
          <w:tab w:val="left" w:pos="753" w:leader="none"/>
        </w:tabs>
        <w:rPr>
          <w:rFonts w:hint="eastAsia" w:ascii="仿宋" w:hAnsi="仿宋" w:eastAsia="仿宋" w:cs="仿宋"/>
          <w:sz w:val="24"/>
          <w:szCs w:val="24"/>
          <w:highlight w:val="none"/>
        </w:rPr>
      </w:pPr>
      <w:r>
        <w:rPr>
          <w:rFonts w:hint="eastAsia" w:ascii="仿宋" w:hAnsi="仿宋" w:eastAsia="仿宋" w:cs="仿宋"/>
          <w:bCs/>
          <w:caps w:val="0"/>
          <w:color w:val="auto"/>
          <w:sz w:val="24"/>
          <w:lang w:val="en-US" w:eastAsia="zh-CN"/>
        </w:rPr>
        <w:t xml:space="preserve">在签订合同时，乙方明确表示无需预付款或者主动要求降低预付款比例的金额，甲方可不适用预付款规定。可使用数字人民币支付。</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4、合同履行期限：</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rPr>
        <w:t xml:space="preserve">年（具体以合同签订时间为准）。</w:t>
      </w:r>
      <w:r>
        <w:rPr>
          <w:rFonts w:hint="eastAsia" w:ascii="仿宋" w:hAnsi="仿宋" w:eastAsia="仿宋" w:cs="仿宋"/>
          <w:sz w:val="24"/>
          <w:szCs w:val="24"/>
          <w:lang w:val="en-US" w:eastAsia="zh-CN"/>
        </w:rPr>
        <w:t xml:space="preserve">合同一年一签，一年后，若双方就服务内容及质量满意度较高可续签（合同有效期的一年度内，平均考核分数80分（含）以上的）（详见考核标准），最多续签一年。</w:t>
      </w:r>
      <w:r/>
    </w:p>
    <w:p>
      <w:pPr>
        <w:ind w:firstLine="480"/>
        <w:jc w:val="both"/>
        <w:spacing w:before="0" w:after="0" w:line="480" w:lineRule="atLeas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lang w:eastAsia="zh-CN"/>
        </w:rPr>
        <w:t xml:space="preserve">地点：采购人指定地点。</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6、服务质量：合格。</w:t>
      </w:r>
      <w:r/>
    </w:p>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二、采购清单及服务范围</w:t>
      </w:r>
      <w:r/>
    </w:p>
    <w:p>
      <w:pPr>
        <w:pStyle w:val="86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（一）采购清单</w:t>
      </w:r>
      <w:r/>
    </w:p>
    <w:tbl>
      <w:tblPr>
        <w:tblStyle w:val="824"/>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6015"/>
        <w:gridCol w:w="1500"/>
      </w:tblGrid>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服务期限</w:t>
            </w:r>
            <w:r/>
          </w:p>
        </w:tc>
      </w:tr>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泗洪县社会治理服务中心保洁服务采购项目</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2年</w:t>
            </w:r>
            <w:r/>
          </w:p>
        </w:tc>
      </w:tr>
    </w:tbl>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（二）服务范围</w:t>
      </w:r>
      <w:bookmarkEnd w:id="198"/>
      <w:r/>
      <w:r/>
    </w:p>
    <w:p>
      <w:pPr>
        <w:ind w:firstLine="480"/>
        <w:jc w:val="left"/>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泗洪县社会治理服务中心内外公共区域卫生日常清洁保养、垃圾收集及垃圾清运等保洁工作；楼内外公共区域消杀工作。</w:t>
      </w:r>
      <w:r/>
    </w:p>
    <w:p>
      <w:pPr>
        <w:ind w:left="0" w:right="0" w:firstLine="482"/>
        <w:jc w:val="left"/>
        <w:keepLines w:val="0"/>
        <w:keepNext w:val="0"/>
        <w:pageBreakBefore w:val="0"/>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三、人员配备及</w:t>
      </w:r>
      <w:r>
        <w:rPr>
          <w:rFonts w:hint="eastAsia" w:ascii="仿宋" w:hAnsi="仿宋" w:eastAsia="仿宋" w:cs="仿宋"/>
          <w:b/>
          <w:bCs/>
          <w:sz w:val="24"/>
          <w:szCs w:val="24"/>
          <w:lang w:val="en-US" w:eastAsia="zh-CN"/>
        </w:rPr>
        <w:t xml:space="preserve">职责（此项需提供承诺函）</w:t>
      </w:r>
      <w:r/>
    </w:p>
    <w:p>
      <w:pPr>
        <w:ind w:left="0" w:right="0" w:firstLine="482"/>
        <w:jc w:val="left"/>
        <w:keepLines w:val="0"/>
        <w:keepNext w:val="0"/>
        <w:pageBreakBefore w:val="0"/>
        <w:spacing w:line="480" w:lineRule="exact"/>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人员配备</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共5人</w:t>
      </w:r>
      <w:r>
        <w:rPr>
          <w:rFonts w:hint="eastAsia" w:ascii="仿宋" w:hAnsi="仿宋" w:eastAsia="仿宋" w:cs="仿宋"/>
          <w:b/>
          <w:bCs/>
          <w:sz w:val="24"/>
          <w:szCs w:val="24"/>
          <w:lang w:eastAsia="zh-CN"/>
        </w:rPr>
        <w:t xml:space="preserve">）</w:t>
      </w:r>
      <w:r/>
    </w:p>
    <w:tbl>
      <w:tblPr>
        <w:tblStyle w:val="824"/>
        <w:tblW w:w="7481" w:type="dxa"/>
        <w:tblInd w:w="10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616"/>
        <w:gridCol w:w="2709"/>
        <w:gridCol w:w="1350"/>
      </w:tblGrid>
      <w:tr>
        <w:trPr>
          <w:trHeight w:val="571"/>
        </w:trPr>
        <w:tc>
          <w:tcPr>
            <w:tcW w:w="806" w:type="dxa"/>
            <w:vAlign w:val="center"/>
            <w:textDirection w:val="lrTb"/>
            <w:noWrap w:val="false"/>
          </w:tcPr>
          <w:p>
            <w:pPr>
              <w:pStyle w:val="861"/>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序号</w:t>
            </w:r>
            <w:r/>
          </w:p>
        </w:tc>
        <w:tc>
          <w:tcPr>
            <w:tcW w:w="2616" w:type="dxa"/>
            <w:vAlign w:val="center"/>
            <w:textDirection w:val="lrTb"/>
            <w:noWrap w:val="false"/>
          </w:tcPr>
          <w:p>
            <w:pPr>
              <w:pStyle w:val="861"/>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岗位</w:t>
            </w:r>
            <w:r/>
          </w:p>
        </w:tc>
        <w:tc>
          <w:tcPr>
            <w:tcW w:w="2709" w:type="dxa"/>
            <w:vAlign w:val="center"/>
            <w:textDirection w:val="lrTb"/>
            <w:noWrap w:val="false"/>
          </w:tcPr>
          <w:p>
            <w:pPr>
              <w:pStyle w:val="861"/>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人数（人）</w:t>
            </w:r>
            <w:r/>
          </w:p>
        </w:tc>
        <w:tc>
          <w:tcPr>
            <w:tcW w:w="1350" w:type="dxa"/>
            <w:vAlign w:val="center"/>
            <w:textDirection w:val="lrTb"/>
            <w:noWrap w:val="false"/>
          </w:tcPr>
          <w:p>
            <w:pPr>
              <w:pStyle w:val="861"/>
              <w:ind w:left="0" w:firstLine="0"/>
              <w:jc w:val="center"/>
              <w:spacing w:line="240" w:lineRule="auto"/>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备注</w:t>
            </w:r>
            <w:r/>
          </w:p>
        </w:tc>
      </w:tr>
      <w:tr>
        <w:trPr>
          <w:trHeight w:val="554"/>
        </w:trPr>
        <w:tc>
          <w:tcPr>
            <w:tcW w:w="806"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2616"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项目负责人</w:t>
            </w:r>
            <w:r/>
          </w:p>
        </w:tc>
        <w:tc>
          <w:tcPr>
            <w:tcW w:w="2709"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1350" w:type="dxa"/>
            <w:vAlign w:val="center"/>
            <w:textDirection w:val="lrTb"/>
            <w:noWrap w:val="false"/>
          </w:tcPr>
          <w:p>
            <w:pPr>
              <w:pStyle w:val="861"/>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r>
      <w:tr>
        <w:trPr>
          <w:trHeight w:val="555"/>
        </w:trPr>
        <w:tc>
          <w:tcPr>
            <w:tcW w:w="806"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tcW w:w="2616"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保洁员</w:t>
            </w:r>
            <w:r/>
          </w:p>
        </w:tc>
        <w:tc>
          <w:tcPr>
            <w:tcW w:w="2709" w:type="dxa"/>
            <w:vAlign w:val="center"/>
            <w:textDirection w:val="lrTb"/>
            <w:noWrap w:val="false"/>
          </w:tcPr>
          <w:p>
            <w:pPr>
              <w:pStyle w:val="861"/>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p>
        </w:tc>
        <w:tc>
          <w:tcPr>
            <w:tcW w:w="1350" w:type="dxa"/>
            <w:vAlign w:val="center"/>
            <w:textDirection w:val="lrTb"/>
            <w:noWrap w:val="false"/>
          </w:tcPr>
          <w:p>
            <w:pPr>
              <w:pStyle w:val="861"/>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r>
    </w:tbl>
    <w:p>
      <w:pPr>
        <w:ind w:left="0" w:right="0" w:firstLine="482"/>
        <w:keepLines w:val="0"/>
        <w:keepNext w:val="0"/>
        <w:pageBreakBefore w:val="0"/>
        <w:spacing w:line="480" w:lineRule="exact"/>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、日常出勤</w:t>
      </w:r>
      <w:r/>
    </w:p>
    <w:p>
      <w:pPr>
        <w:ind w:left="0" w:right="0" w:firstLine="480"/>
        <w:jc w:val="left"/>
        <w:keepLines w:val="0"/>
        <w:keepNext w:val="0"/>
        <w:pageBreakBefore w:val="0"/>
        <w:spacing w:line="48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全年</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上午</w:t>
      </w: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:00前结束，巡回0</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:30-11:</w:t>
      </w:r>
      <w:r>
        <w:rPr>
          <w:rFonts w:hint="eastAsia" w:ascii="仿宋" w:hAnsi="仿宋" w:eastAsia="仿宋" w:cs="仿宋"/>
          <w:sz w:val="24"/>
          <w:szCs w:val="24"/>
          <w:highlight w:val="none"/>
          <w:lang w:val="en-US" w:eastAsia="zh-CN"/>
        </w:rPr>
        <w:t xml:space="preserve">30</w:t>
      </w:r>
      <w:r/>
    </w:p>
    <w:p>
      <w:pPr>
        <w:ind w:right="0" w:firstLine="1200"/>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下午14:00前结束，巡回14:30-17:00</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四、人员素质要求（此项需提供承诺函）</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 xml:space="preserve">1、项目负责人：具</w:t>
      </w:r>
      <w:r>
        <w:rPr>
          <w:rFonts w:hint="eastAsia" w:ascii="仿宋" w:hAnsi="仿宋" w:eastAsia="仿宋" w:cs="仿宋"/>
          <w:b w:val="0"/>
          <w:bCs w:val="0"/>
          <w:sz w:val="24"/>
          <w:szCs w:val="24"/>
          <w:lang w:val="en-US" w:eastAsia="zh-CN"/>
        </w:rPr>
        <w:t xml:space="preserve">有较强的组织、沟通、协调及服务能力，主要负责人员的管理、监督、培训、考核和协调工作。</w:t>
      </w:r>
      <w:r/>
    </w:p>
    <w:p>
      <w:pPr>
        <w:ind w:left="0" w:right="0" w:firstLine="480"/>
        <w:keepLines w:val="0"/>
        <w:keepNext w:val="0"/>
        <w:pageBreakBefore w:val="0"/>
        <w:spacing w:line="480" w:lineRule="exact"/>
        <w:widowControl/>
        <w:rPr>
          <w:rFonts w:hint="eastAsia" w:ascii="仿宋" w:hAnsi="仿宋" w:eastAsia="仿宋" w:cs="仿宋"/>
        </w:rPr>
      </w:pPr>
      <w:r>
        <w:rPr>
          <w:rFonts w:hint="eastAsia" w:ascii="仿宋" w:hAnsi="仿宋" w:eastAsia="仿宋" w:cs="仿宋"/>
          <w:b w:val="0"/>
          <w:bCs w:val="0"/>
          <w:sz w:val="24"/>
          <w:szCs w:val="24"/>
          <w:lang w:val="en-US" w:eastAsia="zh-CN"/>
        </w:rPr>
        <w:t xml:space="preserve">2、保洁员：身体健康良好，无心脑血管及传染疾病，有吃苦耐劳精神，责任心强。</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五、保洁服务管理要求、进退场交接、设备等要求</w:t>
      </w:r>
      <w:r/>
    </w:p>
    <w:p>
      <w:pPr>
        <w:ind w:left="0" w:right="0" w:firstLine="482"/>
        <w:jc w:val="left"/>
        <w:spacing w:line="48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rPr>
        <w:t xml:space="preserve">）保洁</w:t>
      </w:r>
      <w:r>
        <w:rPr>
          <w:rFonts w:hint="eastAsia" w:ascii="仿宋" w:hAnsi="仿宋" w:eastAsia="仿宋" w:cs="仿宋"/>
          <w:b/>
          <w:bCs/>
          <w:sz w:val="24"/>
          <w:szCs w:val="24"/>
          <w:highlight w:val="none"/>
          <w:lang w:val="en-US" w:eastAsia="zh-CN"/>
        </w:rPr>
        <w:t xml:space="preserve">服务</w:t>
      </w:r>
      <w:r>
        <w:rPr>
          <w:rFonts w:hint="eastAsia" w:ascii="仿宋" w:hAnsi="仿宋" w:eastAsia="仿宋" w:cs="仿宋"/>
          <w:b/>
          <w:bCs/>
          <w:sz w:val="24"/>
          <w:szCs w:val="24"/>
          <w:highlight w:val="none"/>
        </w:rPr>
        <w:t xml:space="preserve">管理</w:t>
      </w:r>
      <w:r>
        <w:rPr>
          <w:rFonts w:hint="eastAsia" w:ascii="仿宋" w:hAnsi="仿宋" w:eastAsia="仿宋" w:cs="仿宋"/>
          <w:b/>
          <w:bCs/>
          <w:sz w:val="24"/>
          <w:szCs w:val="24"/>
          <w:highlight w:val="none"/>
          <w:lang w:val="en-US" w:eastAsia="zh-CN"/>
        </w:rPr>
        <w:t xml:space="preserve">（此项需提供承诺函）</w:t>
      </w:r>
      <w:r/>
    </w:p>
    <w:tbl>
      <w:tblPr>
        <w:tblStyle w:val="795"/>
        <w:tblpPr w:horzAnchor="page" w:tblpX="1891" w:vertAnchor="text" w:tblpY="466" w:leftFromText="180" w:topFromText="0" w:rightFromText="180" w:bottomFromText="0"/>
        <w:tblW w:w="47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374"/>
        <w:gridCol w:w="6721"/>
      </w:tblGrid>
      <w:tr>
        <w:trPr>
          <w:trHeight w:val="454"/>
        </w:trPr>
        <w:tc>
          <w:tcPr>
            <w:tcW w:w="891"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序号</w:t>
            </w:r>
            <w:r/>
          </w:p>
        </w:tc>
        <w:tc>
          <w:tcPr>
            <w:tcW w:w="1374"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服务内容</w:t>
            </w:r>
            <w:r/>
          </w:p>
        </w:tc>
        <w:tc>
          <w:tcPr>
            <w:tcW w:w="6723"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服务标准</w:t>
            </w:r>
            <w:r/>
          </w:p>
        </w:tc>
      </w:tr>
      <w:tr>
        <w:trPr>
          <w:cantSplit/>
          <w:trHeight w:val="454"/>
        </w:trPr>
        <w:tc>
          <w:tcPr>
            <w:tcW w:w="891"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p>
        </w:tc>
        <w:tc>
          <w:tcPr>
            <w:tcW w:w="1374" w:type="dxa"/>
            <w:vAlign w:val="center"/>
            <w:vMerge w:val="restart"/>
            <w:textDirection w:val="lrTb"/>
            <w:noWrap w:val="false"/>
          </w:tcPr>
          <w:p>
            <w:pP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基本要求</w:t>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（1）建立保洁服务的工作制度及工作计划，并按照执行。</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（2）做好保洁服务工作记录，记录填写规范、保存完好。</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（3）作业时采取安全防护措施，防止对作业人员或他人造成伤害。相关耗材的环保、安全性等应当符合国家相关规定要求。</w:t>
            </w:r>
            <w:r/>
          </w:p>
        </w:tc>
      </w:tr>
      <w:tr>
        <w:trPr>
          <w:cantSplit/>
          <w:trHeight w:val="403"/>
        </w:trPr>
        <w:tc>
          <w:tcPr>
            <w:tcW w:w="891"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p>
        </w:tc>
        <w:tc>
          <w:tcPr>
            <w:tcW w:w="1374" w:type="dxa"/>
            <w:vAlign w:val="center"/>
            <w:vMerge w:val="restart"/>
            <w:textDirection w:val="lrTb"/>
            <w:noWrap w:val="false"/>
          </w:tcPr>
          <w:p>
            <w:pPr>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办公用房区域保洁</w:t>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（1）大厅、楼内公共通道：</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①公共通道保持干净，无异味、无杂物、无积水，每日至少开展2次清洁作业。</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②门窗玻璃干净无尘，透光性好，每周至少开展1次清洁作业。</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③指示牌干净，无污渍，每日至少开展1次清洁作业。</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④楼道、楼梯间无灰尘，无乱贴乱画，梯步表面干净无污渍，保持楼梯手护栏干净、无灰尘，扶杆、窗台、开关面板每日擦抹一次，保持干净无尘，无乱贴乱画、无杂物堆积。</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⑤办公门每月擦抹一次，内窗、一楼玻璃每周擦抹一次，保持洁净、无尘、无蛛网。</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⑥消防箱、指示标牌隔天擦抹一次，保持干净无尘。</w:t>
            </w:r>
            <w:r/>
          </w:p>
          <w:p>
            <w:pPr>
              <w:jc w:val="left"/>
              <w:pageBreakBefore w:val="0"/>
              <w:spacing w:line="360" w:lineRule="exac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⑦楼内设置固定的垃圾收集点，所有垃圾桶保洁干净、无异味，及时更换垃圾袋，确保垃圾不超过2/3。</w:t>
            </w:r>
            <w:r/>
          </w:p>
        </w:tc>
      </w:tr>
      <w:tr>
        <w:trPr>
          <w:cantSplit/>
          <w:trHeight w:val="1095"/>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（2）电器、消防等设施设备：</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①配电箱、设备机房、会议室音视频设备、消防栓及开关插座等保持表面干净，无尘无污迹，每月至少开展1次清洁作业。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②监控摄像头、门禁系统等表面光亮，无尘、无斑点，每月至少开展1次清洁作业。</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（3）楼梯及楼梯间保持干净、无异味、无杂物、无积水，每日至少开展2次清洁作业。</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（4）开水间保持干净、无异味、无杂物、无积水，每日至少开展1次全面清洁作业，工作期间保持不间断巡视，至少每小时巡视一次。</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（5）作业工具间：</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①保持干净，无异味、无杂物、无积水，每日至少开展1次全面清洁作业。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②作业工具摆放整齐有序，表面干净无渍，每日消毒。</w:t>
            </w:r>
            <w:r/>
          </w:p>
        </w:tc>
      </w:tr>
      <w:tr>
        <w:trPr>
          <w:cantSplit/>
          <w:trHeight w:val="1095"/>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（6）公共卫生间：</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①保持干净，无异味，垃圾无溢出，每日至少开展1次全面清洁和消毒作业，工作期间保持不间断巡视，至少每小时巡视一次。</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②及时补充厕纸、擦手纸、洗手液等必要用品。</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③每日两次收垃圾，更换垃圾袋。</w:t>
            </w:r>
            <w:r/>
          </w:p>
        </w:tc>
      </w:tr>
      <w:tr>
        <w:trPr>
          <w:cantSplit/>
          <w:trHeight w:val="1107"/>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（7）电梯轿厢：</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①保持干净，无污渍、无粘贴物、无异味，每日至少开展1次清洁作业。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②灯具、操作指示板明亮。</w:t>
            </w:r>
            <w:r/>
          </w:p>
        </w:tc>
      </w:tr>
      <w:tr>
        <w:trPr>
          <w:cantSplit/>
          <w:trHeight w:val="588"/>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pageBreakBefore w:val="0"/>
              <w:spacing w:line="36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8</w:t>
            </w:r>
            <w:r>
              <w:rPr>
                <w:rFonts w:hint="eastAsia" w:ascii="仿宋" w:hAnsi="仿宋" w:eastAsia="仿宋" w:cs="仿宋"/>
                <w:sz w:val="21"/>
                <w:szCs w:val="21"/>
              </w:rPr>
              <w:t xml:space="preserve">）会议室每日清洁、巡视，定期消毒；</w:t>
            </w:r>
            <w:r/>
          </w:p>
        </w:tc>
      </w:tr>
      <w:tr>
        <w:trPr>
          <w:cantSplit/>
          <w:trHeight w:val="454"/>
        </w:trPr>
        <w:tc>
          <w:tcPr>
            <w:tcW w:w="891"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w:t>
            </w:r>
            <w:r/>
          </w:p>
        </w:tc>
        <w:tc>
          <w:tcPr>
            <w:tcW w:w="1374" w:type="dxa"/>
            <w:vAlign w:val="center"/>
            <w:vMerge w:val="restart"/>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公共场地区域保洁</w:t>
            </w:r>
            <w:r/>
          </w:p>
        </w:tc>
        <w:tc>
          <w:tcPr>
            <w:tcW w:w="6723" w:type="dxa"/>
            <w:vAlign w:val="center"/>
            <w:textDirection w:val="lrTb"/>
            <w:noWrap w:val="false"/>
          </w:tcPr>
          <w:p>
            <w:pPr>
              <w:jc w:val="both"/>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（1）每日清扫道路地面、停车场等公共区域2次，保持干净、无杂物、无积水。</w:t>
            </w:r>
            <w:r/>
          </w:p>
        </w:tc>
      </w:tr>
      <w:tr>
        <w:trPr>
          <w:cantSplit/>
          <w:trHeight w:val="454"/>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both"/>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（2）雪、冰冻等恶劣天气时及时清扫积水、积雪，并采取安全防护措施。</w:t>
            </w:r>
            <w:r/>
          </w:p>
        </w:tc>
      </w:tr>
      <w:tr>
        <w:trPr>
          <w:cantSplit/>
          <w:trHeight w:val="657"/>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pStyle w:val="1310"/>
              <w:jc w:val="both"/>
              <w:pageBreakBefore w:val="0"/>
              <w:spacing w:line="36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）办公区外立面3米以下外窗玻璃、墙面、立柱，每月开展1次清洗。</w:t>
            </w:r>
            <w:r/>
          </w:p>
        </w:tc>
      </w:tr>
      <w:tr>
        <w:trPr>
          <w:cantSplit/>
          <w:trHeight w:val="532"/>
        </w:trPr>
        <w:tc>
          <w:tcPr>
            <w:tcW w:w="891"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4</w:t>
            </w:r>
            <w:r/>
          </w:p>
        </w:tc>
        <w:tc>
          <w:tcPr>
            <w:tcW w:w="1374" w:type="dxa"/>
            <w:vAlign w:val="center"/>
            <w:vMerge w:val="restart"/>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卫生消毒</w:t>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（1）办公用房区域、公共场所区域和周围环境预防性卫生消毒，消毒后及时通风，每周至少开展1次作业。</w:t>
            </w:r>
            <w:r/>
          </w:p>
        </w:tc>
      </w:tr>
      <w:tr>
        <w:trPr>
          <w:cantSplit/>
          <w:trHeight w:val="418"/>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（2）采取综合措施消灭老鼠、蟑螂，控制室内外蚊虫孳生，达到基本无蝇，每季度至少开展1次作业。</w:t>
            </w:r>
            <w:r/>
          </w:p>
        </w:tc>
      </w:tr>
      <w:tr>
        <w:trPr>
          <w:cantSplit/>
          <w:trHeight w:val="536"/>
        </w:trPr>
        <w:tc>
          <w:tcPr>
            <w:tcW w:w="891"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374"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723"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（3）发生公共卫生事件时，邀请专业单位开展消毒、检测等工作。</w:t>
            </w:r>
            <w:r/>
          </w:p>
        </w:tc>
      </w:tr>
    </w:tbl>
    <w:p>
      <w:pPr>
        <w:ind w:left="0" w:right="0" w:firstLine="482"/>
        <w:jc w:val="left"/>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进退场交接</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进退场交接方案：供应商提供针对本项目特点的进退场交接方案，制定项目交接时间进度安排、具体交接的内容、交接重点难点分析及解决方案，确保项目平稳过渡和正常运行。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进场交接要求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交接准备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进场前勘查：新物业服务企业在进场前对</w:t>
      </w:r>
      <w:r>
        <w:rPr>
          <w:rFonts w:hint="eastAsia" w:ascii="仿宋" w:hAnsi="仿宋" w:eastAsia="仿宋" w:cs="仿宋"/>
          <w:color w:val="auto"/>
          <w:sz w:val="24"/>
          <w:szCs w:val="24"/>
          <w:lang w:val="en-US" w:eastAsia="zh-CN"/>
        </w:rPr>
        <w:t xml:space="preserve">现场</w:t>
      </w:r>
      <w:r>
        <w:rPr>
          <w:rFonts w:hint="eastAsia" w:ascii="仿宋" w:hAnsi="仿宋" w:eastAsia="仿宋" w:cs="仿宋"/>
          <w:color w:val="auto"/>
          <w:sz w:val="24"/>
          <w:szCs w:val="24"/>
          <w:lang w:val="zh-CN" w:eastAsia="zh-CN"/>
        </w:rPr>
        <w:t xml:space="preserve">进行全面勘察，了解设施设备、环境、安全等情况。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人员培训：新物业服务企业应对员工进行岗前培训，确保熟悉办公楼的管理制度和服务标准。</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资料交接：包括但不限于建筑图纸、设备档案、合同、业主信息、历史维修记录等。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物资交接：包括办公用品、清洁工具、安保器材等，确保数量和质量符合要求。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交接会议：双方应召开交接会议，明确交接内容、时间、责任等事项。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现场交接：双方应共同对办公楼进行现场检查，确认设施设备、物资等状况。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签字确认：交接完成后，双方应签署交接文件，确认交接内容。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）退场交接要求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1.退场准备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资料整理：退场物业服务企业应整理好所有相关资料，包括设备档案、维修记录、合同等。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物资清点：退场前应对所有物资进行清点，确保无遗失或损坏。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资料移交：退场物业服务企业应将所有相关资料移交给新物业服务企业或业主方。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物资移交：退场物业服务企业应将所有物资移交给新物业服务企业或业主方，确保数量和质量符合要求。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3.退场程序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退场会议：双方应召开退场会议，明确退场内容、时间、责任等事项。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现场检查：双方应共同对办公楼进行现场检查，确认设施设备、物资等状况。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签字确认：退场完成后，双方应签署退场文件，确认退场内容。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）交接时间</w:t>
      </w:r>
      <w:r>
        <w:rPr>
          <w:rFonts w:hint="eastAsia" w:ascii="仿宋" w:hAnsi="仿宋" w:eastAsia="仿宋" w:cs="仿宋"/>
          <w:color w:val="auto"/>
          <w:sz w:val="24"/>
          <w:szCs w:val="24"/>
          <w:lang w:val="en-US" w:eastAsia="zh-CN"/>
        </w:rPr>
        <w:t xml:space="preserve">及责任</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1.交接时间：进退场交接应在合同规定的期限内完成，确保不影响</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lang w:val="zh-CN" w:eastAsia="zh-CN"/>
        </w:rPr>
        <w:t xml:space="preserve">的正常使用。</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2.交接责任：双方应明确交接过程中的责任，确保交接顺利进行。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3.交接记录：交接过程应详细记录，双方签字确认，作为后续管理的依据。</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通过以上要求，确保物业服务采购项目的进退场交接顺利进行，保障物业服务的连续性和质量。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三</w:t>
      </w:r>
      <w:r>
        <w:rPr>
          <w:rFonts w:hint="eastAsia" w:ascii="仿宋" w:hAnsi="仿宋" w:eastAsia="仿宋" w:cs="仿宋"/>
          <w:color w:val="auto"/>
          <w:sz w:val="24"/>
          <w:szCs w:val="24"/>
          <w:lang w:val="zh-CN" w:eastAsia="zh-CN"/>
        </w:rPr>
        <w:t xml:space="preserve">）设备、工具、服装要求</w:t>
      </w:r>
      <w:r/>
    </w:p>
    <w:p>
      <w:pPr>
        <w:pStyle w:val="114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1.设备及保洁工具全新或八成新以上。</w:t>
      </w:r>
      <w:r/>
    </w:p>
    <w:p>
      <w:pPr>
        <w:pStyle w:val="1144"/>
        <w:ind w:firstLine="480"/>
        <w:jc w:val="left"/>
        <w:spacing w:line="360" w:lineRule="auto"/>
        <w:widowControl/>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2.装备清单，包含保洁物资耗材、清洁工具、清洁用品、各种保洁专用警示牌等供应商自备，可利旧。</w:t>
      </w:r>
      <w:r/>
    </w:p>
    <w:p>
      <w:pPr>
        <w:pStyle w:val="114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3.中标人进驻前一天，必须将以上设备进</w:t>
      </w:r>
      <w:r>
        <w:rPr>
          <w:rFonts w:hint="eastAsia" w:ascii="仿宋" w:hAnsi="仿宋" w:eastAsia="仿宋" w:cs="仿宋"/>
          <w:sz w:val="24"/>
          <w:szCs w:val="24"/>
          <w:highlight w:val="none"/>
          <w:lang w:bidi="zh-CN"/>
        </w:rPr>
        <w:t xml:space="preserve">入到</w:t>
      </w:r>
      <w:r>
        <w:rPr>
          <w:rFonts w:hint="eastAsia" w:ascii="仿宋" w:hAnsi="仿宋" w:eastAsia="仿宋" w:cs="仿宋"/>
          <w:sz w:val="24"/>
          <w:szCs w:val="24"/>
          <w:highlight w:val="none"/>
          <w:lang w:val="en-US" w:eastAsia="zh-CN" w:bidi="zh-CN"/>
        </w:rPr>
        <w:t xml:space="preserve">甲方指定地点</w:t>
      </w:r>
      <w:r>
        <w:rPr>
          <w:rFonts w:hint="eastAsia" w:ascii="仿宋" w:hAnsi="仿宋" w:eastAsia="仿宋" w:cs="仿宋"/>
          <w:sz w:val="24"/>
          <w:szCs w:val="24"/>
          <w:highlight w:val="none"/>
          <w:lang w:bidi="zh-CN"/>
        </w:rPr>
        <w:t xml:space="preserve">，</w:t>
      </w:r>
      <w:r>
        <w:rPr>
          <w:rFonts w:hint="eastAsia" w:ascii="仿宋" w:hAnsi="仿宋" w:eastAsia="仿宋" w:cs="仿宋"/>
          <w:sz w:val="24"/>
          <w:szCs w:val="24"/>
          <w:lang w:bidi="zh-CN"/>
        </w:rPr>
        <w:t xml:space="preserve">缺一不可。否则采购人将拒绝中标人进场，所产生的责任由中标人承担。合同生效后3个工作日内因中标人未将上述设备完全提供导致延误的，采购人将报政府采购管理部门进行处理并追究其违约责任。</w:t>
      </w:r>
      <w:r/>
    </w:p>
    <w:p>
      <w:pPr>
        <w:pStyle w:val="114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4.人员服装要求</w:t>
      </w:r>
      <w:r/>
    </w:p>
    <w:p>
      <w:pPr>
        <w:pStyle w:val="114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pStyle w:val="1144"/>
        <w:ind w:firstLine="480"/>
        <w:jc w:val="left"/>
        <w:spacing w:line="360" w:lineRule="auto"/>
        <w:widowControl/>
        <w:rPr>
          <w:rFonts w:hint="eastAsia" w:ascii="仿宋" w:hAnsi="仿宋" w:eastAsia="仿宋" w:cs="仿宋"/>
          <w:sz w:val="24"/>
          <w:szCs w:val="24"/>
          <w:highlight w:val="none"/>
          <w:lang w:bidi="zh-CN"/>
        </w:rPr>
      </w:pPr>
      <w:r>
        <w:rPr>
          <w:rFonts w:hint="eastAsia" w:ascii="仿宋" w:hAnsi="仿宋" w:eastAsia="仿宋" w:cs="仿宋"/>
          <w:sz w:val="24"/>
          <w:szCs w:val="24"/>
          <w:lang w:bidi="zh-CN"/>
        </w:rPr>
        <w:t xml:space="preserve">（2）人员服装应全新，质量上乘，为纯棉制品，穿着舒适，经久耐穿，具备本单位特色，且能够展示本单位和采购人单位场所风采</w:t>
      </w:r>
      <w:r>
        <w:rPr>
          <w:rFonts w:hint="eastAsia" w:ascii="仿宋" w:hAnsi="仿宋" w:eastAsia="仿宋" w:cs="仿宋"/>
          <w:sz w:val="24"/>
          <w:szCs w:val="24"/>
          <w:highlight w:val="none"/>
          <w:lang w:bidi="zh-CN"/>
        </w:rPr>
        <w:t xml:space="preserve">。</w:t>
      </w:r>
      <w:r>
        <w:rPr>
          <w:rFonts w:hint="eastAsia" w:ascii="仿宋" w:hAnsi="仿宋" w:eastAsia="仿宋" w:cs="仿宋"/>
          <w:color w:val="auto"/>
          <w:sz w:val="24"/>
          <w:szCs w:val="24"/>
          <w:highlight w:val="none"/>
          <w:rtl w:val="0"/>
          <w:lang w:val="en-US" w:eastAsia="zh-CN" w:bidi="ar-SA"/>
        </w:rPr>
        <w:t xml:space="preserve">响应</w:t>
      </w:r>
      <w:r>
        <w:rPr>
          <w:rFonts w:hint="eastAsia" w:ascii="仿宋" w:hAnsi="仿宋" w:eastAsia="仿宋" w:cs="仿宋"/>
          <w:sz w:val="24"/>
          <w:szCs w:val="24"/>
          <w:highlight w:val="none"/>
          <w:lang w:bidi="zh-CN"/>
        </w:rPr>
        <w:t xml:space="preserve">文件中按岗位不同分别提供服装样式图片。</w:t>
      </w:r>
      <w:r/>
    </w:p>
    <w:p>
      <w:pPr>
        <w:numPr>
          <w:ilvl w:val="0"/>
          <w:numId w:val="0"/>
        </w:numPr>
        <w:ind w:left="0" w:right="0" w:firstLine="480"/>
        <w:jc w:val="left"/>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sz w:val="24"/>
          <w:szCs w:val="24"/>
          <w:highlight w:val="none"/>
          <w:lang w:bidi="zh-CN"/>
        </w:rPr>
        <w:t xml:space="preserve">（3）服装数量要求：项目组成员（除项目经理外）每人每季节2套服装（包括上衣和裤子），其中春夏季为短袖样式，秋冬季为长袖样式。服装由中标人在采购人指定时间前备案并发放至员工。</w:t>
      </w:r>
      <w:r/>
    </w:p>
    <w:p>
      <w:pPr>
        <w:ind w:left="0" w:right="0" w:firstLine="482"/>
        <w:keepLines w:val="0"/>
        <w:keepNext w:val="0"/>
        <w:pageBreakBefore w:val="0"/>
        <w:spacing w:line="48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六、考核标准</w:t>
      </w:r>
      <w:r>
        <w:rPr>
          <w:rFonts w:hint="eastAsia" w:ascii="仿宋" w:hAnsi="仿宋" w:eastAsia="仿宋" w:cs="仿宋"/>
          <w:b/>
          <w:bCs/>
          <w:sz w:val="24"/>
          <w:szCs w:val="24"/>
          <w:lang w:val="en-US" w:eastAsia="zh-CN"/>
        </w:rPr>
        <w:t xml:space="preserve">（此项需提供承诺函）</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为进一步加强服务</w:t>
      </w:r>
      <w:r>
        <w:rPr>
          <w:rStyle w:val="794"/>
          <w:rFonts w:hint="eastAsia" w:ascii="仿宋" w:hAnsi="仿宋" w:eastAsia="仿宋" w:cs="仿宋"/>
          <w:color w:val="auto"/>
          <w:sz w:val="21"/>
          <w:szCs w:val="21"/>
          <w:lang w:eastAsia="zh-CN"/>
        </w:rPr>
        <w:t xml:space="preserve">（</w:t>
      </w:r>
      <w:r>
        <w:rPr>
          <w:rStyle w:val="794"/>
          <w:rFonts w:hint="eastAsia" w:ascii="仿宋" w:hAnsi="仿宋" w:eastAsia="仿宋" w:cs="仿宋"/>
          <w:color w:val="auto"/>
          <w:sz w:val="21"/>
          <w:szCs w:val="21"/>
        </w:rPr>
        <w:t xml:space="preserve">以下简称</w:t>
      </w:r>
      <w:r>
        <w:rPr>
          <w:rStyle w:val="794"/>
          <w:rFonts w:hint="eastAsia" w:ascii="仿宋" w:hAnsi="仿宋" w:eastAsia="仿宋" w:cs="仿宋"/>
          <w:color w:val="auto"/>
          <w:sz w:val="21"/>
          <w:szCs w:val="21"/>
          <w:lang w:eastAsia="zh-CN"/>
        </w:rPr>
        <w:t xml:space="preserve">“</w:t>
      </w:r>
      <w:r>
        <w:rPr>
          <w:rStyle w:val="794"/>
          <w:rFonts w:hint="eastAsia" w:ascii="仿宋" w:hAnsi="仿宋" w:eastAsia="仿宋" w:cs="仿宋"/>
          <w:color w:val="auto"/>
          <w:sz w:val="21"/>
          <w:szCs w:val="21"/>
        </w:rPr>
        <w:t xml:space="preserve">服务</w:t>
      </w:r>
      <w:r>
        <w:rPr>
          <w:rStyle w:val="794"/>
          <w:rFonts w:hint="eastAsia" w:ascii="仿宋" w:hAnsi="仿宋" w:eastAsia="仿宋" w:cs="仿宋"/>
          <w:color w:val="auto"/>
          <w:sz w:val="21"/>
          <w:szCs w:val="21"/>
          <w:lang w:eastAsia="zh-CN"/>
        </w:rPr>
        <w:t xml:space="preserve">”）</w:t>
      </w:r>
      <w:r>
        <w:rPr>
          <w:rStyle w:val="794"/>
          <w:rFonts w:hint="eastAsia" w:ascii="仿宋" w:hAnsi="仿宋" w:eastAsia="仿宋" w:cs="仿宋"/>
          <w:color w:val="auto"/>
          <w:sz w:val="21"/>
          <w:szCs w:val="21"/>
        </w:rPr>
        <w:t xml:space="preserve">管理考核，不断提升服务水平，特制定本办法。</w:t>
      </w:r>
      <w:r/>
    </w:p>
    <w:p>
      <w:pPr>
        <w:pStyle w:val="829"/>
        <w:ind w:firstLine="420"/>
        <w:jc w:val="both"/>
        <w:keepLines w:val="0"/>
        <w:keepNext w:val="0"/>
        <w:pageBreakBefore w:val="0"/>
        <w:spacing w:line="240" w:lineRule="auto"/>
        <w:rPr>
          <w:rStyle w:val="794"/>
          <w:rFonts w:hint="default"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一、</w:t>
      </w:r>
      <w:r>
        <w:rPr>
          <w:rStyle w:val="794"/>
          <w:rFonts w:hint="eastAsia" w:ascii="仿宋" w:hAnsi="仿宋" w:eastAsia="仿宋" w:cs="仿宋"/>
          <w:color w:val="auto"/>
          <w:sz w:val="21"/>
          <w:szCs w:val="21"/>
        </w:rPr>
        <w:t xml:space="preserve">考核对象</w:t>
      </w:r>
      <w:r>
        <w:rPr>
          <w:rStyle w:val="794"/>
          <w:rFonts w:hint="eastAsia" w:ascii="仿宋" w:hAnsi="仿宋" w:eastAsia="仿宋" w:cs="仿宋"/>
          <w:color w:val="auto"/>
          <w:sz w:val="21"/>
          <w:szCs w:val="21"/>
          <w:lang w:val="en-US" w:eastAsia="zh-CN"/>
        </w:rPr>
        <w:t xml:space="preserve">      </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lang w:val="en-US" w:eastAsia="zh-CN"/>
        </w:rPr>
        <w:t xml:space="preserve">泗洪县社会治理服务中心保洁服务采购项目</w:t>
      </w:r>
      <w:r>
        <w:rPr>
          <w:rStyle w:val="794"/>
          <w:rFonts w:hint="eastAsia" w:ascii="仿宋" w:hAnsi="仿宋" w:eastAsia="仿宋" w:cs="仿宋"/>
          <w:color w:val="auto"/>
          <w:sz w:val="21"/>
          <w:szCs w:val="21"/>
        </w:rPr>
        <w:t xml:space="preserve">服务商。</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二、考核方式</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每季度（即3个月）考核一次，每次考核满分为100分，甲方定期督查，不符合约定管理目标要求的，按下表考核表中考核内容及标准进行扣分，做好考核结果的采集、复核，确保结果客观公正。</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三、结果应用</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（1）考核成绩在90分以上（不含90分）全额支付费用；</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（2）考核成绩在90—80分（含90分）之间的，支付费用标准的9</w:t>
      </w:r>
      <w:r>
        <w:rPr>
          <w:rStyle w:val="794"/>
          <w:rFonts w:hint="eastAsia" w:ascii="仿宋" w:hAnsi="仿宋" w:eastAsia="仿宋" w:cs="仿宋"/>
          <w:color w:val="auto"/>
          <w:sz w:val="21"/>
          <w:szCs w:val="21"/>
          <w:lang w:val="en-US" w:eastAsia="zh-CN"/>
        </w:rPr>
        <w:t xml:space="preserve">5</w:t>
      </w:r>
      <w:r>
        <w:rPr>
          <w:rStyle w:val="794"/>
          <w:rFonts w:hint="eastAsia" w:ascii="仿宋" w:hAnsi="仿宋" w:eastAsia="仿宋" w:cs="仿宋"/>
          <w:color w:val="auto"/>
          <w:sz w:val="21"/>
          <w:szCs w:val="21"/>
        </w:rPr>
        <w:t xml:space="preserve">%；</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（3）考核成绩在80—70分（含80分）之间的，支付费用标准的</w:t>
      </w:r>
      <w:r>
        <w:rPr>
          <w:rStyle w:val="794"/>
          <w:rFonts w:hint="eastAsia" w:ascii="仿宋" w:hAnsi="仿宋" w:eastAsia="仿宋" w:cs="仿宋"/>
          <w:color w:val="auto"/>
          <w:sz w:val="21"/>
          <w:szCs w:val="21"/>
          <w:lang w:val="en-US" w:eastAsia="zh-CN"/>
        </w:rPr>
        <w:t xml:space="preserve">90</w:t>
      </w:r>
      <w:r>
        <w:rPr>
          <w:rStyle w:val="794"/>
          <w:rFonts w:hint="eastAsia" w:ascii="仿宋" w:hAnsi="仿宋" w:eastAsia="仿宋" w:cs="仿宋"/>
          <w:color w:val="auto"/>
          <w:sz w:val="21"/>
          <w:szCs w:val="21"/>
        </w:rPr>
        <w:t xml:space="preserve">%；</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rPr>
      </w:pPr>
      <w:r>
        <w:rPr>
          <w:rStyle w:val="794"/>
          <w:rFonts w:hint="eastAsia" w:ascii="仿宋" w:hAnsi="仿宋" w:eastAsia="仿宋" w:cs="仿宋"/>
          <w:color w:val="auto"/>
          <w:sz w:val="21"/>
          <w:szCs w:val="21"/>
        </w:rPr>
        <w:t xml:space="preserve">（4）考核成绩在70</w:t>
      </w:r>
      <w:r>
        <w:rPr>
          <w:rStyle w:val="794"/>
          <w:rFonts w:hint="eastAsia" w:ascii="仿宋" w:hAnsi="仿宋" w:eastAsia="仿宋" w:cs="仿宋"/>
          <w:color w:val="auto"/>
          <w:sz w:val="21"/>
          <w:szCs w:val="21"/>
          <w:lang w:val="en-US" w:eastAsia="zh-CN"/>
        </w:rPr>
        <w:t xml:space="preserve">分及以下</w:t>
      </w:r>
      <w:r>
        <w:rPr>
          <w:rStyle w:val="794"/>
          <w:rFonts w:hint="eastAsia" w:ascii="仿宋" w:hAnsi="仿宋" w:eastAsia="仿宋" w:cs="仿宋"/>
          <w:color w:val="auto"/>
          <w:sz w:val="21"/>
          <w:szCs w:val="21"/>
        </w:rPr>
        <w:t xml:space="preserve">的，支付费用标准的</w:t>
      </w:r>
      <w:r>
        <w:rPr>
          <w:rStyle w:val="794"/>
          <w:rFonts w:hint="eastAsia" w:ascii="仿宋" w:hAnsi="仿宋" w:eastAsia="仿宋" w:cs="仿宋"/>
          <w:color w:val="auto"/>
          <w:sz w:val="21"/>
          <w:szCs w:val="21"/>
          <w:lang w:val="en-US" w:eastAsia="zh-CN"/>
        </w:rPr>
        <w:t xml:space="preserve">85</w:t>
      </w:r>
      <w:r>
        <w:rPr>
          <w:rStyle w:val="794"/>
          <w:rFonts w:hint="eastAsia" w:ascii="仿宋" w:hAnsi="仿宋" w:eastAsia="仿宋" w:cs="仿宋"/>
          <w:color w:val="auto"/>
          <w:sz w:val="21"/>
          <w:szCs w:val="21"/>
        </w:rPr>
        <w:t xml:space="preserve">%；</w:t>
      </w:r>
      <w:r/>
    </w:p>
    <w:p>
      <w:pPr>
        <w:pStyle w:val="829"/>
        <w:ind w:firstLine="420"/>
        <w:jc w:val="both"/>
        <w:keepLines w:val="0"/>
        <w:keepNext w:val="0"/>
        <w:pageBreakBefore w:val="0"/>
        <w:spacing w:line="240" w:lineRule="auto"/>
        <w:rPr>
          <w:rStyle w:val="794"/>
          <w:rFonts w:hint="eastAsia" w:ascii="仿宋" w:hAnsi="仿宋" w:eastAsia="仿宋" w:cs="仿宋"/>
          <w:color w:val="auto"/>
          <w:sz w:val="21"/>
          <w:szCs w:val="21"/>
          <w:lang w:val="en-US" w:eastAsia="zh-CN"/>
        </w:rPr>
      </w:pPr>
      <w:r>
        <w:rPr>
          <w:rStyle w:val="794"/>
          <w:rFonts w:hint="eastAsia" w:ascii="仿宋" w:hAnsi="仿宋" w:eastAsia="仿宋" w:cs="仿宋"/>
          <w:color w:val="auto"/>
          <w:sz w:val="21"/>
          <w:szCs w:val="21"/>
          <w:lang w:val="en-US" w:eastAsia="zh-CN"/>
        </w:rPr>
        <w:t xml:space="preserve">注：</w:t>
      </w:r>
      <w:r>
        <w:rPr>
          <w:rStyle w:val="794"/>
          <w:rFonts w:hint="eastAsia" w:ascii="仿宋" w:hAnsi="仿宋" w:eastAsia="仿宋" w:cs="仿宋"/>
          <w:color w:val="auto"/>
          <w:sz w:val="21"/>
          <w:szCs w:val="21"/>
        </w:rPr>
        <w:t xml:space="preserve">考核成绩在</w:t>
      </w:r>
      <w:r>
        <w:rPr>
          <w:rStyle w:val="794"/>
          <w:rFonts w:hint="eastAsia" w:ascii="仿宋" w:hAnsi="仿宋" w:eastAsia="仿宋" w:cs="仿宋"/>
          <w:color w:val="auto"/>
          <w:sz w:val="21"/>
          <w:szCs w:val="21"/>
          <w:lang w:val="en-US" w:eastAsia="zh-CN"/>
        </w:rPr>
        <w:t xml:space="preserve">60分以下的</w:t>
      </w:r>
      <w:r>
        <w:rPr>
          <w:rStyle w:val="794"/>
          <w:rFonts w:hint="eastAsia" w:ascii="仿宋" w:hAnsi="仿宋" w:eastAsia="仿宋" w:cs="仿宋"/>
          <w:color w:val="auto"/>
          <w:sz w:val="21"/>
          <w:szCs w:val="21"/>
        </w:rPr>
        <w:t xml:space="preserve">，</w:t>
      </w:r>
      <w:r>
        <w:rPr>
          <w:rStyle w:val="794"/>
          <w:rFonts w:hint="eastAsia" w:ascii="仿宋" w:hAnsi="仿宋" w:eastAsia="仿宋" w:cs="仿宋"/>
          <w:color w:val="auto"/>
          <w:sz w:val="21"/>
          <w:szCs w:val="21"/>
          <w:lang w:val="en-US" w:eastAsia="zh-CN"/>
        </w:rPr>
        <w:t xml:space="preserve">甲方有权单方面解除合同，</w:t>
      </w:r>
      <w:r>
        <w:rPr>
          <w:rStyle w:val="794"/>
          <w:rFonts w:hint="eastAsia" w:ascii="仿宋" w:hAnsi="仿宋" w:eastAsia="仿宋" w:cs="仿宋"/>
          <w:b w:val="0"/>
          <w:bCs w:val="0"/>
          <w:color w:val="auto"/>
          <w:sz w:val="21"/>
          <w:szCs w:val="21"/>
          <w:highlight w:val="none"/>
          <w:lang w:val="en-US" w:eastAsia="zh-CN"/>
        </w:rPr>
        <w:t xml:space="preserve">并停止支付剩余款项，</w:t>
      </w:r>
      <w:r>
        <w:rPr>
          <w:rStyle w:val="794"/>
          <w:rFonts w:hint="eastAsia" w:ascii="仿宋" w:hAnsi="仿宋" w:eastAsia="仿宋" w:cs="仿宋"/>
          <w:color w:val="auto"/>
          <w:sz w:val="21"/>
          <w:szCs w:val="21"/>
          <w:lang w:val="en-US" w:eastAsia="zh-CN"/>
        </w:rPr>
        <w:t xml:space="preserve">乙方不得追究。</w:t>
      </w:r>
      <w:r/>
    </w:p>
    <w:tbl>
      <w:tblPr>
        <w:tblStyle w:val="795"/>
        <w:tblpPr w:horzAnchor="page" w:tblpX="1814" w:vertAnchor="text" w:tblpY="197" w:leftFromText="180" w:topFromText="0" w:rightFromText="180" w:bottomFromText="0"/>
        <w:tblW w:w="8545" w:type="dxa"/>
        <w:tblInd w:w="0" w:type="dxa"/>
        <w:tblLayout w:type="fixed"/>
        <w:tblCellMar>
          <w:left w:w="108" w:type="dxa"/>
          <w:top w:w="0" w:type="dxa"/>
          <w:right w:w="108" w:type="dxa"/>
          <w:bottom w:w="0" w:type="dxa"/>
        </w:tblCellMar>
        <w:tblLook w:val="04A0" w:firstRow="1" w:lastRow="0" w:firstColumn="1" w:lastColumn="0" w:noHBand="0" w:noVBand="1"/>
      </w:tblPr>
      <w:tblGrid>
        <w:gridCol w:w="599"/>
        <w:gridCol w:w="5426"/>
        <w:gridCol w:w="1372"/>
        <w:gridCol w:w="1148"/>
      </w:tblGrid>
      <w:tr>
        <w:trPr>
          <w:trHeight w:val="572"/>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44"/>
              <w:jc w:val="center"/>
              <w:widowControl/>
              <w:rPr>
                <w:rStyle w:val="794"/>
                <w:rFonts w:hint="eastAsia" w:ascii="仿宋" w:hAnsi="仿宋" w:eastAsia="仿宋" w:cs="仿宋"/>
                <w:color w:val="000000"/>
                <w:sz w:val="21"/>
                <w:szCs w:val="21"/>
                <w:lang w:bidi="ar"/>
              </w:rPr>
            </w:pPr>
            <w:r>
              <w:rPr>
                <w:rFonts w:hint="eastAsia" w:ascii="仿宋" w:hAnsi="仿宋" w:eastAsia="仿宋" w:cs="仿宋"/>
                <w:b/>
                <w:sz w:val="21"/>
                <w:szCs w:val="21"/>
                <w:lang w:val="en-US" w:eastAsia="zh-CN" w:bidi="ar"/>
              </w:rPr>
              <w:t xml:space="preserve">泗洪县社会治理服务中心保洁服务采购项目</w:t>
            </w:r>
            <w:r>
              <w:rPr>
                <w:rStyle w:val="794"/>
                <w:rFonts w:hint="eastAsia" w:ascii="仿宋" w:hAnsi="仿宋" w:eastAsia="仿宋" w:cs="仿宋"/>
                <w:b/>
                <w:bCs/>
                <w:color w:val="000000"/>
                <w:sz w:val="21"/>
                <w:szCs w:val="21"/>
                <w:u w:val="single"/>
                <w:lang w:val="en-US" w:eastAsia="zh-CN" w:bidi="ar"/>
              </w:rPr>
              <w:t xml:space="preserve">     季度</w:t>
            </w:r>
            <w:r>
              <w:rPr>
                <w:rStyle w:val="794"/>
                <w:rFonts w:hint="eastAsia" w:ascii="仿宋" w:hAnsi="仿宋" w:eastAsia="仿宋" w:cs="仿宋"/>
                <w:b/>
                <w:bCs/>
                <w:color w:val="000000"/>
                <w:sz w:val="21"/>
                <w:szCs w:val="21"/>
                <w:lang w:bidi="ar"/>
              </w:rPr>
              <w:t xml:space="preserve">考核表</w:t>
            </w:r>
            <w:r>
              <w:rPr>
                <w:rStyle w:val="794"/>
                <w:rFonts w:hint="eastAsia" w:ascii="仿宋" w:hAnsi="仿宋" w:eastAsia="仿宋" w:cs="仿宋"/>
                <w:b/>
                <w:bCs/>
                <w:sz w:val="21"/>
                <w:szCs w:val="21"/>
              </w:rPr>
              <w:t xml:space="preserve">       </w:t>
            </w:r>
            <w:r/>
          </w:p>
        </w:tc>
      </w:tr>
      <w:tr>
        <w:trPr>
          <w:trHeight w:val="482"/>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44"/>
              <w:jc w:val="left"/>
              <w:widowControl/>
              <w:rPr>
                <w:rStyle w:val="794"/>
                <w:rFonts w:hint="eastAsia" w:ascii="仿宋" w:hAnsi="仿宋" w:eastAsia="仿宋" w:cs="仿宋"/>
                <w:color w:val="000000"/>
                <w:sz w:val="21"/>
                <w:szCs w:val="21"/>
                <w:lang w:bidi="ar"/>
              </w:rPr>
            </w:pPr>
            <w:r>
              <w:rPr>
                <w:rStyle w:val="794"/>
                <w:rFonts w:hint="eastAsia" w:ascii="仿宋" w:hAnsi="仿宋" w:eastAsia="仿宋" w:cs="仿宋"/>
                <w:color w:val="000000"/>
                <w:sz w:val="21"/>
                <w:szCs w:val="21"/>
                <w:lang w:val="en-US" w:eastAsia="zh-CN" w:bidi="ar"/>
              </w:rPr>
              <w:t xml:space="preserve">考核得分（满分100分）：</w:t>
            </w:r>
            <w:r>
              <w:rPr>
                <w:rStyle w:val="794"/>
                <w:rFonts w:hint="eastAsia" w:ascii="仿宋" w:hAnsi="仿宋" w:eastAsia="仿宋" w:cs="仿宋"/>
                <w:color w:val="000000"/>
                <w:sz w:val="21"/>
                <w:szCs w:val="21"/>
                <w:lang w:bidi="ar"/>
              </w:rPr>
              <w:t xml:space="preserve">           </w:t>
            </w:r>
            <w:r>
              <w:rPr>
                <w:rStyle w:val="794"/>
                <w:rFonts w:hint="eastAsia" w:ascii="仿宋" w:hAnsi="仿宋" w:eastAsia="仿宋" w:cs="仿宋"/>
                <w:color w:val="000000"/>
                <w:sz w:val="21"/>
                <w:szCs w:val="21"/>
                <w:lang w:val="en-US" w:eastAsia="zh-CN" w:bidi="ar"/>
              </w:rPr>
              <w:t xml:space="preserve">    </w:t>
            </w:r>
            <w:r>
              <w:rPr>
                <w:rStyle w:val="794"/>
                <w:rFonts w:hint="eastAsia" w:ascii="仿宋" w:hAnsi="仿宋" w:eastAsia="仿宋" w:cs="仿宋"/>
                <w:color w:val="000000"/>
                <w:sz w:val="21"/>
                <w:szCs w:val="21"/>
                <w:lang w:bidi="ar"/>
              </w:rPr>
              <w:t xml:space="preserve">   </w:t>
            </w:r>
            <w:r>
              <w:rPr>
                <w:rStyle w:val="794"/>
                <w:rFonts w:hint="eastAsia" w:ascii="仿宋" w:hAnsi="仿宋" w:eastAsia="仿宋" w:cs="仿宋"/>
                <w:color w:val="000000"/>
                <w:sz w:val="21"/>
                <w:szCs w:val="21"/>
                <w:lang w:val="en-US" w:eastAsia="zh-CN" w:bidi="ar"/>
              </w:rPr>
              <w:t xml:space="preserve">    </w:t>
            </w:r>
            <w:r>
              <w:rPr>
                <w:rStyle w:val="794"/>
                <w:rFonts w:hint="eastAsia" w:ascii="仿宋" w:hAnsi="仿宋" w:eastAsia="仿宋" w:cs="仿宋"/>
                <w:color w:val="000000"/>
                <w:sz w:val="21"/>
                <w:szCs w:val="21"/>
                <w:lang w:bidi="ar"/>
              </w:rPr>
              <w:t xml:space="preserve">考核时间：    </w:t>
            </w:r>
            <w:r/>
          </w:p>
        </w:tc>
      </w:tr>
      <w:tr>
        <w:trPr>
          <w:trHeight w:val="57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rPr>
            </w:pPr>
            <w:r>
              <w:rPr>
                <w:rStyle w:val="794"/>
                <w:rFonts w:hint="eastAsia" w:ascii="仿宋" w:hAnsi="仿宋" w:eastAsia="仿宋" w:cs="仿宋"/>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1297"/>
                <w:rFonts w:hint="eastAsia" w:ascii="仿宋" w:hAnsi="仿宋" w:eastAsia="仿宋" w:cs="仿宋"/>
                <w:sz w:val="21"/>
                <w:szCs w:val="21"/>
                <w:lang w:bidi="ar"/>
              </w:rPr>
              <w:t xml:space="preserve">考核</w:t>
            </w:r>
            <w:r>
              <w:rPr>
                <w:rStyle w:val="1297"/>
                <w:rFonts w:hint="eastAsia" w:ascii="仿宋" w:hAnsi="仿宋" w:eastAsia="仿宋" w:cs="仿宋"/>
                <w:sz w:val="21"/>
                <w:szCs w:val="21"/>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bidi="ar"/>
              </w:rPr>
              <w:t xml:space="preserve">考核扣分标准</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扣分分值</w:t>
            </w:r>
            <w:r/>
          </w:p>
        </w:tc>
      </w:tr>
      <w:tr>
        <w:trPr>
          <w:trHeight w:val="7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eastAsia="zh-CN"/>
              </w:rPr>
            </w:pPr>
            <w:r>
              <w:rPr>
                <w:rStyle w:val="794"/>
                <w:rFonts w:hint="eastAsia" w:ascii="仿宋" w:hAnsi="仿宋" w:eastAsia="仿宋" w:cs="仿宋"/>
                <w:color w:val="000000"/>
                <w:sz w:val="21"/>
                <w:szCs w:val="21"/>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rPr>
            </w:pPr>
            <w:r>
              <w:rPr>
                <w:rStyle w:val="794"/>
                <w:rFonts w:hint="eastAsia" w:ascii="仿宋" w:hAnsi="仿宋" w:eastAsia="仿宋" w:cs="仿宋"/>
                <w:color w:val="000000"/>
                <w:sz w:val="21"/>
                <w:szCs w:val="21"/>
                <w:lang w:val="en-US" w:eastAsia="zh-CN" w:bidi="ar"/>
              </w:rPr>
              <w:t xml:space="preserve">人员数量未严格按响应文件执行，人员变动未经报备擅自变更人员。</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不服从机关现场管理安排的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73"/>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rPr>
              <w:t xml:space="preserve">工作不负责任、卫生工作做不彻底、经批评教育不能改正的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坚守岗位、严格执行岗位责任制，按时交接班，脱岗/缺岗</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串岗、进入非工作区域的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工作期间着装整洁、言行规范，不得在办公区喧哗、闲聊</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严格遵守机关作息时间，迟到/早退的按人次扣分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发现垃圾、纸屑、烟头等杂物，或者明显污渍、水渍、污渍的；门窗、玻璃有浮尘、手印、污渍的；墙角有蜘蛛网的。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绿化带及公共盆栽周边内外保持清洁，定期处理周边枯叶及杂物</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89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保洁工具、清洁物资按指定地点分类存放，摆放整齐，标识清晰，不允许乱堆乱放</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清洁设备定期维护保养，故障未及时报修影响作业的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94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垃圾收集：及时清运至指定点，无跑冒滴漏、异味，垃圾桶定期清洁消毒</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94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保洁人员不得随意翻动文件、不得进入涉密区域</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6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按时完成重大会议、活动保障保洁任务，延误或未达标的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6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44"/>
              <w:jc w:val="center"/>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相关人员有效投诉（如清洁不及时、服务态度差）</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21"/>
                <w:szCs w:val="21"/>
                <w:lang w:val="en-US" w:eastAsia="zh-CN" w:bidi="ar"/>
              </w:rPr>
            </w:pPr>
            <w:r>
              <w:rPr>
                <w:rStyle w:val="794"/>
                <w:rFonts w:hint="eastAsia" w:ascii="仿宋" w:hAnsi="仿宋" w:eastAsia="仿宋" w:cs="仿宋"/>
                <w:color w:val="000000"/>
                <w:sz w:val="21"/>
                <w:szCs w:val="21"/>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70"/>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结果应用</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（1）考核成绩在90分以上（不含90分）全额支付费用；</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（2）考核成绩在90—80分（含90分）之间的，支付费用标准的95%；</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（3）考核成绩在80—70分（含80分）之间的，支付费用标准的90%；</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（4）考核成绩在70分及以下的，支付费用标准的85%；</w:t>
            </w:r>
            <w:r/>
          </w:p>
          <w:p>
            <w:pPr>
              <w:pStyle w:val="1144"/>
              <w:jc w:val="left"/>
              <w:keepLines w:val="0"/>
              <w:keepNext w:val="0"/>
              <w:pageBreakBefore w:val="0"/>
              <w:spacing w:line="400" w:lineRule="exact"/>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注：1.考核成绩在60分以下的，甲方有权单方面解除合同，并停止支付剩余款项，乙方不得追究。2.服务外包项目考核单项扣分不超过10分。</w:t>
            </w:r>
            <w:r/>
          </w:p>
        </w:tc>
      </w:tr>
    </w:tbl>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七、特殊时期的应急保障措施</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1.制定紧急事故处理预案，至少包括：治安防范、火灾、爆炸、安全疏散以及其他应急等。</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2.书面描述紧急事故救护组织职责，并让每位成员了解，周期性地进行反应训练；每年按消防要求至少组织进行疏散演习2次。</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有紧急事件救护组织，并始终处于紧急事故反应状态；设有求助与报警电话，24小时有人值守；对紧急事故做出快速、正确的反应，尽可能减少破坏和损失程度；接到火警、异常情况或业主紧急求助时，快速赶到现场，采取相应措施。</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4.有安全防范措施，涉及人身安全处，设有明显标志并有防护措施；协助有关部门维持秩序，防止不安全事情发生，对大楼内外围边界、角落、车库、道路的照明设施加强维护，保持必要的照明。</w:t>
      </w:r>
      <w:r/>
    </w:p>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八、内部考核与培训</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建立行之有效的内部考核和培训制度，建立健全内部考核制度激发项目组工作人员的工作积极性，并为员工建立全面的培训制度定期为员工展开培训加强技能培养，为更好的服务加强项目组人员职业素养的提升。</w:t>
      </w:r>
      <w:r/>
    </w:p>
    <w:p>
      <w:pPr>
        <w:ind w:left="0" w:right="0" w:firstLine="482"/>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b/>
          <w:bCs/>
          <w:sz w:val="24"/>
          <w:szCs w:val="24"/>
          <w:lang w:val="en-US" w:eastAsia="zh-CN"/>
        </w:rPr>
        <w:t xml:space="preserve">九、其他要求（此项需提供承诺函）</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1.中标单位人员的住宿、就餐、保险、治安等问题由供应商自行解决，与采购方无任何关系。</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2.日常保洁所需的设备、工具、清洁剂、卫生丸、地蜡、消杀药水等清洁用品费用由物业公司承担。</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3.中标单位人员必须统一着装挂牌上岗，服从采购方日常临时工作安排。</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4.如因工作失误而造成采购方经济损失或工作被动，由中标单位负责赔偿经济损失。不可抗力的因素除外。</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5.中标单位必须接受采购方卫生保洁质量、服务态度、安全等监督。</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6.本项目由中标方进行总承包，不得转包，一旦发现转包，采购方有权终止承包合同。</w:t>
      </w:r>
      <w:r/>
    </w:p>
    <w:p>
      <w:pPr>
        <w:jc w:val="left"/>
        <w:keepLines w:val="0"/>
        <w:pageBreakBefore w:val="0"/>
        <w:spacing w:line="580" w:lineRule="exact"/>
        <w:widowControl/>
        <w:rPr>
          <w:rFonts w:hint="eastAsia" w:ascii="仿宋" w:hAnsi="仿宋" w:eastAsia="仿宋" w:cs="仿宋"/>
          <w:b w:val="0"/>
          <w:bCs w:val="0"/>
          <w:color w:val="auto"/>
          <w:sz w:val="32"/>
          <w:szCs w:val="24"/>
        </w:rPr>
      </w:pPr>
      <w:r>
        <w:rPr>
          <w:rFonts w:hint="eastAsia" w:ascii="仿宋" w:hAnsi="仿宋" w:eastAsia="仿宋" w:cs="仿宋"/>
          <w:b/>
          <w:bCs/>
          <w:sz w:val="24"/>
          <w:szCs w:val="24"/>
          <w:lang w:val="en-US" w:eastAsia="zh-CN"/>
        </w:rPr>
        <w:t xml:space="preserve">十、服务费用方案</w:t>
      </w:r>
      <w:r/>
    </w:p>
    <w:tbl>
      <w:tblPr>
        <w:tblStyle w:val="795"/>
        <w:tblW w:w="9478" w:type="dxa"/>
        <w:jc w:val="center"/>
        <w:tblLayout w:type="fixed"/>
        <w:tblCellMar>
          <w:left w:w="108" w:type="dxa"/>
          <w:top w:w="0" w:type="dxa"/>
          <w:right w:w="108" w:type="dxa"/>
          <w:bottom w:w="0" w:type="dxa"/>
        </w:tblCellMar>
        <w:tblLook w:val="04A0" w:firstRow="1" w:lastRow="0" w:firstColumn="1" w:lastColumn="0" w:noHBand="0" w:noVBand="1"/>
      </w:tblPr>
      <w:tblGrid>
        <w:gridCol w:w="1131"/>
        <w:gridCol w:w="2520"/>
        <w:gridCol w:w="1365"/>
        <w:gridCol w:w="1665"/>
        <w:gridCol w:w="1665"/>
        <w:gridCol w:w="1132"/>
      </w:tblGrid>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单价</w:t>
            </w:r>
            <w:r/>
          </w:p>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（元/月）</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小计</w:t>
            </w:r>
            <w:r/>
          </w:p>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（元/年）</w:t>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备注</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项目负责人工资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保洁员工资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意外险</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bidi="ar-SA"/>
              </w:rPr>
              <w:suppressLineNumbers w:val="0"/>
            </w:pPr>
            <w:r>
              <w:rPr>
                <w:rFonts w:hint="default"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bidi="ar-SA"/>
              </w:rPr>
              <w:suppressLineNumbers w:val="0"/>
            </w:pPr>
            <w:r>
              <w:rPr>
                <w:rFonts w:hint="default"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eastAsia="zh-CN"/>
              </w:rPr>
              <w:suppressLineNumbers w:val="0"/>
            </w:pPr>
            <w:r>
              <w:rPr>
                <w:rFonts w:hint="eastAsia" w:ascii="仿宋" w:hAnsi="仿宋" w:eastAsia="仿宋" w:cs="仿宋"/>
                <w:b w:val="0"/>
                <w:bCs w:val="0"/>
                <w:color w:val="auto"/>
                <w:sz w:val="28"/>
                <w:szCs w:val="28"/>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both"/>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r>
      <w:tr>
        <w:trPr>
          <w:jc w:val="center"/>
          <w:trHeight w:val="45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总计</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b w:val="0"/>
                <w:bCs w:val="0"/>
                <w:color w:val="auto"/>
                <w:sz w:val="28"/>
                <w:szCs w:val="28"/>
              </w:rPr>
            </w:r>
            <w:r/>
          </w:p>
        </w:tc>
      </w:tr>
    </w:tbl>
    <w:p>
      <w:pPr>
        <w:pStyle w:val="1222"/>
        <w:numPr>
          <w:ilvl w:val="0"/>
          <w:numId w:val="0"/>
        </w:numPr>
        <w:jc w:val="left"/>
        <w:pageBreakBefore w:val="0"/>
        <w:spacing w:line="500" w:lineRule="exact"/>
        <w:widowControl/>
        <w:rPr>
          <w:rFonts w:hint="default" w:ascii="仿宋" w:hAnsi="仿宋" w:eastAsia="仿宋" w:cs="仿宋"/>
          <w:bCs/>
          <w:i/>
          <w:color w:val="ff0000"/>
          <w:szCs w:val="24"/>
          <w:u w:val="single"/>
          <w:lang w:val="en-US" w:bidi="zh-CN"/>
        </w:rPr>
      </w:pPr>
      <w:r>
        <w:rPr>
          <w:rFonts w:hint="eastAsia" w:ascii="仿宋" w:hAnsi="仿宋" w:eastAsia="仿宋" w:cs="仿宋"/>
          <w:sz w:val="24"/>
          <w:lang w:val="en-US" w:bidi="zh-CN"/>
        </w:rPr>
        <w:t xml:space="preserve">注：</w:t>
      </w:r>
      <w:r>
        <w:rPr>
          <w:rFonts w:hint="eastAsia" w:ascii="仿宋" w:hAnsi="仿宋" w:eastAsia="仿宋" w:cs="仿宋"/>
          <w:color w:val="ff0000"/>
          <w:sz w:val="24"/>
          <w:szCs w:val="24"/>
          <w:lang w:val="en-US" w:eastAsia="zh-CN" w:bidi="ar-SA"/>
        </w:rPr>
        <w:t xml:space="preserve">★</w:t>
      </w:r>
      <w:r>
        <w:rPr>
          <w:rFonts w:hint="eastAsia" w:ascii="仿宋" w:hAnsi="仿宋" w:eastAsia="仿宋" w:cs="仿宋"/>
          <w:color w:val="ff0000"/>
          <w:sz w:val="24"/>
          <w:lang w:val="en-US" w:bidi="zh-CN"/>
        </w:rPr>
        <w:t xml:space="preserve">1、</w:t>
      </w:r>
      <w:r>
        <w:rPr>
          <w:rFonts w:hint="eastAsia" w:ascii="仿宋" w:hAnsi="仿宋" w:eastAsia="仿宋" w:cs="仿宋"/>
          <w:color w:val="ff0000"/>
          <w:sz w:val="24"/>
          <w:szCs w:val="22"/>
          <w:lang w:val="en-US" w:eastAsia="zh-CN" w:bidi="zh-CN"/>
        </w:rPr>
        <w:t xml:space="preserve">人员工资</w:t>
      </w:r>
      <w:r>
        <w:rPr>
          <w:rFonts w:hint="eastAsia" w:ascii="仿宋" w:hAnsi="仿宋" w:eastAsia="仿宋" w:cs="仿宋"/>
          <w:color w:val="ff0000"/>
          <w:sz w:val="24"/>
          <w:szCs w:val="24"/>
        </w:rPr>
        <w:t xml:space="preserve">不得低于宿迁市最新调整的职工最低工资标准</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4"/>
          <w:lang w:val="en-US" w:eastAsia="zh-CN"/>
        </w:rPr>
        <w:t xml:space="preserve">2180元/月</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2"/>
          <w:lang w:val="en-US" w:eastAsia="zh-CN" w:bidi="zh-CN"/>
        </w:rPr>
        <w:t xml:space="preserve">，否则按无效标处理。</w:t>
      </w:r>
      <w:r>
        <w:rPr>
          <w:rFonts w:hint="eastAsia" w:ascii="仿宋" w:hAnsi="仿宋" w:eastAsia="仿宋" w:cs="仿宋"/>
          <w:color w:val="ff0000"/>
          <w:sz w:val="24"/>
          <w:szCs w:val="22"/>
          <w:highlight w:val="none"/>
          <w:lang w:val="en-US" w:eastAsia="zh-CN" w:bidi="zh-CN"/>
        </w:rPr>
        <w:t xml:space="preserve">供应商在首次响应文件中的报价为首次报价。供应商分项报价按首次报价与最后报价调整比例进行同比调整。最终报价经同比调整后，分项报价中的人员工资也不得低于2180元/月的最低工资标准，否则按无效标处理。二次报价需在30分钟内完成。</w:t>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sz w:val="24"/>
          <w:lang w:val="en-US" w:bidi="zh-CN"/>
        </w:rPr>
        <w:t xml:space="preserve">2、</w:t>
      </w:r>
      <w:r>
        <w:rPr>
          <w:rFonts w:hint="eastAsia" w:ascii="仿宋" w:hAnsi="仿宋" w:eastAsia="仿宋" w:cs="仿宋"/>
          <w:sz w:val="24"/>
          <w:lang w:bidi="zh-CN"/>
        </w:rPr>
        <w:t xml:space="preserve">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rPr>
          <w:rFonts w:hint="eastAsia" w:ascii="仿宋" w:hAnsi="仿宋" w:eastAsia="仿宋" w:cs="仿宋"/>
          <w:b/>
          <w:sz w:val="44"/>
          <w:szCs w:val="44"/>
        </w:rPr>
      </w:pPr>
      <w:r>
        <w:rPr>
          <w:rFonts w:hint="eastAsia" w:ascii="仿宋" w:hAnsi="仿宋" w:eastAsia="仿宋" w:cs="仿宋"/>
          <w:b/>
          <w:sz w:val="44"/>
          <w:szCs w:val="44"/>
        </w:rPr>
        <w:br w:type="page" w:clear="all"/>
      </w:r>
      <w:r/>
    </w:p>
    <w:p>
      <w:pPr>
        <w:pStyle w:val="785"/>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  合同文本</w:t>
      </w:r>
      <w:bookmarkEnd w:id="199"/>
      <w:r/>
      <w:r/>
    </w:p>
    <w:p>
      <w:pPr>
        <w:pStyle w:val="860"/>
        <w:rPr>
          <w:rFonts w:hint="eastAsia" w:ascii="仿宋" w:hAnsi="仿宋" w:eastAsia="仿宋" w:cs="仿宋"/>
          <w:bCs/>
          <w:color w:val="auto"/>
          <w:sz w:val="44"/>
          <w:szCs w:val="28"/>
          <w:highlight w:val="none"/>
        </w:rPr>
      </w:pPr>
      <w:r/>
      <w:bookmarkStart w:id="205" w:name="_Toc21789"/>
      <w:r/>
      <w:r/>
    </w:p>
    <w:p>
      <w:pPr>
        <w:pStyle w:val="832"/>
        <w:ind w:firstLine="643"/>
        <w:jc w:val="center"/>
        <w:spacing w:line="480" w:lineRule="exact"/>
        <w:rPr>
          <w:rFonts w:hint="eastAsia" w:ascii="仿宋" w:hAnsi="仿宋" w:eastAsia="仿宋" w:cs="仿宋"/>
          <w:b/>
          <w:sz w:val="36"/>
          <w:szCs w:val="36"/>
        </w:rPr>
      </w:pPr>
      <w:r>
        <w:rPr>
          <w:rFonts w:hint="eastAsia" w:ascii="仿宋" w:hAnsi="仿宋" w:eastAsia="仿宋" w:cs="仿宋"/>
          <w:b/>
          <w:sz w:val="36"/>
          <w:szCs w:val="36"/>
          <w:lang w:eastAsia="zh-CN"/>
        </w:rPr>
        <w:t xml:space="preserve">泗洪县社会治理服务中心保洁服务采购项目</w:t>
      </w:r>
      <w:r/>
    </w:p>
    <w:p>
      <w:pPr>
        <w:jc w:val="center"/>
        <w:spacing w:before="0" w:after="0" w:line="360" w:lineRule="auto"/>
        <w:widowControl w:val="off"/>
        <w:rPr>
          <w:rFonts w:hint="default" w:ascii="仿宋" w:hAnsi="仿宋" w:eastAsia="仿宋" w:cs="仿宋"/>
          <w:sz w:val="24"/>
          <w:szCs w:val="24"/>
          <w:lang w:val="en-US"/>
        </w:rPr>
      </w:pPr>
      <w:r>
        <w:rPr>
          <w:rFonts w:hint="eastAsia" w:ascii="仿宋" w:hAnsi="仿宋" w:eastAsia="仿宋" w:cs="仿宋"/>
          <w:b/>
          <w:bCs/>
          <w:sz w:val="24"/>
          <w:szCs w:val="24"/>
        </w:rPr>
        <w:t xml:space="preserve">项目编号：</w:t>
      </w:r>
      <w:r>
        <w:rPr>
          <w:rFonts w:hint="eastAsia" w:ascii="仿宋" w:hAnsi="仿宋" w:eastAsia="仿宋" w:cs="仿宋"/>
          <w:b/>
          <w:bCs/>
          <w:sz w:val="24"/>
          <w:szCs w:val="24"/>
          <w:lang w:eastAsia="zh-CN"/>
        </w:rPr>
        <w:t xml:space="preserve">JSZC-321324-JZCG-C2026-0008</w:t>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jc w:val="both"/>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jc w:val="center"/>
        <w:spacing w:before="0" w:after="0" w:line="480" w:lineRule="auto"/>
        <w:widowControl w:val="off"/>
        <w:rPr>
          <w:rFonts w:hint="eastAsia" w:ascii="仿宋" w:hAnsi="仿宋" w:eastAsia="仿宋" w:cs="仿宋"/>
          <w:sz w:val="72"/>
          <w:szCs w:val="72"/>
        </w:rPr>
      </w:pPr>
      <w:r>
        <w:rPr>
          <w:rFonts w:hint="eastAsia" w:ascii="仿宋" w:hAnsi="仿宋" w:eastAsia="仿宋" w:cs="仿宋"/>
          <w:b/>
          <w:bCs/>
          <w:sz w:val="72"/>
          <w:szCs w:val="72"/>
        </w:rPr>
        <w:t xml:space="preserve">政 府 采 购 合 同</w:t>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832"/>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b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1054"/>
        <w:spacing w:line="480" w:lineRule="exact"/>
        <w:rPr>
          <w:rFonts w:hint="eastAsia" w:ascii="仿宋" w:hAnsi="仿宋" w:eastAsia="仿宋" w:cs="仿宋"/>
          <w:b/>
          <w:bCs/>
          <w:sz w:val="30"/>
          <w:szCs w:val="30"/>
        </w:rPr>
      </w:pPr>
      <w:r>
        <w:rPr>
          <w:rFonts w:hint="eastAsia" w:ascii="仿宋" w:hAnsi="仿宋" w:eastAsia="仿宋" w:cs="仿宋"/>
          <w:b/>
          <w:bCs/>
          <w:sz w:val="30"/>
          <w:szCs w:val="30"/>
        </w:rPr>
        <w:t xml:space="preserve">采购单位（全  称）：</w:t>
      </w:r>
      <w:r>
        <w:rPr>
          <w:rFonts w:hint="eastAsia" w:ascii="仿宋" w:hAnsi="仿宋" w:eastAsia="仿宋" w:cs="仿宋"/>
          <w:b/>
          <w:bCs/>
          <w:sz w:val="30"/>
          <w:szCs w:val="30"/>
          <w:lang w:eastAsia="zh-CN"/>
        </w:rPr>
        <w:t xml:space="preserve">泗洪县信访局</w:t>
      </w:r>
      <w:r/>
    </w:p>
    <w:p>
      <w:pPr>
        <w:pStyle w:val="832"/>
        <w:ind w:firstLine="1054"/>
        <w:spacing w:line="480" w:lineRule="exact"/>
        <w:rPr>
          <w:rFonts w:hint="eastAsia" w:ascii="仿宋" w:hAnsi="仿宋" w:eastAsia="仿宋" w:cs="仿宋"/>
          <w:b/>
          <w:bCs/>
          <w:sz w:val="24"/>
        </w:rPr>
      </w:pPr>
      <w:r>
        <w:rPr>
          <w:rFonts w:hint="eastAsia" w:ascii="仿宋" w:hAnsi="仿宋" w:eastAsia="仿宋" w:cs="仿宋"/>
          <w:b/>
          <w:bCs/>
          <w:sz w:val="30"/>
          <w:szCs w:val="30"/>
        </w:rPr>
        <w:t xml:space="preserve">中标供应商（全称）：</w:t>
      </w:r>
      <w:r>
        <w:rPr>
          <w:rFonts w:hint="eastAsia" w:ascii="仿宋" w:hAnsi="仿宋" w:eastAsia="仿宋" w:cs="仿宋"/>
          <w:b/>
          <w:bCs/>
          <w:sz w:val="30"/>
          <w:szCs w:val="30"/>
          <w:lang w:val="en-US" w:eastAsia="zh-CN"/>
        </w:rPr>
        <w:t xml:space="preserve"> </w:t>
      </w:r>
      <w:r>
        <w:rPr>
          <w:rFonts w:hint="eastAsia" w:ascii="仿宋" w:hAnsi="仿宋" w:eastAsia="仿宋" w:cs="仿宋"/>
          <w:b/>
          <w:bCs/>
          <w:sz w:val="24"/>
          <w:lang w:val="en-US" w:eastAsia="zh-CN"/>
        </w:rPr>
        <w:t xml:space="preserve">           </w:t>
      </w:r>
      <w:r/>
    </w:p>
    <w:p>
      <w:pPr>
        <w:pStyle w:val="832"/>
        <w:ind w:firstLine="1446"/>
        <w:spacing w:line="480" w:lineRule="exact"/>
        <w:rPr>
          <w:rFonts w:hint="eastAsia" w:ascii="仿宋" w:hAnsi="仿宋" w:eastAsia="仿宋" w:cs="仿宋"/>
          <w:b/>
          <w:bCs/>
          <w:sz w:val="24"/>
        </w:rPr>
      </w:pPr>
      <w:r>
        <w:rPr>
          <w:rFonts w:hint="eastAsia" w:ascii="仿宋" w:hAnsi="仿宋" w:eastAsia="仿宋" w:cs="仿宋"/>
          <w:b/>
          <w:bCs/>
          <w:sz w:val="24"/>
        </w:rPr>
      </w:r>
      <w:r/>
    </w:p>
    <w:p>
      <w:pPr>
        <w:jc w:val="center"/>
        <w:spacing w:before="0" w:after="0" w:line="480" w:lineRule="atLeast"/>
        <w:widowControl w:val="off"/>
        <w:rPr>
          <w:rFonts w:hint="eastAsia" w:ascii="仿宋" w:hAnsi="仿宋" w:eastAsia="仿宋" w:cs="仿宋"/>
        </w:rPr>
      </w:pPr>
      <w:r>
        <w:rPr>
          <w:rFonts w:hint="eastAsia" w:ascii="仿宋" w:hAnsi="仿宋" w:eastAsia="仿宋" w:cs="仿宋"/>
          <w:b/>
          <w:bCs/>
          <w:sz w:val="36"/>
          <w:szCs w:val="36"/>
        </w:rPr>
        <w:t xml:space="preserve">二〇二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月</w:t>
      </w:r>
      <w:r/>
    </w:p>
    <w:p>
      <w:pPr>
        <w:rPr>
          <w:rFonts w:hint="eastAsia" w:ascii="仿宋" w:hAnsi="仿宋" w:eastAsia="仿宋" w:cs="仿宋"/>
          <w:sz w:val="24"/>
        </w:rPr>
      </w:pPr>
      <w:r>
        <w:rPr>
          <w:rFonts w:hint="eastAsia" w:ascii="仿宋" w:hAnsi="仿宋" w:eastAsia="仿宋" w:cs="仿宋"/>
          <w:sz w:val="24"/>
        </w:rPr>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t xml:space="preserve"> </w:t>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643"/>
        <w:jc w:val="center"/>
        <w:spacing w:line="480" w:lineRule="exact"/>
        <w:rPr>
          <w:rFonts w:hint="eastAsia" w:ascii="仿宋" w:hAnsi="仿宋" w:eastAsia="仿宋" w:cs="仿宋"/>
          <w:b/>
          <w:sz w:val="32"/>
          <w:lang w:eastAsia="zh-CN"/>
        </w:rPr>
      </w:pPr>
      <w:r>
        <w:rPr>
          <w:rFonts w:hint="eastAsia" w:ascii="仿宋" w:hAnsi="仿宋" w:eastAsia="仿宋" w:cs="仿宋"/>
          <w:b/>
          <w:sz w:val="32"/>
          <w:lang w:eastAsia="zh-CN"/>
        </w:rPr>
        <w:t xml:space="preserve">泗洪县社会治理服务中心保洁服务采购项目</w:t>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lang w:eastAsia="zh-CN"/>
        </w:rPr>
        <w:t xml:space="preserve">政府采购合同</w:t>
      </w:r>
      <w:r>
        <w:rPr>
          <w:rFonts w:hint="eastAsia" w:ascii="仿宋" w:hAnsi="仿宋" w:eastAsia="仿宋" w:cs="仿宋"/>
          <w:b/>
          <w:sz w:val="32"/>
        </w:rPr>
        <w:t xml:space="preserve">专用条款</w:t>
      </w:r>
      <w:r/>
    </w:p>
    <w:p>
      <w:pPr>
        <w:pStyle w:val="832"/>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采购单位（全称）：</w:t>
      </w:r>
      <w:r>
        <w:rPr>
          <w:rFonts w:hint="eastAsia" w:ascii="仿宋" w:hAnsi="仿宋" w:eastAsia="仿宋" w:cs="仿宋"/>
          <w:sz w:val="24"/>
          <w:u w:val="single"/>
          <w:lang w:eastAsia="zh-CN"/>
        </w:rPr>
        <w:t xml:space="preserve">泗洪县信访局</w:t>
      </w:r>
      <w:r>
        <w:rPr>
          <w:rFonts w:hint="eastAsia" w:ascii="仿宋" w:hAnsi="仿宋" w:eastAsia="仿宋" w:cs="仿宋"/>
          <w:sz w:val="24"/>
        </w:rPr>
        <w:t xml:space="preserve">（简称甲方）</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中标供应商（全称）：</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（简称乙方）</w:t>
      </w:r>
      <w:r/>
    </w:p>
    <w:p>
      <w:pPr>
        <w:pStyle w:val="801"/>
        <w:ind w:left="0" w:firstLine="480"/>
        <w:spacing w:line="480" w:lineRule="exact"/>
        <w:rPr>
          <w:rFonts w:hint="eastAsia" w:ascii="仿宋" w:hAnsi="仿宋" w:eastAsia="仿宋" w:cs="仿宋"/>
          <w:sz w:val="24"/>
        </w:rPr>
      </w:pPr>
      <w:r>
        <w:rPr>
          <w:rFonts w:hint="eastAsia" w:ascii="仿宋" w:hAnsi="仿宋" w:eastAsia="仿宋" w:cs="仿宋"/>
          <w:sz w:val="24"/>
        </w:rPr>
        <w:t xml:space="preserve">依照《中华人民共和国政府采购法》、《中华人民共和国民</w:t>
      </w:r>
      <w:r>
        <w:rPr>
          <w:rFonts w:hint="eastAsia" w:ascii="仿宋" w:hAnsi="仿宋" w:eastAsia="仿宋" w:cs="仿宋"/>
          <w:sz w:val="24"/>
          <w:lang w:val="en-US" w:eastAsia="zh-CN"/>
        </w:rPr>
        <w:t xml:space="preserve">法典</w:t>
      </w:r>
      <w:r>
        <w:rPr>
          <w:rFonts w:hint="eastAsia" w:ascii="仿宋" w:hAnsi="仿宋" w:eastAsia="仿宋" w:cs="仿宋"/>
          <w:sz w:val="24"/>
        </w:rPr>
        <w:t xml:space="preserve">》及其他有关法律、行政法规，遵循平等、自愿、公平和诚实信用的原则，双方就</w:t>
      </w:r>
      <w:r>
        <w:rPr>
          <w:rFonts w:hint="eastAsia" w:ascii="仿宋" w:hAnsi="仿宋" w:eastAsia="仿宋" w:cs="仿宋"/>
          <w:sz w:val="24"/>
          <w:u w:val="single"/>
          <w:lang w:eastAsia="zh-CN"/>
        </w:rPr>
        <w:t xml:space="preserve">泗洪县社会治理服务中心保洁服务采购项目</w:t>
      </w:r>
      <w:r>
        <w:rPr>
          <w:rFonts w:hint="eastAsia" w:ascii="仿宋" w:hAnsi="仿宋" w:eastAsia="仿宋" w:cs="仿宋"/>
          <w:sz w:val="24"/>
        </w:rPr>
        <w:t xml:space="preserve">相关事项协商一致，达成如下合同条款：</w:t>
      </w:r>
      <w:r/>
    </w:p>
    <w:p>
      <w:pPr>
        <w:pStyle w:val="832"/>
        <w:ind w:firstLine="475"/>
        <w:spacing w:before="160" w:line="480" w:lineRule="exact"/>
        <w:rPr>
          <w:rFonts w:hint="eastAsia" w:ascii="仿宋" w:hAnsi="仿宋" w:eastAsia="仿宋" w:cs="仿宋"/>
          <w:b/>
          <w:color w:val="000000"/>
          <w:sz w:val="24"/>
        </w:rPr>
      </w:pPr>
      <w:r>
        <w:rPr>
          <w:rFonts w:hint="eastAsia" w:ascii="仿宋" w:hAnsi="仿宋" w:eastAsia="仿宋" w:cs="仿宋"/>
          <w:b/>
          <w:sz w:val="24"/>
        </w:rPr>
        <w:t xml:space="preserve">一、乙方向甲方提供总价值为</w:t>
      </w:r>
      <w:r>
        <w:rPr>
          <w:rFonts w:hint="eastAsia" w:ascii="仿宋" w:hAnsi="仿宋" w:eastAsia="仿宋" w:cs="仿宋"/>
          <w:b/>
          <w:sz w:val="24"/>
          <w:u w:val="single"/>
          <w:lang w:val="en-US" w:eastAsia="zh-CN"/>
        </w:rPr>
        <w:t xml:space="preserve">         </w:t>
      </w:r>
      <w:r>
        <w:rPr>
          <w:rFonts w:hint="eastAsia" w:ascii="仿宋" w:hAnsi="仿宋" w:eastAsia="仿宋" w:cs="仿宋"/>
          <w:b/>
          <w:sz w:val="24"/>
        </w:rPr>
        <w:t xml:space="preserve">元/年</w:t>
      </w:r>
      <w:r>
        <w:rPr>
          <w:rFonts w:hint="eastAsia" w:ascii="仿宋" w:hAnsi="仿宋" w:eastAsia="仿宋" w:cs="仿宋"/>
          <w:b/>
          <w:color w:val="000000"/>
          <w:sz w:val="24"/>
        </w:rPr>
        <w:t xml:space="preserve">的标的（服务）。</w:t>
      </w:r>
      <w:r/>
    </w:p>
    <w:tbl>
      <w:tblPr>
        <w:tblStyle w:val="795"/>
        <w:tblpPr w:horzAnchor="page" w:tblpX="1571" w:vertAnchor="text" w:tblpY="456" w:leftFromText="180" w:topFromText="0" w:rightFromText="180" w:bottomFromText="0"/>
        <w:tblW w:w="91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85"/>
        <w:gridCol w:w="1109"/>
        <w:gridCol w:w="994"/>
        <w:gridCol w:w="1200"/>
        <w:gridCol w:w="2342"/>
      </w:tblGrid>
      <w:tr>
        <w:trPr>
          <w:trHeight w:val="875"/>
        </w:trPr>
        <w:tc>
          <w:tcPr>
            <w:tcBorders>
              <w:top w:val="single" w:color="auto" w:sz="4" w:space="0"/>
              <w:left w:val="single" w:color="auto" w:sz="4" w:space="0"/>
              <w:bottom w:val="single" w:color="auto" w:sz="4" w:space="0"/>
              <w:right w:val="single" w:color="auto" w:sz="4" w:space="0"/>
            </w:tcBorders>
            <w:tcW w:w="3485" w:type="dxa"/>
            <w:vAlign w:val="center"/>
            <w:textDirection w:val="lrTb"/>
            <w:noWrap w:val="false"/>
          </w:tcPr>
          <w:p>
            <w:pPr>
              <w:pStyle w:val="832"/>
              <w:ind w:firstLine="1050"/>
              <w:spacing w:line="480" w:lineRule="exact"/>
              <w:rPr>
                <w:rFonts w:hint="default" w:ascii="仿宋" w:hAnsi="仿宋" w:eastAsia="仿宋" w:cs="仿宋"/>
                <w:sz w:val="21"/>
                <w:lang w:val="en-US" w:eastAsia="zh-CN"/>
              </w:rPr>
            </w:pPr>
            <w:r>
              <w:rPr>
                <w:rFonts w:hint="eastAsia" w:ascii="仿宋" w:hAnsi="仿宋" w:eastAsia="仿宋" w:cs="仿宋"/>
                <w:sz w:val="21"/>
                <w:lang w:val="en-US" w:eastAsia="zh-CN"/>
              </w:rPr>
              <w:t xml:space="preserve">服务内容   </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832"/>
              <w:ind w:firstLine="210"/>
              <w:spacing w:line="480" w:lineRule="exact"/>
              <w:rPr>
                <w:rFonts w:hint="eastAsia" w:ascii="仿宋" w:hAnsi="仿宋" w:eastAsia="仿宋" w:cs="仿宋"/>
                <w:sz w:val="21"/>
              </w:rPr>
            </w:pPr>
            <w:r>
              <w:rPr>
                <w:rFonts w:hint="eastAsia" w:ascii="仿宋" w:hAnsi="仿宋" w:eastAsia="仿宋" w:cs="仿宋"/>
                <w:sz w:val="21"/>
              </w:rPr>
              <w:t xml:space="preserve">单位</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Style w:val="832"/>
              <w:ind w:firstLine="210"/>
              <w:spacing w:line="480" w:lineRule="exact"/>
              <w:rPr>
                <w:rFonts w:hint="eastAsia" w:ascii="仿宋" w:hAnsi="仿宋" w:eastAsia="仿宋" w:cs="仿宋"/>
                <w:sz w:val="21"/>
              </w:rPr>
            </w:pPr>
            <w:r>
              <w:rPr>
                <w:rFonts w:hint="eastAsia" w:ascii="仿宋" w:hAnsi="仿宋" w:eastAsia="仿宋" w:cs="仿宋"/>
                <w:sz w:val="21"/>
              </w:rPr>
              <w:t xml:space="preserve">数量</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832"/>
              <w:ind w:left="420" w:hanging="420"/>
              <w:spacing w:line="480" w:lineRule="exact"/>
              <w:rPr>
                <w:rFonts w:hint="eastAsia" w:ascii="仿宋" w:hAnsi="仿宋" w:eastAsia="仿宋" w:cs="仿宋"/>
                <w:sz w:val="21"/>
              </w:rPr>
            </w:pPr>
            <w:r>
              <w:rPr>
                <w:rFonts w:hint="eastAsia" w:ascii="仿宋" w:hAnsi="仿宋" w:eastAsia="仿宋" w:cs="仿宋"/>
                <w:sz w:val="21"/>
              </w:rPr>
              <w:t xml:space="preserve">单（元）</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32"/>
              <w:jc w:val="center"/>
              <w:spacing w:line="480" w:lineRule="exact"/>
              <w:rPr>
                <w:rFonts w:hint="eastAsia" w:ascii="仿宋" w:hAnsi="仿宋" w:eastAsia="仿宋" w:cs="仿宋"/>
                <w:sz w:val="21"/>
              </w:rPr>
            </w:pPr>
            <w:r>
              <w:rPr>
                <w:rFonts w:hint="eastAsia" w:ascii="仿宋" w:hAnsi="仿宋" w:eastAsia="仿宋" w:cs="仿宋"/>
                <w:sz w:val="21"/>
              </w:rPr>
              <w:t xml:space="preserve">总价（元）</w:t>
            </w:r>
            <w:r/>
          </w:p>
        </w:tc>
      </w:tr>
      <w:tr>
        <w:trPr>
          <w:trHeight w:val="587"/>
        </w:trPr>
        <w:tc>
          <w:tcPr>
            <w:tcBorders>
              <w:top w:val="single" w:color="auto" w:sz="4" w:space="0"/>
              <w:left w:val="single" w:color="auto" w:sz="4" w:space="0"/>
              <w:bottom w:val="single" w:color="auto" w:sz="4" w:space="0"/>
              <w:right w:val="single" w:color="auto" w:sz="4" w:space="0"/>
            </w:tcBorders>
            <w:tcW w:w="3485" w:type="dxa"/>
            <w:vAlign w:val="center"/>
            <w:textDirection w:val="lrTb"/>
            <w:noWrap w:val="false"/>
          </w:tcPr>
          <w:p>
            <w:pPr>
              <w:pStyle w:val="832"/>
              <w:spacing w:line="480" w:lineRule="exact"/>
              <w:rPr>
                <w:rFonts w:hint="eastAsia" w:ascii="仿宋" w:hAnsi="仿宋" w:eastAsia="仿宋" w:cs="仿宋"/>
                <w:sz w:val="21"/>
              </w:rPr>
            </w:pPr>
            <w:r>
              <w:rPr>
                <w:rFonts w:hint="eastAsia" w:ascii="仿宋" w:hAnsi="仿宋" w:eastAsia="仿宋" w:cs="仿宋"/>
                <w:sz w:val="21"/>
                <w:lang w:eastAsia="zh-CN"/>
              </w:rPr>
              <w:t xml:space="preserve">泗洪县社会治理服务中心保洁服务采购项目</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832"/>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t xml:space="preserve">项</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Style w:val="832"/>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832"/>
              <w:jc w:val="center"/>
              <w:spacing w:line="480" w:lineRule="exact"/>
              <w:rPr>
                <w:rFonts w:hint="eastAsia" w:ascii="仿宋" w:hAnsi="仿宋" w:eastAsia="仿宋" w:cs="仿宋"/>
                <w:sz w:val="21"/>
              </w:rPr>
            </w:pPr>
            <w:r>
              <w:rPr>
                <w:rFonts w:hint="eastAsia" w:ascii="仿宋" w:hAnsi="仿宋" w:eastAsia="仿宋" w:cs="仿宋"/>
                <w:sz w:val="21"/>
              </w:rPr>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832"/>
              <w:jc w:val="center"/>
              <w:spacing w:line="480" w:lineRule="exact"/>
              <w:rPr>
                <w:rFonts w:hint="eastAsia" w:ascii="仿宋" w:hAnsi="仿宋" w:eastAsia="仿宋" w:cs="仿宋"/>
                <w:sz w:val="21"/>
              </w:rPr>
            </w:pPr>
            <w:r>
              <w:rPr>
                <w:rFonts w:hint="eastAsia" w:ascii="仿宋" w:hAnsi="仿宋" w:eastAsia="仿宋" w:cs="仿宋"/>
                <w:sz w:val="21"/>
              </w:rPr>
            </w:r>
            <w:r/>
          </w:p>
        </w:tc>
      </w:tr>
      <w:tr>
        <w:trPr>
          <w:trHeight w:val="687"/>
        </w:trPr>
        <w:tc>
          <w:tcPr>
            <w:gridSpan w:val="5"/>
            <w:tcBorders>
              <w:top w:val="single" w:color="auto" w:sz="4" w:space="0"/>
              <w:left w:val="single" w:color="auto" w:sz="4" w:space="0"/>
              <w:bottom w:val="single" w:color="auto" w:sz="4" w:space="0"/>
              <w:right w:val="single" w:color="auto" w:sz="4" w:space="0"/>
            </w:tcBorders>
            <w:tcW w:w="9130" w:type="dxa"/>
            <w:vAlign w:val="center"/>
            <w:textDirection w:val="lrTb"/>
            <w:noWrap w:val="false"/>
          </w:tcPr>
          <w:p>
            <w:pPr>
              <w:pStyle w:val="832"/>
              <w:ind w:right="600"/>
              <w:spacing w:line="480" w:lineRule="exact"/>
              <w:rPr>
                <w:rFonts w:hint="eastAsia" w:ascii="仿宋" w:hAnsi="仿宋" w:eastAsia="仿宋" w:cs="仿宋"/>
                <w:sz w:val="21"/>
              </w:rPr>
            </w:pPr>
            <w:r>
              <w:rPr>
                <w:rFonts w:hint="eastAsia" w:ascii="仿宋" w:hAnsi="仿宋" w:eastAsia="仿宋" w:cs="仿宋"/>
                <w:sz w:val="21"/>
              </w:rPr>
              <w:t xml:space="preserve">合计人民币金额（大写）： </w:t>
            </w:r>
            <w:r>
              <w:rPr>
                <w:rFonts w:hint="eastAsia" w:ascii="仿宋" w:hAnsi="仿宋" w:eastAsia="仿宋" w:cs="仿宋"/>
                <w:sz w:val="21"/>
                <w:lang w:val="en-US" w:eastAsia="zh-CN"/>
              </w:rPr>
              <w:t xml:space="preserve">     </w:t>
            </w:r>
            <w:r>
              <w:rPr>
                <w:rFonts w:hint="eastAsia" w:ascii="仿宋" w:hAnsi="仿宋" w:eastAsia="仿宋" w:cs="仿宋"/>
                <w:sz w:val="21"/>
              </w:rPr>
              <w:t xml:space="preserve"> （￥：</w:t>
            </w:r>
            <w:r>
              <w:rPr>
                <w:rFonts w:hint="eastAsia" w:ascii="仿宋" w:hAnsi="仿宋" w:eastAsia="仿宋" w:cs="仿宋"/>
                <w:sz w:val="21"/>
                <w:lang w:val="en-US" w:eastAsia="zh-CN"/>
              </w:rPr>
              <w:t xml:space="preserve">               </w:t>
            </w:r>
            <w:r>
              <w:rPr>
                <w:rFonts w:hint="eastAsia" w:ascii="仿宋" w:hAnsi="仿宋" w:eastAsia="仿宋" w:cs="仿宋"/>
                <w:sz w:val="21"/>
              </w:rPr>
              <w:t xml:space="preserve">元）</w:t>
            </w:r>
            <w:r/>
          </w:p>
        </w:tc>
      </w:tr>
    </w:tbl>
    <w:p>
      <w:pPr>
        <w:pStyle w:val="832"/>
        <w:ind w:firstLine="482"/>
        <w:spacing w:line="480" w:lineRule="exact"/>
        <w:rPr>
          <w:rFonts w:hint="eastAsia" w:ascii="仿宋" w:hAnsi="仿宋" w:eastAsia="仿宋" w:cs="仿宋"/>
          <w:b/>
          <w:sz w:val="24"/>
        </w:rPr>
      </w:pPr>
      <w:r>
        <w:rPr>
          <w:rFonts w:hint="eastAsia" w:ascii="仿宋" w:hAnsi="仿宋" w:eastAsia="仿宋" w:cs="仿宋"/>
          <w:b/>
          <w:sz w:val="24"/>
        </w:rPr>
        <w:t xml:space="preserve">二、</w:t>
      </w:r>
      <w:r>
        <w:rPr>
          <w:rFonts w:hint="eastAsia" w:ascii="仿宋" w:hAnsi="仿宋" w:eastAsia="仿宋" w:cs="仿宋"/>
          <w:b/>
          <w:sz w:val="24"/>
          <w:lang w:val="en-US" w:eastAsia="zh-CN"/>
        </w:rPr>
        <w:t xml:space="preserve">服务</w:t>
      </w:r>
      <w:r>
        <w:rPr>
          <w:rFonts w:hint="eastAsia" w:ascii="仿宋" w:hAnsi="仿宋" w:eastAsia="仿宋" w:cs="仿宋"/>
          <w:b/>
          <w:sz w:val="24"/>
        </w:rPr>
        <w:t xml:space="preserve">时间、地点</w:t>
      </w:r>
      <w:r/>
    </w:p>
    <w:p>
      <w:pPr>
        <w:pStyle w:val="832"/>
        <w:ind w:firstLine="480"/>
        <w:spacing w:line="480" w:lineRule="exact"/>
        <w:rPr>
          <w:rFonts w:hint="eastAsia" w:ascii="仿宋" w:hAnsi="仿宋" w:eastAsia="仿宋" w:cs="仿宋"/>
          <w:sz w:val="24"/>
        </w:rPr>
      </w:pPr>
      <w:r>
        <w:rPr>
          <w:rFonts w:hint="eastAsia" w:ascii="仿宋" w:hAnsi="仿宋" w:eastAsia="仿宋" w:cs="仿宋"/>
          <w:color w:val="000000"/>
          <w:sz w:val="24"/>
        </w:rPr>
        <w:t xml:space="preserve">（一）</w:t>
      </w:r>
      <w:r>
        <w:rPr>
          <w:rFonts w:hint="eastAsia" w:ascii="仿宋" w:hAnsi="仿宋" w:eastAsia="仿宋" w:cs="仿宋"/>
          <w:color w:val="000000"/>
          <w:sz w:val="24"/>
          <w:lang w:val="en-US" w:eastAsia="zh-CN"/>
        </w:rPr>
        <w:t xml:space="preserve">服务期限：</w:t>
      </w:r>
      <w:r>
        <w:rPr>
          <w:rFonts w:hint="eastAsia" w:ascii="仿宋" w:hAnsi="仿宋" w:eastAsia="仿宋" w:cs="仿宋"/>
          <w:sz w:val="24"/>
          <w:szCs w:val="24"/>
          <w:lang w:val="en-US" w:eastAsia="zh-CN"/>
        </w:rPr>
        <w:t xml:space="preserve">服务期2年，</w:t>
      </w:r>
      <w:r>
        <w:rPr>
          <w:rFonts w:hint="eastAsia" w:ascii="仿宋" w:hAnsi="仿宋" w:eastAsia="仿宋" w:cs="仿宋"/>
          <w:sz w:val="24"/>
          <w:szCs w:val="24"/>
          <w:highlight w:val="none"/>
          <w:lang w:val="en-US" w:eastAsia="zh-CN"/>
        </w:rPr>
        <w:t xml:space="preserve">合同一年一签，一年后，若双方就服务内容及质量满意度较高</w:t>
      </w:r>
      <w:r>
        <w:rPr>
          <w:rFonts w:hint="eastAsia" w:ascii="仿宋" w:hAnsi="仿宋" w:eastAsia="仿宋" w:cs="仿宋"/>
          <w:color w:val="000000"/>
          <w:sz w:val="24"/>
          <w:szCs w:val="24"/>
          <w:highlight w:val="none"/>
          <w:lang w:val="en-US" w:eastAsia="zh-CN"/>
        </w:rPr>
        <w:t xml:space="preserve">可续签</w:t>
      </w:r>
      <w:r>
        <w:rPr>
          <w:rFonts w:hint="eastAsia" w:ascii="仿宋" w:hAnsi="仿宋" w:eastAsia="仿宋" w:cs="仿宋"/>
          <w:sz w:val="24"/>
          <w:szCs w:val="24"/>
          <w:highlight w:val="none"/>
          <w:lang w:val="en-US" w:eastAsia="zh-CN"/>
        </w:rPr>
        <w:t xml:space="preserve">（合同有效期的一年度内，平均考核分数80分（含）以上的）（详见考核标准），最多续签一年。</w:t>
      </w:r>
      <w:r/>
    </w:p>
    <w:p>
      <w:pPr>
        <w:pStyle w:val="832"/>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地点：</w:t>
      </w:r>
      <w:r>
        <w:rPr>
          <w:rStyle w:val="794"/>
          <w:rFonts w:hint="eastAsia" w:ascii="仿宋" w:hAnsi="仿宋" w:eastAsia="仿宋" w:cs="仿宋"/>
          <w:color w:val="000000"/>
          <w:sz w:val="24"/>
          <w:szCs w:val="24"/>
          <w:lang w:val="en-US" w:eastAsia="zh-CN" w:bidi="ar-SA"/>
        </w:rPr>
        <w:t xml:space="preserve">甲方指定地点</w:t>
      </w:r>
      <w:r>
        <w:rPr>
          <w:rFonts w:hint="eastAsia" w:ascii="仿宋" w:hAnsi="仿宋" w:eastAsia="仿宋" w:cs="仿宋"/>
          <w:color w:val="000000"/>
          <w:sz w:val="24"/>
        </w:rPr>
        <w:t xml:space="preserve">。</w:t>
      </w:r>
      <w:r/>
    </w:p>
    <w:p>
      <w:pPr>
        <w:pStyle w:val="832"/>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三</w:t>
      </w:r>
      <w:r>
        <w:rPr>
          <w:rFonts w:hint="eastAsia" w:ascii="仿宋" w:hAnsi="仿宋" w:eastAsia="仿宋" w:cs="仿宋"/>
          <w:color w:val="000000"/>
          <w:sz w:val="24"/>
          <w:lang w:eastAsia="zh-CN"/>
        </w:rPr>
        <w:t xml:space="preserve">）</w:t>
      </w:r>
      <w:r>
        <w:rPr>
          <w:rStyle w:val="794"/>
          <w:rFonts w:hint="eastAsia" w:ascii="仿宋" w:hAnsi="仿宋" w:eastAsia="仿宋" w:cs="仿宋"/>
          <w:color w:val="auto"/>
          <w:sz w:val="24"/>
          <w:szCs w:val="24"/>
          <w:highlight w:val="none"/>
          <w:lang w:val="en-US" w:eastAsia="zh-CN"/>
        </w:rPr>
        <w:t xml:space="preserve">服务期限自  年    月  日起至   年   月  日止</w:t>
      </w:r>
      <w:r/>
    </w:p>
    <w:p>
      <w:pPr>
        <w:pStyle w:val="832"/>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rPr>
        <w:t xml:space="preserve">三、</w:t>
      </w:r>
      <w:r>
        <w:rPr>
          <w:rFonts w:hint="eastAsia" w:ascii="仿宋" w:hAnsi="仿宋" w:eastAsia="仿宋" w:cs="仿宋"/>
          <w:b/>
          <w:sz w:val="24"/>
          <w:highlight w:val="none"/>
          <w:lang w:val="en-US" w:eastAsia="zh-CN"/>
        </w:rPr>
        <w:t xml:space="preserve">付款方式</w:t>
      </w:r>
      <w:r/>
    </w:p>
    <w:p>
      <w:pPr>
        <w:pStyle w:val="832"/>
        <w:ind w:firstLine="480"/>
        <w:spacing w:line="480" w:lineRule="exact"/>
        <w:rPr>
          <w:rStyle w:val="794"/>
          <w:rFonts w:hint="eastAsia" w:ascii="仿宋" w:hAnsi="仿宋" w:eastAsia="仿宋" w:cs="仿宋"/>
          <w:color w:val="auto"/>
          <w:sz w:val="24"/>
          <w:szCs w:val="24"/>
          <w:highlight w:val="none"/>
          <w:lang w:val="en-US" w:eastAsia="zh-CN"/>
        </w:rPr>
      </w:pPr>
      <w:r>
        <w:rPr>
          <w:rStyle w:val="794"/>
          <w:rFonts w:hint="eastAsia" w:ascii="仿宋" w:hAnsi="仿宋" w:eastAsia="仿宋" w:cs="仿宋"/>
          <w:color w:val="auto"/>
          <w:sz w:val="24"/>
          <w:szCs w:val="24"/>
          <w:highlight w:val="none"/>
          <w:lang w:val="en-US" w:eastAsia="zh-CN"/>
        </w:rPr>
        <w:t xml:space="preserve">3.1预付款：合同金额的10%，甲方自收到发票之日起10个工作日内支付； </w:t>
      </w:r>
      <w:r/>
    </w:p>
    <w:p>
      <w:pPr>
        <w:pStyle w:val="832"/>
        <w:ind w:firstLine="480"/>
        <w:spacing w:line="480" w:lineRule="exact"/>
        <w:rPr>
          <w:rStyle w:val="794"/>
          <w:rFonts w:hint="eastAsia" w:ascii="仿宋" w:hAnsi="仿宋" w:eastAsia="仿宋" w:cs="仿宋"/>
          <w:color w:val="auto"/>
          <w:sz w:val="24"/>
          <w:szCs w:val="24"/>
          <w:highlight w:val="none"/>
          <w:lang w:val="en-US" w:eastAsia="zh-CN"/>
        </w:rPr>
      </w:pPr>
      <w:r>
        <w:rPr>
          <w:rStyle w:val="794"/>
          <w:rFonts w:hint="eastAsia" w:ascii="仿宋" w:hAnsi="仿宋" w:eastAsia="仿宋" w:cs="仿宋"/>
          <w:color w:val="auto"/>
          <w:sz w:val="24"/>
          <w:szCs w:val="24"/>
          <w:highlight w:val="none"/>
          <w:lang w:val="en-US" w:eastAsia="zh-CN"/>
        </w:rPr>
        <w:t xml:space="preserve">3.2进度款：甲乙双方按三个月为一个周期结算服务费用，每周期结束后，甲乙双方按考核结果确定实际支付费用（注：第一周期费用含预付款），乙方向甲方开具正式发票，甲方自收到发票之日起10个工作日内支付。（可采用数字人民币支付）</w:t>
      </w:r>
      <w:r/>
    </w:p>
    <w:p>
      <w:pPr>
        <w:pStyle w:val="832"/>
        <w:ind w:firstLine="480"/>
        <w:spacing w:line="480" w:lineRule="exact"/>
        <w:rPr>
          <w:rStyle w:val="794"/>
          <w:rFonts w:hint="eastAsia" w:ascii="仿宋" w:hAnsi="仿宋" w:eastAsia="仿宋" w:cs="仿宋"/>
          <w:color w:val="auto"/>
          <w:sz w:val="24"/>
          <w:szCs w:val="24"/>
          <w:highlight w:val="none"/>
          <w:lang w:val="en-US" w:eastAsia="zh-CN"/>
        </w:rPr>
      </w:pPr>
      <w:r>
        <w:rPr>
          <w:rStyle w:val="794"/>
          <w:rFonts w:hint="eastAsia" w:ascii="仿宋" w:hAnsi="仿宋" w:eastAsia="仿宋" w:cs="仿宋"/>
          <w:color w:val="auto"/>
          <w:sz w:val="24"/>
          <w:szCs w:val="24"/>
          <w:highlight w:val="none"/>
          <w:lang w:val="en-US" w:eastAsia="zh-CN"/>
        </w:rPr>
        <w:t xml:space="preserve">在签订合同时，乙方明确表示无需预付款或者主动要求降低预付款比例的金额，甲方可不适用预付款规定。可使用数字人民币支付。</w:t>
      </w:r>
      <w:r/>
    </w:p>
    <w:p>
      <w:pPr>
        <w:pStyle w:val="832"/>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四、服务内容及要求</w:t>
      </w:r>
      <w:r/>
    </w:p>
    <w:p>
      <w:pPr>
        <w:ind w:firstLine="480"/>
        <w:jc w:val="left"/>
        <w:spacing w:before="0" w:after="0" w:line="480" w:lineRule="atLeast"/>
        <w:widowControl w:val="off"/>
        <w:rPr>
          <w:rStyle w:val="794"/>
          <w:rFonts w:hint="eastAsia" w:ascii="仿宋" w:hAnsi="仿宋" w:eastAsia="仿宋" w:cs="仿宋"/>
          <w:color w:val="auto"/>
          <w:sz w:val="24"/>
          <w:szCs w:val="24"/>
          <w:highlight w:val="none"/>
          <w:lang w:val="en-US" w:eastAsia="zh-CN" w:bidi="ar-SA"/>
        </w:rPr>
      </w:pPr>
      <w:r>
        <w:rPr>
          <w:rFonts w:hint="eastAsia" w:ascii="仿宋" w:hAnsi="仿宋" w:eastAsia="仿宋" w:cs="仿宋"/>
          <w:b w:val="0"/>
          <w:sz w:val="24"/>
          <w:szCs w:val="28"/>
          <w:highlight w:val="none"/>
          <w:lang w:eastAsia="zh-CN"/>
        </w:rPr>
        <w:t xml:space="preserve">（</w:t>
      </w:r>
      <w:r>
        <w:rPr>
          <w:rFonts w:hint="eastAsia" w:ascii="仿宋" w:hAnsi="仿宋" w:eastAsia="仿宋" w:cs="仿宋"/>
          <w:b w:val="0"/>
          <w:sz w:val="24"/>
          <w:szCs w:val="28"/>
          <w:highlight w:val="none"/>
          <w:lang w:val="en-US" w:eastAsia="zh-CN"/>
        </w:rPr>
        <w:t xml:space="preserve">一</w:t>
      </w:r>
      <w:r>
        <w:rPr>
          <w:rFonts w:hint="eastAsia" w:ascii="仿宋" w:hAnsi="仿宋" w:eastAsia="仿宋" w:cs="仿宋"/>
          <w:b w:val="0"/>
          <w:sz w:val="24"/>
          <w:szCs w:val="28"/>
          <w:highlight w:val="none"/>
          <w:lang w:eastAsia="zh-CN"/>
        </w:rPr>
        <w:t xml:space="preserve">）</w:t>
      </w:r>
      <w:r>
        <w:rPr>
          <w:rFonts w:hint="eastAsia" w:ascii="仿宋" w:hAnsi="仿宋" w:eastAsia="仿宋" w:cs="仿宋"/>
          <w:b w:val="0"/>
          <w:sz w:val="24"/>
          <w:szCs w:val="28"/>
          <w:highlight w:val="none"/>
          <w:lang w:val="en-US" w:eastAsia="zh-CN"/>
        </w:rPr>
        <w:t xml:space="preserve">服务范围：</w:t>
      </w:r>
      <w:r>
        <w:rPr>
          <w:rStyle w:val="794"/>
          <w:rFonts w:hint="eastAsia" w:ascii="仿宋" w:hAnsi="仿宋" w:eastAsia="仿宋" w:cs="仿宋"/>
          <w:color w:val="auto"/>
          <w:sz w:val="24"/>
          <w:szCs w:val="24"/>
          <w:highlight w:val="none"/>
          <w:lang w:val="en-US" w:eastAsia="zh-CN" w:bidi="ar-SA"/>
        </w:rPr>
        <w:t xml:space="preserve">泗洪县社会治理服务中心内外公共区域卫生日常清洁保养、垃圾收集及垃圾清运等保洁工作；楼内外公共区域消杀工作。</w:t>
      </w:r>
      <w:r/>
    </w:p>
    <w:p>
      <w:pPr>
        <w:pStyle w:val="832"/>
        <w:ind w:firstLine="964"/>
        <w:spacing w:line="480" w:lineRule="exact"/>
        <w:rPr>
          <w:rFonts w:hint="default" w:ascii="仿宋" w:hAnsi="仿宋" w:eastAsia="仿宋" w:cs="仿宋"/>
          <w:b/>
          <w:sz w:val="24"/>
          <w:lang w:val="en-US" w:eastAsia="zh-CN"/>
        </w:rPr>
      </w:pPr>
      <w:r>
        <w:rPr>
          <w:rFonts w:hint="eastAsia" w:ascii="仿宋" w:hAnsi="仿宋" w:eastAsia="仿宋" w:cs="仿宋"/>
          <w:b/>
          <w:sz w:val="24"/>
          <w:lang w:val="en-US" w:eastAsia="zh-CN"/>
        </w:rPr>
        <w:t xml:space="preserve">......</w:t>
      </w:r>
      <w:r/>
    </w:p>
    <w:p>
      <w:pPr>
        <w:pStyle w:val="832"/>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五、考核标准</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为进一步加强服务</w:t>
      </w:r>
      <w:r>
        <w:rPr>
          <w:rStyle w:val="794"/>
          <w:rFonts w:hint="eastAsia" w:ascii="仿宋" w:hAnsi="仿宋" w:eastAsia="仿宋" w:cs="仿宋"/>
          <w:color w:val="auto"/>
          <w:sz w:val="24"/>
          <w:szCs w:val="24"/>
          <w:lang w:eastAsia="zh-CN"/>
        </w:rPr>
        <w:t xml:space="preserve">（</w:t>
      </w:r>
      <w:r>
        <w:rPr>
          <w:rStyle w:val="794"/>
          <w:rFonts w:hint="eastAsia" w:ascii="仿宋" w:hAnsi="仿宋" w:eastAsia="仿宋" w:cs="仿宋"/>
          <w:color w:val="auto"/>
          <w:sz w:val="24"/>
          <w:szCs w:val="24"/>
        </w:rPr>
        <w:t xml:space="preserve">以下简称</w:t>
      </w:r>
      <w:r>
        <w:rPr>
          <w:rStyle w:val="794"/>
          <w:rFonts w:hint="eastAsia" w:ascii="仿宋" w:hAnsi="仿宋" w:eastAsia="仿宋" w:cs="仿宋"/>
          <w:color w:val="auto"/>
          <w:sz w:val="24"/>
          <w:szCs w:val="24"/>
          <w:lang w:eastAsia="zh-CN"/>
        </w:rPr>
        <w:t xml:space="preserve">“</w:t>
      </w:r>
      <w:r>
        <w:rPr>
          <w:rStyle w:val="794"/>
          <w:rFonts w:hint="eastAsia" w:ascii="仿宋" w:hAnsi="仿宋" w:eastAsia="仿宋" w:cs="仿宋"/>
          <w:color w:val="auto"/>
          <w:sz w:val="24"/>
          <w:szCs w:val="24"/>
        </w:rPr>
        <w:t xml:space="preserve">服务</w:t>
      </w:r>
      <w:r>
        <w:rPr>
          <w:rStyle w:val="794"/>
          <w:rFonts w:hint="eastAsia" w:ascii="仿宋" w:hAnsi="仿宋" w:eastAsia="仿宋" w:cs="仿宋"/>
          <w:color w:val="auto"/>
          <w:sz w:val="24"/>
          <w:szCs w:val="24"/>
          <w:lang w:eastAsia="zh-CN"/>
        </w:rPr>
        <w:t xml:space="preserve">”）</w:t>
      </w:r>
      <w:r>
        <w:rPr>
          <w:rStyle w:val="794"/>
          <w:rFonts w:hint="eastAsia" w:ascii="仿宋" w:hAnsi="仿宋" w:eastAsia="仿宋" w:cs="仿宋"/>
          <w:color w:val="auto"/>
          <w:sz w:val="24"/>
          <w:szCs w:val="24"/>
        </w:rPr>
        <w:t xml:space="preserve">管理考核，不断提升服务水平，特制定本办法。</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lang w:val="en-US" w:eastAsia="zh-CN"/>
        </w:rPr>
        <w:t xml:space="preserve">一、</w:t>
      </w:r>
      <w:r>
        <w:rPr>
          <w:rStyle w:val="794"/>
          <w:rFonts w:hint="eastAsia" w:ascii="仿宋" w:hAnsi="仿宋" w:eastAsia="仿宋" w:cs="仿宋"/>
          <w:color w:val="auto"/>
          <w:sz w:val="24"/>
          <w:szCs w:val="24"/>
        </w:rPr>
        <w:t xml:space="preserve">考核对象</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lang w:val="en-US" w:eastAsia="zh-CN"/>
        </w:rPr>
        <w:t xml:space="preserve">泗洪县社会治理服务中心保洁服务采购项目</w:t>
      </w:r>
      <w:r>
        <w:rPr>
          <w:rStyle w:val="794"/>
          <w:rFonts w:hint="eastAsia" w:ascii="仿宋" w:hAnsi="仿宋" w:eastAsia="仿宋" w:cs="仿宋"/>
          <w:color w:val="auto"/>
          <w:sz w:val="24"/>
          <w:szCs w:val="24"/>
        </w:rPr>
        <w:t xml:space="preserve">服务商。</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Style w:val="794"/>
          <w:rFonts w:hint="eastAsia" w:ascii="仿宋" w:hAnsi="仿宋" w:eastAsia="仿宋" w:cs="仿宋"/>
          <w:color w:val="auto"/>
          <w:sz w:val="24"/>
          <w:szCs w:val="24"/>
          <w:lang w:val="en-US" w:eastAsia="zh-CN"/>
        </w:rPr>
        <w:t xml:space="preserve">二、考核方式</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Style w:val="794"/>
          <w:rFonts w:hint="eastAsia" w:ascii="仿宋" w:hAnsi="仿宋" w:eastAsia="仿宋" w:cs="仿宋"/>
          <w:color w:val="auto"/>
          <w:sz w:val="24"/>
          <w:szCs w:val="24"/>
          <w:lang w:val="en-US" w:eastAsia="zh-CN"/>
        </w:rPr>
        <w:t xml:space="preserve">每季度（即3个月）考核一次，每次考核满分为100分，甲方定期督查，不符合约定管理目标要求的，按下表考核表中考核内容及标准进行扣分，做好考核结果的采集、复核，确保结果客观公正。</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Style w:val="794"/>
          <w:rFonts w:hint="eastAsia" w:ascii="仿宋" w:hAnsi="仿宋" w:eastAsia="仿宋" w:cs="仿宋"/>
          <w:color w:val="auto"/>
          <w:sz w:val="24"/>
          <w:szCs w:val="24"/>
          <w:lang w:val="en-US" w:eastAsia="zh-CN"/>
        </w:rPr>
        <w:t xml:space="preserve">三、结果应用</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（1）考核成绩在90分以上（不含90分）全额支付费用；</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（2）考核成绩在90—80分（含90分）之间的，支付费用标准的9</w:t>
      </w:r>
      <w:r>
        <w:rPr>
          <w:rStyle w:val="794"/>
          <w:rFonts w:hint="eastAsia" w:ascii="仿宋" w:hAnsi="仿宋" w:eastAsia="仿宋" w:cs="仿宋"/>
          <w:color w:val="auto"/>
          <w:sz w:val="24"/>
          <w:szCs w:val="24"/>
          <w:lang w:val="en-US" w:eastAsia="zh-CN"/>
        </w:rPr>
        <w:t xml:space="preserve">5</w:t>
      </w:r>
      <w:r>
        <w:rPr>
          <w:rStyle w:val="794"/>
          <w:rFonts w:hint="eastAsia" w:ascii="仿宋" w:hAnsi="仿宋" w:eastAsia="仿宋" w:cs="仿宋"/>
          <w:color w:val="auto"/>
          <w:sz w:val="24"/>
          <w:szCs w:val="24"/>
        </w:rPr>
        <w:t xml:space="preserve">%；</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（3）考核成绩在80—70分（含80分）之间的，支付费用标准的</w:t>
      </w:r>
      <w:r>
        <w:rPr>
          <w:rStyle w:val="794"/>
          <w:rFonts w:hint="eastAsia" w:ascii="仿宋" w:hAnsi="仿宋" w:eastAsia="仿宋" w:cs="仿宋"/>
          <w:color w:val="auto"/>
          <w:sz w:val="24"/>
          <w:szCs w:val="24"/>
          <w:lang w:val="en-US" w:eastAsia="zh-CN"/>
        </w:rPr>
        <w:t xml:space="preserve">90</w:t>
      </w:r>
      <w:r>
        <w:rPr>
          <w:rStyle w:val="794"/>
          <w:rFonts w:hint="eastAsia" w:ascii="仿宋" w:hAnsi="仿宋" w:eastAsia="仿宋" w:cs="仿宋"/>
          <w:color w:val="auto"/>
          <w:sz w:val="24"/>
          <w:szCs w:val="24"/>
        </w:rPr>
        <w:t xml:space="preserve">%；</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rPr>
      </w:pPr>
      <w:r>
        <w:rPr>
          <w:rStyle w:val="794"/>
          <w:rFonts w:hint="eastAsia" w:ascii="仿宋" w:hAnsi="仿宋" w:eastAsia="仿宋" w:cs="仿宋"/>
          <w:color w:val="auto"/>
          <w:sz w:val="24"/>
          <w:szCs w:val="24"/>
        </w:rPr>
        <w:t xml:space="preserve">（4）考核成绩在70</w:t>
      </w:r>
      <w:r>
        <w:rPr>
          <w:rStyle w:val="794"/>
          <w:rFonts w:hint="eastAsia" w:ascii="仿宋" w:hAnsi="仿宋" w:eastAsia="仿宋" w:cs="仿宋"/>
          <w:color w:val="auto"/>
          <w:sz w:val="24"/>
          <w:szCs w:val="24"/>
          <w:lang w:val="en-US" w:eastAsia="zh-CN"/>
        </w:rPr>
        <w:t xml:space="preserve">分及以下</w:t>
      </w:r>
      <w:r>
        <w:rPr>
          <w:rStyle w:val="794"/>
          <w:rFonts w:hint="eastAsia" w:ascii="仿宋" w:hAnsi="仿宋" w:eastAsia="仿宋" w:cs="仿宋"/>
          <w:color w:val="auto"/>
          <w:sz w:val="24"/>
          <w:szCs w:val="24"/>
        </w:rPr>
        <w:t xml:space="preserve">的，支付费用标准的</w:t>
      </w:r>
      <w:r>
        <w:rPr>
          <w:rStyle w:val="794"/>
          <w:rFonts w:hint="eastAsia" w:ascii="仿宋" w:hAnsi="仿宋" w:eastAsia="仿宋" w:cs="仿宋"/>
          <w:color w:val="auto"/>
          <w:sz w:val="24"/>
          <w:szCs w:val="24"/>
          <w:lang w:val="en-US" w:eastAsia="zh-CN"/>
        </w:rPr>
        <w:t xml:space="preserve">85</w:t>
      </w:r>
      <w:r>
        <w:rPr>
          <w:rStyle w:val="794"/>
          <w:rFonts w:hint="eastAsia" w:ascii="仿宋" w:hAnsi="仿宋" w:eastAsia="仿宋" w:cs="仿宋"/>
          <w:color w:val="auto"/>
          <w:sz w:val="24"/>
          <w:szCs w:val="24"/>
        </w:rPr>
        <w:t xml:space="preserve">%；</w:t>
      </w:r>
      <w:r/>
    </w:p>
    <w:p>
      <w:pPr>
        <w:pStyle w:val="829"/>
        <w:ind w:firstLine="480"/>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Style w:val="794"/>
          <w:rFonts w:hint="eastAsia" w:ascii="仿宋" w:hAnsi="仿宋" w:eastAsia="仿宋" w:cs="仿宋"/>
          <w:color w:val="auto"/>
          <w:sz w:val="24"/>
          <w:szCs w:val="24"/>
          <w:lang w:val="en-US" w:eastAsia="zh-CN"/>
        </w:rPr>
        <w:t xml:space="preserve">注：</w:t>
      </w:r>
      <w:r>
        <w:rPr>
          <w:rStyle w:val="794"/>
          <w:rFonts w:hint="eastAsia" w:ascii="仿宋" w:hAnsi="仿宋" w:eastAsia="仿宋" w:cs="仿宋"/>
          <w:color w:val="auto"/>
          <w:sz w:val="24"/>
          <w:szCs w:val="24"/>
        </w:rPr>
        <w:t xml:space="preserve">考核成绩在</w:t>
      </w:r>
      <w:r>
        <w:rPr>
          <w:rStyle w:val="794"/>
          <w:rFonts w:hint="eastAsia" w:ascii="仿宋" w:hAnsi="仿宋" w:eastAsia="仿宋" w:cs="仿宋"/>
          <w:color w:val="auto"/>
          <w:sz w:val="24"/>
          <w:szCs w:val="24"/>
          <w:lang w:val="en-US" w:eastAsia="zh-CN"/>
        </w:rPr>
        <w:t xml:space="preserve">60分以下的</w:t>
      </w:r>
      <w:r>
        <w:rPr>
          <w:rStyle w:val="794"/>
          <w:rFonts w:hint="eastAsia" w:ascii="仿宋" w:hAnsi="仿宋" w:eastAsia="仿宋" w:cs="仿宋"/>
          <w:color w:val="auto"/>
          <w:sz w:val="24"/>
          <w:szCs w:val="24"/>
        </w:rPr>
        <w:t xml:space="preserve">，</w:t>
      </w:r>
      <w:r>
        <w:rPr>
          <w:rStyle w:val="794"/>
          <w:rFonts w:hint="eastAsia" w:ascii="仿宋" w:hAnsi="仿宋" w:eastAsia="仿宋" w:cs="仿宋"/>
          <w:color w:val="auto"/>
          <w:sz w:val="24"/>
          <w:szCs w:val="24"/>
          <w:lang w:val="en-US" w:eastAsia="zh-CN"/>
        </w:rPr>
        <w:t xml:space="preserve">甲方有权单方面解除合同，</w:t>
      </w:r>
      <w:r>
        <w:rPr>
          <w:rStyle w:val="794"/>
          <w:rFonts w:hint="eastAsia" w:ascii="仿宋" w:hAnsi="仿宋" w:eastAsia="仿宋" w:cs="仿宋"/>
          <w:b w:val="0"/>
          <w:bCs w:val="0"/>
          <w:color w:val="auto"/>
          <w:sz w:val="24"/>
          <w:szCs w:val="24"/>
          <w:highlight w:val="none"/>
          <w:lang w:val="en-US" w:eastAsia="zh-CN"/>
        </w:rPr>
        <w:t xml:space="preserve">并停止支付剩余款项，</w:t>
      </w:r>
      <w:r>
        <w:rPr>
          <w:rStyle w:val="794"/>
          <w:rFonts w:hint="eastAsia" w:ascii="仿宋" w:hAnsi="仿宋" w:eastAsia="仿宋" w:cs="仿宋"/>
          <w:color w:val="auto"/>
          <w:sz w:val="24"/>
          <w:szCs w:val="24"/>
          <w:lang w:val="en-US" w:eastAsia="zh-CN"/>
        </w:rPr>
        <w:t xml:space="preserve">乙方不得追究。</w:t>
      </w:r>
      <w:r/>
    </w:p>
    <w:p>
      <w:pPr>
        <w:pStyle w:val="829"/>
        <w:jc w:val="both"/>
        <w:keepLines w:val="0"/>
        <w:keepNext w:val="0"/>
        <w:pageBreakBefore w:val="0"/>
        <w:spacing w:line="240" w:lineRule="auto"/>
        <w:rPr>
          <w:rStyle w:val="794"/>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bl>
      <w:tblPr>
        <w:tblStyle w:val="795"/>
        <w:tblpPr w:horzAnchor="page" w:tblpX="2076" w:vertAnchor="text" w:tblpY="197" w:leftFromText="180" w:topFromText="0" w:rightFromText="180" w:bottomFromText="0"/>
        <w:tblW w:w="8100" w:type="dxa"/>
        <w:tblInd w:w="0" w:type="dxa"/>
        <w:tblLayout w:type="fixed"/>
        <w:tblCellMar>
          <w:left w:w="108" w:type="dxa"/>
          <w:top w:w="0" w:type="dxa"/>
          <w:right w:w="108" w:type="dxa"/>
          <w:bottom w:w="0" w:type="dxa"/>
        </w:tblCellMar>
        <w:tblLook w:val="04A0" w:firstRow="1" w:lastRow="0" w:firstColumn="1" w:lastColumn="0" w:noHBand="0" w:noVBand="1"/>
      </w:tblPr>
      <w:tblGrid>
        <w:gridCol w:w="669"/>
        <w:gridCol w:w="5094"/>
        <w:gridCol w:w="1372"/>
        <w:gridCol w:w="965"/>
      </w:tblGrid>
      <w:tr>
        <w:trPr>
          <w:trHeight w:val="572"/>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44"/>
              <w:jc w:val="center"/>
              <w:widowControl/>
              <w:rPr>
                <w:rStyle w:val="794"/>
                <w:rFonts w:hint="eastAsia" w:ascii="仿宋" w:hAnsi="仿宋" w:eastAsia="仿宋" w:cs="仿宋"/>
                <w:color w:val="000000"/>
                <w:sz w:val="21"/>
                <w:szCs w:val="21"/>
                <w:lang w:bidi="ar"/>
              </w:rPr>
            </w:pPr>
            <w:r>
              <w:rPr>
                <w:rFonts w:hint="eastAsia" w:ascii="仿宋" w:hAnsi="仿宋" w:eastAsia="仿宋" w:cs="仿宋"/>
                <w:b/>
                <w:sz w:val="21"/>
                <w:szCs w:val="21"/>
                <w:lang w:val="en-US" w:eastAsia="zh-CN" w:bidi="ar"/>
              </w:rPr>
              <w:t xml:space="preserve">泗洪县社会治理服务中心保洁服务采购项目</w:t>
            </w:r>
            <w:r>
              <w:rPr>
                <w:rStyle w:val="794"/>
                <w:rFonts w:hint="eastAsia" w:ascii="仿宋" w:hAnsi="仿宋" w:eastAsia="仿宋" w:cs="仿宋"/>
                <w:b/>
                <w:bCs/>
                <w:color w:val="000000"/>
                <w:sz w:val="21"/>
                <w:szCs w:val="21"/>
                <w:u w:val="single"/>
                <w:lang w:val="en-US" w:eastAsia="zh-CN" w:bidi="ar"/>
              </w:rPr>
              <w:t xml:space="preserve">     </w:t>
            </w:r>
            <w:r>
              <w:rPr>
                <w:rStyle w:val="794"/>
                <w:rFonts w:hint="eastAsia" w:ascii="仿宋" w:hAnsi="仿宋" w:eastAsia="仿宋" w:cs="仿宋"/>
                <w:b/>
                <w:bCs/>
                <w:color w:val="000000"/>
                <w:sz w:val="21"/>
                <w:szCs w:val="21"/>
                <w:lang w:val="en-US" w:eastAsia="zh-CN" w:bidi="ar"/>
              </w:rPr>
              <w:t xml:space="preserve">季度</w:t>
            </w:r>
            <w:r>
              <w:rPr>
                <w:rStyle w:val="794"/>
                <w:rFonts w:hint="eastAsia" w:ascii="仿宋" w:hAnsi="仿宋" w:eastAsia="仿宋" w:cs="仿宋"/>
                <w:b/>
                <w:bCs/>
                <w:color w:val="000000"/>
                <w:sz w:val="21"/>
                <w:szCs w:val="21"/>
                <w:lang w:bidi="ar"/>
              </w:rPr>
              <w:t xml:space="preserve">考核表</w:t>
            </w:r>
            <w:r>
              <w:rPr>
                <w:rStyle w:val="794"/>
                <w:rFonts w:hint="eastAsia" w:ascii="仿宋" w:hAnsi="仿宋" w:eastAsia="仿宋" w:cs="仿宋"/>
                <w:b/>
                <w:bCs/>
                <w:sz w:val="21"/>
                <w:szCs w:val="21"/>
              </w:rPr>
              <w:t xml:space="preserve">       </w:t>
            </w:r>
            <w:r/>
          </w:p>
        </w:tc>
      </w:tr>
      <w:tr>
        <w:trPr>
          <w:trHeight w:val="482"/>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44"/>
              <w:jc w:val="left"/>
              <w:widowControl/>
              <w:rPr>
                <w:rStyle w:val="794"/>
                <w:rFonts w:hint="eastAsia" w:ascii="仿宋" w:hAnsi="仿宋" w:eastAsia="仿宋" w:cs="仿宋"/>
                <w:color w:val="000000"/>
                <w:sz w:val="21"/>
                <w:szCs w:val="21"/>
                <w:lang w:bidi="ar"/>
              </w:rPr>
            </w:pPr>
            <w:r>
              <w:rPr>
                <w:rStyle w:val="794"/>
                <w:rFonts w:hint="eastAsia" w:ascii="仿宋" w:hAnsi="仿宋" w:eastAsia="仿宋" w:cs="仿宋"/>
                <w:color w:val="000000"/>
                <w:sz w:val="21"/>
                <w:szCs w:val="21"/>
                <w:lang w:val="en-US" w:eastAsia="zh-CN" w:bidi="ar"/>
              </w:rPr>
              <w:t xml:space="preserve">考核得分（满分100分）：</w:t>
            </w:r>
            <w:r>
              <w:rPr>
                <w:rStyle w:val="794"/>
                <w:rFonts w:hint="eastAsia" w:ascii="仿宋" w:hAnsi="仿宋" w:eastAsia="仿宋" w:cs="仿宋"/>
                <w:color w:val="000000"/>
                <w:sz w:val="21"/>
                <w:szCs w:val="21"/>
                <w:lang w:bidi="ar"/>
              </w:rPr>
              <w:t xml:space="preserve">           </w:t>
            </w:r>
            <w:r>
              <w:rPr>
                <w:rStyle w:val="794"/>
                <w:rFonts w:hint="eastAsia" w:ascii="仿宋" w:hAnsi="仿宋" w:eastAsia="仿宋" w:cs="仿宋"/>
                <w:color w:val="000000"/>
                <w:sz w:val="21"/>
                <w:szCs w:val="21"/>
                <w:lang w:val="en-US" w:eastAsia="zh-CN" w:bidi="ar"/>
              </w:rPr>
              <w:t xml:space="preserve">    </w:t>
            </w:r>
            <w:r>
              <w:rPr>
                <w:rStyle w:val="794"/>
                <w:rFonts w:hint="eastAsia" w:ascii="仿宋" w:hAnsi="仿宋" w:eastAsia="仿宋" w:cs="仿宋"/>
                <w:color w:val="000000"/>
                <w:sz w:val="21"/>
                <w:szCs w:val="21"/>
                <w:lang w:bidi="ar"/>
              </w:rPr>
              <w:t xml:space="preserve">   </w:t>
            </w:r>
            <w:r>
              <w:rPr>
                <w:rStyle w:val="794"/>
                <w:rFonts w:hint="eastAsia" w:ascii="仿宋" w:hAnsi="仿宋" w:eastAsia="仿宋" w:cs="仿宋"/>
                <w:color w:val="000000"/>
                <w:sz w:val="21"/>
                <w:szCs w:val="21"/>
                <w:lang w:val="en-US" w:eastAsia="zh-CN" w:bidi="ar"/>
              </w:rPr>
              <w:t xml:space="preserve">    </w:t>
            </w:r>
            <w:r>
              <w:rPr>
                <w:rStyle w:val="794"/>
                <w:rFonts w:hint="eastAsia" w:ascii="仿宋" w:hAnsi="仿宋" w:eastAsia="仿宋" w:cs="仿宋"/>
                <w:color w:val="000000"/>
                <w:sz w:val="21"/>
                <w:szCs w:val="21"/>
                <w:lang w:bidi="ar"/>
              </w:rPr>
              <w:t xml:space="preserve">考核时间：    </w:t>
            </w:r>
            <w:r/>
          </w:p>
        </w:tc>
      </w:tr>
      <w:tr>
        <w:trPr>
          <w:trHeight w:val="57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rPr>
            </w:pPr>
            <w:r>
              <w:rPr>
                <w:rStyle w:val="794"/>
                <w:rFonts w:hint="eastAsia" w:ascii="仿宋" w:hAnsi="仿宋" w:eastAsia="仿宋" w:cs="仿宋"/>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1297"/>
                <w:rFonts w:hint="eastAsia" w:ascii="仿宋" w:hAnsi="仿宋" w:eastAsia="仿宋" w:cs="仿宋"/>
                <w:sz w:val="21"/>
                <w:szCs w:val="21"/>
                <w:lang w:bidi="ar"/>
              </w:rPr>
              <w:t xml:space="preserve">考核</w:t>
            </w:r>
            <w:r>
              <w:rPr>
                <w:rStyle w:val="1297"/>
                <w:rFonts w:hint="eastAsia" w:ascii="仿宋" w:hAnsi="仿宋" w:eastAsia="仿宋" w:cs="仿宋"/>
                <w:sz w:val="21"/>
                <w:szCs w:val="21"/>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bidi="ar"/>
              </w:rPr>
              <w:t xml:space="preserve">考核扣分标准</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240" w:lineRule="exact"/>
              <w:widowControl/>
              <w:rPr>
                <w:rStyle w:val="794"/>
                <w:rFonts w:hint="eastAsia" w:ascii="仿宋" w:hAnsi="仿宋" w:eastAsia="仿宋" w:cs="仿宋"/>
                <w:color w:val="000000"/>
                <w:sz w:val="21"/>
                <w:szCs w:val="21"/>
                <w:lang w:val="en-US" w:eastAsia="zh-CN"/>
              </w:rPr>
            </w:pPr>
            <w:r>
              <w:rPr>
                <w:rStyle w:val="794"/>
                <w:rFonts w:hint="eastAsia" w:ascii="仿宋" w:hAnsi="仿宋" w:eastAsia="仿宋" w:cs="仿宋"/>
                <w:color w:val="000000"/>
                <w:sz w:val="21"/>
                <w:szCs w:val="21"/>
                <w:lang w:val="en-US" w:eastAsia="zh-CN"/>
              </w:rPr>
              <w:t xml:space="preserve">扣分分值</w:t>
            </w:r>
            <w:r/>
          </w:p>
        </w:tc>
      </w:tr>
      <w:tr>
        <w:trPr>
          <w:trHeight w:val="7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eastAsia="zh-CN"/>
              </w:rPr>
            </w:pPr>
            <w:r>
              <w:rPr>
                <w:rStyle w:val="794"/>
                <w:rFonts w:hint="eastAsia" w:ascii="仿宋" w:hAnsi="仿宋" w:eastAsia="仿宋" w:cs="仿宋"/>
                <w:color w:val="000000"/>
                <w:sz w:val="18"/>
                <w:szCs w:val="1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rPr>
            </w:pPr>
            <w:r>
              <w:rPr>
                <w:rStyle w:val="794"/>
                <w:rFonts w:hint="eastAsia" w:ascii="仿宋" w:hAnsi="仿宋" w:eastAsia="仿宋" w:cs="仿宋"/>
                <w:color w:val="000000"/>
                <w:sz w:val="18"/>
                <w:szCs w:val="18"/>
                <w:lang w:val="en-US" w:eastAsia="zh-CN" w:bidi="ar"/>
              </w:rPr>
              <w:t xml:space="preserve">人员数量未严格按响应文件执行，人员变动未经报备擅自变更人员。</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38"/>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不服从机关现场管理安排的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73"/>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rPr>
              <w:t xml:space="preserve">工作不负责任、卫生工作做不彻底、经批评教育不能改正的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1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坚守岗位、严格执行岗位责任制，按时交接班，脱岗/缺岗</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2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串岗、进入非工作区域的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工作期间着装整洁、言行规范，不得在办公区喧哗、闲聊</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严格遵守机关作息时间，迟到/早退的按人次扣分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发现垃圾、纸屑、烟头等杂物，或者明显污渍、水渍、污渍的；门窗、玻璃有浮尘、手印、污渍的；墙角有蜘蛛网的。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绿化带及公共盆栽周边内外保持清洁，定期处理周边枯叶及杂物</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89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保洁工具、清洁物资按指定地点分类存放，摆放整齐，标识清晰，不允许乱堆乱放</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9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清洁设备定期维护保养，故障未及时报修影响作业的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94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垃圾收集：及时清运至指定点，无跑冒滴漏、异味，垃圾桶定期清洁消毒</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94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保洁人员不得随意翻动文件、不得进入涉密区域</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6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按时完成重大会议、活动保障保洁任务，延误或未达标的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6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44"/>
              <w:jc w:val="center"/>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44"/>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相关人员有效投诉（如清洁不及时、服务态度差）</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44"/>
              <w:jc w:val="center"/>
              <w:keepLines w:val="0"/>
              <w:keepNext w:val="0"/>
              <w:pageBreakBefore w:val="0"/>
              <w:spacing w:line="400" w:lineRule="exact"/>
              <w:widowControl/>
              <w:rPr>
                <w:rStyle w:val="794"/>
                <w:rFonts w:hint="eastAsia" w:ascii="仿宋" w:hAnsi="仿宋" w:eastAsia="仿宋" w:cs="仿宋"/>
                <w:color w:val="000000"/>
                <w:sz w:val="18"/>
                <w:szCs w:val="18"/>
                <w:lang w:val="en-US" w:eastAsia="zh-CN" w:bidi="ar"/>
              </w:rPr>
            </w:pPr>
            <w:r>
              <w:rPr>
                <w:rStyle w:val="794"/>
                <w:rFonts w:hint="eastAsia" w:ascii="仿宋" w:hAnsi="仿宋" w:eastAsia="仿宋" w:cs="仿宋"/>
                <w:color w:val="000000"/>
                <w:sz w:val="18"/>
                <w:szCs w:val="18"/>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44"/>
              <w:jc w:val="center"/>
              <w:keepLines w:val="0"/>
              <w:keepNext w:val="0"/>
              <w:pageBreakBefore w:val="0"/>
              <w:spacing w:line="400" w:lineRule="exact"/>
              <w:rPr>
                <w:rStyle w:val="794"/>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70"/>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结果应用</w:t>
            </w:r>
            <w:r/>
          </w:p>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（1）考核成绩在90分以上（不含90分）全额支付费用；</w:t>
            </w:r>
            <w:r/>
          </w:p>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（2）考核成绩在90—80分（含90分）之间的，支付费用标准的95%；</w:t>
            </w:r>
            <w:r/>
          </w:p>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（3）考核成绩在80—70分（含80分）之间的，支付费用标准的90%；</w:t>
            </w:r>
            <w:r/>
          </w:p>
          <w:p>
            <w:pPr>
              <w:pStyle w:val="1144"/>
              <w:jc w:val="left"/>
              <w:keepLines w:val="0"/>
              <w:keepNext w:val="0"/>
              <w:pageBreakBefore w:val="0"/>
              <w:spacing w:line="400" w:lineRule="exact"/>
              <w:rPr>
                <w:rStyle w:val="794"/>
                <w:rFonts w:hint="eastAsia" w:ascii="仿宋" w:hAnsi="仿宋" w:eastAsia="仿宋" w:cs="仿宋"/>
                <w:color w:val="000000"/>
                <w:sz w:val="18"/>
                <w:szCs w:val="18"/>
                <w:lang w:val="en-US" w:eastAsia="zh-CN"/>
              </w:rPr>
            </w:pPr>
            <w:r>
              <w:rPr>
                <w:rStyle w:val="794"/>
                <w:rFonts w:hint="eastAsia" w:ascii="仿宋" w:hAnsi="仿宋" w:eastAsia="仿宋" w:cs="仿宋"/>
                <w:color w:val="000000"/>
                <w:sz w:val="18"/>
                <w:szCs w:val="18"/>
                <w:lang w:val="en-US" w:eastAsia="zh-CN"/>
              </w:rPr>
              <w:t xml:space="preserve">（4）考核成绩在70分及以下的，支付费用标准的85%；</w:t>
            </w:r>
            <w:r/>
          </w:p>
          <w:p>
            <w:pPr>
              <w:pStyle w:val="1144"/>
              <w:jc w:val="left"/>
              <w:keepLines w:val="0"/>
              <w:keepNext w:val="0"/>
              <w:pageBreakBefore w:val="0"/>
              <w:spacing w:line="400" w:lineRule="exact"/>
              <w:rPr>
                <w:rStyle w:val="794"/>
                <w:rFonts w:hint="eastAsia" w:ascii="仿宋" w:hAnsi="仿宋" w:eastAsia="仿宋" w:cs="仿宋"/>
                <w:color w:val="000000"/>
                <w:sz w:val="24"/>
                <w:szCs w:val="24"/>
                <w:lang w:val="en-US" w:eastAsia="zh-CN"/>
              </w:rPr>
            </w:pPr>
            <w:r>
              <w:rPr>
                <w:rStyle w:val="794"/>
                <w:rFonts w:hint="eastAsia" w:ascii="仿宋" w:hAnsi="仿宋" w:eastAsia="仿宋" w:cs="仿宋"/>
                <w:color w:val="000000"/>
                <w:sz w:val="18"/>
                <w:szCs w:val="18"/>
                <w:lang w:val="en-US" w:eastAsia="zh-CN"/>
              </w:rPr>
              <w:t xml:space="preserve">注：1.考核成绩在60分以下的，甲方有权单方面解除合同，并停止支付剩余款项，乙方不得追究。2.服务外包项目考核单项扣分不超过10分。</w:t>
            </w:r>
            <w:r/>
          </w:p>
        </w:tc>
      </w:tr>
    </w:tbl>
    <w:p>
      <w:pPr>
        <w:pStyle w:val="832"/>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832"/>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六、其他要求</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1.中标单位人员的住宿、就餐、保险、治安等问题由供应商自行解决，与采购方无任何关系。</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2.日常保洁所需的设备、工具、清洁剂、卫生丸、地蜡、消杀药水等清洁用品费用由物业公司承担。</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3.中标单位人员必须统一着装挂牌上岗，服从采购方日常临时工作安排。</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4.如因工作失误而造成采购方经济损失或工作被动，由中标单位负责赔偿经济损失。不可抗力的因素除外。</w:t>
      </w:r>
      <w:r/>
    </w:p>
    <w:p>
      <w:pPr>
        <w:pStyle w:val="806"/>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5.中标单位必须接受采购方卫生保洁质量、服务态度、安全等监督。</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6.本项目由中标方进行总承包，不得转包，一旦发现转包，采购方有权终止承包合同。</w:t>
      </w:r>
      <w:r/>
    </w:p>
    <w:p>
      <w:pPr>
        <w:pStyle w:val="809"/>
        <w:ind w:left="410" w:hanging="41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sz w:val="24"/>
          <w:lang w:val="en-US" w:eastAsia="zh-CN"/>
        </w:rPr>
        <w:t xml:space="preserve">七、</w:t>
      </w:r>
      <w:r>
        <w:rPr>
          <w:rFonts w:hint="eastAsia" w:ascii="仿宋" w:hAnsi="仿宋" w:eastAsia="仿宋" w:cs="仿宋"/>
          <w:b/>
          <w:caps w:val="0"/>
          <w:color w:val="auto"/>
          <w:sz w:val="24"/>
          <w:szCs w:val="24"/>
        </w:rPr>
        <w:t xml:space="preserve">履约保证金</w:t>
      </w:r>
      <w:r/>
    </w:p>
    <w:p>
      <w:pPr>
        <w:pStyle w:val="809"/>
        <w:ind w:left="479" w:firstLine="72"/>
        <w:spacing w:before="120" w:after="120" w:line="360" w:lineRule="auto"/>
        <w:rPr>
          <w:rFonts w:hint="eastAsia" w:ascii="仿宋" w:hAnsi="仿宋" w:eastAsia="仿宋" w:cs="仿宋"/>
          <w:color w:val="000000"/>
          <w:sz w:val="24"/>
        </w:rPr>
      </w:pPr>
      <w:r>
        <w:rPr>
          <w:rFonts w:hint="eastAsia" w:ascii="仿宋" w:hAnsi="仿宋" w:eastAsia="仿宋" w:cs="仿宋"/>
          <w:b/>
          <w:caps w:val="0"/>
          <w:color w:val="auto"/>
          <w:sz w:val="24"/>
          <w:szCs w:val="24"/>
          <w:lang w:val="en-US" w:eastAsia="zh-CN"/>
        </w:rPr>
        <w:t xml:space="preserve">1</w:t>
      </w:r>
      <w:r>
        <w:rPr>
          <w:rFonts w:hint="eastAsia" w:ascii="仿宋" w:hAnsi="仿宋" w:eastAsia="仿宋" w:cs="仿宋"/>
          <w:color w:val="000000"/>
          <w:sz w:val="24"/>
        </w:rPr>
        <w:t xml:space="preserve">本项目收取履约保证金。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1.1</w:t>
      </w:r>
      <w:r>
        <w:rPr>
          <w:rFonts w:hint="eastAsia" w:ascii="仿宋" w:hAnsi="仿宋" w:eastAsia="仿宋" w:cs="仿宋"/>
          <w:color w:val="000000"/>
          <w:sz w:val="24"/>
        </w:rPr>
        <w:t xml:space="preserve">履约保证金提交形式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履约保证金应在采购合同签订前提交，除银行电汇、网上银行、数字人民币外，</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还可选用银行保函、担保公司的保证担保或保险公司的保证保险等多种形式向采购人缴纳。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履约保证金提交金额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5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支持和鼓励</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使用江苏政府采购电子履约保函（保险）代替缴纳履约保证金，</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3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（履约保证金原提交金额的6折）提交。办理流程、偿付等内容见江苏政府采购网“保险保函”模块。</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1.3</w:t>
      </w:r>
      <w:r>
        <w:rPr>
          <w:rFonts w:hint="eastAsia" w:ascii="仿宋" w:hAnsi="仿宋" w:eastAsia="仿宋" w:cs="仿宋"/>
          <w:color w:val="000000"/>
          <w:sz w:val="24"/>
        </w:rPr>
        <w:t xml:space="preserve">履约保证金退还方式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以银行电汇、网上银行、数字人民币形式缴纳履约保证金的，退回至</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1.4</w:t>
      </w:r>
      <w:r>
        <w:rPr>
          <w:rFonts w:hint="eastAsia" w:ascii="仿宋" w:hAnsi="仿宋" w:eastAsia="仿宋" w:cs="仿宋"/>
          <w:color w:val="000000"/>
          <w:sz w:val="24"/>
        </w:rPr>
        <w:t xml:space="preserve">履约保证金退还条件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具有验收合格相关证明材料。</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1.5</w:t>
      </w:r>
      <w:r>
        <w:rPr>
          <w:rFonts w:hint="eastAsia" w:ascii="仿宋" w:hAnsi="仿宋" w:eastAsia="仿宋" w:cs="仿宋"/>
          <w:color w:val="000000"/>
          <w:sz w:val="24"/>
        </w:rPr>
        <w:t xml:space="preserve">履约保证金退还时间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采购人收到</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退付申请后5个工作日内退还。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1.6</w:t>
      </w:r>
      <w:r>
        <w:rPr>
          <w:rFonts w:hint="eastAsia" w:ascii="仿宋" w:hAnsi="仿宋" w:eastAsia="仿宋" w:cs="仿宋"/>
          <w:color w:val="000000"/>
          <w:sz w:val="24"/>
        </w:rPr>
        <w:t xml:space="preserve">履约保证金不予退还情形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1.7</w:t>
      </w:r>
      <w:r>
        <w:rPr>
          <w:rFonts w:hint="eastAsia" w:ascii="仿宋" w:hAnsi="仿宋" w:eastAsia="仿宋" w:cs="仿宋"/>
          <w:color w:val="000000"/>
          <w:sz w:val="24"/>
        </w:rPr>
        <w:t xml:space="preserve">逾期退还履约保证金违约责任</w:t>
      </w:r>
      <w:r/>
    </w:p>
    <w:p>
      <w:pPr>
        <w:ind w:firstLine="480"/>
        <w:spacing w:line="480" w:lineRule="exact"/>
        <w:rPr>
          <w:rFonts w:hint="eastAsia" w:ascii="仿宋" w:hAnsi="仿宋" w:eastAsia="仿宋" w:cs="仿宋"/>
          <w:b/>
          <w:sz w:val="24"/>
          <w:lang w:val="en-US" w:eastAsia="zh-CN"/>
        </w:rPr>
      </w:pPr>
      <w:r>
        <w:rPr>
          <w:rFonts w:hint="eastAsia" w:ascii="仿宋" w:hAnsi="仿宋" w:eastAsia="仿宋" w:cs="仿宋"/>
          <w:color w:val="000000"/>
          <w:sz w:val="24"/>
        </w:rPr>
        <w:t xml:space="preserve">采购人逾期退还履约保证金的，除应退还履约保证金外，还应按中国人民银行同期贷款基准利率上浮20％后的利率支付超期资金占用费，但因</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自身原因导致无法及时退还的除外。</w:t>
      </w:r>
      <w:r/>
    </w:p>
    <w:p>
      <w:pPr>
        <w:pStyle w:val="832"/>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八、违约条款</w:t>
      </w:r>
      <w:r/>
    </w:p>
    <w:p>
      <w:pPr>
        <w:pStyle w:val="1311"/>
        <w:ind w:firstLine="540"/>
        <w:spacing w:line="360" w:lineRule="auto"/>
        <w:rPr>
          <w:rStyle w:val="794"/>
          <w:rFonts w:hint="eastAsia" w:ascii="仿宋" w:hAnsi="仿宋" w:eastAsia="仿宋" w:cs="仿宋"/>
          <w:b w:val="0"/>
          <w:bCs w:val="0"/>
          <w:sz w:val="24"/>
          <w:szCs w:val="24"/>
          <w:lang w:val="en-US" w:eastAsia="zh-CN"/>
        </w:rPr>
      </w:pPr>
      <w:r>
        <w:rPr>
          <w:rStyle w:val="794"/>
          <w:rFonts w:hint="eastAsia" w:ascii="仿宋" w:hAnsi="仿宋" w:eastAsia="仿宋" w:cs="仿宋"/>
          <w:b w:val="0"/>
          <w:bCs w:val="0"/>
          <w:sz w:val="24"/>
          <w:szCs w:val="24"/>
          <w:lang w:val="en-US" w:eastAsia="zh-CN"/>
        </w:rPr>
        <w:t xml:space="preserve">1、乙方不按期完成合同约定的内容，应向甲方支付违约金，除甲方或不可抗力造成原因外，每延迟交付一天，按合同总价款的 0.5%支付违约金，违约金可直接从合同款中扣除; 延期超过 3 日，甲方有权强制解除合同。 </w:t>
      </w:r>
      <w:r/>
    </w:p>
    <w:p>
      <w:pPr>
        <w:pStyle w:val="1311"/>
        <w:ind w:firstLine="540"/>
        <w:spacing w:line="360" w:lineRule="auto"/>
        <w:rPr>
          <w:rStyle w:val="794"/>
          <w:rFonts w:hint="eastAsia" w:ascii="仿宋" w:hAnsi="仿宋" w:eastAsia="仿宋" w:cs="仿宋"/>
          <w:b w:val="0"/>
          <w:bCs w:val="0"/>
          <w:sz w:val="24"/>
          <w:szCs w:val="24"/>
          <w:lang w:val="en-US" w:eastAsia="zh-CN"/>
        </w:rPr>
      </w:pPr>
      <w:r>
        <w:rPr>
          <w:rStyle w:val="794"/>
          <w:rFonts w:hint="eastAsia" w:ascii="仿宋" w:hAnsi="仿宋" w:eastAsia="仿宋" w:cs="仿宋"/>
          <w:b w:val="0"/>
          <w:bCs w:val="0"/>
          <w:sz w:val="24"/>
          <w:szCs w:val="24"/>
          <w:lang w:val="en-US" w:eastAsia="zh-CN"/>
        </w:rPr>
        <w:t xml:space="preserve">2、非因甲方原因，乙方不履行本合同规定的义务，致使工期延误，甲方有权要求其强制履行或解除合同，并要求乙方等额赔偿由此造成的一切损失。 </w:t>
      </w:r>
      <w:r/>
    </w:p>
    <w:p>
      <w:pPr>
        <w:pStyle w:val="1311"/>
        <w:ind w:firstLine="540"/>
        <w:spacing w:line="360" w:lineRule="auto"/>
        <w:rPr>
          <w:rStyle w:val="794"/>
          <w:rFonts w:hint="eastAsia" w:ascii="仿宋" w:hAnsi="仿宋" w:eastAsia="仿宋" w:cs="仿宋"/>
          <w:b w:val="0"/>
          <w:bCs w:val="0"/>
          <w:sz w:val="24"/>
          <w:szCs w:val="24"/>
          <w:lang w:val="en-US" w:eastAsia="zh-CN"/>
        </w:rPr>
      </w:pPr>
      <w:r>
        <w:rPr>
          <w:rStyle w:val="794"/>
          <w:rFonts w:hint="eastAsia" w:ascii="仿宋" w:hAnsi="仿宋" w:eastAsia="仿宋" w:cs="仿宋"/>
          <w:b w:val="0"/>
          <w:bCs w:val="0"/>
          <w:sz w:val="24"/>
          <w:szCs w:val="24"/>
          <w:lang w:val="en-US" w:eastAsia="zh-CN"/>
        </w:rPr>
        <w:t xml:space="preserve">3、本项目不得转让分包，如有发生，无条件清理退场，所造成的一切损失由乙方负责。 </w:t>
      </w:r>
      <w:r/>
    </w:p>
    <w:p>
      <w:pPr>
        <w:pStyle w:val="1311"/>
        <w:ind w:firstLine="540"/>
        <w:spacing w:line="360" w:lineRule="auto"/>
        <w:rPr>
          <w:rFonts w:hint="eastAsia" w:ascii="仿宋" w:hAnsi="仿宋" w:eastAsia="仿宋" w:cs="仿宋"/>
          <w:lang w:eastAsia="zh-CN"/>
        </w:rPr>
      </w:pPr>
      <w:r>
        <w:rPr>
          <w:rStyle w:val="794"/>
          <w:rFonts w:hint="eastAsia" w:ascii="仿宋" w:hAnsi="仿宋" w:eastAsia="仿宋" w:cs="仿宋"/>
          <w:b w:val="0"/>
          <w:bCs w:val="0"/>
          <w:sz w:val="24"/>
          <w:szCs w:val="24"/>
          <w:lang w:val="en-US" w:eastAsia="zh-CN"/>
        </w:rPr>
        <w:t xml:space="preserve">4、甲方未按照约定期限付款的，除向供应商支付货款外，须按照中国人民银行同期同类贷款基本利率支付逾期利息。</w:t>
      </w:r>
      <w:r>
        <w:rPr>
          <w:rStyle w:val="794"/>
          <w:rFonts w:hint="eastAsia" w:ascii="仿宋" w:hAnsi="仿宋" w:eastAsia="仿宋" w:cs="仿宋"/>
          <w:b/>
          <w:bCs/>
          <w:sz w:val="24"/>
          <w:szCs w:val="24"/>
          <w:lang w:val="en-US" w:eastAsia="zh-CN"/>
        </w:rPr>
        <w:t xml:space="preserve"> </w:t>
      </w:r>
      <w:r/>
    </w:p>
    <w:p>
      <w:pPr>
        <w:pStyle w:val="832"/>
        <w:ind w:firstLine="480"/>
        <w:jc w:val="both"/>
        <w:keepLines w:val="0"/>
        <w:keepNext w:val="0"/>
        <w:pageBreakBefore w:val="0"/>
        <w:spacing w:line="580" w:lineRule="exact"/>
        <w:rPr>
          <w:rStyle w:val="794"/>
          <w:rFonts w:hint="eastAsia" w:ascii="仿宋" w:hAnsi="仿宋" w:eastAsia="仿宋" w:cs="仿宋"/>
          <w:b w:val="0"/>
          <w:bCs w:val="0"/>
          <w:sz w:val="24"/>
          <w:szCs w:val="24"/>
          <w:lang w:val="en-US" w:eastAsia="zh-CN" w:bidi="ar-SA"/>
        </w:rPr>
      </w:pPr>
      <w:r>
        <w:rPr>
          <w:rStyle w:val="794"/>
          <w:rFonts w:hint="eastAsia" w:ascii="仿宋" w:hAnsi="仿宋" w:eastAsia="仿宋" w:cs="仿宋"/>
          <w:b w:val="0"/>
          <w:bCs w:val="0"/>
          <w:sz w:val="24"/>
          <w:szCs w:val="24"/>
          <w:lang w:val="en-US" w:eastAsia="zh-CN"/>
        </w:rPr>
        <w:t xml:space="preserve">5、</w:t>
      </w:r>
      <w:r>
        <w:rPr>
          <w:rStyle w:val="794"/>
          <w:rFonts w:hint="eastAsia" w:ascii="仿宋" w:hAnsi="仿宋" w:eastAsia="仿宋" w:cs="仿宋"/>
          <w:b w:val="0"/>
          <w:bCs w:val="0"/>
          <w:sz w:val="24"/>
          <w:szCs w:val="24"/>
          <w:lang w:val="en-US" w:eastAsia="zh-CN" w:bidi="ar-SA"/>
        </w:rPr>
        <w:t xml:space="preserve">乙方在服务期间（合同履行过程中），需要对拟派人员人身安全的全过程全面负责。乙方所用人员所发生的一切用人的劳动纠纷、人身伤亡、事故（包括因工和非因工）均由乙方负责，甲方不承担任何相关责任。</w:t>
      </w:r>
      <w:r/>
    </w:p>
    <w:p>
      <w:pPr>
        <w:pStyle w:val="832"/>
        <w:ind w:firstLine="480"/>
        <w:jc w:val="both"/>
        <w:keepLines w:val="0"/>
        <w:keepNext w:val="0"/>
        <w:pageBreakBefore w:val="0"/>
        <w:spacing w:line="580" w:lineRule="exact"/>
        <w:rPr>
          <w:rStyle w:val="794"/>
          <w:rFonts w:hint="eastAsia" w:ascii="仿宋" w:hAnsi="仿宋" w:eastAsia="仿宋" w:cs="仿宋"/>
          <w:b w:val="0"/>
          <w:bCs w:val="0"/>
          <w:sz w:val="24"/>
          <w:szCs w:val="24"/>
          <w:lang w:val="en-US" w:eastAsia="zh-CN" w:bidi="ar-SA"/>
        </w:rPr>
      </w:pPr>
      <w:r>
        <w:rPr>
          <w:rStyle w:val="794"/>
          <w:rFonts w:hint="eastAsia" w:ascii="仿宋" w:hAnsi="仿宋" w:eastAsia="仿宋" w:cs="仿宋"/>
          <w:b w:val="0"/>
          <w:bCs w:val="0"/>
          <w:sz w:val="24"/>
          <w:szCs w:val="24"/>
          <w:lang w:val="en-US" w:eastAsia="zh-CN" w:bidi="ar-SA"/>
        </w:rPr>
        <w:t xml:space="preserve">6、在服务期间，乙方拟派的服务人员不符合磋商文件及本合同规定的服务内容及要求的，甲方有权要求乙方更换人员。</w:t>
      </w:r>
      <w:r/>
    </w:p>
    <w:p>
      <w:pPr>
        <w:pStyle w:val="832"/>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九、知识产权</w:t>
      </w:r>
      <w:r/>
    </w:p>
    <w:p>
      <w:pPr>
        <w:pStyle w:val="1279"/>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832"/>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十、合同生效及审核</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本合同经甲方、乙方签字盖章后生效，政府采购科审核盖章后实施，合同签订的内容不能超出</w:t>
      </w:r>
      <w:r>
        <w:rPr>
          <w:rFonts w:hint="eastAsia" w:ascii="仿宋" w:hAnsi="仿宋" w:eastAsia="仿宋" w:cs="仿宋"/>
          <w:sz w:val="24"/>
          <w:lang w:eastAsia="zh-CN"/>
        </w:rPr>
        <w:t xml:space="preserve">磋商文件</w:t>
      </w:r>
      <w:r>
        <w:rPr>
          <w:rFonts w:hint="eastAsia" w:ascii="仿宋" w:hAnsi="仿宋" w:eastAsia="仿宋" w:cs="仿宋"/>
          <w:sz w:val="24"/>
        </w:rPr>
        <w:t xml:space="preserve">和</w:t>
      </w:r>
      <w:r>
        <w:rPr>
          <w:rFonts w:hint="eastAsia" w:ascii="仿宋" w:hAnsi="仿宋" w:eastAsia="仿宋" w:cs="仿宋"/>
          <w:sz w:val="24"/>
          <w:lang w:val="en-US" w:eastAsia="zh-CN"/>
        </w:rPr>
        <w:t xml:space="preserve">响应</w:t>
      </w:r>
      <w:r>
        <w:rPr>
          <w:rFonts w:hint="eastAsia" w:ascii="仿宋" w:hAnsi="仿宋" w:eastAsia="仿宋" w:cs="仿宋"/>
          <w:sz w:val="24"/>
        </w:rPr>
        <w:t xml:space="preserve">文件的实质性内容。</w:t>
      </w:r>
      <w:r/>
    </w:p>
    <w:p>
      <w:pPr>
        <w:pStyle w:val="832"/>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十一、合同的组成部分</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本合同条款、中标通知书、招标（谈判）文件、投（竞）标文件及投（竞）标人在开标时的书面承诺等构成合同的组成部分。 </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（一）</w:t>
      </w:r>
      <w:r>
        <w:rPr>
          <w:rFonts w:hint="eastAsia" w:ascii="仿宋" w:hAnsi="仿宋" w:eastAsia="仿宋" w:cs="仿宋"/>
          <w:sz w:val="24"/>
        </w:rPr>
        <w:t xml:space="preserve">、本合同一式</w:t>
      </w:r>
      <w:r>
        <w:rPr>
          <w:rFonts w:hint="eastAsia" w:ascii="仿宋" w:hAnsi="仿宋" w:eastAsia="仿宋" w:cs="仿宋"/>
          <w:sz w:val="24"/>
          <w:lang w:val="en-US" w:eastAsia="zh-CN"/>
        </w:rPr>
        <w:t xml:space="preserve">六</w:t>
      </w:r>
      <w:r>
        <w:rPr>
          <w:rFonts w:hint="eastAsia" w:ascii="仿宋" w:hAnsi="仿宋" w:eastAsia="仿宋" w:cs="仿宋"/>
          <w:sz w:val="24"/>
        </w:rPr>
        <w:t xml:space="preserve">份，以中文书写，甲方、乙方</w:t>
      </w:r>
      <w:r>
        <w:rPr>
          <w:rFonts w:hint="eastAsia" w:ascii="仿宋" w:hAnsi="仿宋" w:eastAsia="仿宋" w:cs="仿宋"/>
          <w:sz w:val="24"/>
          <w:lang w:eastAsia="zh-CN"/>
        </w:rPr>
        <w:t xml:space="preserve">、</w:t>
      </w:r>
      <w:r>
        <w:rPr>
          <w:rFonts w:hint="eastAsia" w:ascii="仿宋" w:hAnsi="仿宋" w:eastAsia="仿宋" w:cs="仿宋"/>
          <w:sz w:val="24"/>
        </w:rPr>
        <w:t xml:space="preserve">代理机构各</w:t>
      </w:r>
      <w:r>
        <w:rPr>
          <w:rFonts w:hint="eastAsia" w:ascii="仿宋" w:hAnsi="仿宋" w:eastAsia="仿宋" w:cs="仿宋"/>
          <w:sz w:val="24"/>
          <w:lang w:val="en-US" w:eastAsia="zh-CN"/>
        </w:rPr>
        <w:t xml:space="preserve">两</w:t>
      </w:r>
      <w:r>
        <w:rPr>
          <w:rFonts w:hint="eastAsia" w:ascii="仿宋" w:hAnsi="仿宋" w:eastAsia="仿宋" w:cs="仿宋"/>
          <w:sz w:val="24"/>
        </w:rPr>
        <w:t xml:space="preserve">份。</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二</w:t>
      </w:r>
      <w:r>
        <w:rPr>
          <w:rFonts w:hint="eastAsia" w:ascii="仿宋" w:hAnsi="仿宋" w:eastAsia="仿宋" w:cs="仿宋"/>
          <w:sz w:val="24"/>
          <w:lang w:eastAsia="zh-CN"/>
        </w:rPr>
        <w:t xml:space="preserve">）</w:t>
      </w:r>
      <w:r>
        <w:rPr>
          <w:rFonts w:hint="eastAsia" w:ascii="仿宋" w:hAnsi="仿宋" w:eastAsia="仿宋" w:cs="仿宋"/>
          <w:b/>
          <w:sz w:val="24"/>
        </w:rPr>
        <w:t xml:space="preserve">、</w:t>
      </w:r>
      <w:r>
        <w:rPr>
          <w:rFonts w:hint="eastAsia" w:ascii="仿宋" w:hAnsi="仿宋" w:eastAsia="仿宋" w:cs="仿宋"/>
          <w:sz w:val="24"/>
        </w:rPr>
        <w:t xml:space="preserve">本合同一切未尽事宜，按</w:t>
      </w:r>
      <w:r>
        <w:rPr>
          <w:rFonts w:hint="eastAsia" w:ascii="仿宋" w:hAnsi="仿宋" w:eastAsia="仿宋" w:cs="仿宋"/>
          <w:sz w:val="24"/>
          <w:lang w:eastAsia="zh-CN"/>
        </w:rPr>
        <w:t xml:space="preserve">《中华人民共和国民法典》</w:t>
      </w:r>
      <w:r>
        <w:rPr>
          <w:rFonts w:hint="eastAsia" w:ascii="仿宋" w:hAnsi="仿宋" w:eastAsia="仿宋" w:cs="仿宋"/>
          <w:sz w:val="24"/>
        </w:rPr>
        <w:t xml:space="preserve">有关规定执行，无相关规定的，由甲乙双方协商解决。</w:t>
      </w:r>
      <w:r/>
    </w:p>
    <w:p>
      <w:pPr>
        <w:pStyle w:val="832"/>
        <w:ind w:firstLine="1982"/>
        <w:spacing w:line="480" w:lineRule="exact"/>
        <w:rPr>
          <w:rFonts w:hint="eastAsia" w:ascii="仿宋" w:hAnsi="仿宋" w:eastAsia="仿宋" w:cs="仿宋"/>
          <w:sz w:val="24"/>
        </w:rPr>
      </w:pPr>
      <w:r>
        <w:rPr>
          <w:rFonts w:hint="eastAsia" w:ascii="仿宋" w:hAnsi="仿宋" w:eastAsia="仿宋" w:cs="仿宋"/>
          <w:sz w:val="24"/>
        </w:rPr>
      </w:r>
      <w:r/>
    </w:p>
    <w:p>
      <w:pPr>
        <w:pStyle w:val="832"/>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2654"/>
        <w:spacing w:line="480" w:lineRule="exact"/>
        <w:rPr>
          <w:rFonts w:hint="eastAsia" w:ascii="仿宋" w:hAnsi="仿宋" w:eastAsia="仿宋" w:cs="仿宋"/>
          <w:b/>
          <w:sz w:val="32"/>
        </w:rPr>
      </w:pPr>
      <w:r>
        <w:rPr>
          <w:rFonts w:hint="eastAsia" w:ascii="仿宋" w:hAnsi="仿宋" w:eastAsia="仿宋" w:cs="仿宋"/>
          <w:b/>
          <w:sz w:val="32"/>
        </w:rPr>
      </w:r>
      <w:r/>
    </w:p>
    <w:p>
      <w:pPr>
        <w:pStyle w:val="832"/>
        <w:ind w:firstLine="3296"/>
        <w:spacing w:line="480" w:lineRule="exact"/>
        <w:rPr>
          <w:rFonts w:hint="eastAsia" w:ascii="仿宋" w:hAnsi="仿宋" w:eastAsia="仿宋" w:cs="仿宋"/>
          <w:b/>
          <w:sz w:val="32"/>
        </w:rPr>
      </w:pPr>
      <w:r>
        <w:rPr>
          <w:rFonts w:hint="eastAsia" w:ascii="仿宋" w:hAnsi="仿宋" w:eastAsia="仿宋" w:cs="仿宋"/>
          <w:b/>
          <w:sz w:val="32"/>
        </w:rPr>
        <w:t xml:space="preserve">通用条款</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二</w:t>
      </w:r>
      <w:r>
        <w:rPr>
          <w:rFonts w:hint="eastAsia" w:ascii="仿宋" w:hAnsi="仿宋" w:eastAsia="仿宋" w:cs="仿宋"/>
          <w:b/>
          <w:sz w:val="24"/>
        </w:rPr>
        <w:t xml:space="preserve">、词语涵义</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（一）合同：甲乙双方签署的、合同格式中载明的甲方与乙方所达成的协议，包括所有的附件、附录和构成合同的所有文件。</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（二）合同价：根据合同规定，乙方在正确地完全履行合同义务后甲方应支付给乙方的价格。</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（三）货物：乙方根据合同规定须向甲方提供的一切产品、机械、仪表、备件、工具、手册和其他技术资料及其他材料。</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（四）服务：根据合同规定乙方承担与供货有关的辅助服务，如运输、保险以及其它的伴随服务，比如安装、调试、提供技术援助、培训和其他类似的乙方应承担的义务。</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（五）甲方：采购单位，即</w:t>
      </w:r>
      <w:r>
        <w:rPr>
          <w:rFonts w:hint="eastAsia" w:ascii="仿宋" w:hAnsi="仿宋" w:eastAsia="仿宋" w:cs="仿宋"/>
          <w:sz w:val="24"/>
          <w:u w:val="single"/>
          <w:lang w:eastAsia="zh-CN"/>
        </w:rPr>
        <w:t xml:space="preserve">泗洪县信访局</w:t>
      </w:r>
      <w:r>
        <w:rPr>
          <w:rFonts w:hint="eastAsia" w:ascii="仿宋" w:hAnsi="仿宋" w:eastAsia="仿宋" w:cs="仿宋"/>
          <w:sz w:val="24"/>
        </w:rPr>
        <w:t xml:space="preserve">。</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（六）乙方：提供货物和服务的公司或实体，即</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（七）不可抗力：指</w:t>
      </w:r>
      <w:r>
        <w:rPr>
          <w:rFonts w:hint="eastAsia" w:ascii="仿宋" w:hAnsi="仿宋" w:eastAsia="仿宋" w:cs="仿宋"/>
          <w:color w:val="000000"/>
          <w:spacing w:val="8"/>
          <w:sz w:val="24"/>
        </w:rPr>
        <w:t xml:space="preserve">不能预见、不能避免和不能克服的客观情况，</w:t>
      </w:r>
      <w:r>
        <w:rPr>
          <w:rFonts w:hint="eastAsia" w:ascii="仿宋" w:hAnsi="仿宋" w:eastAsia="仿宋" w:cs="仿宋"/>
          <w:sz w:val="24"/>
        </w:rPr>
        <w:t xml:space="preserve">如战争、动乱、空中飞行物体坠落或其它非甲乙方责任造成的爆炸、火灾，以及协议条款约定等级以上的风、雨、雪、地震等。</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三</w:t>
      </w:r>
      <w:r>
        <w:rPr>
          <w:rFonts w:hint="eastAsia" w:ascii="仿宋" w:hAnsi="仿宋" w:eastAsia="仿宋" w:cs="仿宋"/>
          <w:b/>
          <w:sz w:val="24"/>
        </w:rPr>
        <w:t xml:space="preserve">、专利权</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乙方应保证甲方在使用该货物或其任何一部分时不受第三方提出侵犯其专利权、商标权和工业设计权的起诉。一旦出现专利侵权，乙方应负全部责任。</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十四</w:t>
      </w:r>
      <w:r>
        <w:rPr>
          <w:rFonts w:hint="eastAsia" w:ascii="仿宋" w:hAnsi="仿宋" w:eastAsia="仿宋" w:cs="仿宋"/>
          <w:b/>
          <w:sz w:val="24"/>
        </w:rPr>
        <w:t xml:space="preserve">、误期赔偿</w:t>
      </w:r>
      <w:r/>
    </w:p>
    <w:p>
      <w:pPr>
        <w:pStyle w:val="832"/>
        <w:ind w:firstLine="477"/>
        <w:spacing w:line="480" w:lineRule="exact"/>
        <w:rPr>
          <w:rFonts w:hint="eastAsia" w:ascii="仿宋" w:hAnsi="仿宋" w:eastAsia="仿宋" w:cs="仿宋"/>
          <w:sz w:val="24"/>
        </w:rPr>
      </w:pPr>
      <w:r>
        <w:rPr>
          <w:rFonts w:hint="eastAsia" w:ascii="仿宋" w:hAnsi="仿宋" w:eastAsia="仿宋" w:cs="仿宋"/>
          <w:sz w:val="24"/>
        </w:rPr>
        <w:t xml:space="preserve">除合同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832"/>
        <w:ind w:firstLine="479"/>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、不可抗力</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、税费</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中国政府根据现行税法规定对甲方征收的与本合同有关的一切税费由甲方负担；规定对乙方征收的与本合同有关的一切税费由乙方负担。</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七</w:t>
      </w:r>
      <w:r>
        <w:rPr>
          <w:rFonts w:hint="eastAsia" w:ascii="仿宋" w:hAnsi="仿宋" w:eastAsia="仿宋" w:cs="仿宋"/>
          <w:b/>
          <w:sz w:val="24"/>
        </w:rPr>
        <w:t xml:space="preserve">、合同争议</w:t>
      </w:r>
      <w:r/>
    </w:p>
    <w:p>
      <w:pPr>
        <w:pStyle w:val="832"/>
        <w:ind w:firstLine="480"/>
        <w:spacing w:line="480" w:lineRule="exact"/>
        <w:rPr>
          <w:rFonts w:hint="eastAsia" w:ascii="仿宋" w:hAnsi="仿宋" w:eastAsia="仿宋" w:cs="仿宋"/>
          <w:b/>
          <w:sz w:val="24"/>
        </w:rPr>
      </w:pPr>
      <w:r>
        <w:rPr>
          <w:rFonts w:hint="eastAsia" w:ascii="仿宋" w:hAnsi="仿宋" w:eastAsia="仿宋" w:cs="仿宋"/>
          <w:color w:val="000000"/>
          <w:sz w:val="24"/>
        </w:rPr>
        <w:t xml:space="preserve">甲乙双方应通过友好协商，解决在执行本合同中所发生的或与本合同有关的一切争议。如果协商仍得不到解决，任何一方均可按“中华人民共和国</w:t>
      </w:r>
      <w:r>
        <w:rPr>
          <w:rFonts w:hint="eastAsia" w:ascii="仿宋" w:hAnsi="仿宋" w:eastAsia="仿宋" w:cs="仿宋"/>
          <w:color w:val="000000"/>
          <w:sz w:val="24"/>
          <w:lang w:eastAsia="zh-CN"/>
        </w:rPr>
        <w:t xml:space="preserve">《中华人民共和国民法典》</w:t>
      </w:r>
      <w:r>
        <w:rPr>
          <w:rFonts w:hint="eastAsia" w:ascii="仿宋" w:hAnsi="仿宋" w:eastAsia="仿宋" w:cs="仿宋"/>
          <w:color w:val="000000"/>
          <w:sz w:val="24"/>
        </w:rPr>
        <w:t xml:space="preserve">”规定提交调解和仲裁。</w:t>
      </w:r>
      <w:r/>
    </w:p>
    <w:p>
      <w:pPr>
        <w:pStyle w:val="832"/>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十八</w:t>
      </w:r>
      <w:r>
        <w:rPr>
          <w:rFonts w:hint="eastAsia" w:ascii="仿宋" w:hAnsi="仿宋" w:eastAsia="仿宋" w:cs="仿宋"/>
          <w:b/>
          <w:sz w:val="24"/>
        </w:rPr>
        <w:t xml:space="preserve">、适用法律</w:t>
      </w:r>
      <w:r/>
    </w:p>
    <w:p>
      <w:pPr>
        <w:pStyle w:val="832"/>
        <w:ind w:firstLine="480"/>
        <w:spacing w:line="480" w:lineRule="exact"/>
        <w:rPr>
          <w:rFonts w:hint="eastAsia" w:ascii="仿宋" w:hAnsi="仿宋" w:eastAsia="仿宋" w:cs="仿宋"/>
          <w:color w:val="000000"/>
          <w:sz w:val="24"/>
        </w:rPr>
      </w:pPr>
      <w:r>
        <w:rPr>
          <w:rFonts w:hint="eastAsia" w:ascii="仿宋" w:hAnsi="仿宋" w:eastAsia="仿宋" w:cs="仿宋"/>
          <w:sz w:val="24"/>
        </w:rPr>
        <w:t xml:space="preserve">本合同应按照中华人民共和国的现行法律进行解释。</w:t>
      </w:r>
      <w:r/>
    </w:p>
    <w:p>
      <w:pPr>
        <w:pStyle w:val="832"/>
        <w:ind w:firstLine="720"/>
        <w:spacing w:line="480" w:lineRule="exact"/>
        <w:rPr>
          <w:rFonts w:hint="eastAsia" w:ascii="仿宋" w:hAnsi="仿宋" w:eastAsia="仿宋" w:cs="仿宋"/>
          <w:sz w:val="24"/>
        </w:rPr>
      </w:pPr>
      <w:r>
        <w:rPr>
          <w:rFonts w:hint="eastAsia" w:ascii="仿宋" w:hAnsi="仿宋" w:eastAsia="仿宋" w:cs="仿宋"/>
          <w:sz w:val="24"/>
        </w:rPr>
        <w:t xml:space="preserve">甲方：（盖章）              </w:t>
      </w:r>
      <w:r/>
    </w:p>
    <w:p>
      <w:pPr>
        <w:pStyle w:val="832"/>
        <w:ind w:firstLine="720"/>
        <w:spacing w:line="480" w:lineRule="exact"/>
        <w:rPr>
          <w:rFonts w:hint="eastAsia" w:ascii="仿宋" w:hAnsi="仿宋" w:eastAsia="仿宋" w:cs="仿宋"/>
          <w:sz w:val="24"/>
          <w:u w:val="single"/>
        </w:rPr>
      </w:pPr>
      <w:r>
        <w:rPr>
          <w:rFonts w:hint="eastAsia" w:ascii="仿宋" w:hAnsi="仿宋" w:eastAsia="仿宋" w:cs="仿宋"/>
          <w:sz w:val="24"/>
        </w:rPr>
        <w:t xml:space="preserve">地址：</w:t>
      </w:r>
      <w:r/>
    </w:p>
    <w:p>
      <w:pPr>
        <w:pStyle w:val="832"/>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  联系人：</w:t>
      </w:r>
      <w:r/>
    </w:p>
    <w:p>
      <w:pPr>
        <w:pStyle w:val="832"/>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pStyle w:val="832"/>
        <w:ind w:firstLine="688"/>
        <w:jc w:val="right"/>
        <w:spacing w:before="19" w:line="480" w:lineRule="exact"/>
        <w:widowControl/>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      </w:t>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832"/>
        <w:ind w:firstLine="480"/>
        <w:spacing w:line="480" w:lineRule="exact"/>
        <w:rPr>
          <w:rFonts w:hint="eastAsia" w:ascii="仿宋" w:hAnsi="仿宋" w:eastAsia="仿宋" w:cs="仿宋"/>
          <w:sz w:val="24"/>
        </w:rPr>
      </w:pPr>
      <w:r>
        <w:rPr>
          <w:rFonts w:hint="eastAsia" w:ascii="仿宋" w:hAnsi="仿宋" w:eastAsia="仿宋" w:cs="仿宋"/>
          <w:sz w:val="24"/>
        </w:rPr>
        <w:t xml:space="preserve">乙方：（盖章）              </w:t>
      </w:r>
      <w:r/>
    </w:p>
    <w:p>
      <w:pPr>
        <w:pStyle w:val="832"/>
        <w:ind w:firstLine="480"/>
        <w:spacing w:before="19" w:line="480" w:lineRule="exact"/>
        <w:widowControl/>
        <w:rPr>
          <w:rFonts w:hint="eastAsia" w:ascii="仿宋" w:hAnsi="仿宋" w:eastAsia="仿宋" w:cs="仿宋"/>
          <w:sz w:val="24"/>
          <w:u w:val="single"/>
        </w:rPr>
      </w:pPr>
      <w:r>
        <w:rPr>
          <w:rFonts w:hint="eastAsia" w:ascii="仿宋" w:hAnsi="仿宋" w:eastAsia="仿宋" w:cs="仿宋"/>
          <w:sz w:val="24"/>
        </w:rPr>
        <w:t xml:space="preserve">地址：</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联系人：</w:t>
      </w:r>
      <w:r/>
    </w:p>
    <w:p>
      <w:pPr>
        <w:pStyle w:val="832"/>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jc w:val="righ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w:t>
      </w:r>
      <w:r/>
    </w:p>
    <w:p>
      <w:pPr>
        <w:jc w:val="center"/>
        <w:keepLines/>
        <w:keepNext/>
        <w:pageBreakBefore/>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第六章  </w:t>
      </w:r>
      <w:r>
        <w:rPr>
          <w:rFonts w:hint="eastAsia" w:ascii="仿宋" w:hAnsi="仿宋" w:eastAsia="仿宋" w:cs="仿宋"/>
          <w:b/>
          <w:color w:val="000000"/>
          <w:sz w:val="44"/>
          <w:szCs w:val="44"/>
          <w:lang w:eastAsia="zh-CN"/>
        </w:rPr>
        <w:t xml:space="preserve">响应文件</w:t>
      </w:r>
      <w:r>
        <w:rPr>
          <w:rFonts w:hint="eastAsia" w:ascii="仿宋" w:hAnsi="仿宋" w:eastAsia="仿宋" w:cs="仿宋"/>
          <w:b/>
          <w:color w:val="000000"/>
          <w:sz w:val="44"/>
          <w:szCs w:val="44"/>
        </w:rPr>
        <w:t xml:space="preserve">格式</w:t>
      </w:r>
      <w:bookmarkEnd w:id="200"/>
      <w:r/>
      <w:bookmarkEnd w:id="201"/>
      <w:r/>
      <w:bookmarkEnd w:id="202"/>
      <w:r/>
      <w:bookmarkEnd w:id="203"/>
      <w:r/>
      <w:bookmarkEnd w:id="204"/>
      <w:r/>
      <w:bookmarkEnd w:id="205"/>
      <w:r/>
      <w:r/>
    </w:p>
    <w:p>
      <w:pPr>
        <w:rPr>
          <w:rFonts w:hint="eastAsia" w:ascii="仿宋" w:hAnsi="仿宋" w:eastAsia="仿宋" w:cs="仿宋"/>
          <w:color w:val="000000"/>
        </w:rPr>
      </w:pPr>
      <w:r/>
      <w:bookmarkStart w:id="206" w:name="EB819316f773b24a75aef829f9b72900c0"/>
      <w:r/>
      <w:r/>
    </w:p>
    <w:p>
      <w:pPr>
        <w:rPr>
          <w:rFonts w:hint="eastAsia" w:ascii="仿宋" w:hAnsi="仿宋" w:eastAsia="仿宋" w:cs="仿宋"/>
          <w:b/>
          <w:color w:val="000000"/>
          <w:sz w:val="72"/>
        </w:rPr>
      </w:pPr>
      <w:r/>
      <w:bookmarkStart w:id="207"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lang w:val="en-US" w:eastAsia="zh-CN"/>
        </w:rPr>
        <w:t xml:space="preserve">响 应</w:t>
      </w:r>
      <w:r>
        <w:rPr>
          <w:rFonts w:hint="eastAsia" w:ascii="仿宋" w:hAnsi="仿宋" w:eastAsia="仿宋" w:cs="仿宋"/>
          <w:b/>
          <w:color w:val="000000"/>
          <w:sz w:val="72"/>
        </w:rPr>
        <w:t xml:space="preserve">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w:t>
      </w:r>
      <w:r>
        <w:rPr>
          <w:rFonts w:hint="eastAsia" w:ascii="仿宋" w:hAnsi="仿宋" w:eastAsia="仿宋" w:cs="仿宋"/>
          <w:b/>
          <w:color w:val="000000"/>
          <w:sz w:val="36"/>
          <w:lang w:eastAsia="zh-CN"/>
        </w:rPr>
        <w:t xml:space="preserve">供应商</w:t>
      </w:r>
      <w:r>
        <w:rPr>
          <w:rFonts w:hint="eastAsia" w:ascii="仿宋" w:hAnsi="仿宋" w:eastAsia="仿宋" w:cs="仿宋"/>
          <w:b/>
          <w:color w:val="000000"/>
          <w:sz w:val="36"/>
        </w:rPr>
        <w:t xml:space="preserve">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207"/>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bookmarkEnd w:id="206"/>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rPr>
          <w:rFonts w:hint="eastAsia" w:ascii="仿宋" w:hAnsi="仿宋" w:eastAsia="仿宋" w:cs="仿宋"/>
          <w:color w:val="000000"/>
        </w:rPr>
      </w:pPr>
      <w:r>
        <w:rPr>
          <w:rFonts w:hint="eastAsia" w:ascii="仿宋" w:hAnsi="仿宋" w:eastAsia="仿宋" w:cs="仿宋"/>
          <w:color w:val="000000"/>
        </w:rPr>
      </w:r>
      <w:r/>
    </w:p>
    <w:p>
      <w:pPr>
        <w:pStyle w:val="1124"/>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124"/>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 xml:space="preserve">响应文件</w:t>
      </w:r>
      <w:r>
        <w:rPr>
          <w:rFonts w:hint="eastAsia" w:ascii="仿宋" w:hAnsi="仿宋" w:eastAsia="仿宋" w:cs="仿宋"/>
          <w:b/>
          <w:bCs/>
          <w:color w:val="000000"/>
          <w:sz w:val="32"/>
          <w:szCs w:val="32"/>
        </w:rPr>
        <w:t xml:space="preserve">目录</w:t>
      </w:r>
      <w:r/>
    </w:p>
    <w:p>
      <w:pPr>
        <w:pStyle w:val="112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一、投标函</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二、法人授权书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三、开标一览表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五、中小企业或残疾人福利性单位声明函</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六、项目</w:t>
      </w:r>
      <w:r>
        <w:rPr>
          <w:rFonts w:hint="eastAsia" w:ascii="仿宋" w:hAnsi="仿宋" w:eastAsia="仿宋" w:cs="仿宋"/>
          <w:color w:val="000000"/>
          <w:sz w:val="28"/>
          <w:szCs w:val="28"/>
          <w:lang w:val="en-US" w:eastAsia="zh-CN"/>
        </w:rPr>
        <w:t xml:space="preserve">组成员经验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、企业业绩</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、服务要求承诺（一）</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、服务要求承诺（二）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十、</w:t>
      </w:r>
      <w:r>
        <w:rPr>
          <w:rFonts w:hint="eastAsia" w:ascii="仿宋" w:hAnsi="仿宋" w:eastAsia="仿宋" w:cs="仿宋"/>
          <w:color w:val="000000"/>
          <w:sz w:val="28"/>
          <w:szCs w:val="28"/>
        </w:rPr>
        <w:t xml:space="preserve">服务要求承诺（</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）及相关服务方案</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十一、</w:t>
      </w:r>
      <w:r>
        <w:rPr>
          <w:rFonts w:hint="eastAsia" w:ascii="仿宋" w:hAnsi="仿宋" w:eastAsia="仿宋" w:cs="仿宋"/>
          <w:color w:val="000000"/>
          <w:sz w:val="28"/>
          <w:szCs w:val="28"/>
        </w:rPr>
        <w:t xml:space="preserve">服务要求承诺（</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tl w:val="0"/>
          <w:lang w:val="en-US" w:eastAsia="zh-CN"/>
        </w:rPr>
        <w:t xml:space="preserve">考核标准承诺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、投标所需其他材料</w:t>
      </w:r>
      <w:r/>
    </w:p>
    <w:p>
      <w:pPr>
        <w:rPr>
          <w:rFonts w:hint="eastAsia" w:ascii="仿宋" w:hAnsi="仿宋" w:eastAsia="仿宋" w:cs="仿宋"/>
          <w:color w:val="000000"/>
        </w:rPr>
      </w:pPr>
      <w:r/>
      <w:bookmarkStart w:id="208" w:name="_Toc20577"/>
      <w:r/>
      <w:bookmarkStart w:id="209" w:name="_Toc26005"/>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34"/>
        <w:rPr>
          <w:rFonts w:hint="eastAsia" w:ascii="仿宋" w:hAnsi="仿宋" w:eastAsia="仿宋" w:cs="仿宋"/>
          <w:highlight w:val="none"/>
        </w:rPr>
        <w:outlineLvl w:val="1"/>
      </w:pPr>
      <w:r/>
      <w:bookmarkStart w:id="210" w:name="_Toc8978"/>
      <w:r>
        <w:rPr>
          <w:rFonts w:hint="eastAsia" w:ascii="仿宋" w:hAnsi="仿宋" w:eastAsia="仿宋" w:cs="仿宋"/>
          <w:b/>
          <w:bCs w:val="0"/>
          <w:color w:val="000000"/>
        </w:rPr>
        <w:t xml:space="preserve">一、投标函</w:t>
      </w:r>
      <w:bookmarkEnd w:id="208"/>
      <w:r/>
      <w:bookmarkEnd w:id="209"/>
      <w:r/>
      <w:bookmarkEnd w:id="210"/>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135"/>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泗洪县信访局</w:t>
      </w:r>
      <w:r>
        <w:rPr>
          <w:rFonts w:hint="eastAsia" w:ascii="仿宋" w:hAnsi="仿宋" w:eastAsia="仿宋" w:cs="仿宋"/>
          <w:color w:val="000000"/>
          <w:sz w:val="24"/>
          <w:szCs w:val="24"/>
          <w:u w:val="single"/>
        </w:rPr>
        <w:t xml:space="preserve">：</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lang w:eastAsia="zh-CN"/>
        </w:rPr>
        <w:t xml:space="preserve">JSZC-321324-JZCG-C2026-0008</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泗洪县社会治理服务中心保洁服务采购项目</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，我方在参加本项目招投标活动中，特作出如下承诺：</w:t>
      </w:r>
      <w:r/>
    </w:p>
    <w:p>
      <w:pPr>
        <w:pStyle w:val="1135"/>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要求提交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规定的投标有效期；</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被接受，我方将按《中华人民共和国民法典（第三编合同）》及其他有关法律、法规的规定，按期、按质、按量交付采购单位，全面做到履约守信；</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5"/>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5"/>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35"/>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5"/>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rPr>
        <w:outlineLvl w:val="1"/>
      </w:pPr>
      <w:r>
        <w:rPr>
          <w:rFonts w:hint="eastAsia" w:ascii="仿宋" w:hAnsi="仿宋" w:eastAsia="仿宋" w:cs="仿宋"/>
          <w:b/>
          <w:bCs/>
          <w:color w:val="000000"/>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211" w:name="_Toc3680"/>
      <w:r/>
      <w:bookmarkStart w:id="212" w:name="_Toc29506"/>
      <w:r/>
      <w:bookmarkStart w:id="213" w:name="_Toc27409"/>
      <w:r>
        <w:rPr>
          <w:rFonts w:hint="eastAsia" w:ascii="仿宋" w:hAnsi="仿宋" w:eastAsia="仿宋" w:cs="仿宋"/>
          <w:b/>
          <w:bCs w:val="0"/>
          <w:color w:val="000000"/>
          <w:sz w:val="32"/>
          <w:szCs w:val="24"/>
        </w:rPr>
        <w:t xml:space="preserve">二、</w:t>
      </w:r>
      <w:bookmarkEnd w:id="211"/>
      <w:r/>
      <w:bookmarkEnd w:id="212"/>
      <w:r>
        <w:rPr>
          <w:rFonts w:hint="eastAsia" w:ascii="仿宋" w:hAnsi="仿宋" w:eastAsia="仿宋" w:cs="仿宋"/>
          <w:b/>
          <w:bCs w:val="0"/>
          <w:color w:val="000000"/>
          <w:sz w:val="32"/>
          <w:szCs w:val="24"/>
        </w:rPr>
        <w:t xml:space="preserve">法人授权书</w:t>
      </w:r>
      <w:bookmarkEnd w:id="213"/>
      <w:r/>
      <w:r/>
    </w:p>
    <w:p>
      <w:pPr>
        <w:pStyle w:val="1135"/>
        <w:jc w:val="center"/>
        <w:rPr>
          <w:rFonts w:hint="eastAsia" w:ascii="仿宋" w:hAnsi="仿宋" w:eastAsia="仿宋" w:cs="仿宋"/>
          <w:bCs/>
          <w:color w:val="000000"/>
          <w:sz w:val="32"/>
          <w:szCs w:val="32"/>
        </w:rPr>
      </w:pPr>
      <w:r/>
      <w:bookmarkStart w:id="214" w:name="OLE_LINK6"/>
      <w:r>
        <w:rPr>
          <w:rFonts w:hint="eastAsia" w:ascii="仿宋" w:hAnsi="仿宋" w:eastAsia="仿宋" w:cs="仿宋"/>
          <w:bCs/>
          <w:color w:val="000000"/>
          <w:sz w:val="32"/>
          <w:szCs w:val="32"/>
        </w:rPr>
        <w:t xml:space="preserve">法人授权书</w:t>
      </w:r>
      <w:bookmarkEnd w:id="214"/>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名称）授权________________（被授权人的姓名）为我方就</w:t>
      </w:r>
      <w:r>
        <w:rPr>
          <w:rFonts w:hint="eastAsia" w:ascii="仿宋" w:hAnsi="仿宋" w:eastAsia="仿宋" w:cs="仿宋"/>
          <w:color w:val="000000"/>
          <w:sz w:val="24"/>
          <w:szCs w:val="24"/>
          <w:u w:val="single"/>
          <w:lang w:eastAsia="zh-CN"/>
        </w:rPr>
        <w:t xml:space="preserve">JSZC-321324-JZCG-C2026-0008</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泗洪县社会治理服务中心保洁服务采购项目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49"/>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49"/>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15" w:name="_Hlt26955070"/>
      <w:r/>
      <w:bookmarkEnd w:id="215"/>
      <w:r/>
      <w:bookmarkStart w:id="216" w:name="_格式3__银行出具的资信证明"/>
      <w:r/>
      <w:bookmarkEnd w:id="216"/>
      <w:r/>
      <w:bookmarkStart w:id="217" w:name="_Hlt26671380"/>
      <w:r/>
      <w:bookmarkEnd w:id="217"/>
      <w:r>
        <w:rPr>
          <w:rFonts w:hint="eastAsia" w:ascii="仿宋" w:hAnsi="仿宋" w:eastAsia="仿宋" w:cs="仿宋"/>
          <w:color w:val="000000"/>
          <w:sz w:val="24"/>
          <w:szCs w:val="24"/>
          <w:u w:val="single"/>
        </w:rPr>
        <w:t xml:space="preserve">                                         </w:t>
      </w:r>
      <w:r/>
    </w:p>
    <w:p>
      <w:pPr>
        <w:pStyle w:val="1137"/>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40"/>
        <w:rPr>
          <w:rFonts w:hint="eastAsia" w:ascii="仿宋" w:hAnsi="仿宋" w:eastAsia="仿宋" w:cs="仿宋"/>
          <w:color w:val="000000"/>
        </w:rPr>
        <w:outlineLvl w:val="1"/>
      </w:pPr>
      <w:r>
        <w:rPr>
          <w:rFonts w:hint="eastAsia" w:ascii="仿宋" w:hAnsi="仿宋" w:eastAsia="仿宋" w:cs="仿宋"/>
          <w:color w:val="000000"/>
        </w:rPr>
        <w:br w:type="page" w:clear="all"/>
      </w:r>
      <w:bookmarkStart w:id="218" w:name="_Toc30543"/>
      <w:r/>
      <w:bookmarkStart w:id="219" w:name="_Toc27199"/>
      <w:r/>
      <w:bookmarkStart w:id="220" w:name="_Toc13550"/>
      <w:r>
        <w:rPr>
          <w:rFonts w:hint="eastAsia" w:ascii="仿宋" w:hAnsi="仿宋" w:eastAsia="仿宋" w:cs="仿宋"/>
          <w:b/>
          <w:bCs w:val="0"/>
          <w:color w:val="000000"/>
        </w:rPr>
        <w:t xml:space="preserve">三、开标一览表</w:t>
      </w:r>
      <w:bookmarkEnd w:id="218"/>
      <w:r/>
      <w:bookmarkEnd w:id="219"/>
      <w:r/>
      <w:bookmarkEnd w:id="220"/>
      <w:r/>
      <w:r/>
    </w:p>
    <w:p>
      <w:pPr>
        <w:pStyle w:val="1141"/>
        <w:rPr>
          <w:rFonts w:hint="eastAsia" w:ascii="仿宋" w:hAnsi="仿宋" w:eastAsia="仿宋" w:cs="仿宋"/>
          <w:color w:val="000000"/>
        </w:rPr>
      </w:pPr>
      <w:r>
        <w:rPr>
          <w:rFonts w:hint="eastAsia" w:ascii="仿宋" w:hAnsi="仿宋" w:eastAsia="仿宋" w:cs="仿宋"/>
          <w:color w:val="000000"/>
        </w:rPr>
      </w:r>
      <w:r/>
    </w:p>
    <w:p>
      <w:pPr>
        <w:pStyle w:val="1141"/>
        <w:rPr>
          <w:rFonts w:hint="eastAsia" w:ascii="仿宋" w:hAnsi="仿宋" w:eastAsia="仿宋" w:cs="仿宋"/>
          <w:color w:val="000000"/>
        </w:rPr>
      </w:pPr>
      <w:r>
        <w:rPr>
          <w:rFonts w:hint="eastAsia" w:ascii="仿宋" w:hAnsi="仿宋" w:eastAsia="仿宋" w:cs="仿宋"/>
          <w:color w:val="000000"/>
          <w:lang w:eastAsia="zh-CN"/>
        </w:rPr>
        <w:t xml:space="preserve">供应商</w:t>
      </w:r>
      <w:r>
        <w:rPr>
          <w:rFonts w:hint="eastAsia" w:ascii="仿宋" w:hAnsi="仿宋" w:eastAsia="仿宋" w:cs="仿宋"/>
          <w:color w:val="000000"/>
        </w:rPr>
        <w:t xml:space="preserve">全称(CA公章) ：</w:t>
      </w:r>
      <w:r/>
    </w:p>
    <w:p>
      <w:pPr>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采购项目编号：</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rPr>
          <w:rFonts w:hint="eastAsia" w:ascii="仿宋" w:hAnsi="仿宋" w:eastAsia="仿宋" w:cs="仿宋"/>
          <w:color w:val="000000"/>
          <w:sz w:val="24"/>
          <w:szCs w:val="24"/>
          <w:u w:val="none"/>
        </w:rPr>
        <w:t xml:space="preserve">：</w:t>
      </w:r>
      <w:r/>
    </w:p>
    <w:tbl>
      <w:tblPr>
        <w:tblStyle w:val="79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289"/>
        <w:gridCol w:w="4111"/>
      </w:tblGrid>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标题</w:t>
            </w:r>
            <w:r/>
          </w:p>
        </w:tc>
        <w:tc>
          <w:tcPr>
            <w:tcMar>
              <w:top w:w="100" w:type="dxa"/>
              <w:bottom w:w="100" w:type="dxa"/>
            </w:tcMar>
            <w:tcW w:w="411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投标报价</w:t>
            </w:r>
            <w:r/>
          </w:p>
        </w:tc>
        <w:tc>
          <w:tcPr>
            <w:tcMar>
              <w:top w:w="100" w:type="dxa"/>
              <w:bottom w:w="100" w:type="dxa"/>
            </w:tcMar>
            <w:tcW w:w="4111" w:type="dxa"/>
            <w:vAlign w:val="center"/>
            <w:textDirection w:val="lrTb"/>
            <w:noWrap w:val="false"/>
          </w:tcPr>
          <w:p>
            <w:pPr>
              <w:rPr>
                <w:rFonts w:hint="default" w:ascii="仿宋" w:hAnsi="仿宋" w:eastAsia="仿宋" w:cs="仿宋"/>
                <w:lang w:val="en-US" w:eastAsia="zh-CN"/>
              </w:rPr>
            </w:pPr>
            <w:r>
              <w:rPr>
                <w:rFonts w:hint="eastAsia" w:ascii="仿宋" w:hAnsi="仿宋" w:eastAsia="仿宋" w:cs="仿宋"/>
              </w:rPr>
              <w:t xml:space="preserve">元</w:t>
            </w:r>
            <w:r>
              <w:rPr>
                <w:rFonts w:hint="eastAsia" w:ascii="仿宋" w:hAnsi="仿宋" w:eastAsia="仿宋" w:cs="仿宋"/>
                <w:lang w:val="en-US" w:eastAsia="zh-CN"/>
              </w:rPr>
              <w:t xml:space="preserve">/年</w:t>
            </w:r>
            <w:r/>
          </w:p>
        </w:tc>
      </w:tr>
    </w:tbl>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r>
      <w:r/>
    </w:p>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t xml:space="preserve">注：按每年总价报价。</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221" w:name="_Toc12113"/>
      <w:r>
        <w:rPr>
          <w:rFonts w:hint="eastAsia" w:ascii="仿宋" w:hAnsi="仿宋" w:eastAsia="仿宋" w:cs="仿宋"/>
          <w:color w:val="000000"/>
          <w:sz w:val="24"/>
        </w:rPr>
        <w:t xml:space="preserve">日期：     年     月     日</w:t>
      </w:r>
      <w:bookmarkEnd w:id="221"/>
      <w:r/>
      <w:r/>
    </w:p>
    <w:p>
      <w:pPr>
        <w:pStyle w:val="1143"/>
        <w:rPr>
          <w:rFonts w:hint="eastAsia" w:ascii="仿宋" w:hAnsi="仿宋" w:eastAsia="仿宋" w:cs="仿宋"/>
          <w:color w:val="000000"/>
        </w:rPr>
        <w:outlineLvl w:val="1"/>
      </w:pPr>
      <w:r>
        <w:rPr>
          <w:rFonts w:hint="eastAsia" w:ascii="仿宋" w:hAnsi="仿宋" w:eastAsia="仿宋" w:cs="仿宋"/>
          <w:color w:val="000000"/>
        </w:rPr>
        <w:br w:type="page" w:clear="all"/>
      </w:r>
      <w:bookmarkStart w:id="222" w:name="_Toc956"/>
      <w:r/>
      <w:bookmarkStart w:id="223" w:name="_Toc26543"/>
      <w:r/>
      <w:bookmarkStart w:id="224" w:name="_Toc12614"/>
      <w:r>
        <w:rPr>
          <w:rFonts w:hint="eastAsia" w:ascii="仿宋" w:hAnsi="仿宋" w:eastAsia="仿宋" w:cs="仿宋"/>
          <w:b/>
          <w:bCs w:val="0"/>
          <w:color w:val="000000"/>
        </w:rPr>
        <w:t xml:space="preserve">四、</w:t>
      </w:r>
      <w:bookmarkEnd w:id="222"/>
      <w:r/>
      <w:bookmarkEnd w:id="223"/>
      <w:r>
        <w:rPr>
          <w:rFonts w:hint="eastAsia" w:ascii="仿宋" w:hAnsi="仿宋" w:eastAsia="仿宋" w:cs="仿宋"/>
          <w:b/>
          <w:bCs w:val="0"/>
          <w:color w:val="000000"/>
        </w:rPr>
        <w:t xml:space="preserve">分项报价表</w:t>
      </w:r>
      <w:bookmarkEnd w:id="224"/>
      <w:r/>
      <w:r/>
    </w:p>
    <w:tbl>
      <w:tblPr>
        <w:tblStyle w:val="795"/>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575"/>
        <w:gridCol w:w="2692"/>
        <w:gridCol w:w="1670"/>
        <w:gridCol w:w="1339"/>
        <w:gridCol w:w="909"/>
        <w:gridCol w:w="1290"/>
      </w:tblGrid>
      <w:tr>
        <w:trPr>
          <w:cantSplit/>
          <w:jc w:val="center"/>
          <w:trHeight w:val="580"/>
        </w:trPr>
        <w:tc>
          <w:tcPr>
            <w:gridSpan w:val="7"/>
            <w:tcW w:w="10393"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bookmarkStart w:id="225" w:name="_Toc17418"/>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75"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692" w:type="dxa"/>
            <w:vAlign w:val="center"/>
            <w:textDirection w:val="lrTb"/>
            <w:noWrap w:val="false"/>
          </w:tcPr>
          <w:p>
            <w:pPr>
              <w:pStyle w:val="1157"/>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670"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w:t>
            </w:r>
            <w:r/>
          </w:p>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月工资</w:t>
            </w:r>
            <w:r/>
          </w:p>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339"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年工资</w:t>
            </w:r>
            <w:r/>
          </w:p>
          <w:p>
            <w:pPr>
              <w:pStyle w:val="119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583"/>
        </w:trPr>
        <w:tc>
          <w:tcPr>
            <w:tcW w:w="918" w:type="dxa"/>
            <w:vAlign w:val="center"/>
            <w:textDirection w:val="lrTb"/>
            <w:noWrap w:val="false"/>
          </w:tcPr>
          <w:p>
            <w:pPr>
              <w:pStyle w:val="119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75" w:type="dxa"/>
            <w:vAlign w:val="center"/>
            <w:vMerge w:val="restart"/>
            <w:textDirection w:val="lrTb"/>
            <w:noWrap w:val="false"/>
          </w:tcPr>
          <w:p>
            <w:pPr>
              <w:pStyle w:val="119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项目经理</w:t>
            </w:r>
            <w:r/>
          </w:p>
        </w:tc>
        <w:tc>
          <w:tcPr>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3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75" w:type="dxa"/>
            <w:vAlign w:val="center"/>
            <w:vMerge w:val="continue"/>
            <w:textDirection w:val="lrTb"/>
            <w:noWrap w:val="false"/>
          </w:tcPr>
          <w:p>
            <w:pPr>
              <w:pStyle w:val="1131"/>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保洁员</w:t>
            </w:r>
            <w:r/>
          </w:p>
        </w:tc>
        <w:tc>
          <w:tcPr>
            <w:shd w:val="clear" w:color="auto" w:fill="auto"/>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339" w:type="dxa"/>
            <w:vAlign w:val="top"/>
            <w:textDirection w:val="lrTb"/>
            <w:noWrap w:val="false"/>
          </w:tcPr>
          <w:p>
            <w:pPr>
              <w:jc w:val="center"/>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75" w:type="dxa"/>
            <w:vAlign w:val="center"/>
            <w:vMerge w:val="restart"/>
            <w:textDirection w:val="lrTb"/>
            <w:noWrap w:val="false"/>
          </w:tcPr>
          <w:p>
            <w:pPr>
              <w:pStyle w:val="1131"/>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692"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67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其他费用</w:t>
            </w:r>
            <w:r/>
          </w:p>
        </w:tc>
      </w:tr>
      <w:tr>
        <w:trPr>
          <w:cantSplit/>
          <w:jc w:val="center"/>
          <w:trHeight w:val="556"/>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分项报价（元/年）</w:t>
            </w:r>
            <w:r/>
          </w:p>
        </w:tc>
      </w:tr>
      <w:tr>
        <w:trPr>
          <w:cantSplit/>
          <w:jc w:val="center"/>
          <w:trHeight w:val="610"/>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15"/>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07"/>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0"/>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4"/>
        </w:trPr>
        <w:tc>
          <w:tcPr>
            <w:tcW w:w="918" w:type="dxa"/>
            <w:vAlign w:val="center"/>
            <w:textDirection w:val="lrTb"/>
            <w:noWrap w:val="false"/>
          </w:tcPr>
          <w:p>
            <w:pPr>
              <w:pStyle w:val="119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gridSpan w:val="5"/>
            <w:tcW w:w="7900" w:type="dxa"/>
            <w:vAlign w:val="center"/>
            <w:textDirection w:val="lrTb"/>
            <w:noWrap w:val="false"/>
          </w:tcPr>
          <w:p>
            <w:pPr>
              <w:pStyle w:val="1192"/>
              <w:jc w:val="center"/>
              <w:spacing w:line="36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cantSplit/>
          <w:jc w:val="center"/>
          <w:trHeight w:val="714"/>
        </w:trPr>
        <w:tc>
          <w:tcPr>
            <w:tcW w:w="918" w:type="dxa"/>
            <w:vAlign w:val="center"/>
            <w:textDirection w:val="lrTb"/>
            <w:noWrap w:val="false"/>
          </w:tcPr>
          <w:p>
            <w:pPr>
              <w:pStyle w:val="1192"/>
              <w:jc w:val="center"/>
              <w:spacing w:line="36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c>
          <w:tcPr>
            <w:tcW w:w="1575"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可以自行添加）</w:t>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rPr>
            </w:pPr>
            <w:r/>
            <w:bookmarkStart w:id="229" w:name="_GoBack"/>
            <w:r/>
            <w:bookmarkEnd w:id="229"/>
            <w:r/>
            <w:r/>
          </w:p>
        </w:tc>
      </w:tr>
      <w:tr>
        <w:trPr>
          <w:cantSplit/>
          <w:jc w:val="center"/>
          <w:trHeight w:val="553"/>
        </w:trPr>
        <w:tc>
          <w:tcPr>
            <w:tcW w:w="918" w:type="dxa"/>
            <w:vAlign w:val="center"/>
            <w:textDirection w:val="lrTb"/>
            <w:noWrap w:val="false"/>
          </w:tcPr>
          <w:p>
            <w:pPr>
              <w:pStyle w:val="1192"/>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textDirection w:val="lrTb"/>
            <w:noWrap w:val="false"/>
          </w:tcPr>
          <w:p>
            <w:pPr>
              <w:pStyle w:val="1192"/>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900" w:type="dxa"/>
            <w:vAlign w:val="center"/>
            <w:textDirection w:val="lrTb"/>
            <w:noWrap w:val="false"/>
          </w:tcPr>
          <w:p>
            <w:pPr>
              <w:pStyle w:val="119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shd w:val="clear" w:color="auto" w:fill="auto"/>
            <w:tcW w:w="2493" w:type="dxa"/>
            <w:vAlign w:val="center"/>
            <w:textDirection w:val="lrTb"/>
            <w:noWrap w:val="false"/>
          </w:tcPr>
          <w:p>
            <w:pPr>
              <w:pStyle w:val="1192"/>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iCs/>
                <w:sz w:val="24"/>
                <w:szCs w:val="28"/>
                <w:lang w:val="en-US" w:eastAsia="zh-CN"/>
              </w:rPr>
              <w:t xml:space="preserve">/年</w:t>
            </w:r>
            <w:r/>
          </w:p>
        </w:tc>
        <w:tc>
          <w:tcPr>
            <w:gridSpan w:val="5"/>
            <w:shd w:val="clear" w:color="auto" w:fill="auto"/>
            <w:tcW w:w="7900" w:type="dxa"/>
            <w:vAlign w:val="center"/>
            <w:textDirection w:val="lrTb"/>
            <w:noWrap w:val="false"/>
          </w:tcPr>
          <w:p>
            <w:pPr>
              <w:pStyle w:val="1192"/>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92"/>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 xml:space="preserve">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lang w:val="en-US" w:eastAsia="zh-CN"/>
              </w:rPr>
              <w:t xml:space="preserve">元</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44"/>
        <w:rPr>
          <w:rFonts w:hint="eastAsia" w:ascii="仿宋" w:hAnsi="仿宋" w:eastAsia="仿宋" w:cs="仿宋"/>
          <w:color w:val="000000"/>
          <w:sz w:val="24"/>
        </w:rPr>
      </w:pPr>
      <w:r>
        <w:rPr>
          <w:rFonts w:hint="eastAsia" w:ascii="仿宋" w:hAnsi="仿宋" w:eastAsia="仿宋" w:cs="仿宋"/>
          <w:color w:val="000000"/>
          <w:sz w:val="24"/>
        </w:rPr>
      </w:r>
      <w:r/>
    </w:p>
    <w:p>
      <w:pPr>
        <w:pStyle w:val="1194"/>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94"/>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194"/>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194"/>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222"/>
        <w:ind w:firstLine="480"/>
        <w:jc w:val="left"/>
        <w:spacing w:line="500" w:lineRule="exact"/>
        <w:widowControl/>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  5、</w:t>
      </w: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194"/>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      6、</w:t>
      </w:r>
      <w:r>
        <w:rPr>
          <w:rFonts w:hint="eastAsia" w:ascii="仿宋" w:hAnsi="仿宋" w:eastAsia="仿宋" w:cs="仿宋"/>
          <w:b/>
          <w:bCs/>
          <w:iCs/>
          <w:szCs w:val="28"/>
          <w:lang w:val="zh-CN"/>
        </w:rPr>
        <w:t xml:space="preserve">表格格式可根据报价需要，进行调整。</w:t>
      </w:r>
      <w:r/>
    </w:p>
    <w:p>
      <w:pPr>
        <w:pStyle w:val="1194"/>
        <w:spacing w:line="360" w:lineRule="auto"/>
        <w:rPr>
          <w:rFonts w:hint="eastAsia" w:ascii="仿宋" w:hAnsi="仿宋" w:eastAsia="仿宋" w:cs="仿宋"/>
          <w:color w:val="000000"/>
        </w:rPr>
      </w:pPr>
      <w:r>
        <w:rPr>
          <w:rFonts w:hint="eastAsia" w:ascii="仿宋" w:hAnsi="仿宋" w:eastAsia="仿宋" w:cs="仿宋"/>
          <w:b/>
          <w:bCs/>
          <w:iCs/>
          <w:szCs w:val="28"/>
          <w:lang w:val="en-US" w:eastAsia="zh-CN"/>
        </w:rPr>
        <w:t xml:space="preserve">      </w:t>
      </w:r>
      <w:r>
        <w:rPr>
          <w:rFonts w:hint="eastAsia" w:ascii="仿宋" w:hAnsi="仿宋" w:eastAsia="仿宋" w:cs="仿宋"/>
          <w:b/>
          <w:bCs/>
          <w:iCs/>
          <w:szCs w:val="28"/>
          <w:lang w:val="zh-CN"/>
        </w:rPr>
        <w:br w:type="page" w:clear="all"/>
      </w:r>
      <w:r/>
    </w:p>
    <w:p>
      <w:pPr>
        <w:pStyle w:val="1169"/>
        <w:rPr>
          <w:rFonts w:hint="eastAsia" w:ascii="仿宋" w:hAnsi="仿宋" w:eastAsia="仿宋" w:cs="仿宋"/>
          <w:b/>
          <w:bCs w:val="0"/>
          <w:color w:val="000000"/>
        </w:rPr>
        <w:outlineLvl w:val="1"/>
      </w:pPr>
      <w:r/>
      <w:bookmarkStart w:id="226" w:name="_Toc21129"/>
      <w:r/>
      <w:bookmarkStart w:id="227" w:name="_Toc2747"/>
      <w:r>
        <w:rPr>
          <w:rFonts w:hint="eastAsia" w:ascii="仿宋" w:hAnsi="仿宋" w:eastAsia="仿宋" w:cs="仿宋"/>
          <w:b/>
          <w:bCs w:val="0"/>
          <w:color w:val="000000"/>
        </w:rPr>
        <w:t xml:space="preserve">五、中小企业或残疾人福利性单位声明函</w:t>
      </w:r>
      <w:bookmarkEnd w:id="225"/>
      <w:r/>
      <w:bookmarkEnd w:id="226"/>
      <w:r/>
      <w:bookmarkEnd w:id="227"/>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 xml:space="preserve">泗洪县信访局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泗洪县社会治理服务中心保洁服务采购项目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eastAsia="zh-CN"/>
        </w:rPr>
        <w:t xml:space="preserve">物业管理</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对照《工业和信息化部、国家统计局、国家发展和改革委员会、财政部关于印发中小企业划型标准规定的通知》(工信部联企业</w:t>
      </w:r>
      <w:r>
        <w:rPr>
          <w:rFonts w:hint="eastAsia" w:ascii="仿宋" w:hAnsi="仿宋" w:eastAsia="仿宋" w:cs="仿宋"/>
          <w:color w:val="000000"/>
          <w:sz w:val="24"/>
          <w:szCs w:val="24"/>
          <w:lang w:eastAsia="zh-CN"/>
        </w:rPr>
        <w:t xml:space="preserve">〔2011〕300号</w:t>
      </w:r>
      <w:r>
        <w:rPr>
          <w:rFonts w:hint="eastAsia" w:ascii="仿宋" w:hAnsi="仿宋" w:eastAsia="仿宋" w:cs="仿宋"/>
          <w:color w:val="000000"/>
          <w:sz w:val="24"/>
          <w:szCs w:val="24"/>
        </w:rPr>
        <w:t xml:space="preserve">)的规定，</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自行勾选承接企业的企业规模类型。</w:t>
      </w:r>
      <w:r/>
    </w:p>
    <w:p>
      <w:pPr>
        <w:pStyle w:val="1135"/>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35"/>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53"/>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52"/>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52"/>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54"/>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54"/>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54"/>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51"/>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53"/>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5"/>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b w:val="0"/>
          <w:sz w:val="24"/>
          <w:lang w:val="en-US" w:eastAsia="zh-CN"/>
        </w:rPr>
        <w:t xml:space="preserve">2.</w:t>
      </w:r>
      <w:r>
        <w:rPr>
          <w:rFonts w:hint="eastAsia" w:ascii="仿宋" w:hAnsi="仿宋" w:eastAsia="仿宋" w:cs="仿宋"/>
          <w:b w:val="0"/>
          <w:sz w:val="24"/>
        </w:rPr>
        <w:t xml:space="preserve">符合报价折扣情形的请将此函填报上传至“企业报价折扣证明”一栏中</w:t>
      </w:r>
      <w:r>
        <w:rPr>
          <w:rFonts w:hint="eastAsia" w:ascii="仿宋" w:hAnsi="仿宋" w:eastAsia="仿宋" w:cs="仿宋"/>
          <w:b w:val="0"/>
          <w:sz w:val="24"/>
          <w:lang w:eastAsia="zh-CN"/>
        </w:rPr>
        <w:t xml:space="preserve">。</w:t>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5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00" w:lineRule="exact"/>
        <w:rPr>
          <w:rFonts w:hint="eastAsia" w:ascii="仿宋" w:hAnsi="仿宋" w:eastAsia="仿宋" w:cs="仿宋"/>
          <w:color w:val="000000"/>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rPr>
      </w:r>
      <w:r/>
    </w:p>
    <w:p>
      <w:pPr>
        <w:pStyle w:val="870"/>
        <w:rPr>
          <w:rFonts w:hint="eastAsia" w:ascii="仿宋" w:hAnsi="仿宋" w:eastAsia="仿宋" w:cs="仿宋"/>
          <w:color w:val="000000"/>
          <w:lang w:val="en-US" w:eastAsia="zh-CN"/>
        </w:rPr>
      </w:pPr>
      <w:r>
        <w:rPr>
          <w:rFonts w:hint="eastAsia" w:ascii="仿宋" w:hAnsi="仿宋" w:eastAsia="仿宋" w:cs="仿宋"/>
          <w:bCs/>
          <w:color w:val="000000"/>
          <w:highlight w:val="none"/>
          <w:lang w:val="en-US" w:eastAsia="zh-CN"/>
        </w:rPr>
      </w:r>
      <w:r>
        <w:rPr>
          <w:rFonts w:hint="eastAsia" w:ascii="仿宋" w:hAnsi="仿宋" w:eastAsia="仿宋" w:cs="仿宋"/>
          <w:bCs/>
          <w:color w:val="000000"/>
          <w:highlight w:val="none"/>
          <w:lang w:val="en-US" w:eastAsia="zh-CN"/>
        </w:rPr>
      </w:r>
      <w:r/>
    </w:p>
    <w:p>
      <w:pPr>
        <w:pStyle w:val="870"/>
        <w:rPr>
          <w:rFonts w:hint="eastAsia" w:ascii="仿宋" w:hAnsi="仿宋" w:eastAsia="仿宋" w:cs="仿宋"/>
          <w:color w:val="000000"/>
          <w:highlight w:val="none"/>
          <w:lang w:val="en-US" w:eastAsia="zh-CN"/>
        </w:rPr>
      </w:pPr>
      <w:r>
        <w:rPr>
          <w:rFonts w:hint="eastAsia" w:ascii="仿宋" w:hAnsi="仿宋" w:eastAsia="仿宋" w:cs="仿宋"/>
          <w:bCs/>
          <w:color w:val="000000"/>
          <w:lang w:val="en-US" w:eastAsia="zh-CN"/>
        </w:rPr>
        <w:t xml:space="preserve">六</w:t>
      </w:r>
      <w:r>
        <w:rPr>
          <w:rFonts w:hint="eastAsia" w:ascii="仿宋" w:hAnsi="仿宋" w:eastAsia="仿宋" w:cs="仿宋"/>
          <w:bCs/>
          <w:color w:val="000000"/>
        </w:rPr>
        <w:t xml:space="preserve">、</w:t>
      </w:r>
      <w:r>
        <w:rPr>
          <w:rFonts w:hint="eastAsia" w:ascii="仿宋" w:hAnsi="仿宋" w:eastAsia="仿宋" w:cs="仿宋"/>
          <w:bCs/>
          <w:color w:val="000000"/>
          <w:lang w:val="en-US" w:eastAsia="zh-CN"/>
        </w:rPr>
        <w:t xml:space="preserve">项目组成员经验</w:t>
      </w:r>
      <w:r/>
    </w:p>
    <w:tbl>
      <w:tblPr>
        <w:tblStyle w:val="795"/>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951"/>
        <w:gridCol w:w="2715"/>
        <w:gridCol w:w="1890"/>
        <w:gridCol w:w="1381"/>
        <w:gridCol w:w="875"/>
      </w:tblGrid>
      <w:tr>
        <w:trPr>
          <w:trHeight w:val="836"/>
        </w:trPr>
        <w:tc>
          <w:tcPr>
            <w:tcW w:w="847"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951"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Borders>
              <w:right w:val="single" w:color="auto" w:sz="4" w:space="0"/>
            </w:tcBorders>
            <w:tcW w:w="2715"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物业服务经验</w:t>
            </w:r>
            <w:r/>
          </w:p>
        </w:tc>
        <w:tc>
          <w:tcPr>
            <w:tcBorders>
              <w:left w:val="single" w:color="auto" w:sz="4" w:space="0"/>
            </w:tcBorders>
            <w:tcW w:w="1890"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w:t>
            </w:r>
            <w:r/>
          </w:p>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时间</w:t>
            </w:r>
            <w:r/>
          </w:p>
        </w:tc>
        <w:tc>
          <w:tcPr>
            <w:tcBorders>
              <w:right w:val="single" w:color="auto" w:sz="4" w:space="0"/>
            </w:tcBorders>
            <w:tcW w:w="1381" w:type="dxa"/>
            <w:vAlign w:val="center"/>
            <w:textDirection w:val="lrTb"/>
            <w:noWrap w:val="false"/>
          </w:tcPr>
          <w:p>
            <w:pPr>
              <w:pStyle w:val="1235"/>
              <w:jc w:val="center"/>
              <w:keepLines w:val="0"/>
              <w:keepNext w:val="0"/>
              <w:pageBreakBefore w:val="0"/>
              <w:spacing w:beforeAutospacing="0" w:line="3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甲方履约评价</w:t>
            </w:r>
            <w:r>
              <w:rPr>
                <w:rFonts w:hint="eastAsia" w:ascii="仿宋" w:hAnsi="仿宋" w:eastAsia="仿宋" w:cs="仿宋"/>
                <w:color w:val="000000"/>
                <w:sz w:val="28"/>
                <w:szCs w:val="28"/>
                <w:lang w:val="en-US" w:eastAsia="zh-CN"/>
              </w:rPr>
              <w:t xml:space="preserve">结果</w:t>
            </w:r>
            <w:r/>
          </w:p>
        </w:tc>
        <w:tc>
          <w:tcPr>
            <w:tcBorders>
              <w:left w:val="single" w:color="auto" w:sz="4" w:space="0"/>
            </w:tcBorders>
            <w:tcW w:w="875" w:type="dxa"/>
            <w:vAlign w:val="center"/>
            <w:textDirection w:val="lrTb"/>
            <w:noWrap w:val="false"/>
          </w:tcPr>
          <w:p>
            <w:pPr>
              <w:pStyle w:val="1235"/>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847" w:type="dxa"/>
            <w:vAlign w:val="center"/>
            <w:vMerge w:val="restart"/>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restart"/>
            <w:textDirection w:val="lrTb"/>
            <w:noWrap w:val="false"/>
          </w:tcPr>
          <w:p>
            <w:pPr>
              <w:pStyle w:val="1235"/>
              <w:jc w:val="center"/>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项目经理</w:t>
            </w:r>
            <w:r/>
          </w:p>
          <w:p>
            <w:pPr>
              <w:pStyle w:val="1235"/>
              <w:jc w:val="center"/>
              <w:spacing w:line="56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项目负责人</w:t>
            </w:r>
            <w:r>
              <w:rPr>
                <w:rFonts w:hint="eastAsia" w:ascii="仿宋" w:hAnsi="仿宋" w:eastAsia="仿宋" w:cs="仿宋"/>
                <w:color w:val="000000"/>
                <w:sz w:val="24"/>
                <w:lang w:eastAsia="zh-CN"/>
              </w:rPr>
              <w:t xml:space="preserve">）</w:t>
            </w:r>
            <w:r/>
          </w:p>
        </w:tc>
        <w:tc>
          <w:tcPr>
            <w:tcBorders>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bottom w:val="single" w:color="auto" w:sz="4" w:space="0"/>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bottom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textDirection w:val="lrTb"/>
            <w:noWrap w:val="false"/>
          </w:tcPr>
          <w:p>
            <w:pPr>
              <w:pStyle w:val="1235"/>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p>
        </w:tc>
        <w:tc>
          <w:tcPr>
            <w:tcW w:w="195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35"/>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 xml:space="preserve">注：如</w:t>
      </w:r>
      <w:r>
        <w:rPr>
          <w:rFonts w:hint="eastAsia" w:ascii="仿宋" w:hAnsi="仿宋" w:eastAsia="仿宋" w:cs="仿宋"/>
          <w:color w:val="000000"/>
          <w:sz w:val="24"/>
          <w:szCs w:val="20"/>
          <w:lang w:eastAsia="zh-CN"/>
        </w:rPr>
        <w:t xml:space="preserve">供应商</w:t>
      </w:r>
      <w:r>
        <w:rPr>
          <w:rFonts w:hint="eastAsia" w:ascii="仿宋" w:hAnsi="仿宋" w:eastAsia="仿宋" w:cs="仿宋"/>
          <w:color w:val="000000"/>
          <w:sz w:val="24"/>
          <w:szCs w:val="20"/>
        </w:rPr>
        <w:t xml:space="preserve">中标，项目</w:t>
      </w:r>
      <w:r>
        <w:rPr>
          <w:rFonts w:hint="eastAsia" w:ascii="仿宋" w:hAnsi="仿宋" w:eastAsia="仿宋" w:cs="仿宋"/>
          <w:color w:val="000000"/>
          <w:sz w:val="24"/>
          <w:szCs w:val="20"/>
          <w:lang w:val="en-US" w:eastAsia="zh-CN"/>
        </w:rPr>
        <w:t xml:space="preserve">组成员</w:t>
      </w:r>
      <w:r>
        <w:rPr>
          <w:rFonts w:hint="eastAsia" w:ascii="仿宋" w:hAnsi="仿宋" w:eastAsia="仿宋" w:cs="仿宋"/>
          <w:color w:val="000000"/>
          <w:sz w:val="24"/>
          <w:szCs w:val="20"/>
        </w:rPr>
        <w:t xml:space="preserve">按本表承诺人员操作，不得随意更换。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69"/>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9"/>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9"/>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9"/>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69"/>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rPr>
          <w:rFonts w:hint="eastAsia" w:ascii="仿宋" w:hAnsi="仿宋" w:eastAsia="仿宋" w:cs="仿宋"/>
          <w:b/>
          <w:bCs/>
          <w:color w:val="000000"/>
          <w:szCs w:val="32"/>
          <w:lang w:val="en-US" w:eastAsia="zh-CN"/>
        </w:rPr>
      </w:pPr>
      <w:r>
        <w:rPr>
          <w:rFonts w:hint="eastAsia" w:ascii="仿宋" w:hAnsi="仿宋" w:eastAsia="仿宋" w:cs="仿宋"/>
          <w:b/>
          <w:bCs/>
          <w:color w:val="000000"/>
          <w:szCs w:val="32"/>
          <w:lang w:val="en-US" w:eastAsia="zh-CN"/>
        </w:rPr>
        <w:br w:type="page" w:clear="all"/>
      </w:r>
      <w:r/>
    </w:p>
    <w:p>
      <w:pPr>
        <w:pStyle w:val="1169"/>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77"/>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795"/>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413"/>
      </w:tblGrid>
      <w:tr>
        <w:trPr>
          <w:jc w:val="center"/>
          <w:trHeight w:val="753"/>
        </w:trPr>
        <w:tc>
          <w:tcPr>
            <w:tcW w:w="616"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413" w:type="dxa"/>
            <w:vAlign w:val="center"/>
            <w:textDirection w:val="lrTb"/>
            <w:noWrap w:val="false"/>
          </w:tcPr>
          <w:p>
            <w:pPr>
              <w:pStyle w:val="1178"/>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r>
      <w:tr>
        <w:trPr>
          <w:jc w:val="center"/>
          <w:trHeight w:val="1510"/>
        </w:trPr>
        <w:tc>
          <w:tcPr>
            <w:tcW w:w="616" w:type="dxa"/>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78"/>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77"/>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58"/>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97"/>
        <w:jc w:val="both"/>
        <w:spacing w:line="500" w:lineRule="exact"/>
        <w:rPr>
          <w:rFonts w:hint="eastAsia" w:ascii="仿宋" w:hAnsi="仿宋" w:eastAsia="仿宋" w:cs="仿宋"/>
          <w:b/>
          <w:sz w:val="30"/>
          <w:szCs w:val="30"/>
        </w:rPr>
      </w:pPr>
      <w:r/>
      <w:bookmarkStart w:id="228" w:name="_Toc256000030"/>
      <w:r>
        <w:rPr>
          <w:rFonts w:hint="eastAsia" w:ascii="仿宋" w:hAnsi="仿宋" w:eastAsia="仿宋" w:cs="仿宋"/>
          <w:b/>
          <w:sz w:val="30"/>
          <w:szCs w:val="30"/>
          <w:lang w:val="en-US" w:eastAsia="zh-CN"/>
        </w:rPr>
        <w:t xml:space="preserve">八</w:t>
      </w:r>
      <w:r>
        <w:rPr>
          <w:rFonts w:hint="eastAsia" w:ascii="仿宋" w:hAnsi="仿宋" w:eastAsia="仿宋" w:cs="仿宋"/>
          <w:b/>
          <w:sz w:val="30"/>
          <w:szCs w:val="30"/>
        </w:rPr>
        <w:t xml:space="preserve">、</w:t>
      </w:r>
      <w:bookmarkEnd w:id="228"/>
      <w:r>
        <w:rPr>
          <w:rFonts w:hint="eastAsia" w:ascii="仿宋" w:hAnsi="仿宋" w:eastAsia="仿宋" w:cs="仿宋"/>
          <w:b/>
          <w:sz w:val="30"/>
          <w:szCs w:val="30"/>
        </w:rPr>
        <w:t xml:space="preserve">服务要求承诺（一）</w:t>
      </w:r>
      <w:r/>
    </w:p>
    <w:p>
      <w:pPr>
        <w:pStyle w:val="1197"/>
        <w:numPr>
          <w:ilvl w:val="0"/>
          <w:numId w:val="0"/>
        </w:numPr>
        <w:ind w:firstLine="3012"/>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服务要求承诺（一）</w:t>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pStyle w:val="938"/>
        <w:ind w:firstLine="480"/>
        <w:spacing w:after="195" w:line="435" w:lineRule="atLeast"/>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lang w:eastAsia="zh-CN"/>
        </w:rPr>
        <w:t xml:space="preserve">磋商文件</w:t>
      </w:r>
      <w:r>
        <w:rPr>
          <w:rFonts w:hint="eastAsia" w:ascii="仿宋" w:hAnsi="仿宋" w:eastAsia="仿宋" w:cs="仿宋"/>
          <w:color w:val="000000"/>
          <w:sz w:val="28"/>
        </w:rPr>
        <w:t xml:space="preserve">相关要求，承诺如下：完全响应本项目采购需求“</w:t>
      </w:r>
      <w:r>
        <w:rPr>
          <w:rFonts w:hint="eastAsia" w:ascii="仿宋" w:hAnsi="仿宋" w:eastAsia="仿宋" w:cs="仿宋"/>
          <w:color w:val="000000"/>
          <w:sz w:val="28"/>
          <w:rtl w:val="0"/>
          <w:lang w:val="en-US" w:eastAsia="zh-CN"/>
        </w:rPr>
        <w:t xml:space="preserve">第三条：人员配备及职责中1、人员配备；2、日常出勤</w:t>
      </w:r>
      <w:r>
        <w:rPr>
          <w:rFonts w:hint="eastAsia" w:ascii="仿宋" w:hAnsi="仿宋" w:eastAsia="仿宋" w:cs="仿宋"/>
          <w:color w:val="000000"/>
          <w:sz w:val="28"/>
        </w:rPr>
        <w:t xml:space="preserve">”，如我单位中标，将按照响应内容进行履约。如我单位</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的响应方案优于采购需求，将按</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4498"/>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67"/>
        <w:rPr>
          <w:rFonts w:hint="eastAsia" w:ascii="仿宋" w:hAnsi="仿宋" w:eastAsia="仿宋" w:cs="仿宋"/>
        </w:rPr>
        <w:outlineLvl w:val="1"/>
      </w:pPr>
      <w:r>
        <w:rPr>
          <w:rFonts w:hint="eastAsia" w:ascii="仿宋" w:hAnsi="仿宋" w:eastAsia="仿宋" w:cs="仿宋"/>
          <w:lang w:val="en-US" w:eastAsia="zh-CN"/>
        </w:rPr>
        <w:t xml:space="preserve">九</w:t>
      </w:r>
      <w:r>
        <w:rPr>
          <w:rFonts w:hint="eastAsia" w:ascii="仿宋" w:hAnsi="仿宋" w:eastAsia="仿宋" w:cs="仿宋"/>
        </w:rPr>
        <w:t xml:space="preserve">、服务要求承诺（二）</w:t>
      </w:r>
      <w:r/>
    </w:p>
    <w:p>
      <w:pPr>
        <w:pStyle w:val="1197"/>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97"/>
        <w:ind w:firstLine="361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服务要求承诺（二）</w:t>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pStyle w:val="938"/>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相关要求，承诺如下：完全响应本项目采购需求“</w:t>
      </w:r>
      <w:r>
        <w:rPr>
          <w:rFonts w:hint="eastAsia" w:ascii="仿宋" w:hAnsi="仿宋" w:eastAsia="仿宋" w:cs="仿宋"/>
          <w:color w:val="000000"/>
          <w:sz w:val="28"/>
          <w:szCs w:val="28"/>
          <w:rtl w:val="0"/>
          <w:lang w:val="en-US" w:eastAsia="zh-CN"/>
        </w:rPr>
        <w:t xml:space="preserve">第四条：人员素质要求</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t xml:space="preserve">十、</w:t>
      </w:r>
      <w:r>
        <w:rPr>
          <w:rFonts w:hint="eastAsia" w:ascii="仿宋" w:hAnsi="仿宋" w:eastAsia="仿宋" w:cs="仿宋"/>
          <w:b/>
          <w:sz w:val="30"/>
          <w:szCs w:val="30"/>
          <w:rtl w:val="0"/>
          <w:lang w:val="en-US" w:eastAsia="zh-CN" w:bidi="ar-SA"/>
        </w:rPr>
        <w:t xml:space="preserve">服务要求承诺（三）及相关服务方案</w:t>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97"/>
        <w:jc w:val="both"/>
        <w:spacing w:line="500" w:lineRule="exact"/>
        <w:rPr>
          <w:rFonts w:hint="eastAsia" w:ascii="仿宋" w:hAnsi="仿宋" w:eastAsia="仿宋" w:cs="仿宋"/>
          <w:b/>
          <w:sz w:val="30"/>
          <w:szCs w:val="30"/>
        </w:rPr>
      </w:pPr>
      <w:r>
        <w:rPr>
          <w:rFonts w:hint="eastAsia" w:ascii="仿宋" w:hAnsi="仿宋" w:eastAsia="仿宋" w:cs="仿宋"/>
          <w:b/>
          <w:sz w:val="30"/>
          <w:szCs w:val="30"/>
          <w:lang w:val="en-US" w:eastAsia="zh-CN"/>
        </w:rPr>
        <w:t xml:space="preserve">1、</w:t>
      </w:r>
      <w:r>
        <w:rPr>
          <w:rFonts w:hint="eastAsia" w:ascii="仿宋" w:hAnsi="仿宋" w:eastAsia="仿宋" w:cs="仿宋"/>
          <w:b/>
          <w:sz w:val="30"/>
          <w:szCs w:val="30"/>
        </w:rPr>
        <w:t xml:space="preserve">服务要求承诺（</w:t>
      </w:r>
      <w:r>
        <w:rPr>
          <w:rFonts w:hint="eastAsia" w:ascii="仿宋" w:hAnsi="仿宋" w:eastAsia="仿宋" w:cs="仿宋"/>
          <w:b/>
          <w:sz w:val="30"/>
          <w:szCs w:val="30"/>
          <w:lang w:val="en-US" w:eastAsia="zh-CN"/>
        </w:rPr>
        <w:t xml:space="preserve">三</w:t>
      </w:r>
      <w:r>
        <w:rPr>
          <w:rFonts w:hint="eastAsia" w:ascii="仿宋" w:hAnsi="仿宋" w:eastAsia="仿宋" w:cs="仿宋"/>
          <w:b/>
          <w:sz w:val="30"/>
          <w:szCs w:val="30"/>
        </w:rPr>
        <w:t xml:space="preserve">）</w:t>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pStyle w:val="938"/>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相关要求，承诺如下：完全响应本项目采购需求“</w:t>
      </w:r>
      <w:r>
        <w:rPr>
          <w:rFonts w:hint="eastAsia" w:ascii="仿宋" w:hAnsi="仿宋" w:eastAsia="仿宋" w:cs="仿宋"/>
          <w:color w:val="000000"/>
          <w:sz w:val="28"/>
          <w:szCs w:val="28"/>
          <w:rtl w:val="0"/>
          <w:lang w:val="en-US" w:eastAsia="zh-CN"/>
        </w:rPr>
        <w:t xml:space="preserve">第五条：（一）保洁服务管理</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97"/>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197"/>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7"/>
        <w:numPr>
          <w:ilvl w:val="0"/>
          <w:numId w:val="6"/>
        </w:numPr>
        <w:rPr>
          <w:rFonts w:hint="eastAsia" w:ascii="仿宋" w:hAnsi="仿宋" w:eastAsia="仿宋" w:cs="仿宋"/>
          <w:rtl w:val="0"/>
          <w:lang w:val="en-US" w:eastAsia="zh-CN"/>
        </w:rPr>
        <w:outlineLvl w:val="1"/>
      </w:pPr>
      <w:r>
        <w:rPr>
          <w:rFonts w:hint="eastAsia" w:ascii="仿宋" w:hAnsi="仿宋" w:eastAsia="仿宋" w:cs="仿宋"/>
          <w:rtl w:val="0"/>
          <w:lang w:val="en-US" w:eastAsia="zh-CN"/>
        </w:rPr>
        <w:t xml:space="preserve">服务要求承诺（四）</w:t>
      </w:r>
      <w:r/>
    </w:p>
    <w:p>
      <w:pPr>
        <w:pStyle w:val="1197"/>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1197"/>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1197"/>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w:t>
      </w:r>
      <w:r>
        <w:rPr>
          <w:rFonts w:hint="eastAsia" w:ascii="仿宋" w:hAnsi="仿宋" w:eastAsia="仿宋" w:cs="仿宋"/>
          <w:b/>
          <w:sz w:val="30"/>
          <w:szCs w:val="30"/>
          <w:lang w:val="en-US" w:eastAsia="zh-CN"/>
        </w:rPr>
        <w:t xml:space="preserve">四</w:t>
      </w:r>
      <w:r>
        <w:rPr>
          <w:rFonts w:hint="eastAsia" w:ascii="仿宋" w:hAnsi="仿宋" w:eastAsia="仿宋" w:cs="仿宋"/>
          <w:b/>
          <w:sz w:val="30"/>
          <w:szCs w:val="30"/>
        </w:rPr>
        <w:t xml:space="preserve">）</w:t>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pStyle w:val="938"/>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w:t>
      </w:r>
      <w:r>
        <w:rPr>
          <w:rFonts w:hint="eastAsia" w:ascii="仿宋" w:hAnsi="仿宋" w:eastAsia="仿宋" w:cs="仿宋"/>
          <w:color w:val="000000"/>
          <w:sz w:val="28"/>
          <w:szCs w:val="28"/>
          <w:lang w:eastAsia="zh-CN"/>
        </w:rPr>
        <w:t xml:space="preserve">购需求“</w:t>
      </w:r>
      <w:r>
        <w:rPr>
          <w:rFonts w:hint="eastAsia" w:ascii="仿宋" w:hAnsi="仿宋" w:eastAsia="仿宋" w:cs="仿宋"/>
          <w:color w:val="000000"/>
          <w:sz w:val="28"/>
          <w:szCs w:val="28"/>
          <w:rtl w:val="0"/>
          <w:lang w:val="en-US" w:eastAsia="zh-CN"/>
        </w:rPr>
        <w:t xml:space="preserve">第九条：其他要求</w:t>
      </w:r>
      <w:r>
        <w:rPr>
          <w:rFonts w:hint="eastAsia" w:ascii="仿宋" w:hAnsi="仿宋" w:eastAsia="仿宋" w:cs="仿宋"/>
          <w:color w:val="000000"/>
          <w:sz w:val="28"/>
          <w:szCs w:val="28"/>
          <w:lang w:eastAsia="zh-CN"/>
        </w:rPr>
        <w:t xml:space="preserve">”，如我单位中标，将按照响应内容进行履约。如我</w:t>
      </w:r>
      <w:r>
        <w:rPr>
          <w:rFonts w:hint="eastAsia" w:ascii="仿宋" w:hAnsi="仿宋" w:eastAsia="仿宋" w:cs="仿宋"/>
          <w:color w:val="000000"/>
          <w:sz w:val="28"/>
          <w:szCs w:val="28"/>
        </w:rPr>
        <w:t xml:space="preserve">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1167"/>
        <w:numPr>
          <w:ilvl w:val="0"/>
          <w:numId w:val="0"/>
        </w:numPr>
        <w:rPr>
          <w:rFonts w:hint="default" w:ascii="仿宋" w:hAnsi="仿宋" w:eastAsia="仿宋" w:cs="仿宋"/>
          <w:rtl w:val="0"/>
          <w:lang w:val="en-US" w:eastAsia="zh-CN"/>
        </w:rPr>
        <w:outlineLvl w:val="1"/>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pStyle w:val="1167"/>
        <w:numPr>
          <w:ilvl w:val="0"/>
          <w:numId w:val="0"/>
        </w:numPr>
        <w:rPr>
          <w:rFonts w:hint="default" w:ascii="仿宋" w:hAnsi="仿宋" w:eastAsia="仿宋" w:cs="仿宋"/>
          <w:rtl w:val="0"/>
          <w:lang w:val="en-US" w:eastAsia="zh-CN"/>
        </w:rPr>
        <w:outlineLvl w:val="1"/>
      </w:pPr>
      <w:r>
        <w:rPr>
          <w:rFonts w:hint="default" w:ascii="仿宋" w:hAnsi="仿宋" w:eastAsia="仿宋" w:cs="仿宋"/>
          <w:rtl w:val="0"/>
          <w:lang w:val="en-US" w:eastAsia="zh-CN"/>
        </w:rPr>
      </w:r>
      <w:r/>
    </w:p>
    <w:p>
      <w:pPr>
        <w:pStyle w:val="1167"/>
        <w:numPr>
          <w:ilvl w:val="0"/>
          <w:numId w:val="0"/>
        </w:numPr>
        <w:rPr>
          <w:rFonts w:hint="default" w:ascii="仿宋" w:hAnsi="仿宋" w:eastAsia="仿宋" w:cs="仿宋"/>
          <w:rtl w:val="0"/>
          <w:lang w:val="en-US" w:eastAsia="zh-CN"/>
        </w:rPr>
        <w:outlineLvl w:val="1"/>
      </w:pPr>
      <w:r>
        <w:rPr>
          <w:rFonts w:hint="default" w:ascii="仿宋" w:hAnsi="仿宋" w:eastAsia="仿宋" w:cs="仿宋"/>
          <w:rtl w:val="0"/>
          <w:lang w:val="en-US" w:eastAsia="zh-CN"/>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color w:val="000000"/>
          <w:sz w:val="32"/>
          <w:szCs w:val="32"/>
        </w:rPr>
      </w:pPr>
      <w:r>
        <w:rPr>
          <w:rFonts w:hint="eastAsia"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 </w:t>
      </w:r>
      <w:r/>
    </w:p>
    <w:p>
      <w:pPr>
        <w:numPr>
          <w:ilvl w:val="0"/>
          <w:numId w:val="6"/>
        </w:numPr>
        <w:ind w:left="0" w:firstLine="0"/>
        <w:spacing w:line="480" w:lineRule="exact"/>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t xml:space="preserve">考核标准承诺</w:t>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pStyle w:val="1197"/>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p>
    <w:p>
      <w:pPr>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1198"/>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泗洪县信访局</w:t>
      </w:r>
      <w:r>
        <w:rPr>
          <w:rFonts w:hint="eastAsia" w:ascii="仿宋" w:hAnsi="仿宋" w:eastAsia="仿宋" w:cs="仿宋"/>
          <w:sz w:val="28"/>
          <w:szCs w:val="28"/>
          <w:u w:val="single"/>
        </w:rPr>
        <w:t xml:space="preserve">：</w:t>
      </w:r>
      <w:r/>
    </w:p>
    <w:p>
      <w:pPr>
        <w:ind w:firstLine="560"/>
        <w:spacing w:line="480" w:lineRule="exact"/>
        <w:rPr>
          <w:rFonts w:hint="eastAsia" w:ascii="仿宋" w:hAnsi="仿宋" w:eastAsia="仿宋" w:cs="仿宋"/>
          <w:color w:val="000000"/>
          <w:sz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JSZC-321324-JZCG-C2026-0008</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泗洪县社会治理服务中心保洁服务采购项目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w:t>
      </w:r>
      <w:r>
        <w:rPr>
          <w:rFonts w:hint="eastAsia" w:ascii="仿宋" w:hAnsi="仿宋" w:eastAsia="仿宋" w:cs="仿宋"/>
          <w:color w:val="000000"/>
          <w:sz w:val="28"/>
        </w:rPr>
        <w:t xml:space="preserve">完全响应本项目采购需求“</w:t>
      </w:r>
      <w:r>
        <w:rPr>
          <w:rFonts w:hint="eastAsia" w:ascii="仿宋" w:hAnsi="仿宋" w:eastAsia="仿宋" w:cs="仿宋"/>
          <w:color w:val="000000"/>
          <w:sz w:val="28"/>
          <w:lang w:val="en-US" w:eastAsia="zh-CN"/>
        </w:rPr>
        <w:t xml:space="preserve">第六条</w:t>
      </w:r>
      <w:r>
        <w:rPr>
          <w:rFonts w:hint="eastAsia" w:ascii="仿宋" w:hAnsi="仿宋" w:eastAsia="仿宋" w:cs="仿宋"/>
          <w:color w:val="000000"/>
          <w:sz w:val="28"/>
          <w:lang w:eastAsia="zh-CN"/>
        </w:rPr>
        <w:t xml:space="preserve">：</w:t>
      </w:r>
      <w:r>
        <w:rPr>
          <w:rFonts w:hint="eastAsia" w:ascii="仿宋" w:hAnsi="仿宋" w:eastAsia="仿宋" w:cs="仿宋"/>
          <w:color w:val="000000"/>
          <w:sz w:val="28"/>
        </w:rPr>
        <w:t xml:space="preserve">考核标准”，如我单位中标，将按照响应内容进行履约。如我单位投标文件的响应方案优于采购需求，将按</w:t>
      </w:r>
      <w:r>
        <w:rPr>
          <w:rFonts w:hint="eastAsia" w:ascii="仿宋" w:hAnsi="仿宋" w:eastAsia="仿宋" w:cs="仿宋"/>
          <w:color w:val="000000"/>
          <w:sz w:val="28"/>
          <w:lang w:val="en-US" w:eastAsia="zh-CN"/>
        </w:rPr>
        <w:t xml:space="preserve">响应</w:t>
      </w:r>
      <w:r>
        <w:rPr>
          <w:rFonts w:hint="eastAsia" w:ascii="仿宋" w:hAnsi="仿宋" w:eastAsia="仿宋" w:cs="仿宋"/>
          <w:color w:val="000000"/>
          <w:sz w:val="28"/>
        </w:rPr>
        <w:t xml:space="preserve">文件履约。</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 </w:t>
      </w:r>
      <w:r>
        <w:rPr>
          <w:rFonts w:hint="eastAsia" w:ascii="仿宋" w:hAnsi="仿宋" w:eastAsia="仿宋" w:cs="仿宋"/>
          <w:b/>
          <w:color w:val="000000"/>
          <w:sz w:val="28"/>
        </w:rPr>
        <w:t xml:space="preserve">单位名称（盖CA电子公章）：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numPr>
          <w:ilvl w:val="0"/>
          <w:numId w:val="0"/>
        </w:numPr>
        <w:jc w:val="both"/>
        <w:spacing w:line="480" w:lineRule="exact"/>
        <w:widowControl w:val="off"/>
        <w:rPr>
          <w:rFonts w:hint="eastAsia" w:ascii="仿宋" w:hAnsi="仿宋" w:eastAsia="仿宋" w:cs="仿宋"/>
          <w:b/>
          <w:bCs/>
          <w:color w:val="000000"/>
          <w:sz w:val="32"/>
          <w:szCs w:val="32"/>
          <w:rtl w:val="0"/>
          <w:lang w:val="en-US" w:eastAsia="zh-CN"/>
        </w:rPr>
        <w:outlineLvl w:val="1"/>
      </w:pPr>
      <w:r>
        <w:rPr>
          <w:rFonts w:hint="eastAsia" w:ascii="仿宋" w:hAnsi="仿宋" w:eastAsia="仿宋" w:cs="仿宋"/>
          <w:b/>
          <w:bCs/>
          <w:color w:val="000000"/>
          <w:sz w:val="32"/>
          <w:szCs w:val="32"/>
          <w:rtl w:val="0"/>
          <w:lang w:val="en-US" w:eastAsia="zh-CN"/>
        </w:rPr>
      </w:r>
      <w:r/>
    </w:p>
    <w:p>
      <w:pPr>
        <w:spacing w:line="480" w:lineRule="exact"/>
        <w:rPr>
          <w:rFonts w:hint="eastAsia" w:ascii="仿宋" w:hAnsi="仿宋" w:eastAsia="仿宋" w:cs="仿宋"/>
          <w:b/>
          <w:bCs/>
          <w:color w:val="000000"/>
          <w:sz w:val="32"/>
          <w:szCs w:val="32"/>
        </w:rPr>
        <w:outlineLvl w:val="1"/>
      </w:pPr>
      <w:r>
        <w:rPr>
          <w:rFonts w:hint="eastAsia" w:ascii="仿宋" w:hAnsi="仿宋" w:eastAsia="仿宋" w:cs="仿宋"/>
          <w:b/>
          <w:bCs/>
          <w:color w:val="000000"/>
          <w:sz w:val="32"/>
          <w:szCs w:val="32"/>
        </w:rPr>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三</w:t>
      </w:r>
      <w:r>
        <w:rPr>
          <w:rFonts w:hint="eastAsia" w:ascii="仿宋" w:hAnsi="仿宋" w:eastAsia="仿宋" w:cs="仿宋"/>
          <w:b/>
          <w:bCs/>
          <w:color w:val="000000"/>
          <w:sz w:val="32"/>
          <w:szCs w:val="32"/>
        </w:rPr>
        <w:t xml:space="preserve">、投标所需其他材料</w:t>
      </w:r>
      <w:r/>
    </w:p>
    <w:p>
      <w:pPr>
        <w:pStyle w:val="1181"/>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认为有必要提供的资料），如没有请将此空文档上传。</w:t>
      </w:r>
      <w:r/>
    </w:p>
    <w:p>
      <w:pPr>
        <w:pStyle w:val="1156"/>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35"/>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81"/>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1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58"/>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43"/>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96"/>
    <w:uiPriority w:val="9"/>
    <w:unhideWhenUsed/>
    <w:qFormat/>
    <w:pPr>
      <w:keepLines/>
      <w:keepNext/>
      <w:spacing w:before="360" w:after="200"/>
      <w:outlineLvl w:val="1"/>
    </w:pPr>
    <w:rPr>
      <w:rFonts w:ascii="Arial" w:hAnsi="Arial" w:eastAsia="Arial" w:cs="Arial"/>
      <w:sz w:val="34"/>
    </w:rPr>
  </w:style>
  <w:style w:type="paragraph" w:styleId="787">
    <w:name w:val="Heading 3"/>
    <w:basedOn w:val="797"/>
    <w:next w:val="798"/>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96"/>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Normal Indent"/>
    <w:basedOn w:val="784"/>
    <w:uiPriority w:val="0"/>
    <w:qFormat/>
    <w:pPr>
      <w:ind w:firstLine="420"/>
    </w:pPr>
  </w:style>
  <w:style w:type="paragraph" w:styleId="797" w:customStyle="1">
    <w:name w:val="Normal1"/>
    <w:next w:val="787"/>
    <w:uiPriority w:val="0"/>
    <w:qFormat/>
    <w:pPr>
      <w:jc w:val="both"/>
      <w:widowControl w:val="off"/>
    </w:pPr>
    <w:rPr>
      <w:rFonts w:hint="default" w:ascii="Calibri" w:hAnsi="Calibri" w:eastAsia="宋体" w:cs="Times New Roman"/>
      <w:sz w:val="21"/>
      <w:szCs w:val="22"/>
      <w:lang w:val="en-US" w:eastAsia="zh-CN" w:bidi="ar-SA"/>
    </w:rPr>
  </w:style>
  <w:style w:type="paragraph" w:styleId="798" w:customStyle="1">
    <w:name w:val="Normal_19"/>
    <w:basedOn w:val="799"/>
    <w:next w:val="784"/>
    <w:uiPriority w:val="0"/>
    <w:qFormat/>
    <w:rPr>
      <w:rFonts w:hint="default" w:ascii="黑体" w:hAnsi="黑体" w:eastAsia="黑体" w:cs="黑体"/>
      <w:sz w:val="32"/>
      <w:szCs w:val="24"/>
      <w:lang w:val="en-US" w:eastAsia="zh-CN" w:bidi="ar-SA"/>
    </w:rPr>
  </w:style>
  <w:style w:type="paragraph" w:styleId="799" w:customStyle="1">
    <w:name w:val="正文_2_0"/>
    <w:basedOn w:val="800"/>
    <w:next w:val="801"/>
    <w:uiPriority w:val="0"/>
    <w:qFormat/>
    <w:pPr>
      <w:jc w:val="both"/>
      <w:widowControl w:val="off"/>
    </w:pPr>
    <w:rPr>
      <w:rFonts w:hint="default" w:ascii="Calibri" w:hAnsi="Calibri" w:eastAsia="宋体" w:cs="Times New Roman"/>
      <w:sz w:val="21"/>
      <w:szCs w:val="22"/>
      <w:lang w:val="en-US" w:eastAsia="zh-CN" w:bidi="ar-SA"/>
    </w:rPr>
  </w:style>
  <w:style w:type="paragraph" w:styleId="800" w:customStyle="1">
    <w:name w:val="Normal_0_2"/>
    <w:uiPriority w:val="0"/>
    <w:qFormat/>
    <w:rPr>
      <w:rFonts w:hint="default" w:ascii="黑体" w:hAnsi="黑体" w:eastAsia="黑体" w:cs="黑体"/>
      <w:b/>
      <w:sz w:val="32"/>
      <w:szCs w:val="24"/>
      <w:lang w:val="en-US" w:eastAsia="zh-CN" w:bidi="ar-SA"/>
    </w:rPr>
  </w:style>
  <w:style w:type="paragraph" w:styleId="801" w:customStyle="1">
    <w:name w:val="正文文本缩进_0"/>
    <w:basedOn w:val="802"/>
    <w:uiPriority w:val="0"/>
    <w:qFormat/>
    <w:pPr>
      <w:ind w:firstLine="225"/>
    </w:pPr>
    <w:rPr>
      <w:rFonts w:ascii="仿宋_GB2312" w:eastAsia="仿宋_GB2312"/>
      <w:sz w:val="32"/>
    </w:rPr>
  </w:style>
  <w:style w:type="paragraph" w:styleId="80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803">
    <w:name w:val="toc 7"/>
    <w:basedOn w:val="784"/>
    <w:next w:val="784"/>
    <w:uiPriority w:val="39"/>
    <w:unhideWhenUsed/>
    <w:qFormat/>
    <w:pPr>
      <w:ind w:left="1701"/>
      <w:spacing w:after="57"/>
    </w:pPr>
  </w:style>
  <w:style w:type="paragraph" w:styleId="804">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84"/>
    <w:uiPriority w:val="99"/>
    <w:qFormat/>
    <w:pPr>
      <w:jc w:val="left"/>
    </w:pPr>
    <w:rPr>
      <w:rFonts w:ascii="Times New Roman" w:hAnsi="Times New Roman"/>
      <w:szCs w:val="21"/>
    </w:rPr>
  </w:style>
  <w:style w:type="paragraph" w:styleId="806">
    <w:name w:val="Body Text"/>
    <w:basedOn w:val="784"/>
    <w:uiPriority w:val="0"/>
    <w:qFormat/>
    <w:rPr>
      <w:rFonts w:ascii="楷体_GB2312" w:hAnsi="Arial" w:eastAsia="楷体_GB2312" w:cs="Times New Roman"/>
      <w:sz w:val="28"/>
      <w:szCs w:val="28"/>
    </w:rPr>
  </w:style>
  <w:style w:type="paragraph" w:styleId="807">
    <w:name w:val="toc 5"/>
    <w:basedOn w:val="784"/>
    <w:next w:val="784"/>
    <w:uiPriority w:val="39"/>
    <w:unhideWhenUsed/>
    <w:qFormat/>
    <w:pPr>
      <w:ind w:left="1134"/>
      <w:spacing w:after="57"/>
    </w:pPr>
  </w:style>
  <w:style w:type="paragraph" w:styleId="808">
    <w:name w:val="toc 3"/>
    <w:basedOn w:val="784"/>
    <w:next w:val="784"/>
    <w:uiPriority w:val="39"/>
    <w:unhideWhenUsed/>
    <w:qFormat/>
    <w:pPr>
      <w:ind w:left="567"/>
      <w:spacing w:after="57"/>
    </w:pPr>
  </w:style>
  <w:style w:type="paragraph" w:styleId="809">
    <w:name w:val="Plain Text"/>
    <w:basedOn w:val="784"/>
    <w:uiPriority w:val="0"/>
    <w:qFormat/>
    <w:rPr>
      <w:rFonts w:ascii="宋体" w:hAnsi="Courier New" w:cs="Courier New"/>
    </w:rPr>
  </w:style>
  <w:style w:type="paragraph" w:styleId="810">
    <w:name w:val="toc 8"/>
    <w:basedOn w:val="784"/>
    <w:next w:val="784"/>
    <w:uiPriority w:val="39"/>
    <w:unhideWhenUsed/>
    <w:qFormat/>
    <w:pPr>
      <w:ind w:left="1984"/>
      <w:spacing w:after="57"/>
    </w:pPr>
  </w:style>
  <w:style w:type="paragraph" w:styleId="811">
    <w:name w:val="endnote text"/>
    <w:basedOn w:val="784"/>
    <w:uiPriority w:val="99"/>
    <w:semiHidden/>
    <w:unhideWhenUsed/>
    <w:qFormat/>
    <w:rPr>
      <w:sz w:val="20"/>
    </w:rPr>
  </w:style>
  <w:style w:type="paragraph" w:styleId="812">
    <w:name w:val="Footer"/>
    <w:basedOn w:val="784"/>
    <w:uiPriority w:val="99"/>
    <w:unhideWhenUsed/>
    <w:qFormat/>
    <w:pPr>
      <w:tabs>
        <w:tab w:val="center" w:pos="7143" w:leader="none"/>
        <w:tab w:val="right" w:pos="14287" w:leader="none"/>
      </w:tabs>
    </w:pPr>
  </w:style>
  <w:style w:type="paragraph" w:styleId="813">
    <w:name w:val="Header"/>
    <w:basedOn w:val="784"/>
    <w:uiPriority w:val="99"/>
    <w:unhideWhenUsed/>
    <w:qFormat/>
    <w:pPr>
      <w:tabs>
        <w:tab w:val="center" w:pos="7143" w:leader="none"/>
        <w:tab w:val="right" w:pos="14287" w:leader="none"/>
      </w:tabs>
    </w:pPr>
  </w:style>
  <w:style w:type="paragraph" w:styleId="814">
    <w:name w:val="toc 1"/>
    <w:basedOn w:val="784"/>
    <w:next w:val="784"/>
    <w:uiPriority w:val="39"/>
    <w:unhideWhenUsed/>
    <w:qFormat/>
    <w:pPr>
      <w:spacing w:after="57"/>
    </w:pPr>
  </w:style>
  <w:style w:type="paragraph" w:styleId="815">
    <w:name w:val="toc 4"/>
    <w:basedOn w:val="784"/>
    <w:next w:val="784"/>
    <w:uiPriority w:val="39"/>
    <w:unhideWhenUsed/>
    <w:qFormat/>
    <w:pPr>
      <w:ind w:left="850"/>
      <w:spacing w:after="57"/>
    </w:pPr>
  </w:style>
  <w:style w:type="paragraph" w:styleId="816">
    <w:name w:val="Subtitle"/>
    <w:basedOn w:val="784"/>
    <w:next w:val="784"/>
    <w:uiPriority w:val="11"/>
    <w:qFormat/>
    <w:pPr>
      <w:spacing w:before="200" w:after="200"/>
    </w:pPr>
    <w:rPr>
      <w:sz w:val="24"/>
      <w:szCs w:val="24"/>
    </w:rPr>
  </w:style>
  <w:style w:type="paragraph" w:styleId="817">
    <w:name w:val="footnote text"/>
    <w:basedOn w:val="784"/>
    <w:uiPriority w:val="99"/>
    <w:semiHidden/>
    <w:unhideWhenUsed/>
    <w:qFormat/>
    <w:pPr>
      <w:spacing w:after="40"/>
    </w:pPr>
    <w:rPr>
      <w:sz w:val="18"/>
    </w:rPr>
  </w:style>
  <w:style w:type="paragraph" w:styleId="818">
    <w:name w:val="toc 6"/>
    <w:basedOn w:val="784"/>
    <w:next w:val="784"/>
    <w:uiPriority w:val="39"/>
    <w:unhideWhenUsed/>
    <w:qFormat/>
    <w:pPr>
      <w:ind w:left="1417"/>
      <w:spacing w:after="57"/>
    </w:pPr>
  </w:style>
  <w:style w:type="paragraph" w:styleId="819">
    <w:name w:val="table of figures"/>
    <w:basedOn w:val="784"/>
    <w:next w:val="784"/>
    <w:uiPriority w:val="99"/>
    <w:unhideWhenUsed/>
    <w:qFormat/>
  </w:style>
  <w:style w:type="paragraph" w:styleId="820">
    <w:name w:val="toc 2"/>
    <w:basedOn w:val="784"/>
    <w:next w:val="784"/>
    <w:uiPriority w:val="39"/>
    <w:unhideWhenUsed/>
    <w:qFormat/>
    <w:pPr>
      <w:ind w:left="283"/>
      <w:spacing w:after="57"/>
    </w:pPr>
  </w:style>
  <w:style w:type="paragraph" w:styleId="821">
    <w:name w:val="toc 9"/>
    <w:basedOn w:val="784"/>
    <w:next w:val="784"/>
    <w:uiPriority w:val="39"/>
    <w:unhideWhenUsed/>
    <w:qFormat/>
    <w:pPr>
      <w:ind w:left="2268"/>
      <w:spacing w:after="57"/>
    </w:pPr>
  </w:style>
  <w:style w:type="paragraph" w:styleId="822">
    <w:name w:val="Normal (Web)"/>
    <w:basedOn w:val="784"/>
    <w:uiPriority w:val="99"/>
    <w:semiHidden/>
    <w:unhideWhenUsed/>
    <w:qFormat/>
    <w:rPr>
      <w:sz w:val="24"/>
    </w:rPr>
  </w:style>
  <w:style w:type="paragraph" w:styleId="823">
    <w:name w:val="Title"/>
    <w:basedOn w:val="784"/>
    <w:next w:val="784"/>
    <w:uiPriority w:val="10"/>
    <w:qFormat/>
    <w:pPr>
      <w:contextualSpacing/>
      <w:spacing w:before="300" w:after="200"/>
    </w:pPr>
    <w:rPr>
      <w:sz w:val="48"/>
      <w:szCs w:val="48"/>
    </w:r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basedOn w:val="794"/>
    <w:uiPriority w:val="0"/>
    <w:qFormat/>
    <w:rPr>
      <w:b/>
    </w:r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14:textFill>
        <w14:solidFill>
          <w14:schemeClr w14:val="hlink"/>
        </w14:solidFill>
      </w14:textFill>
    </w:rPr>
  </w:style>
  <w:style w:type="character" w:styleId="828">
    <w:name w:val="footnote reference"/>
    <w:uiPriority w:val="99"/>
    <w:unhideWhenUsed/>
    <w:qFormat/>
    <w:rPr>
      <w:vertAlign w:val="superscript"/>
    </w:rPr>
  </w:style>
  <w:style w:type="paragraph" w:styleId="82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830" w:customStyle="1">
    <w:name w:val="正文文本1"/>
    <w:basedOn w:val="831"/>
    <w:uiPriority w:val="0"/>
    <w:qFormat/>
    <w:pPr>
      <w:spacing w:line="60" w:lineRule="auto"/>
    </w:pPr>
    <w:rPr>
      <w:rFonts w:ascii="仿宋_GB2312" w:eastAsia="仿宋_GB2312"/>
      <w:sz w:val="32"/>
    </w:rPr>
  </w:style>
  <w:style w:type="paragraph" w:styleId="831" w:customStyle="1">
    <w:name w:val="Normal_21"/>
    <w:basedOn w:val="832"/>
    <w:next w:val="830"/>
    <w:uiPriority w:val="0"/>
    <w:qFormat/>
    <w:rPr>
      <w:rFonts w:ascii="Times New Roman" w:hAnsi="Times New Roman"/>
      <w:szCs w:val="24"/>
    </w:rPr>
  </w:style>
  <w:style w:type="paragraph" w:styleId="8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33" w:customStyle="1">
    <w:name w:val="UserStyle_0_1_0"/>
    <w:basedOn w:val="834"/>
    <w:uiPriority w:val="0"/>
    <w:qFormat/>
    <w:pPr>
      <w:ind w:left="420"/>
      <w:spacing w:beforeAutospacing="0" w:after="120" w:afterAutospacing="0"/>
    </w:pPr>
  </w:style>
  <w:style w:type="paragraph" w:styleId="834" w:customStyle="1">
    <w:name w:val="正文1_0_1_0"/>
    <w:basedOn w:val="835"/>
    <w:next w:val="833"/>
    <w:uiPriority w:val="0"/>
    <w:qFormat/>
    <w:pPr>
      <w:ind w:left="357" w:firstLine="420"/>
      <w:jc w:val="left"/>
      <w:spacing w:line="360" w:lineRule="auto"/>
      <w:widowControl/>
    </w:pPr>
    <w:rPr>
      <w:rFonts w:cs="Arial"/>
      <w:szCs w:val="20"/>
      <w:lang w:bidi="ar-SA"/>
    </w:rPr>
  </w:style>
  <w:style w:type="paragraph" w:styleId="835" w:customStyle="1">
    <w:name w:val="正文_16_0_1"/>
    <w:next w:val="8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6" w:customStyle="1">
    <w:name w:val="标题 3_0_0_0"/>
    <w:basedOn w:val="837"/>
    <w:next w:val="835"/>
    <w:uiPriority w:val="0"/>
    <w:qFormat/>
    <w:pPr>
      <w:keepLines/>
      <w:keepNext/>
      <w:spacing w:before="260" w:after="260" w:line="413" w:lineRule="auto"/>
      <w:outlineLvl w:val="2"/>
    </w:pPr>
    <w:rPr>
      <w:rFonts w:ascii="Times New Roman" w:hAnsi="Times New Roman"/>
      <w:b/>
      <w:sz w:val="32"/>
      <w:szCs w:val="20"/>
    </w:rPr>
  </w:style>
  <w:style w:type="paragraph" w:styleId="837" w:customStyle="1">
    <w:name w:val="正文_3_1_1"/>
    <w:next w:val="836"/>
    <w:uiPriority w:val="0"/>
    <w:qFormat/>
    <w:pPr>
      <w:jc w:val="both"/>
      <w:widowControl w:val="off"/>
    </w:pPr>
    <w:rPr>
      <w:rFonts w:hint="default" w:ascii="Calibri" w:hAnsi="Calibri" w:eastAsia="宋体" w:cs="Times New Roman"/>
      <w:lang w:val="en-US" w:eastAsia="zh-CN" w:bidi="ar-SA"/>
    </w:rPr>
  </w:style>
  <w:style w:type="paragraph" w:styleId="838" w:customStyle="1">
    <w:name w:val="正文首行缩进1"/>
    <w:basedOn w:val="830"/>
    <w:uiPriority w:val="0"/>
    <w:qFormat/>
    <w:pPr>
      <w:ind w:firstLine="100"/>
      <w:spacing w:after="120" w:line="240" w:lineRule="auto"/>
    </w:pPr>
    <w:rPr>
      <w:rFonts w:ascii="Times New Roman" w:hAnsi="Times New Roman" w:eastAsia="宋体"/>
      <w:sz w:val="21"/>
    </w:rPr>
  </w:style>
  <w:style w:type="table" w:styleId="839"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脚注文本1"/>
    <w:basedOn w:val="784"/>
    <w:uiPriority w:val="0"/>
    <w:qFormat/>
    <w:pPr>
      <w:jc w:val="left"/>
    </w:pPr>
    <w:rPr>
      <w:rFonts w:eastAsia="Times New Roman"/>
      <w:sz w:val="18"/>
      <w:szCs w:val="24"/>
    </w:rPr>
  </w:style>
  <w:style w:type="paragraph" w:styleId="860" w:customStyle="1">
    <w:name w:val="正文1"/>
    <w:next w:val="861"/>
    <w:uiPriority w:val="0"/>
    <w:qFormat/>
    <w:rPr>
      <w:rFonts w:hint="default" w:ascii="Times New Roman" w:hAnsi="Times New Roman" w:eastAsia="Times New Roman" w:cs="Times New Roman"/>
      <w:sz w:val="24"/>
      <w:szCs w:val="24"/>
      <w:lang w:val="en-US" w:eastAsia="zh-CN" w:bidi="ar-SA"/>
    </w:rPr>
  </w:style>
  <w:style w:type="paragraph" w:styleId="861" w:customStyle="1">
    <w:name w:val="UserStyle_0"/>
    <w:basedOn w:val="860"/>
    <w:uiPriority w:val="0"/>
    <w:qFormat/>
    <w:pPr>
      <w:ind w:left="420"/>
      <w:spacing w:after="120"/>
    </w:pPr>
    <w:rPr>
      <w:rFonts w:eastAsia="Times New Roman"/>
    </w:rPr>
  </w:style>
  <w:style w:type="paragraph" w:styleId="862" w:customStyle="1">
    <w:name w:val="Body Text First Indent1"/>
    <w:basedOn w:val="863"/>
    <w:uiPriority w:val="99"/>
    <w:unhideWhenUsed/>
    <w:qFormat/>
    <w:pPr>
      <w:ind w:firstLine="420"/>
    </w:pPr>
  </w:style>
  <w:style w:type="paragraph" w:styleId="863" w:customStyle="1">
    <w:name w:val="Body Text1"/>
    <w:basedOn w:val="864"/>
    <w:uiPriority w:val="99"/>
    <w:unhideWhenUsed/>
    <w:qFormat/>
    <w:pPr>
      <w:spacing w:after="120"/>
    </w:pPr>
  </w:style>
  <w:style w:type="paragraph" w:styleId="864" w:customStyle="1">
    <w:name w:val="Normal11"/>
    <w:next w:val="862"/>
    <w:uiPriority w:val="0"/>
    <w:qFormat/>
    <w:pPr>
      <w:jc w:val="both"/>
      <w:widowControl w:val="off"/>
    </w:pPr>
    <w:rPr>
      <w:rFonts w:hint="default" w:ascii="Times New Roman" w:hAnsi="Times New Roman" w:eastAsia="宋体" w:cs="Times New Roman"/>
      <w:szCs w:val="21"/>
      <w:lang w:val="en-US" w:eastAsia="zh-CN" w:bidi="ar-SA"/>
    </w:rPr>
  </w:style>
  <w:style w:type="paragraph" w:styleId="865">
    <w:name w:val="List Paragraph"/>
    <w:basedOn w:val="784"/>
    <w:uiPriority w:val="34"/>
    <w:qFormat/>
    <w:pPr>
      <w:contextualSpacing/>
      <w:ind w:left="720"/>
    </w:pPr>
  </w:style>
  <w:style w:type="paragraph" w:styleId="866">
    <w:name w:val="No Spacing"/>
    <w:uiPriority w:val="1"/>
    <w:qFormat/>
    <w:rPr>
      <w:rFonts w:hint="default" w:ascii="Times New Roman" w:hAnsi="Times New Roman" w:eastAsia="宋体" w:cs="Times New Roman"/>
      <w:lang w:val="en-US" w:eastAsia="zh-CN" w:bidi="ar-SA"/>
    </w:rPr>
  </w:style>
  <w:style w:type="paragraph" w:styleId="867">
    <w:name w:val="Quote"/>
    <w:basedOn w:val="784"/>
    <w:next w:val="784"/>
    <w:uiPriority w:val="29"/>
    <w:qFormat/>
    <w:pPr>
      <w:ind w:left="720" w:right="720"/>
    </w:pPr>
    <w:rPr>
      <w:i/>
    </w:rPr>
  </w:style>
  <w:style w:type="paragraph" w:styleId="868">
    <w:name w:val="Intense Quote"/>
    <w:basedOn w:val="784"/>
    <w:next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9" w:customStyle="1">
    <w:name w:val="标题 11"/>
    <w:basedOn w:val="784"/>
    <w:next w:val="784"/>
    <w:link w:val="881"/>
    <w:uiPriority w:val="0"/>
    <w:qFormat/>
    <w:pPr>
      <w:keepLines/>
      <w:keepNext/>
      <w:spacing w:before="480" w:after="200"/>
      <w:outlineLvl w:val="0"/>
    </w:pPr>
    <w:rPr>
      <w:rFonts w:ascii="Arial" w:hAnsi="Arial" w:eastAsia="Arial" w:cs="Arial"/>
      <w:sz w:val="40"/>
      <w:szCs w:val="40"/>
    </w:rPr>
  </w:style>
  <w:style w:type="paragraph" w:styleId="870" w:customStyle="1">
    <w:name w:val="标题 211"/>
    <w:basedOn w:val="784"/>
    <w:next w:val="871"/>
    <w:link w:val="882"/>
    <w:uiPriority w:val="0"/>
    <w:qFormat/>
    <w:pPr>
      <w:keepLines/>
      <w:keepNext/>
      <w:spacing w:before="260" w:after="260" w:line="413" w:lineRule="auto"/>
      <w:outlineLvl w:val="1"/>
    </w:pPr>
    <w:rPr>
      <w:rFonts w:ascii="Arial" w:hAnsi="Arial" w:eastAsia="黑体"/>
      <w:b/>
      <w:sz w:val="32"/>
      <w:szCs w:val="20"/>
    </w:rPr>
  </w:style>
  <w:style w:type="paragraph" w:styleId="871" w:customStyle="1">
    <w:name w:val="正文缩进11"/>
    <w:basedOn w:val="784"/>
    <w:link w:val="883"/>
    <w:uiPriority w:val="0"/>
    <w:qFormat/>
    <w:pPr>
      <w:ind w:firstLine="420"/>
    </w:pPr>
    <w:rPr>
      <w:rFonts w:ascii="宋体"/>
      <w:color w:val="000000"/>
      <w:sz w:val="24"/>
      <w:szCs w:val="20"/>
    </w:rPr>
  </w:style>
  <w:style w:type="paragraph" w:styleId="872" w:customStyle="1">
    <w:name w:val="标题 311"/>
    <w:basedOn w:val="797"/>
    <w:next w:val="798"/>
    <w:link w:val="884"/>
    <w:uiPriority w:val="0"/>
    <w:qFormat/>
    <w:pPr>
      <w:keepLines/>
      <w:keepNext/>
      <w:spacing w:before="320" w:after="200"/>
      <w:outlineLvl w:val="2"/>
    </w:pPr>
    <w:rPr>
      <w:rFonts w:ascii="Arial" w:hAnsi="Arial" w:eastAsia="Arial" w:cs="Arial"/>
      <w:sz w:val="30"/>
      <w:szCs w:val="30"/>
    </w:rPr>
  </w:style>
  <w:style w:type="paragraph" w:styleId="873" w:customStyle="1">
    <w:name w:val="标题 411"/>
    <w:basedOn w:val="784"/>
    <w:next w:val="784"/>
    <w:link w:val="885"/>
    <w:uiPriority w:val="0"/>
    <w:qFormat/>
    <w:pPr>
      <w:jc w:val="center"/>
      <w:keepNext/>
      <w:outlineLvl w:val="3"/>
    </w:pPr>
    <w:rPr>
      <w:rFonts w:eastAsia="新宋体"/>
      <w:sz w:val="30"/>
      <w:szCs w:val="21"/>
    </w:rPr>
  </w:style>
  <w:style w:type="paragraph" w:styleId="874" w:customStyle="1">
    <w:name w:val="标题 51"/>
    <w:basedOn w:val="784"/>
    <w:next w:val="784"/>
    <w:link w:val="886"/>
    <w:uiPriority w:val="0"/>
    <w:qFormat/>
    <w:pPr>
      <w:keepLines/>
      <w:keepNext/>
      <w:spacing w:before="320" w:after="200"/>
      <w:outlineLvl w:val="4"/>
    </w:pPr>
    <w:rPr>
      <w:rFonts w:ascii="Arial" w:hAnsi="Arial" w:eastAsia="Arial" w:cs="Arial"/>
      <w:b/>
      <w:bCs/>
      <w:sz w:val="24"/>
      <w:szCs w:val="24"/>
    </w:rPr>
  </w:style>
  <w:style w:type="paragraph" w:styleId="875" w:customStyle="1">
    <w:name w:val="标题 61"/>
    <w:basedOn w:val="784"/>
    <w:next w:val="784"/>
    <w:link w:val="887"/>
    <w:uiPriority w:val="0"/>
    <w:qFormat/>
    <w:pPr>
      <w:keepLines/>
      <w:keepNext/>
      <w:spacing w:before="320" w:after="200"/>
      <w:outlineLvl w:val="5"/>
    </w:pPr>
    <w:rPr>
      <w:rFonts w:ascii="Arial" w:hAnsi="Arial" w:eastAsia="Arial" w:cs="Arial"/>
      <w:b/>
      <w:bCs/>
      <w:sz w:val="22"/>
    </w:rPr>
  </w:style>
  <w:style w:type="paragraph" w:styleId="876" w:customStyle="1">
    <w:name w:val="标题 71"/>
    <w:basedOn w:val="784"/>
    <w:next w:val="784"/>
    <w:link w:val="888"/>
    <w:uiPriority w:val="0"/>
    <w:qFormat/>
    <w:pPr>
      <w:keepLines/>
      <w:keepNext/>
      <w:spacing w:before="320" w:after="200"/>
      <w:outlineLvl w:val="6"/>
    </w:pPr>
    <w:rPr>
      <w:rFonts w:ascii="Arial" w:hAnsi="Arial" w:eastAsia="Arial" w:cs="Arial"/>
      <w:b/>
      <w:bCs/>
      <w:i/>
      <w:iCs/>
      <w:sz w:val="22"/>
    </w:rPr>
  </w:style>
  <w:style w:type="paragraph" w:styleId="877" w:customStyle="1">
    <w:name w:val="标题 81"/>
    <w:basedOn w:val="784"/>
    <w:next w:val="784"/>
    <w:link w:val="889"/>
    <w:uiPriority w:val="0"/>
    <w:qFormat/>
    <w:pPr>
      <w:keepLines/>
      <w:keepNext/>
      <w:spacing w:before="320" w:after="200"/>
      <w:outlineLvl w:val="7"/>
    </w:pPr>
    <w:rPr>
      <w:rFonts w:ascii="Arial" w:hAnsi="Arial" w:eastAsia="Arial" w:cs="Arial"/>
      <w:i/>
      <w:iCs/>
      <w:sz w:val="22"/>
    </w:rPr>
  </w:style>
  <w:style w:type="paragraph" w:styleId="878" w:customStyle="1">
    <w:name w:val="标题 91"/>
    <w:basedOn w:val="784"/>
    <w:next w:val="784"/>
    <w:link w:val="890"/>
    <w:uiPriority w:val="0"/>
    <w:qFormat/>
    <w:pPr>
      <w:keepLines/>
      <w:keepNext/>
      <w:spacing w:before="320" w:after="200"/>
      <w:outlineLvl w:val="8"/>
    </w:pPr>
    <w:rPr>
      <w:rFonts w:ascii="Arial" w:hAnsi="Arial" w:eastAsia="Arial" w:cs="Arial"/>
      <w:i/>
      <w:iCs/>
      <w:szCs w:val="21"/>
    </w:rPr>
  </w:style>
  <w:style w:type="character" w:styleId="879" w:customStyle="1">
    <w:name w:val="默认段落字体1"/>
    <w:uiPriority w:val="1"/>
    <w:unhideWhenUsed/>
    <w:qFormat/>
  </w:style>
  <w:style w:type="table" w:styleId="880" w:customStyle="1">
    <w:name w:val="普通表格1"/>
    <w:uiPriority w:val="99"/>
    <w:unhideWhenUsed/>
    <w:qFormat/>
    <w:tblPr>
      <w:tblCellMar>
        <w:left w:w="0" w:type="dxa"/>
        <w:top w:w="0" w:type="dxa"/>
        <w:right w:w="0" w:type="dxa"/>
        <w:bottom w:w="0" w:type="dxa"/>
      </w:tblCellMar>
    </w:tblPr>
  </w:style>
  <w:style w:type="character" w:styleId="881" w:customStyle="1">
    <w:name w:val="标题 1 字符"/>
    <w:link w:val="869"/>
    <w:uiPriority w:val="0"/>
    <w:qFormat/>
    <w:rPr>
      <w:rFonts w:ascii="Arial" w:hAnsi="Arial" w:eastAsia="Arial" w:cs="Arial"/>
      <w:sz w:val="40"/>
      <w:szCs w:val="40"/>
    </w:rPr>
  </w:style>
  <w:style w:type="character" w:styleId="882" w:customStyle="1">
    <w:name w:val="标题 2 字符"/>
    <w:link w:val="870"/>
    <w:uiPriority w:val="0"/>
    <w:qFormat/>
    <w:rPr>
      <w:rFonts w:ascii="Arial" w:hAnsi="Arial" w:eastAsia="Arial" w:cs="Arial"/>
      <w:sz w:val="34"/>
    </w:rPr>
  </w:style>
  <w:style w:type="character" w:styleId="883" w:customStyle="1">
    <w:name w:val="正文缩进 字符"/>
    <w:link w:val="871"/>
    <w:uiPriority w:val="0"/>
    <w:qFormat/>
    <w:rPr>
      <w:rFonts w:ascii="宋体" w:hAnsi="Calibri"/>
      <w:color w:val="000000"/>
      <w:sz w:val="24"/>
    </w:rPr>
  </w:style>
  <w:style w:type="character" w:styleId="884" w:customStyle="1">
    <w:name w:val="标题 3 字符"/>
    <w:link w:val="872"/>
    <w:uiPriority w:val="0"/>
    <w:qFormat/>
    <w:rPr>
      <w:rFonts w:ascii="Arial" w:hAnsi="Arial" w:eastAsia="Arial" w:cs="Arial"/>
      <w:sz w:val="30"/>
      <w:szCs w:val="30"/>
    </w:rPr>
  </w:style>
  <w:style w:type="character" w:styleId="885" w:customStyle="1">
    <w:name w:val="标题 4 字符"/>
    <w:link w:val="873"/>
    <w:uiPriority w:val="0"/>
    <w:qFormat/>
    <w:rPr>
      <w:rFonts w:ascii="Arial" w:hAnsi="Arial" w:eastAsia="Arial" w:cs="Arial"/>
      <w:b/>
      <w:bCs/>
      <w:sz w:val="26"/>
      <w:szCs w:val="26"/>
    </w:rPr>
  </w:style>
  <w:style w:type="character" w:styleId="886" w:customStyle="1">
    <w:name w:val="标题 5 字符"/>
    <w:link w:val="874"/>
    <w:uiPriority w:val="0"/>
    <w:qFormat/>
    <w:rPr>
      <w:rFonts w:ascii="Arial" w:hAnsi="Arial" w:eastAsia="Arial" w:cs="Arial"/>
      <w:b/>
      <w:bCs/>
      <w:sz w:val="24"/>
      <w:szCs w:val="24"/>
    </w:rPr>
  </w:style>
  <w:style w:type="character" w:styleId="887" w:customStyle="1">
    <w:name w:val="标题 6 字符"/>
    <w:link w:val="875"/>
    <w:uiPriority w:val="0"/>
    <w:qFormat/>
    <w:rPr>
      <w:rFonts w:ascii="Arial" w:hAnsi="Arial" w:eastAsia="Arial" w:cs="Arial"/>
      <w:b/>
      <w:bCs/>
      <w:sz w:val="22"/>
      <w:szCs w:val="22"/>
    </w:rPr>
  </w:style>
  <w:style w:type="character" w:styleId="888" w:customStyle="1">
    <w:name w:val="标题 7 字符"/>
    <w:link w:val="876"/>
    <w:uiPriority w:val="0"/>
    <w:qFormat/>
    <w:rPr>
      <w:rFonts w:ascii="Arial" w:hAnsi="Arial" w:eastAsia="Arial" w:cs="Arial"/>
      <w:b/>
      <w:bCs/>
      <w:i/>
      <w:iCs/>
      <w:sz w:val="22"/>
      <w:szCs w:val="22"/>
    </w:rPr>
  </w:style>
  <w:style w:type="character" w:styleId="889" w:customStyle="1">
    <w:name w:val="标题 8 字符"/>
    <w:link w:val="877"/>
    <w:uiPriority w:val="0"/>
    <w:qFormat/>
    <w:rPr>
      <w:rFonts w:ascii="Arial" w:hAnsi="Arial" w:eastAsia="Arial" w:cs="Arial"/>
      <w:i/>
      <w:iCs/>
      <w:sz w:val="22"/>
      <w:szCs w:val="22"/>
    </w:rPr>
  </w:style>
  <w:style w:type="character" w:styleId="890" w:customStyle="1">
    <w:name w:val="标题 9 字符"/>
    <w:link w:val="878"/>
    <w:uiPriority w:val="0"/>
    <w:qFormat/>
    <w:rPr>
      <w:rFonts w:ascii="Arial" w:hAnsi="Arial" w:eastAsia="Arial" w:cs="Arial"/>
      <w:i/>
      <w:iCs/>
      <w:sz w:val="21"/>
      <w:szCs w:val="21"/>
    </w:rPr>
  </w:style>
  <w:style w:type="paragraph" w:styleId="891" w:customStyle="1">
    <w:name w:val="列表 31"/>
    <w:basedOn w:val="784"/>
    <w:uiPriority w:val="0"/>
    <w:qFormat/>
    <w:pPr>
      <w:ind w:left="100" w:hanging="200"/>
    </w:pPr>
    <w:rPr>
      <w:rFonts w:ascii="Times New Roman" w:hAnsi="Times New Roman"/>
      <w:szCs w:val="21"/>
    </w:rPr>
  </w:style>
  <w:style w:type="paragraph" w:styleId="892" w:customStyle="1">
    <w:name w:val="目录 71"/>
    <w:basedOn w:val="784"/>
    <w:next w:val="784"/>
    <w:uiPriority w:val="0"/>
    <w:unhideWhenUsed/>
    <w:qFormat/>
    <w:pPr>
      <w:ind w:left="1701"/>
      <w:spacing w:after="57"/>
    </w:pPr>
  </w:style>
  <w:style w:type="paragraph" w:styleId="893" w:customStyle="1">
    <w:name w:val="题注1"/>
    <w:basedOn w:val="784"/>
    <w:next w:val="784"/>
    <w:uiPriority w:val="35"/>
    <w:qFormat/>
    <w:pPr>
      <w:spacing w:line="276" w:lineRule="auto"/>
    </w:pPr>
    <w:rPr>
      <w:b/>
      <w:bCs/>
      <w:color w:val="5b9bd5"/>
      <w:sz w:val="18"/>
      <w:szCs w:val="18"/>
    </w:rPr>
  </w:style>
  <w:style w:type="paragraph" w:styleId="894" w:customStyle="1">
    <w:name w:val="文档结构图1"/>
    <w:basedOn w:val="784"/>
    <w:link w:val="895"/>
    <w:uiPriority w:val="0"/>
    <w:semiHidden/>
    <w:qFormat/>
    <w:pPr>
      <w:shd w:val="clear" w:color="auto" w:fill="000080"/>
    </w:pPr>
    <w:rPr>
      <w:rFonts w:ascii="Times New Roman" w:hAnsi="Times New Roman"/>
      <w:szCs w:val="21"/>
    </w:rPr>
  </w:style>
  <w:style w:type="character" w:styleId="895" w:customStyle="1">
    <w:name w:val="文档结构图 字符"/>
    <w:link w:val="894"/>
    <w:uiPriority w:val="0"/>
    <w:semiHidden/>
    <w:qFormat/>
    <w:rPr>
      <w:sz w:val="21"/>
      <w:szCs w:val="21"/>
      <w:shd w:val="clear" w:color="auto" w:fill="000080"/>
    </w:rPr>
  </w:style>
  <w:style w:type="paragraph" w:styleId="896" w:customStyle="1">
    <w:name w:val="批注文字1"/>
    <w:basedOn w:val="784"/>
    <w:link w:val="897"/>
    <w:uiPriority w:val="0"/>
    <w:semiHidden/>
    <w:qFormat/>
    <w:pPr>
      <w:jc w:val="left"/>
    </w:pPr>
    <w:rPr>
      <w:rFonts w:ascii="Times New Roman" w:hAnsi="Times New Roman"/>
      <w:szCs w:val="21"/>
    </w:rPr>
  </w:style>
  <w:style w:type="character" w:styleId="897" w:customStyle="1">
    <w:name w:val="批注文字 字符"/>
    <w:link w:val="896"/>
    <w:uiPriority w:val="0"/>
    <w:semiHidden/>
    <w:qFormat/>
    <w:rPr>
      <w:sz w:val="21"/>
      <w:szCs w:val="21"/>
    </w:rPr>
  </w:style>
  <w:style w:type="paragraph" w:styleId="898" w:customStyle="1">
    <w:name w:val="正文文本 31"/>
    <w:basedOn w:val="784"/>
    <w:link w:val="899"/>
    <w:uiPriority w:val="0"/>
    <w:qFormat/>
    <w:rPr>
      <w:rFonts w:ascii="仿宋_GB2312" w:hAnsi="Arial" w:eastAsia="仿宋_GB2312"/>
      <w:sz w:val="32"/>
      <w:szCs w:val="32"/>
    </w:rPr>
  </w:style>
  <w:style w:type="character" w:styleId="899" w:customStyle="1">
    <w:name w:val="正文文本 3 字符"/>
    <w:link w:val="898"/>
    <w:uiPriority w:val="0"/>
    <w:qFormat/>
    <w:rPr>
      <w:rFonts w:ascii="仿宋_GB2312" w:hAnsi="Arial" w:eastAsia="仿宋_GB2312"/>
      <w:sz w:val="32"/>
      <w:szCs w:val="32"/>
    </w:rPr>
  </w:style>
  <w:style w:type="paragraph" w:styleId="900" w:customStyle="1">
    <w:name w:val="正文文本111"/>
    <w:basedOn w:val="784"/>
    <w:uiPriority w:val="0"/>
    <w:semiHidden/>
    <w:qFormat/>
    <w:rPr>
      <w:rFonts w:ascii="仿宋" w:hAnsi="仿宋" w:eastAsia="仿宋" w:cs="仿宋"/>
      <w:sz w:val="32"/>
      <w:szCs w:val="32"/>
      <w:lang w:eastAsia="en-US"/>
    </w:rPr>
  </w:style>
  <w:style w:type="paragraph" w:styleId="901" w:customStyle="1">
    <w:name w:val="正文文本缩进11"/>
    <w:basedOn w:val="784"/>
    <w:link w:val="902"/>
    <w:uiPriority w:val="0"/>
    <w:qFormat/>
    <w:pPr>
      <w:ind w:firstLine="225"/>
    </w:pPr>
    <w:rPr>
      <w:rFonts w:ascii="仿宋_GB2312" w:eastAsia="仿宋_GB2312"/>
      <w:sz w:val="32"/>
    </w:rPr>
  </w:style>
  <w:style w:type="character" w:styleId="902" w:customStyle="1">
    <w:name w:val="正文文本缩进 字符1"/>
    <w:link w:val="901"/>
    <w:uiPriority w:val="0"/>
    <w:qFormat/>
    <w:rPr>
      <w:rFonts w:ascii="仿宋_GB2312" w:hAnsi="Calibri" w:eastAsia="仿宋_GB2312"/>
      <w:sz w:val="32"/>
      <w:szCs w:val="22"/>
    </w:rPr>
  </w:style>
  <w:style w:type="paragraph" w:styleId="903" w:customStyle="1">
    <w:name w:val="列表 21"/>
    <w:basedOn w:val="784"/>
    <w:uiPriority w:val="0"/>
    <w:qFormat/>
    <w:pPr>
      <w:ind w:left="100" w:hanging="200"/>
    </w:pPr>
    <w:rPr>
      <w:rFonts w:ascii="Times New Roman" w:hAnsi="Times New Roman"/>
      <w:szCs w:val="21"/>
    </w:rPr>
  </w:style>
  <w:style w:type="paragraph" w:styleId="904" w:customStyle="1">
    <w:name w:val="目录 51"/>
    <w:basedOn w:val="784"/>
    <w:next w:val="784"/>
    <w:uiPriority w:val="0"/>
    <w:unhideWhenUsed/>
    <w:qFormat/>
    <w:pPr>
      <w:ind w:left="1134"/>
      <w:spacing w:after="57"/>
    </w:pPr>
  </w:style>
  <w:style w:type="paragraph" w:styleId="905" w:customStyle="1">
    <w:name w:val="目录 31"/>
    <w:basedOn w:val="784"/>
    <w:next w:val="784"/>
    <w:uiPriority w:val="0"/>
    <w:unhideWhenUsed/>
    <w:qFormat/>
    <w:pPr>
      <w:ind w:left="567"/>
      <w:spacing w:after="57"/>
    </w:pPr>
  </w:style>
  <w:style w:type="paragraph" w:styleId="906" w:customStyle="1">
    <w:name w:val="纯文本11"/>
    <w:basedOn w:val="784"/>
    <w:link w:val="907"/>
    <w:uiPriority w:val="0"/>
    <w:qFormat/>
    <w:rPr>
      <w:rFonts w:ascii="宋体" w:hAnsi="Courier New" w:cs="Courier New"/>
      <w:szCs w:val="21"/>
    </w:rPr>
  </w:style>
  <w:style w:type="character" w:styleId="907" w:customStyle="1">
    <w:name w:val="纯文本 字符"/>
    <w:link w:val="906"/>
    <w:uiPriority w:val="0"/>
    <w:qFormat/>
    <w:rPr>
      <w:rFonts w:ascii="宋体" w:hAnsi="Courier New" w:cs="Courier New"/>
      <w:sz w:val="21"/>
      <w:szCs w:val="21"/>
    </w:rPr>
  </w:style>
  <w:style w:type="paragraph" w:styleId="908" w:customStyle="1">
    <w:name w:val="目录 81"/>
    <w:basedOn w:val="784"/>
    <w:next w:val="784"/>
    <w:uiPriority w:val="0"/>
    <w:unhideWhenUsed/>
    <w:qFormat/>
    <w:pPr>
      <w:ind w:left="1984"/>
      <w:spacing w:after="57"/>
    </w:pPr>
  </w:style>
  <w:style w:type="paragraph" w:styleId="909" w:customStyle="1">
    <w:name w:val="日期1"/>
    <w:basedOn w:val="784"/>
    <w:next w:val="784"/>
    <w:link w:val="910"/>
    <w:uiPriority w:val="0"/>
    <w:qFormat/>
    <w:rPr>
      <w:rFonts w:ascii="Times New Roman" w:hAnsi="Times New Roman"/>
      <w:sz w:val="24"/>
      <w:szCs w:val="24"/>
    </w:rPr>
  </w:style>
  <w:style w:type="character" w:styleId="910" w:customStyle="1">
    <w:name w:val="日期 字符"/>
    <w:link w:val="909"/>
    <w:uiPriority w:val="0"/>
    <w:qFormat/>
    <w:rPr>
      <w:sz w:val="24"/>
      <w:szCs w:val="24"/>
    </w:rPr>
  </w:style>
  <w:style w:type="paragraph" w:styleId="911" w:customStyle="1">
    <w:name w:val="正文文本缩进 21"/>
    <w:basedOn w:val="784"/>
    <w:link w:val="912"/>
    <w:uiPriority w:val="0"/>
    <w:qFormat/>
    <w:pPr>
      <w:ind w:left="630" w:firstLine="645"/>
    </w:pPr>
    <w:rPr>
      <w:rFonts w:ascii="Arial" w:hAnsi="Arial" w:eastAsia="仿宋_GB2312" w:cs="Arial"/>
      <w:sz w:val="32"/>
      <w:szCs w:val="32"/>
    </w:rPr>
  </w:style>
  <w:style w:type="character" w:styleId="912" w:customStyle="1">
    <w:name w:val="正文文本缩进 2 字符"/>
    <w:link w:val="911"/>
    <w:uiPriority w:val="0"/>
    <w:qFormat/>
    <w:rPr>
      <w:rFonts w:ascii="Arial" w:hAnsi="Arial" w:eastAsia="仿宋_GB2312" w:cs="Arial"/>
      <w:sz w:val="32"/>
      <w:szCs w:val="32"/>
    </w:rPr>
  </w:style>
  <w:style w:type="paragraph" w:styleId="913" w:customStyle="1">
    <w:name w:val="尾注文本1"/>
    <w:basedOn w:val="784"/>
    <w:link w:val="914"/>
    <w:uiPriority w:val="99"/>
    <w:unhideWhenUsed/>
    <w:qFormat/>
    <w:rPr>
      <w:sz w:val="20"/>
    </w:rPr>
  </w:style>
  <w:style w:type="character" w:styleId="914" w:customStyle="1">
    <w:name w:val="尾注文本 字符"/>
    <w:link w:val="913"/>
    <w:uiPriority w:val="99"/>
    <w:qFormat/>
    <w:rPr>
      <w:sz w:val="20"/>
    </w:rPr>
  </w:style>
  <w:style w:type="paragraph" w:styleId="915" w:customStyle="1">
    <w:name w:val="批注框文本1"/>
    <w:basedOn w:val="784"/>
    <w:link w:val="916"/>
    <w:uiPriority w:val="0"/>
    <w:qFormat/>
    <w:rPr>
      <w:rFonts w:ascii="Times New Roman" w:hAnsi="Times New Roman"/>
      <w:sz w:val="18"/>
      <w:szCs w:val="18"/>
    </w:rPr>
  </w:style>
  <w:style w:type="character" w:styleId="916" w:customStyle="1">
    <w:name w:val="批注框文本 字符"/>
    <w:link w:val="915"/>
    <w:uiPriority w:val="0"/>
    <w:qFormat/>
    <w:rPr>
      <w:sz w:val="18"/>
      <w:szCs w:val="18"/>
    </w:rPr>
  </w:style>
  <w:style w:type="paragraph" w:styleId="917" w:customStyle="1">
    <w:name w:val="页脚11"/>
    <w:basedOn w:val="784"/>
    <w:link w:val="918"/>
    <w:uiPriority w:val="99"/>
    <w:qFormat/>
    <w:pPr>
      <w:jc w:val="left"/>
      <w:tabs>
        <w:tab w:val="center" w:pos="4153" w:leader="none"/>
        <w:tab w:val="right" w:pos="8306" w:leader="none"/>
      </w:tabs>
    </w:pPr>
    <w:rPr>
      <w:sz w:val="18"/>
      <w:szCs w:val="18"/>
    </w:rPr>
  </w:style>
  <w:style w:type="character" w:styleId="918" w:customStyle="1">
    <w:name w:val="页脚 字符"/>
    <w:link w:val="917"/>
    <w:uiPriority w:val="99"/>
    <w:qFormat/>
  </w:style>
  <w:style w:type="paragraph" w:styleId="919" w:customStyle="1">
    <w:name w:val="页眉1"/>
    <w:basedOn w:val="784"/>
    <w:link w:val="920"/>
    <w:uiPriority w:val="0"/>
    <w:qFormat/>
    <w:pPr>
      <w:jc w:val="center"/>
      <w:tabs>
        <w:tab w:val="center" w:pos="4153" w:leader="none"/>
        <w:tab w:val="right" w:pos="8306" w:leader="none"/>
      </w:tabs>
    </w:pPr>
    <w:rPr>
      <w:sz w:val="18"/>
      <w:szCs w:val="18"/>
    </w:rPr>
  </w:style>
  <w:style w:type="character" w:styleId="920" w:customStyle="1">
    <w:name w:val="页眉 字符"/>
    <w:link w:val="919"/>
    <w:uiPriority w:val="0"/>
    <w:qFormat/>
    <w:rPr>
      <w:rFonts w:ascii="Calibri" w:hAnsi="Calibri"/>
      <w:sz w:val="18"/>
      <w:szCs w:val="18"/>
    </w:rPr>
  </w:style>
  <w:style w:type="paragraph" w:styleId="921" w:customStyle="1">
    <w:name w:val="目录 11"/>
    <w:basedOn w:val="784"/>
    <w:next w:val="784"/>
    <w:uiPriority w:val="0"/>
    <w:qFormat/>
    <w:pPr>
      <w:jc w:val="left"/>
      <w:spacing w:before="120" w:after="120"/>
    </w:pPr>
    <w:rPr>
      <w:rFonts w:cs="Calibri"/>
      <w:b/>
      <w:bCs/>
      <w:caps/>
      <w:sz w:val="20"/>
      <w:szCs w:val="20"/>
    </w:rPr>
  </w:style>
  <w:style w:type="paragraph" w:styleId="922" w:customStyle="1">
    <w:name w:val="目录 41"/>
    <w:basedOn w:val="784"/>
    <w:next w:val="784"/>
    <w:uiPriority w:val="0"/>
    <w:unhideWhenUsed/>
    <w:qFormat/>
    <w:pPr>
      <w:ind w:left="850"/>
      <w:spacing w:after="57"/>
    </w:pPr>
  </w:style>
  <w:style w:type="paragraph" w:styleId="923" w:customStyle="1">
    <w:name w:val="副标题1"/>
    <w:basedOn w:val="784"/>
    <w:next w:val="784"/>
    <w:link w:val="924"/>
    <w:uiPriority w:val="11"/>
    <w:qFormat/>
    <w:pPr>
      <w:spacing w:before="200" w:after="200"/>
    </w:pPr>
    <w:rPr>
      <w:sz w:val="24"/>
      <w:szCs w:val="24"/>
    </w:rPr>
  </w:style>
  <w:style w:type="character" w:styleId="924" w:customStyle="1">
    <w:name w:val="副标题 字符"/>
    <w:link w:val="923"/>
    <w:uiPriority w:val="11"/>
    <w:qFormat/>
    <w:rPr>
      <w:sz w:val="24"/>
      <w:szCs w:val="24"/>
    </w:rPr>
  </w:style>
  <w:style w:type="paragraph" w:styleId="925" w:customStyle="1">
    <w:name w:val="列表1"/>
    <w:basedOn w:val="784"/>
    <w:uiPriority w:val="0"/>
    <w:qFormat/>
    <w:pPr>
      <w:ind w:left="200" w:hanging="200"/>
    </w:pPr>
    <w:rPr>
      <w:rFonts w:ascii="Times New Roman" w:hAnsi="Times New Roman"/>
      <w:szCs w:val="21"/>
    </w:rPr>
  </w:style>
  <w:style w:type="paragraph" w:styleId="926" w:customStyle="1">
    <w:name w:val="脚注文本11"/>
    <w:basedOn w:val="784"/>
    <w:link w:val="927"/>
    <w:uiPriority w:val="99"/>
    <w:unhideWhenUsed/>
    <w:qFormat/>
    <w:pPr>
      <w:spacing w:after="40"/>
    </w:pPr>
    <w:rPr>
      <w:sz w:val="18"/>
    </w:rPr>
  </w:style>
  <w:style w:type="character" w:styleId="927" w:customStyle="1">
    <w:name w:val="脚注文本 字符"/>
    <w:link w:val="926"/>
    <w:uiPriority w:val="99"/>
    <w:qFormat/>
    <w:rPr>
      <w:sz w:val="18"/>
    </w:rPr>
  </w:style>
  <w:style w:type="paragraph" w:styleId="928" w:customStyle="1">
    <w:name w:val="目录 61"/>
    <w:basedOn w:val="784"/>
    <w:next w:val="784"/>
    <w:uiPriority w:val="0"/>
    <w:unhideWhenUsed/>
    <w:qFormat/>
    <w:pPr>
      <w:ind w:left="1417"/>
      <w:spacing w:after="57"/>
    </w:pPr>
  </w:style>
  <w:style w:type="paragraph" w:styleId="929" w:customStyle="1">
    <w:name w:val="正文文本缩进 31"/>
    <w:basedOn w:val="784"/>
    <w:link w:val="930"/>
    <w:uiPriority w:val="0"/>
    <w:qFormat/>
    <w:pPr>
      <w:ind w:left="645" w:firstLine="645"/>
    </w:pPr>
    <w:rPr>
      <w:rFonts w:ascii="Arial" w:hAnsi="Arial" w:eastAsia="仿宋_GB2312" w:cs="Arial"/>
      <w:color w:val="ffff00"/>
      <w:sz w:val="32"/>
      <w:szCs w:val="32"/>
    </w:rPr>
  </w:style>
  <w:style w:type="character" w:styleId="930" w:customStyle="1">
    <w:name w:val="正文文本缩进 3 字符"/>
    <w:link w:val="929"/>
    <w:uiPriority w:val="0"/>
    <w:qFormat/>
    <w:rPr>
      <w:rFonts w:ascii="Arial" w:hAnsi="Arial" w:eastAsia="仿宋_GB2312" w:cs="Arial"/>
      <w:color w:val="ffff00"/>
      <w:sz w:val="32"/>
      <w:szCs w:val="32"/>
    </w:rPr>
  </w:style>
  <w:style w:type="paragraph" w:styleId="931" w:customStyle="1">
    <w:name w:val="图表目录1"/>
    <w:basedOn w:val="784"/>
    <w:next w:val="784"/>
    <w:uiPriority w:val="0"/>
    <w:unhideWhenUsed/>
    <w:qFormat/>
  </w:style>
  <w:style w:type="paragraph" w:styleId="932" w:customStyle="1">
    <w:name w:val="目录 21"/>
    <w:basedOn w:val="784"/>
    <w:next w:val="784"/>
    <w:uiPriority w:val="0"/>
    <w:qFormat/>
    <w:pPr>
      <w:ind w:left="210"/>
      <w:jc w:val="left"/>
    </w:pPr>
    <w:rPr>
      <w:rFonts w:cs="Calibri"/>
      <w:smallCaps/>
      <w:sz w:val="20"/>
      <w:szCs w:val="20"/>
    </w:rPr>
  </w:style>
  <w:style w:type="paragraph" w:styleId="933" w:customStyle="1">
    <w:name w:val="目录 91"/>
    <w:basedOn w:val="784"/>
    <w:next w:val="784"/>
    <w:uiPriority w:val="0"/>
    <w:unhideWhenUsed/>
    <w:qFormat/>
    <w:pPr>
      <w:ind w:left="2268"/>
      <w:spacing w:after="57"/>
    </w:pPr>
  </w:style>
  <w:style w:type="paragraph" w:styleId="934" w:customStyle="1">
    <w:name w:val="正文文本 21"/>
    <w:basedOn w:val="784"/>
    <w:link w:val="935"/>
    <w:uiPriority w:val="0"/>
    <w:qFormat/>
    <w:pPr>
      <w:jc w:val="center"/>
      <w:widowControl/>
    </w:pPr>
    <w:rPr>
      <w:rFonts w:ascii="楷体_GB2312" w:hAnsi="Times New Roman" w:eastAsia="楷体_GB2312"/>
      <w:sz w:val="28"/>
      <w:szCs w:val="28"/>
    </w:rPr>
  </w:style>
  <w:style w:type="character" w:styleId="935" w:customStyle="1">
    <w:name w:val="正文文本 2 字符"/>
    <w:link w:val="934"/>
    <w:uiPriority w:val="0"/>
    <w:qFormat/>
    <w:rPr>
      <w:rFonts w:ascii="楷体_GB2312" w:eastAsia="楷体_GB2312"/>
      <w:sz w:val="28"/>
      <w:szCs w:val="28"/>
    </w:rPr>
  </w:style>
  <w:style w:type="paragraph" w:styleId="936" w:customStyle="1">
    <w:name w:val="HTML 预设格式1"/>
    <w:basedOn w:val="784"/>
    <w:link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7" w:customStyle="1">
    <w:name w:val="HTML 预设格式 字符"/>
    <w:link w:val="936"/>
    <w:uiPriority w:val="99"/>
    <w:qFormat/>
    <w:rPr>
      <w:rFonts w:ascii="宋体" w:hAnsi="宋体"/>
      <w:sz w:val="24"/>
      <w:szCs w:val="24"/>
    </w:rPr>
  </w:style>
  <w:style w:type="paragraph" w:styleId="938" w:customStyle="1">
    <w:name w:val="普通(网站)111"/>
    <w:basedOn w:val="784"/>
    <w:uiPriority w:val="99"/>
    <w:qFormat/>
    <w:pPr>
      <w:jc w:val="left"/>
      <w:spacing w:before="100" w:beforeAutospacing="1" w:after="100" w:afterAutospacing="1"/>
      <w:widowControl/>
    </w:pPr>
    <w:rPr>
      <w:rFonts w:ascii="宋体" w:hAnsi="宋体" w:cs="宋体"/>
      <w:sz w:val="24"/>
      <w:szCs w:val="24"/>
    </w:rPr>
  </w:style>
  <w:style w:type="paragraph" w:styleId="939" w:customStyle="1">
    <w:name w:val="索引 11"/>
    <w:basedOn w:val="784"/>
    <w:next w:val="784"/>
    <w:uiPriority w:val="0"/>
    <w:semiHidden/>
    <w:qFormat/>
    <w:pPr>
      <w:spacing w:line="240" w:lineRule="atLeast"/>
    </w:pPr>
    <w:rPr>
      <w:rFonts w:ascii="Times New Roman" w:hAnsi="Times New Roman"/>
      <w:b/>
      <w:bCs/>
      <w:szCs w:val="21"/>
    </w:rPr>
  </w:style>
  <w:style w:type="paragraph" w:styleId="940" w:customStyle="1">
    <w:name w:val="标题11"/>
    <w:basedOn w:val="784"/>
    <w:next w:val="784"/>
    <w:link w:val="941"/>
    <w:uiPriority w:val="10"/>
    <w:qFormat/>
    <w:pPr>
      <w:contextualSpacing/>
      <w:spacing w:before="300" w:after="200"/>
    </w:pPr>
    <w:rPr>
      <w:sz w:val="48"/>
      <w:szCs w:val="48"/>
    </w:rPr>
  </w:style>
  <w:style w:type="character" w:styleId="941" w:customStyle="1">
    <w:name w:val="标题 字符"/>
    <w:link w:val="940"/>
    <w:uiPriority w:val="10"/>
    <w:qFormat/>
    <w:rPr>
      <w:sz w:val="48"/>
      <w:szCs w:val="48"/>
    </w:rPr>
  </w:style>
  <w:style w:type="paragraph" w:styleId="942" w:customStyle="1">
    <w:name w:val="批注主题1"/>
    <w:basedOn w:val="896"/>
    <w:next w:val="896"/>
    <w:link w:val="943"/>
    <w:uiPriority w:val="0"/>
    <w:semiHidden/>
    <w:qFormat/>
    <w:rPr>
      <w:b/>
      <w:bCs/>
    </w:rPr>
  </w:style>
  <w:style w:type="character" w:styleId="943" w:customStyle="1">
    <w:name w:val="批注主题 字符"/>
    <w:link w:val="942"/>
    <w:uiPriority w:val="0"/>
    <w:semiHidden/>
    <w:qFormat/>
    <w:rPr>
      <w:b/>
      <w:bCs/>
      <w:sz w:val="21"/>
      <w:szCs w:val="21"/>
    </w:rPr>
  </w:style>
  <w:style w:type="paragraph" w:styleId="944" w:customStyle="1">
    <w:name w:val="正文首行缩进 211"/>
    <w:basedOn w:val="901"/>
    <w:link w:val="945"/>
    <w:uiPriority w:val="0"/>
    <w:qFormat/>
    <w:pPr>
      <w:ind w:firstLine="420"/>
      <w:spacing w:line="360" w:lineRule="auto"/>
    </w:pPr>
    <w:rPr>
      <w:rFonts w:ascii="宋体" w:hAnsi="宋体" w:eastAsia="宋体"/>
      <w:sz w:val="21"/>
      <w:szCs w:val="20"/>
    </w:rPr>
  </w:style>
  <w:style w:type="character" w:styleId="945" w:customStyle="1">
    <w:name w:val="正文文本首行缩进 2 字符"/>
    <w:link w:val="944"/>
    <w:uiPriority w:val="0"/>
    <w:qFormat/>
    <w:rPr>
      <w:rFonts w:ascii="宋体" w:hAnsi="宋体" w:eastAsia="仿宋_GB2312"/>
      <w:sz w:val="21"/>
      <w:szCs w:val="22"/>
    </w:rPr>
  </w:style>
  <w:style w:type="table" w:styleId="946" w:customStyle="1">
    <w:name w:val="网格型1"/>
    <w:basedOn w:val="880"/>
    <w:uiPriority w:val="0"/>
    <w:qFormat/>
    <w:pPr>
      <w:jc w:val="both"/>
      <w:widowControl w:val="off"/>
    </w:pPr>
    <w:tblPr>
      <w:tblCellMar>
        <w:left w:w="0" w:type="dxa"/>
        <w:top w:w="0" w:type="dxa"/>
        <w:right w:w="0" w:type="dxa"/>
        <w:bottom w:w="0" w:type="dxa"/>
      </w:tblCellMar>
    </w:tblPr>
  </w:style>
  <w:style w:type="character" w:styleId="947" w:customStyle="1">
    <w:name w:val="要点1"/>
    <w:uiPriority w:val="0"/>
    <w:qFormat/>
    <w:rPr>
      <w:b/>
      <w:bCs/>
    </w:rPr>
  </w:style>
  <w:style w:type="character" w:styleId="948" w:customStyle="1">
    <w:name w:val="尾注引用1"/>
    <w:uiPriority w:val="99"/>
    <w:unhideWhenUsed/>
    <w:qFormat/>
    <w:rPr>
      <w:vertAlign w:val="superscript"/>
    </w:rPr>
  </w:style>
  <w:style w:type="character" w:styleId="949" w:customStyle="1">
    <w:name w:val="页码11"/>
    <w:uiPriority w:val="0"/>
    <w:qFormat/>
  </w:style>
  <w:style w:type="character" w:styleId="950" w:customStyle="1">
    <w:name w:val="已访问的超链接1"/>
    <w:uiPriority w:val="0"/>
    <w:qFormat/>
    <w:rPr>
      <w:color w:val="800080"/>
      <w:u w:val="single"/>
    </w:rPr>
  </w:style>
  <w:style w:type="character" w:styleId="951" w:customStyle="1">
    <w:name w:val="超链接1"/>
    <w:uiPriority w:val="0"/>
    <w:qFormat/>
    <w:rPr>
      <w:color w:val="0000ff"/>
      <w:u w:val="single"/>
    </w:rPr>
  </w:style>
  <w:style w:type="character" w:styleId="952" w:customStyle="1">
    <w:name w:val="批注引用1"/>
    <w:uiPriority w:val="0"/>
    <w:semiHidden/>
    <w:qFormat/>
    <w:rPr>
      <w:sz w:val="21"/>
      <w:szCs w:val="21"/>
    </w:rPr>
  </w:style>
  <w:style w:type="character" w:styleId="953" w:customStyle="1">
    <w:name w:val="脚注引用1"/>
    <w:uiPriority w:val="99"/>
    <w:unhideWhenUsed/>
    <w:qFormat/>
    <w:rPr>
      <w:vertAlign w:val="superscript"/>
    </w:rPr>
  </w:style>
  <w:style w:type="paragraph" w:styleId="954" w:customStyle="1">
    <w:name w:val="正文首行缩进 21"/>
    <w:basedOn w:val="955"/>
    <w:next w:val="784"/>
    <w:uiPriority w:val="0"/>
    <w:qFormat/>
    <w:pPr>
      <w:ind w:firstLine="420"/>
      <w:spacing w:line="360" w:lineRule="auto"/>
    </w:pPr>
    <w:rPr>
      <w:rFonts w:ascii="宋体" w:hAnsi="宋体" w:eastAsia="宋体"/>
      <w:sz w:val="21"/>
      <w:szCs w:val="20"/>
    </w:rPr>
  </w:style>
  <w:style w:type="paragraph" w:styleId="955" w:customStyle="1">
    <w:name w:val="正文文本缩进1"/>
    <w:basedOn w:val="784"/>
    <w:next w:val="956"/>
    <w:uiPriority w:val="0"/>
    <w:qFormat/>
    <w:pPr>
      <w:ind w:firstLine="645"/>
    </w:pPr>
    <w:rPr>
      <w:rFonts w:ascii="楷体_GB2312" w:eastAsia="楷体_GB2312"/>
      <w:sz w:val="32"/>
      <w:szCs w:val="32"/>
    </w:rPr>
  </w:style>
  <w:style w:type="paragraph" w:styleId="956" w:customStyle="1">
    <w:name w:val="寄信人地址1"/>
    <w:basedOn w:val="784"/>
    <w:uiPriority w:val="0"/>
    <w:qFormat/>
    <w:rPr>
      <w:rFonts w:ascii="Arial" w:hAnsi="Arial"/>
    </w:rPr>
  </w:style>
  <w:style w:type="paragraph" w:styleId="957" w:customStyle="1">
    <w:name w:val="标题 41"/>
    <w:basedOn w:val="958"/>
    <w:next w:val="78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8" w:customStyle="1">
    <w:name w:val="Normal_20"/>
    <w:uiPriority w:val="0"/>
    <w:qFormat/>
    <w:rPr>
      <w:rFonts w:hint="default" w:ascii="黑体" w:hAnsi="黑体" w:eastAsia="黑体" w:cs="黑体"/>
      <w:b/>
      <w:sz w:val="32"/>
      <w:szCs w:val="24"/>
      <w:lang w:val="en-US" w:eastAsia="zh-CN" w:bidi="ar-SA"/>
    </w:rPr>
  </w:style>
  <w:style w:type="paragraph" w:styleId="959" w:customStyle="1">
    <w:name w:val="Body Text First Indent_2"/>
    <w:basedOn w:val="958"/>
    <w:uiPriority w:val="0"/>
    <w:qFormat/>
    <w:pPr>
      <w:ind w:firstLine="100"/>
      <w:spacing w:after="120"/>
    </w:pPr>
  </w:style>
  <w:style w:type="table" w:styleId="960" w:customStyle="1">
    <w:name w:val="无格式表格 11"/>
    <w:basedOn w:val="880"/>
    <w:uiPriority w:val="59"/>
    <w:qFormat/>
    <w:tblPr>
      <w:tblCellMar>
        <w:left w:w="0" w:type="dxa"/>
        <w:top w:w="0" w:type="dxa"/>
        <w:right w:w="0" w:type="dxa"/>
        <w:bottom w:w="0" w:type="dxa"/>
      </w:tblCellMar>
    </w:tblPr>
  </w:style>
  <w:style w:type="table" w:styleId="961" w:customStyle="1">
    <w:name w:val="无格式表格 21"/>
    <w:basedOn w:val="880"/>
    <w:uiPriority w:val="59"/>
    <w:qFormat/>
    <w:tblPr>
      <w:tblCellMar>
        <w:left w:w="0" w:type="dxa"/>
        <w:top w:w="0" w:type="dxa"/>
        <w:right w:w="0" w:type="dxa"/>
        <w:bottom w:w="0" w:type="dxa"/>
      </w:tblCellMar>
    </w:tblPr>
  </w:style>
  <w:style w:type="table" w:styleId="962" w:customStyle="1">
    <w:name w:val="无格式表格 31"/>
    <w:basedOn w:val="880"/>
    <w:uiPriority w:val="99"/>
    <w:qFormat/>
    <w:tblPr>
      <w:tblCellMar>
        <w:left w:w="0" w:type="dxa"/>
        <w:top w:w="0" w:type="dxa"/>
        <w:right w:w="0" w:type="dxa"/>
        <w:bottom w:w="0" w:type="dxa"/>
      </w:tblCellMar>
    </w:tblPr>
  </w:style>
  <w:style w:type="table" w:styleId="963" w:customStyle="1">
    <w:name w:val="无格式表格 41"/>
    <w:basedOn w:val="880"/>
    <w:uiPriority w:val="99"/>
    <w:qFormat/>
    <w:tblPr>
      <w:tblCellMar>
        <w:left w:w="0" w:type="dxa"/>
        <w:top w:w="0" w:type="dxa"/>
        <w:right w:w="0" w:type="dxa"/>
        <w:bottom w:w="0" w:type="dxa"/>
      </w:tblCellMar>
    </w:tblPr>
  </w:style>
  <w:style w:type="table" w:styleId="964" w:customStyle="1">
    <w:name w:val="无格式表格 51"/>
    <w:basedOn w:val="880"/>
    <w:uiPriority w:val="99"/>
    <w:qFormat/>
    <w:tblPr>
      <w:tblCellMar>
        <w:left w:w="0" w:type="dxa"/>
        <w:top w:w="0" w:type="dxa"/>
        <w:right w:w="0" w:type="dxa"/>
        <w:bottom w:w="0" w:type="dxa"/>
      </w:tblCellMar>
    </w:tblPr>
  </w:style>
  <w:style w:type="table" w:styleId="965" w:customStyle="1">
    <w:name w:val="网格表 1 浅色1"/>
    <w:basedOn w:val="880"/>
    <w:uiPriority w:val="99"/>
    <w:qFormat/>
    <w:tblPr>
      <w:tblCellMar>
        <w:left w:w="0" w:type="dxa"/>
        <w:top w:w="0" w:type="dxa"/>
        <w:right w:w="0" w:type="dxa"/>
        <w:bottom w:w="0" w:type="dxa"/>
      </w:tblCellMar>
    </w:tblPr>
  </w:style>
  <w:style w:type="table" w:styleId="966" w:customStyle="1">
    <w:name w:val="网格表 21"/>
    <w:basedOn w:val="880"/>
    <w:uiPriority w:val="99"/>
    <w:qFormat/>
    <w:tblPr>
      <w:tblCellMar>
        <w:left w:w="0" w:type="dxa"/>
        <w:top w:w="0" w:type="dxa"/>
        <w:right w:w="0" w:type="dxa"/>
        <w:bottom w:w="0" w:type="dxa"/>
      </w:tblCellMar>
    </w:tblPr>
  </w:style>
  <w:style w:type="table" w:styleId="967" w:customStyle="1">
    <w:name w:val="网格表 31"/>
    <w:basedOn w:val="880"/>
    <w:uiPriority w:val="99"/>
    <w:qFormat/>
    <w:tblPr>
      <w:tblCellMar>
        <w:left w:w="0" w:type="dxa"/>
        <w:top w:w="0" w:type="dxa"/>
        <w:right w:w="0" w:type="dxa"/>
        <w:bottom w:w="0" w:type="dxa"/>
      </w:tblCellMar>
    </w:tblPr>
  </w:style>
  <w:style w:type="table" w:styleId="968" w:customStyle="1">
    <w:name w:val="网格表 41"/>
    <w:basedOn w:val="880"/>
    <w:uiPriority w:val="59"/>
    <w:qFormat/>
    <w:tblPr>
      <w:tblCellMar>
        <w:left w:w="0" w:type="dxa"/>
        <w:top w:w="0" w:type="dxa"/>
        <w:right w:w="0" w:type="dxa"/>
        <w:bottom w:w="0" w:type="dxa"/>
      </w:tblCellMar>
    </w:tblPr>
  </w:style>
  <w:style w:type="table" w:styleId="969" w:customStyle="1">
    <w:name w:val="网格表 5 深色1"/>
    <w:basedOn w:val="880"/>
    <w:uiPriority w:val="99"/>
    <w:qFormat/>
    <w:tblPr>
      <w:tblCellMar>
        <w:left w:w="0" w:type="dxa"/>
        <w:top w:w="0" w:type="dxa"/>
        <w:right w:w="0" w:type="dxa"/>
        <w:bottom w:w="0" w:type="dxa"/>
      </w:tblCellMar>
    </w:tblPr>
  </w:style>
  <w:style w:type="table" w:styleId="970" w:customStyle="1">
    <w:name w:val="网格表 6 彩色1"/>
    <w:basedOn w:val="880"/>
    <w:uiPriority w:val="99"/>
    <w:qFormat/>
    <w:tblPr>
      <w:tblCellMar>
        <w:left w:w="0" w:type="dxa"/>
        <w:top w:w="0" w:type="dxa"/>
        <w:right w:w="0" w:type="dxa"/>
        <w:bottom w:w="0" w:type="dxa"/>
      </w:tblCellMar>
    </w:tblPr>
  </w:style>
  <w:style w:type="table" w:styleId="971" w:customStyle="1">
    <w:name w:val="网格表 7 彩色1"/>
    <w:basedOn w:val="880"/>
    <w:uiPriority w:val="99"/>
    <w:qFormat/>
    <w:tblPr>
      <w:tblCellMar>
        <w:left w:w="0" w:type="dxa"/>
        <w:top w:w="0" w:type="dxa"/>
        <w:right w:w="0" w:type="dxa"/>
        <w:bottom w:w="0" w:type="dxa"/>
      </w:tblCellMar>
    </w:tblPr>
  </w:style>
  <w:style w:type="table" w:styleId="972" w:customStyle="1">
    <w:name w:val="清单表 1 浅色1"/>
    <w:basedOn w:val="880"/>
    <w:uiPriority w:val="99"/>
    <w:qFormat/>
    <w:tblPr>
      <w:tblCellMar>
        <w:left w:w="0" w:type="dxa"/>
        <w:top w:w="0" w:type="dxa"/>
        <w:right w:w="0" w:type="dxa"/>
        <w:bottom w:w="0" w:type="dxa"/>
      </w:tblCellMar>
    </w:tblPr>
  </w:style>
  <w:style w:type="table" w:styleId="973" w:customStyle="1">
    <w:name w:val="清单表 21"/>
    <w:basedOn w:val="880"/>
    <w:uiPriority w:val="99"/>
    <w:qFormat/>
    <w:tblPr>
      <w:tblCellMar>
        <w:left w:w="0" w:type="dxa"/>
        <w:top w:w="0" w:type="dxa"/>
        <w:right w:w="0" w:type="dxa"/>
        <w:bottom w:w="0" w:type="dxa"/>
      </w:tblCellMar>
    </w:tblPr>
  </w:style>
  <w:style w:type="table" w:styleId="974" w:customStyle="1">
    <w:name w:val="清单表 31"/>
    <w:basedOn w:val="880"/>
    <w:uiPriority w:val="99"/>
    <w:qFormat/>
    <w:tblPr>
      <w:tblCellMar>
        <w:left w:w="0" w:type="dxa"/>
        <w:top w:w="0" w:type="dxa"/>
        <w:right w:w="0" w:type="dxa"/>
        <w:bottom w:w="0" w:type="dxa"/>
      </w:tblCellMar>
    </w:tblPr>
  </w:style>
  <w:style w:type="table" w:styleId="975" w:customStyle="1">
    <w:name w:val="清单表 41"/>
    <w:basedOn w:val="880"/>
    <w:uiPriority w:val="99"/>
    <w:qFormat/>
    <w:tblPr>
      <w:tblCellMar>
        <w:left w:w="0" w:type="dxa"/>
        <w:top w:w="0" w:type="dxa"/>
        <w:right w:w="0" w:type="dxa"/>
        <w:bottom w:w="0" w:type="dxa"/>
      </w:tblCellMar>
    </w:tblPr>
  </w:style>
  <w:style w:type="table" w:styleId="976" w:customStyle="1">
    <w:name w:val="清单表 5 深色1"/>
    <w:basedOn w:val="880"/>
    <w:uiPriority w:val="99"/>
    <w:qFormat/>
    <w:tblPr>
      <w:tblCellMar>
        <w:left w:w="0" w:type="dxa"/>
        <w:top w:w="0" w:type="dxa"/>
        <w:right w:w="0" w:type="dxa"/>
        <w:bottom w:w="0" w:type="dxa"/>
      </w:tblCellMar>
    </w:tblPr>
  </w:style>
  <w:style w:type="table" w:styleId="977" w:customStyle="1">
    <w:name w:val="清单表 6 彩色1"/>
    <w:basedOn w:val="880"/>
    <w:uiPriority w:val="99"/>
    <w:qFormat/>
    <w:tblPr>
      <w:tblCellMar>
        <w:left w:w="0" w:type="dxa"/>
        <w:top w:w="0" w:type="dxa"/>
        <w:right w:w="0" w:type="dxa"/>
        <w:bottom w:w="0" w:type="dxa"/>
      </w:tblCellMar>
    </w:tblPr>
  </w:style>
  <w:style w:type="table" w:styleId="978" w:customStyle="1">
    <w:name w:val="清单表 7 彩色1"/>
    <w:basedOn w:val="880"/>
    <w:uiPriority w:val="99"/>
    <w:qFormat/>
    <w:tblPr>
      <w:tblCellMar>
        <w:left w:w="0" w:type="dxa"/>
        <w:top w:w="0" w:type="dxa"/>
        <w:right w:w="0" w:type="dxa"/>
        <w:bottom w:w="0" w:type="dxa"/>
      </w:tblCellMar>
    </w:tblPr>
  </w:style>
  <w:style w:type="paragraph" w:styleId="979" w:customStyle="1">
    <w:name w:val="TOC 标题1"/>
    <w:uiPriority w:val="39"/>
    <w:unhideWhenUsed/>
    <w:qFormat/>
    <w:rPr>
      <w:rFonts w:hint="default" w:ascii="Times New Roman" w:hAnsi="Times New Roman" w:eastAsia="宋体" w:cs="Times New Roman"/>
      <w:lang w:val="en-US" w:eastAsia="zh-CN" w:bidi="ar-SA"/>
    </w:rPr>
  </w:style>
  <w:style w:type="paragraph" w:styleId="980" w:customStyle="1">
    <w:name w:val="TOC 标题111"/>
    <w:uiPriority w:val="39"/>
    <w:unhideWhenUsed/>
    <w:qFormat/>
    <w:rPr>
      <w:rFonts w:hint="default" w:ascii="Times New Roman" w:hAnsi="Times New Roman" w:eastAsia="宋体" w:cs="Times New Roman"/>
      <w:lang w:val="en-US" w:eastAsia="zh-CN" w:bidi="ar-SA"/>
    </w:rPr>
  </w:style>
  <w:style w:type="paragraph" w:styleId="981" w:customStyle="1">
    <w:name w:val="正文_17"/>
    <w:next w:val="9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2" w:customStyle="1">
    <w:name w:val="标题 4_1"/>
    <w:basedOn w:val="981"/>
    <w:next w:val="98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3" w:customStyle="1">
    <w:name w:val="Heading 1 Char"/>
    <w:uiPriority w:val="9"/>
    <w:qFormat/>
    <w:rPr>
      <w:rFonts w:ascii="Arial" w:hAnsi="Arial" w:eastAsia="Arial" w:cs="Arial"/>
      <w:sz w:val="40"/>
      <w:szCs w:val="40"/>
    </w:rPr>
  </w:style>
  <w:style w:type="character" w:styleId="984" w:customStyle="1">
    <w:name w:val="Heading 2 Char"/>
    <w:uiPriority w:val="9"/>
    <w:qFormat/>
    <w:rPr>
      <w:rFonts w:ascii="Arial" w:hAnsi="Arial" w:eastAsia="Arial" w:cs="Arial"/>
      <w:sz w:val="34"/>
    </w:rPr>
  </w:style>
  <w:style w:type="character" w:styleId="985" w:customStyle="1">
    <w:name w:val="Heading 3 Char"/>
    <w:uiPriority w:val="9"/>
    <w:qFormat/>
    <w:rPr>
      <w:rFonts w:ascii="Arial" w:hAnsi="Arial" w:eastAsia="Arial" w:cs="Arial"/>
      <w:sz w:val="30"/>
      <w:szCs w:val="30"/>
    </w:rPr>
  </w:style>
  <w:style w:type="character" w:styleId="986" w:customStyle="1">
    <w:name w:val="Heading 4 Char"/>
    <w:uiPriority w:val="9"/>
    <w:qFormat/>
    <w:rPr>
      <w:rFonts w:ascii="Arial" w:hAnsi="Arial" w:eastAsia="Arial" w:cs="Arial"/>
      <w:b/>
      <w:bCs/>
      <w:sz w:val="26"/>
      <w:szCs w:val="26"/>
    </w:rPr>
  </w:style>
  <w:style w:type="character" w:styleId="987" w:customStyle="1">
    <w:name w:val="Heading 5 Char"/>
    <w:uiPriority w:val="9"/>
    <w:qFormat/>
    <w:rPr>
      <w:rFonts w:ascii="Arial" w:hAnsi="Arial" w:eastAsia="Arial" w:cs="Arial"/>
      <w:b/>
      <w:bCs/>
      <w:sz w:val="24"/>
      <w:szCs w:val="24"/>
    </w:rPr>
  </w:style>
  <w:style w:type="character" w:styleId="988" w:customStyle="1">
    <w:name w:val="Heading 6 Char"/>
    <w:uiPriority w:val="9"/>
    <w:qFormat/>
    <w:rPr>
      <w:rFonts w:ascii="Arial" w:hAnsi="Arial" w:eastAsia="Arial" w:cs="Arial"/>
      <w:b/>
      <w:bCs/>
      <w:sz w:val="22"/>
      <w:szCs w:val="22"/>
    </w:rPr>
  </w:style>
  <w:style w:type="character" w:styleId="989" w:customStyle="1">
    <w:name w:val="Heading 7 Char"/>
    <w:uiPriority w:val="9"/>
    <w:qFormat/>
    <w:rPr>
      <w:rFonts w:ascii="Arial" w:hAnsi="Arial" w:eastAsia="Arial" w:cs="Arial"/>
      <w:b/>
      <w:bCs/>
      <w:i/>
      <w:iCs/>
      <w:sz w:val="22"/>
      <w:szCs w:val="22"/>
    </w:rPr>
  </w:style>
  <w:style w:type="character" w:styleId="990" w:customStyle="1">
    <w:name w:val="Heading 8 Char"/>
    <w:uiPriority w:val="9"/>
    <w:qFormat/>
    <w:rPr>
      <w:rFonts w:ascii="Arial" w:hAnsi="Arial" w:eastAsia="Arial" w:cs="Arial"/>
      <w:i/>
      <w:iCs/>
      <w:sz w:val="22"/>
      <w:szCs w:val="22"/>
    </w:rPr>
  </w:style>
  <w:style w:type="character" w:styleId="991" w:customStyle="1">
    <w:name w:val="Heading 9 Char"/>
    <w:uiPriority w:val="9"/>
    <w:qFormat/>
    <w:rPr>
      <w:rFonts w:ascii="Arial" w:hAnsi="Arial" w:eastAsia="Arial" w:cs="Arial"/>
      <w:i/>
      <w:iCs/>
      <w:sz w:val="21"/>
      <w:szCs w:val="21"/>
    </w:rPr>
  </w:style>
  <w:style w:type="character" w:styleId="992" w:customStyle="1">
    <w:name w:val="Title Char"/>
    <w:uiPriority w:val="10"/>
    <w:qFormat/>
    <w:rPr>
      <w:sz w:val="48"/>
      <w:szCs w:val="48"/>
    </w:rPr>
  </w:style>
  <w:style w:type="character" w:styleId="993" w:customStyle="1">
    <w:name w:val="Subtitle Char"/>
    <w:uiPriority w:val="11"/>
    <w:qFormat/>
    <w:rPr>
      <w:sz w:val="24"/>
      <w:szCs w:val="24"/>
    </w:rPr>
  </w:style>
  <w:style w:type="character" w:styleId="994" w:customStyle="1">
    <w:name w:val="Quote Char"/>
    <w:uiPriority w:val="29"/>
    <w:qFormat/>
    <w:rPr>
      <w:i/>
    </w:rPr>
  </w:style>
  <w:style w:type="character" w:styleId="995" w:customStyle="1">
    <w:name w:val="Intense Quote Char"/>
    <w:uiPriority w:val="30"/>
    <w:qFormat/>
    <w:rPr>
      <w:i/>
    </w:rPr>
  </w:style>
  <w:style w:type="character" w:styleId="996" w:customStyle="1">
    <w:name w:val="Caption Char"/>
    <w:uiPriority w:val="99"/>
    <w:qFormat/>
  </w:style>
  <w:style w:type="character" w:styleId="997" w:customStyle="1">
    <w:name w:val="Footnote Text Char"/>
    <w:uiPriority w:val="99"/>
    <w:qFormat/>
    <w:rPr>
      <w:sz w:val="18"/>
    </w:rPr>
  </w:style>
  <w:style w:type="character" w:styleId="998" w:customStyle="1">
    <w:name w:val="Endnote Text Char"/>
    <w:uiPriority w:val="99"/>
    <w:qFormat/>
    <w:rPr>
      <w:sz w:val="20"/>
    </w:rPr>
  </w:style>
  <w:style w:type="paragraph" w:styleId="999" w:customStyle="1">
    <w:name w:val="列表段落1"/>
    <w:basedOn w:val="784"/>
    <w:uiPriority w:val="0"/>
    <w:qFormat/>
    <w:pPr>
      <w:contextualSpacing/>
      <w:ind w:left="720"/>
    </w:pPr>
  </w:style>
  <w:style w:type="paragraph" w:styleId="1000" w:customStyle="1">
    <w:name w:val="无间隔1"/>
    <w:basedOn w:val="1001"/>
    <w:uiPriority w:val="99"/>
    <w:qFormat/>
    <w:rPr>
      <w:rFonts w:ascii="Times New Roman" w:hAnsi="Times New Roman" w:eastAsia="宋体" w:cs="Times New Roman"/>
      <w:lang w:val="en-US" w:eastAsia="zh-CN" w:bidi="ar-SA"/>
    </w:rPr>
  </w:style>
  <w:style w:type="paragraph" w:styleId="1001" w:customStyle="1">
    <w:name w:val="Normal"/>
    <w:next w:val="1002"/>
    <w:uiPriority w:val="0"/>
    <w:qFormat/>
    <w:pPr>
      <w:jc w:val="both"/>
      <w:widowControl w:val="off"/>
    </w:pPr>
    <w:rPr>
      <w:rFonts w:hint="default" w:ascii="Times New Roman" w:hAnsi="Times New Roman" w:eastAsia="宋体" w:cs="Times New Roman"/>
      <w:szCs w:val="21"/>
      <w:lang w:val="en-US" w:eastAsia="zh-CN" w:bidi="ar-SA"/>
    </w:rPr>
  </w:style>
  <w:style w:type="paragraph" w:styleId="1002" w:customStyle="1">
    <w:name w:val="Heading 3"/>
    <w:basedOn w:val="1001"/>
    <w:next w:val="1001"/>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003" w:customStyle="1">
    <w:name w:val="引用1"/>
    <w:basedOn w:val="784"/>
    <w:next w:val="784"/>
    <w:link w:val="1004"/>
    <w:uiPriority w:val="29"/>
    <w:qFormat/>
    <w:pPr>
      <w:ind w:left="720" w:right="720"/>
    </w:pPr>
    <w:rPr>
      <w:i/>
    </w:rPr>
  </w:style>
  <w:style w:type="character" w:styleId="1004" w:customStyle="1">
    <w:name w:val="引用 字符"/>
    <w:link w:val="1003"/>
    <w:uiPriority w:val="29"/>
    <w:qFormat/>
    <w:rPr>
      <w:i/>
    </w:rPr>
  </w:style>
  <w:style w:type="paragraph" w:styleId="1005" w:customStyle="1">
    <w:name w:val="明显引用1"/>
    <w:basedOn w:val="784"/>
    <w:next w:val="784"/>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6" w:customStyle="1">
    <w:name w:val="明显引用 字符"/>
    <w:link w:val="1005"/>
    <w:uiPriority w:val="30"/>
    <w:qFormat/>
    <w:rPr>
      <w:i/>
    </w:rPr>
  </w:style>
  <w:style w:type="character" w:styleId="1007" w:customStyle="1">
    <w:name w:val="Header Char"/>
    <w:uiPriority w:val="99"/>
    <w:qFormat/>
  </w:style>
  <w:style w:type="character" w:styleId="1008" w:customStyle="1">
    <w:name w:val="Footer Char"/>
    <w:uiPriority w:val="99"/>
    <w:qFormat/>
  </w:style>
  <w:style w:type="table" w:styleId="1009" w:customStyle="1">
    <w:name w:val="Table Grid Light"/>
    <w:basedOn w:val="880"/>
    <w:uiPriority w:val="59"/>
    <w:qFormat/>
    <w:tblPr>
      <w:tblCellMar>
        <w:left w:w="0" w:type="dxa"/>
        <w:top w:w="0" w:type="dxa"/>
        <w:right w:w="0" w:type="dxa"/>
        <w:bottom w:w="0" w:type="dxa"/>
      </w:tblCellMar>
    </w:tblPr>
  </w:style>
  <w:style w:type="table" w:styleId="1010" w:customStyle="1">
    <w:name w:val="Grid Table 1 Light - Accent 1"/>
    <w:basedOn w:val="880"/>
    <w:uiPriority w:val="99"/>
    <w:qFormat/>
    <w:tblPr>
      <w:tblCellMar>
        <w:left w:w="0" w:type="dxa"/>
        <w:top w:w="0" w:type="dxa"/>
        <w:right w:w="0" w:type="dxa"/>
        <w:bottom w:w="0" w:type="dxa"/>
      </w:tblCellMar>
    </w:tblPr>
  </w:style>
  <w:style w:type="table" w:styleId="1011" w:customStyle="1">
    <w:name w:val="Grid Table 1 Light - Accent 2"/>
    <w:basedOn w:val="880"/>
    <w:uiPriority w:val="99"/>
    <w:qFormat/>
    <w:tblPr>
      <w:tblCellMar>
        <w:left w:w="0" w:type="dxa"/>
        <w:top w:w="0" w:type="dxa"/>
        <w:right w:w="0" w:type="dxa"/>
        <w:bottom w:w="0" w:type="dxa"/>
      </w:tblCellMar>
    </w:tblPr>
  </w:style>
  <w:style w:type="table" w:styleId="1012" w:customStyle="1">
    <w:name w:val="Grid Table 1 Light - Accent 3"/>
    <w:basedOn w:val="880"/>
    <w:uiPriority w:val="99"/>
    <w:qFormat/>
    <w:tblPr>
      <w:tblCellMar>
        <w:left w:w="0" w:type="dxa"/>
        <w:top w:w="0" w:type="dxa"/>
        <w:right w:w="0" w:type="dxa"/>
        <w:bottom w:w="0" w:type="dxa"/>
      </w:tblCellMar>
    </w:tblPr>
  </w:style>
  <w:style w:type="table" w:styleId="1013" w:customStyle="1">
    <w:name w:val="Grid Table 1 Light - Accent 4"/>
    <w:basedOn w:val="880"/>
    <w:uiPriority w:val="99"/>
    <w:qFormat/>
    <w:tblPr>
      <w:tblCellMar>
        <w:left w:w="0" w:type="dxa"/>
        <w:top w:w="0" w:type="dxa"/>
        <w:right w:w="0" w:type="dxa"/>
        <w:bottom w:w="0" w:type="dxa"/>
      </w:tblCellMar>
    </w:tblPr>
  </w:style>
  <w:style w:type="table" w:styleId="1014" w:customStyle="1">
    <w:name w:val="Grid Table 1 Light - Accent 5"/>
    <w:basedOn w:val="880"/>
    <w:uiPriority w:val="99"/>
    <w:qFormat/>
    <w:tblPr>
      <w:tblCellMar>
        <w:left w:w="0" w:type="dxa"/>
        <w:top w:w="0" w:type="dxa"/>
        <w:right w:w="0" w:type="dxa"/>
        <w:bottom w:w="0" w:type="dxa"/>
      </w:tblCellMar>
    </w:tblPr>
  </w:style>
  <w:style w:type="table" w:styleId="1015" w:customStyle="1">
    <w:name w:val="Grid Table 1 Light - Accent 6"/>
    <w:basedOn w:val="880"/>
    <w:uiPriority w:val="99"/>
    <w:qFormat/>
    <w:tblPr>
      <w:tblCellMar>
        <w:left w:w="0" w:type="dxa"/>
        <w:top w:w="0" w:type="dxa"/>
        <w:right w:w="0" w:type="dxa"/>
        <w:bottom w:w="0" w:type="dxa"/>
      </w:tblCellMar>
    </w:tblPr>
  </w:style>
  <w:style w:type="table" w:styleId="1016" w:customStyle="1">
    <w:name w:val="Grid Table 2 - Accent 1"/>
    <w:basedOn w:val="880"/>
    <w:uiPriority w:val="99"/>
    <w:qFormat/>
    <w:tblPr>
      <w:tblCellMar>
        <w:left w:w="0" w:type="dxa"/>
        <w:top w:w="0" w:type="dxa"/>
        <w:right w:w="0" w:type="dxa"/>
        <w:bottom w:w="0" w:type="dxa"/>
      </w:tblCellMar>
    </w:tblPr>
  </w:style>
  <w:style w:type="table" w:styleId="1017" w:customStyle="1">
    <w:name w:val="Grid Table 2 - Accent 2"/>
    <w:basedOn w:val="880"/>
    <w:uiPriority w:val="99"/>
    <w:qFormat/>
    <w:tblPr>
      <w:tblCellMar>
        <w:left w:w="0" w:type="dxa"/>
        <w:top w:w="0" w:type="dxa"/>
        <w:right w:w="0" w:type="dxa"/>
        <w:bottom w:w="0" w:type="dxa"/>
      </w:tblCellMar>
    </w:tblPr>
  </w:style>
  <w:style w:type="table" w:styleId="1018" w:customStyle="1">
    <w:name w:val="Grid Table 2 - Accent 3"/>
    <w:basedOn w:val="880"/>
    <w:uiPriority w:val="99"/>
    <w:qFormat/>
    <w:tblPr>
      <w:tblCellMar>
        <w:left w:w="0" w:type="dxa"/>
        <w:top w:w="0" w:type="dxa"/>
        <w:right w:w="0" w:type="dxa"/>
        <w:bottom w:w="0" w:type="dxa"/>
      </w:tblCellMar>
    </w:tblPr>
  </w:style>
  <w:style w:type="table" w:styleId="1019" w:customStyle="1">
    <w:name w:val="Grid Table 2 - Accent 4"/>
    <w:basedOn w:val="880"/>
    <w:uiPriority w:val="99"/>
    <w:qFormat/>
    <w:tblPr>
      <w:tblCellMar>
        <w:left w:w="0" w:type="dxa"/>
        <w:top w:w="0" w:type="dxa"/>
        <w:right w:w="0" w:type="dxa"/>
        <w:bottom w:w="0" w:type="dxa"/>
      </w:tblCellMar>
    </w:tblPr>
  </w:style>
  <w:style w:type="table" w:styleId="1020" w:customStyle="1">
    <w:name w:val="Grid Table 2 - Accent 5"/>
    <w:basedOn w:val="880"/>
    <w:uiPriority w:val="99"/>
    <w:qFormat/>
    <w:tblPr>
      <w:tblCellMar>
        <w:left w:w="0" w:type="dxa"/>
        <w:top w:w="0" w:type="dxa"/>
        <w:right w:w="0" w:type="dxa"/>
        <w:bottom w:w="0" w:type="dxa"/>
      </w:tblCellMar>
    </w:tblPr>
  </w:style>
  <w:style w:type="table" w:styleId="1021" w:customStyle="1">
    <w:name w:val="Grid Table 2 - Accent 6"/>
    <w:basedOn w:val="880"/>
    <w:uiPriority w:val="99"/>
    <w:qFormat/>
    <w:tblPr>
      <w:tblCellMar>
        <w:left w:w="0" w:type="dxa"/>
        <w:top w:w="0" w:type="dxa"/>
        <w:right w:w="0" w:type="dxa"/>
        <w:bottom w:w="0" w:type="dxa"/>
      </w:tblCellMar>
    </w:tblPr>
  </w:style>
  <w:style w:type="table" w:styleId="1022" w:customStyle="1">
    <w:name w:val="Grid Table 3 - Accent 1"/>
    <w:basedOn w:val="880"/>
    <w:uiPriority w:val="99"/>
    <w:qFormat/>
    <w:tblPr>
      <w:tblCellMar>
        <w:left w:w="0" w:type="dxa"/>
        <w:top w:w="0" w:type="dxa"/>
        <w:right w:w="0" w:type="dxa"/>
        <w:bottom w:w="0" w:type="dxa"/>
      </w:tblCellMar>
    </w:tblPr>
  </w:style>
  <w:style w:type="table" w:styleId="1023" w:customStyle="1">
    <w:name w:val="Grid Table 3 - Accent 2"/>
    <w:basedOn w:val="880"/>
    <w:uiPriority w:val="99"/>
    <w:qFormat/>
    <w:tblPr>
      <w:tblCellMar>
        <w:left w:w="0" w:type="dxa"/>
        <w:top w:w="0" w:type="dxa"/>
        <w:right w:w="0" w:type="dxa"/>
        <w:bottom w:w="0" w:type="dxa"/>
      </w:tblCellMar>
    </w:tblPr>
  </w:style>
  <w:style w:type="table" w:styleId="1024" w:customStyle="1">
    <w:name w:val="Grid Table 3 - Accent 3"/>
    <w:basedOn w:val="880"/>
    <w:uiPriority w:val="99"/>
    <w:qFormat/>
    <w:tblPr>
      <w:tblCellMar>
        <w:left w:w="0" w:type="dxa"/>
        <w:top w:w="0" w:type="dxa"/>
        <w:right w:w="0" w:type="dxa"/>
        <w:bottom w:w="0" w:type="dxa"/>
      </w:tblCellMar>
    </w:tblPr>
  </w:style>
  <w:style w:type="table" w:styleId="1025" w:customStyle="1">
    <w:name w:val="Grid Table 3 - Accent 4"/>
    <w:basedOn w:val="880"/>
    <w:uiPriority w:val="99"/>
    <w:qFormat/>
    <w:tblPr>
      <w:tblCellMar>
        <w:left w:w="0" w:type="dxa"/>
        <w:top w:w="0" w:type="dxa"/>
        <w:right w:w="0" w:type="dxa"/>
        <w:bottom w:w="0" w:type="dxa"/>
      </w:tblCellMar>
    </w:tblPr>
  </w:style>
  <w:style w:type="table" w:styleId="1026" w:customStyle="1">
    <w:name w:val="Grid Table 3 - Accent 5"/>
    <w:basedOn w:val="880"/>
    <w:uiPriority w:val="99"/>
    <w:qFormat/>
    <w:tblPr>
      <w:tblCellMar>
        <w:left w:w="0" w:type="dxa"/>
        <w:top w:w="0" w:type="dxa"/>
        <w:right w:w="0" w:type="dxa"/>
        <w:bottom w:w="0" w:type="dxa"/>
      </w:tblCellMar>
    </w:tblPr>
  </w:style>
  <w:style w:type="table" w:styleId="1027" w:customStyle="1">
    <w:name w:val="Grid Table 3 - Accent 6"/>
    <w:basedOn w:val="880"/>
    <w:uiPriority w:val="99"/>
    <w:qFormat/>
    <w:tblPr>
      <w:tblCellMar>
        <w:left w:w="0" w:type="dxa"/>
        <w:top w:w="0" w:type="dxa"/>
        <w:right w:w="0" w:type="dxa"/>
        <w:bottom w:w="0" w:type="dxa"/>
      </w:tblCellMar>
    </w:tblPr>
  </w:style>
  <w:style w:type="table" w:styleId="1028" w:customStyle="1">
    <w:name w:val="Grid Table 4 - Accent 1"/>
    <w:basedOn w:val="880"/>
    <w:uiPriority w:val="59"/>
    <w:qFormat/>
    <w:tblPr>
      <w:tblCellMar>
        <w:left w:w="0" w:type="dxa"/>
        <w:top w:w="0" w:type="dxa"/>
        <w:right w:w="0" w:type="dxa"/>
        <w:bottom w:w="0" w:type="dxa"/>
      </w:tblCellMar>
    </w:tblPr>
  </w:style>
  <w:style w:type="table" w:styleId="1029" w:customStyle="1">
    <w:name w:val="Grid Table 4 - Accent 2"/>
    <w:basedOn w:val="880"/>
    <w:uiPriority w:val="59"/>
    <w:qFormat/>
    <w:tblPr>
      <w:tblCellMar>
        <w:left w:w="0" w:type="dxa"/>
        <w:top w:w="0" w:type="dxa"/>
        <w:right w:w="0" w:type="dxa"/>
        <w:bottom w:w="0" w:type="dxa"/>
      </w:tblCellMar>
    </w:tblPr>
  </w:style>
  <w:style w:type="table" w:styleId="1030" w:customStyle="1">
    <w:name w:val="Grid Table 4 - Accent 3"/>
    <w:basedOn w:val="880"/>
    <w:uiPriority w:val="59"/>
    <w:qFormat/>
    <w:tblPr>
      <w:tblCellMar>
        <w:left w:w="0" w:type="dxa"/>
        <w:top w:w="0" w:type="dxa"/>
        <w:right w:w="0" w:type="dxa"/>
        <w:bottom w:w="0" w:type="dxa"/>
      </w:tblCellMar>
    </w:tblPr>
  </w:style>
  <w:style w:type="table" w:styleId="1031" w:customStyle="1">
    <w:name w:val="Grid Table 4 - Accent 4"/>
    <w:basedOn w:val="880"/>
    <w:uiPriority w:val="59"/>
    <w:qFormat/>
    <w:tblPr>
      <w:tblCellMar>
        <w:left w:w="0" w:type="dxa"/>
        <w:top w:w="0" w:type="dxa"/>
        <w:right w:w="0" w:type="dxa"/>
        <w:bottom w:w="0" w:type="dxa"/>
      </w:tblCellMar>
    </w:tblPr>
  </w:style>
  <w:style w:type="table" w:styleId="1032" w:customStyle="1">
    <w:name w:val="Grid Table 4 - Accent 5"/>
    <w:basedOn w:val="880"/>
    <w:uiPriority w:val="59"/>
    <w:qFormat/>
    <w:tblPr>
      <w:tblCellMar>
        <w:left w:w="0" w:type="dxa"/>
        <w:top w:w="0" w:type="dxa"/>
        <w:right w:w="0" w:type="dxa"/>
        <w:bottom w:w="0" w:type="dxa"/>
      </w:tblCellMar>
    </w:tblPr>
  </w:style>
  <w:style w:type="table" w:styleId="1033" w:customStyle="1">
    <w:name w:val="Grid Table 4 - Accent 6"/>
    <w:basedOn w:val="880"/>
    <w:uiPriority w:val="59"/>
    <w:qFormat/>
    <w:tblPr>
      <w:tblCellMar>
        <w:left w:w="0" w:type="dxa"/>
        <w:top w:w="0" w:type="dxa"/>
        <w:right w:w="0" w:type="dxa"/>
        <w:bottom w:w="0" w:type="dxa"/>
      </w:tblCellMar>
    </w:tblPr>
  </w:style>
  <w:style w:type="table" w:styleId="1034" w:customStyle="1">
    <w:name w:val="Grid Table 5 Dark- Accent 1"/>
    <w:basedOn w:val="880"/>
    <w:uiPriority w:val="99"/>
    <w:qFormat/>
    <w:tblPr>
      <w:tblCellMar>
        <w:left w:w="0" w:type="dxa"/>
        <w:top w:w="0" w:type="dxa"/>
        <w:right w:w="0" w:type="dxa"/>
        <w:bottom w:w="0" w:type="dxa"/>
      </w:tblCellMar>
    </w:tblPr>
  </w:style>
  <w:style w:type="table" w:styleId="1035" w:customStyle="1">
    <w:name w:val="Grid Table 5 Dark - Accent 2"/>
    <w:basedOn w:val="880"/>
    <w:uiPriority w:val="99"/>
    <w:qFormat/>
    <w:tblPr>
      <w:tblCellMar>
        <w:left w:w="0" w:type="dxa"/>
        <w:top w:w="0" w:type="dxa"/>
        <w:right w:w="0" w:type="dxa"/>
        <w:bottom w:w="0" w:type="dxa"/>
      </w:tblCellMar>
    </w:tblPr>
  </w:style>
  <w:style w:type="table" w:styleId="1036" w:customStyle="1">
    <w:name w:val="Grid Table 5 Dark - Accent 3"/>
    <w:basedOn w:val="880"/>
    <w:uiPriority w:val="99"/>
    <w:qFormat/>
    <w:tblPr>
      <w:tblCellMar>
        <w:left w:w="0" w:type="dxa"/>
        <w:top w:w="0" w:type="dxa"/>
        <w:right w:w="0" w:type="dxa"/>
        <w:bottom w:w="0" w:type="dxa"/>
      </w:tblCellMar>
    </w:tblPr>
  </w:style>
  <w:style w:type="table" w:styleId="1037" w:customStyle="1">
    <w:name w:val="Grid Table 5 Dark- Accent 4"/>
    <w:basedOn w:val="880"/>
    <w:uiPriority w:val="99"/>
    <w:qFormat/>
    <w:tblPr>
      <w:tblCellMar>
        <w:left w:w="0" w:type="dxa"/>
        <w:top w:w="0" w:type="dxa"/>
        <w:right w:w="0" w:type="dxa"/>
        <w:bottom w:w="0" w:type="dxa"/>
      </w:tblCellMar>
    </w:tblPr>
  </w:style>
  <w:style w:type="table" w:styleId="1038" w:customStyle="1">
    <w:name w:val="Grid Table 5 Dark - Accent 5"/>
    <w:basedOn w:val="880"/>
    <w:uiPriority w:val="99"/>
    <w:qFormat/>
    <w:tblPr>
      <w:tblCellMar>
        <w:left w:w="0" w:type="dxa"/>
        <w:top w:w="0" w:type="dxa"/>
        <w:right w:w="0" w:type="dxa"/>
        <w:bottom w:w="0" w:type="dxa"/>
      </w:tblCellMar>
    </w:tblPr>
  </w:style>
  <w:style w:type="table" w:styleId="1039" w:customStyle="1">
    <w:name w:val="Grid Table 5 Dark - Accent 6"/>
    <w:basedOn w:val="880"/>
    <w:uiPriority w:val="99"/>
    <w:qFormat/>
    <w:tblPr>
      <w:tblCellMar>
        <w:left w:w="0" w:type="dxa"/>
        <w:top w:w="0" w:type="dxa"/>
        <w:right w:w="0" w:type="dxa"/>
        <w:bottom w:w="0" w:type="dxa"/>
      </w:tblCellMar>
    </w:tblPr>
  </w:style>
  <w:style w:type="table" w:styleId="1040" w:customStyle="1">
    <w:name w:val="Grid Table 6 Colorful - Accent 1"/>
    <w:basedOn w:val="880"/>
    <w:uiPriority w:val="99"/>
    <w:qFormat/>
    <w:tblPr>
      <w:tblCellMar>
        <w:left w:w="0" w:type="dxa"/>
        <w:top w:w="0" w:type="dxa"/>
        <w:right w:w="0" w:type="dxa"/>
        <w:bottom w:w="0" w:type="dxa"/>
      </w:tblCellMar>
    </w:tblPr>
  </w:style>
  <w:style w:type="table" w:styleId="1041" w:customStyle="1">
    <w:name w:val="Grid Table 6 Colorful - Accent 2"/>
    <w:basedOn w:val="880"/>
    <w:uiPriority w:val="99"/>
    <w:qFormat/>
    <w:tblPr>
      <w:tblCellMar>
        <w:left w:w="0" w:type="dxa"/>
        <w:top w:w="0" w:type="dxa"/>
        <w:right w:w="0" w:type="dxa"/>
        <w:bottom w:w="0" w:type="dxa"/>
      </w:tblCellMar>
    </w:tblPr>
  </w:style>
  <w:style w:type="table" w:styleId="1042" w:customStyle="1">
    <w:name w:val="Grid Table 6 Colorful - Accent 3"/>
    <w:basedOn w:val="880"/>
    <w:uiPriority w:val="99"/>
    <w:qFormat/>
    <w:tblPr>
      <w:tblCellMar>
        <w:left w:w="0" w:type="dxa"/>
        <w:top w:w="0" w:type="dxa"/>
        <w:right w:w="0" w:type="dxa"/>
        <w:bottom w:w="0" w:type="dxa"/>
      </w:tblCellMar>
    </w:tblPr>
  </w:style>
  <w:style w:type="table" w:styleId="1043" w:customStyle="1">
    <w:name w:val="Grid Table 6 Colorful - Accent 4"/>
    <w:basedOn w:val="880"/>
    <w:uiPriority w:val="99"/>
    <w:qFormat/>
    <w:tblPr>
      <w:tblCellMar>
        <w:left w:w="0" w:type="dxa"/>
        <w:top w:w="0" w:type="dxa"/>
        <w:right w:w="0" w:type="dxa"/>
        <w:bottom w:w="0" w:type="dxa"/>
      </w:tblCellMar>
    </w:tblPr>
  </w:style>
  <w:style w:type="table" w:styleId="1044" w:customStyle="1">
    <w:name w:val="Grid Table 6 Colorful - Accent 5"/>
    <w:basedOn w:val="880"/>
    <w:uiPriority w:val="99"/>
    <w:qFormat/>
    <w:tblPr>
      <w:tblCellMar>
        <w:left w:w="0" w:type="dxa"/>
        <w:top w:w="0" w:type="dxa"/>
        <w:right w:w="0" w:type="dxa"/>
        <w:bottom w:w="0" w:type="dxa"/>
      </w:tblCellMar>
    </w:tblPr>
  </w:style>
  <w:style w:type="table" w:styleId="1045" w:customStyle="1">
    <w:name w:val="Grid Table 6 Colorful - Accent 6"/>
    <w:basedOn w:val="880"/>
    <w:uiPriority w:val="99"/>
    <w:qFormat/>
    <w:tblPr>
      <w:tblCellMar>
        <w:left w:w="0" w:type="dxa"/>
        <w:top w:w="0" w:type="dxa"/>
        <w:right w:w="0" w:type="dxa"/>
        <w:bottom w:w="0" w:type="dxa"/>
      </w:tblCellMar>
    </w:tblPr>
  </w:style>
  <w:style w:type="table" w:styleId="1046" w:customStyle="1">
    <w:name w:val="Grid Table 7 Colorful - Accent 1"/>
    <w:basedOn w:val="880"/>
    <w:uiPriority w:val="99"/>
    <w:qFormat/>
    <w:tblPr>
      <w:tblCellMar>
        <w:left w:w="0" w:type="dxa"/>
        <w:top w:w="0" w:type="dxa"/>
        <w:right w:w="0" w:type="dxa"/>
        <w:bottom w:w="0" w:type="dxa"/>
      </w:tblCellMar>
    </w:tblPr>
  </w:style>
  <w:style w:type="table" w:styleId="1047" w:customStyle="1">
    <w:name w:val="Grid Table 7 Colorful - Accent 2"/>
    <w:basedOn w:val="880"/>
    <w:uiPriority w:val="99"/>
    <w:qFormat/>
    <w:tblPr>
      <w:tblCellMar>
        <w:left w:w="0" w:type="dxa"/>
        <w:top w:w="0" w:type="dxa"/>
        <w:right w:w="0" w:type="dxa"/>
        <w:bottom w:w="0" w:type="dxa"/>
      </w:tblCellMar>
    </w:tblPr>
  </w:style>
  <w:style w:type="table" w:styleId="1048" w:customStyle="1">
    <w:name w:val="Grid Table 7 Colorful - Accent 3"/>
    <w:basedOn w:val="880"/>
    <w:uiPriority w:val="99"/>
    <w:qFormat/>
    <w:tblPr>
      <w:tblCellMar>
        <w:left w:w="0" w:type="dxa"/>
        <w:top w:w="0" w:type="dxa"/>
        <w:right w:w="0" w:type="dxa"/>
        <w:bottom w:w="0" w:type="dxa"/>
      </w:tblCellMar>
    </w:tblPr>
  </w:style>
  <w:style w:type="table" w:styleId="1049" w:customStyle="1">
    <w:name w:val="Grid Table 7 Colorful - Accent 4"/>
    <w:basedOn w:val="880"/>
    <w:uiPriority w:val="99"/>
    <w:qFormat/>
    <w:tblPr>
      <w:tblCellMar>
        <w:left w:w="0" w:type="dxa"/>
        <w:top w:w="0" w:type="dxa"/>
        <w:right w:w="0" w:type="dxa"/>
        <w:bottom w:w="0" w:type="dxa"/>
      </w:tblCellMar>
    </w:tblPr>
  </w:style>
  <w:style w:type="table" w:styleId="1050" w:customStyle="1">
    <w:name w:val="Grid Table 7 Colorful - Accent 5"/>
    <w:basedOn w:val="880"/>
    <w:uiPriority w:val="99"/>
    <w:qFormat/>
    <w:tblPr>
      <w:tblCellMar>
        <w:left w:w="0" w:type="dxa"/>
        <w:top w:w="0" w:type="dxa"/>
        <w:right w:w="0" w:type="dxa"/>
        <w:bottom w:w="0" w:type="dxa"/>
      </w:tblCellMar>
    </w:tblPr>
  </w:style>
  <w:style w:type="table" w:styleId="1051" w:customStyle="1">
    <w:name w:val="Grid Table 7 Colorful - Accent 6"/>
    <w:basedOn w:val="880"/>
    <w:uiPriority w:val="99"/>
    <w:qFormat/>
    <w:tblPr>
      <w:tblCellMar>
        <w:left w:w="0" w:type="dxa"/>
        <w:top w:w="0" w:type="dxa"/>
        <w:right w:w="0" w:type="dxa"/>
        <w:bottom w:w="0" w:type="dxa"/>
      </w:tblCellMar>
    </w:tblPr>
  </w:style>
  <w:style w:type="table" w:styleId="1052" w:customStyle="1">
    <w:name w:val="List Table 1 Light - Accent 1"/>
    <w:basedOn w:val="880"/>
    <w:uiPriority w:val="99"/>
    <w:qFormat/>
    <w:tblPr>
      <w:tblCellMar>
        <w:left w:w="0" w:type="dxa"/>
        <w:top w:w="0" w:type="dxa"/>
        <w:right w:w="0" w:type="dxa"/>
        <w:bottom w:w="0" w:type="dxa"/>
      </w:tblCellMar>
    </w:tblPr>
  </w:style>
  <w:style w:type="table" w:styleId="1053" w:customStyle="1">
    <w:name w:val="List Table 1 Light - Accent 2"/>
    <w:basedOn w:val="880"/>
    <w:uiPriority w:val="99"/>
    <w:qFormat/>
    <w:tblPr>
      <w:tblCellMar>
        <w:left w:w="0" w:type="dxa"/>
        <w:top w:w="0" w:type="dxa"/>
        <w:right w:w="0" w:type="dxa"/>
        <w:bottom w:w="0" w:type="dxa"/>
      </w:tblCellMar>
    </w:tblPr>
  </w:style>
  <w:style w:type="table" w:styleId="1054" w:customStyle="1">
    <w:name w:val="List Table 1 Light - Accent 3"/>
    <w:basedOn w:val="880"/>
    <w:uiPriority w:val="99"/>
    <w:qFormat/>
    <w:tblPr>
      <w:tblCellMar>
        <w:left w:w="0" w:type="dxa"/>
        <w:top w:w="0" w:type="dxa"/>
        <w:right w:w="0" w:type="dxa"/>
        <w:bottom w:w="0" w:type="dxa"/>
      </w:tblCellMar>
    </w:tblPr>
  </w:style>
  <w:style w:type="table" w:styleId="1055" w:customStyle="1">
    <w:name w:val="List Table 1 Light - Accent 4"/>
    <w:basedOn w:val="880"/>
    <w:uiPriority w:val="99"/>
    <w:qFormat/>
    <w:tblPr>
      <w:tblCellMar>
        <w:left w:w="0" w:type="dxa"/>
        <w:top w:w="0" w:type="dxa"/>
        <w:right w:w="0" w:type="dxa"/>
        <w:bottom w:w="0" w:type="dxa"/>
      </w:tblCellMar>
    </w:tblPr>
  </w:style>
  <w:style w:type="table" w:styleId="1056" w:customStyle="1">
    <w:name w:val="List Table 1 Light - Accent 5"/>
    <w:basedOn w:val="880"/>
    <w:uiPriority w:val="99"/>
    <w:qFormat/>
    <w:tblPr>
      <w:tblCellMar>
        <w:left w:w="0" w:type="dxa"/>
        <w:top w:w="0" w:type="dxa"/>
        <w:right w:w="0" w:type="dxa"/>
        <w:bottom w:w="0" w:type="dxa"/>
      </w:tblCellMar>
    </w:tblPr>
  </w:style>
  <w:style w:type="table" w:styleId="1057" w:customStyle="1">
    <w:name w:val="List Table 1 Light - Accent 6"/>
    <w:basedOn w:val="880"/>
    <w:uiPriority w:val="99"/>
    <w:qFormat/>
    <w:tblPr>
      <w:tblCellMar>
        <w:left w:w="0" w:type="dxa"/>
        <w:top w:w="0" w:type="dxa"/>
        <w:right w:w="0" w:type="dxa"/>
        <w:bottom w:w="0" w:type="dxa"/>
      </w:tblCellMar>
    </w:tblPr>
  </w:style>
  <w:style w:type="table" w:styleId="1058" w:customStyle="1">
    <w:name w:val="List Table 2 - Accent 1"/>
    <w:basedOn w:val="880"/>
    <w:uiPriority w:val="99"/>
    <w:qFormat/>
    <w:tblPr>
      <w:tblCellMar>
        <w:left w:w="0" w:type="dxa"/>
        <w:top w:w="0" w:type="dxa"/>
        <w:right w:w="0" w:type="dxa"/>
        <w:bottom w:w="0" w:type="dxa"/>
      </w:tblCellMar>
    </w:tblPr>
  </w:style>
  <w:style w:type="table" w:styleId="1059" w:customStyle="1">
    <w:name w:val="List Table 2 - Accent 2"/>
    <w:basedOn w:val="880"/>
    <w:uiPriority w:val="99"/>
    <w:qFormat/>
    <w:tblPr>
      <w:tblCellMar>
        <w:left w:w="0" w:type="dxa"/>
        <w:top w:w="0" w:type="dxa"/>
        <w:right w:w="0" w:type="dxa"/>
        <w:bottom w:w="0" w:type="dxa"/>
      </w:tblCellMar>
    </w:tblPr>
  </w:style>
  <w:style w:type="table" w:styleId="1060" w:customStyle="1">
    <w:name w:val="List Table 2 - Accent 3"/>
    <w:basedOn w:val="880"/>
    <w:uiPriority w:val="99"/>
    <w:qFormat/>
    <w:tblPr>
      <w:tblCellMar>
        <w:left w:w="0" w:type="dxa"/>
        <w:top w:w="0" w:type="dxa"/>
        <w:right w:w="0" w:type="dxa"/>
        <w:bottom w:w="0" w:type="dxa"/>
      </w:tblCellMar>
    </w:tblPr>
  </w:style>
  <w:style w:type="table" w:styleId="1061" w:customStyle="1">
    <w:name w:val="List Table 2 - Accent 4"/>
    <w:basedOn w:val="880"/>
    <w:uiPriority w:val="99"/>
    <w:qFormat/>
    <w:tblPr>
      <w:tblCellMar>
        <w:left w:w="0" w:type="dxa"/>
        <w:top w:w="0" w:type="dxa"/>
        <w:right w:w="0" w:type="dxa"/>
        <w:bottom w:w="0" w:type="dxa"/>
      </w:tblCellMar>
    </w:tblPr>
  </w:style>
  <w:style w:type="table" w:styleId="1062" w:customStyle="1">
    <w:name w:val="List Table 2 - Accent 5"/>
    <w:basedOn w:val="880"/>
    <w:uiPriority w:val="99"/>
    <w:qFormat/>
    <w:tblPr>
      <w:tblCellMar>
        <w:left w:w="0" w:type="dxa"/>
        <w:top w:w="0" w:type="dxa"/>
        <w:right w:w="0" w:type="dxa"/>
        <w:bottom w:w="0" w:type="dxa"/>
      </w:tblCellMar>
    </w:tblPr>
  </w:style>
  <w:style w:type="table" w:styleId="1063" w:customStyle="1">
    <w:name w:val="List Table 2 - Accent 6"/>
    <w:basedOn w:val="880"/>
    <w:uiPriority w:val="99"/>
    <w:qFormat/>
    <w:tblPr>
      <w:tblCellMar>
        <w:left w:w="0" w:type="dxa"/>
        <w:top w:w="0" w:type="dxa"/>
        <w:right w:w="0" w:type="dxa"/>
        <w:bottom w:w="0" w:type="dxa"/>
      </w:tblCellMar>
    </w:tblPr>
  </w:style>
  <w:style w:type="table" w:styleId="1064" w:customStyle="1">
    <w:name w:val="List Table 3 - Accent 1"/>
    <w:basedOn w:val="880"/>
    <w:uiPriority w:val="99"/>
    <w:qFormat/>
    <w:tblPr>
      <w:tblCellMar>
        <w:left w:w="0" w:type="dxa"/>
        <w:top w:w="0" w:type="dxa"/>
        <w:right w:w="0" w:type="dxa"/>
        <w:bottom w:w="0" w:type="dxa"/>
      </w:tblCellMar>
    </w:tblPr>
  </w:style>
  <w:style w:type="table" w:styleId="1065" w:customStyle="1">
    <w:name w:val="List Table 3 - Accent 2"/>
    <w:basedOn w:val="880"/>
    <w:uiPriority w:val="99"/>
    <w:qFormat/>
    <w:tblPr>
      <w:tblCellMar>
        <w:left w:w="0" w:type="dxa"/>
        <w:top w:w="0" w:type="dxa"/>
        <w:right w:w="0" w:type="dxa"/>
        <w:bottom w:w="0" w:type="dxa"/>
      </w:tblCellMar>
    </w:tblPr>
  </w:style>
  <w:style w:type="table" w:styleId="1066" w:customStyle="1">
    <w:name w:val="List Table 3 - Accent 3"/>
    <w:basedOn w:val="880"/>
    <w:uiPriority w:val="99"/>
    <w:qFormat/>
    <w:tblPr>
      <w:tblCellMar>
        <w:left w:w="0" w:type="dxa"/>
        <w:top w:w="0" w:type="dxa"/>
        <w:right w:w="0" w:type="dxa"/>
        <w:bottom w:w="0" w:type="dxa"/>
      </w:tblCellMar>
    </w:tblPr>
  </w:style>
  <w:style w:type="table" w:styleId="1067" w:customStyle="1">
    <w:name w:val="List Table 3 - Accent 4"/>
    <w:basedOn w:val="880"/>
    <w:uiPriority w:val="99"/>
    <w:qFormat/>
    <w:tblPr>
      <w:tblCellMar>
        <w:left w:w="0" w:type="dxa"/>
        <w:top w:w="0" w:type="dxa"/>
        <w:right w:w="0" w:type="dxa"/>
        <w:bottom w:w="0" w:type="dxa"/>
      </w:tblCellMar>
    </w:tblPr>
  </w:style>
  <w:style w:type="table" w:styleId="1068" w:customStyle="1">
    <w:name w:val="List Table 3 - Accent 5"/>
    <w:basedOn w:val="880"/>
    <w:uiPriority w:val="99"/>
    <w:qFormat/>
    <w:tblPr>
      <w:tblCellMar>
        <w:left w:w="0" w:type="dxa"/>
        <w:top w:w="0" w:type="dxa"/>
        <w:right w:w="0" w:type="dxa"/>
        <w:bottom w:w="0" w:type="dxa"/>
      </w:tblCellMar>
    </w:tblPr>
  </w:style>
  <w:style w:type="table" w:styleId="1069" w:customStyle="1">
    <w:name w:val="List Table 3 - Accent 6"/>
    <w:basedOn w:val="880"/>
    <w:uiPriority w:val="99"/>
    <w:qFormat/>
    <w:tblPr>
      <w:tblCellMar>
        <w:left w:w="0" w:type="dxa"/>
        <w:top w:w="0" w:type="dxa"/>
        <w:right w:w="0" w:type="dxa"/>
        <w:bottom w:w="0" w:type="dxa"/>
      </w:tblCellMar>
    </w:tblPr>
  </w:style>
  <w:style w:type="table" w:styleId="1070" w:customStyle="1">
    <w:name w:val="List Table 4 - Accent 1"/>
    <w:basedOn w:val="880"/>
    <w:uiPriority w:val="99"/>
    <w:qFormat/>
    <w:tblPr>
      <w:tblCellMar>
        <w:left w:w="0" w:type="dxa"/>
        <w:top w:w="0" w:type="dxa"/>
        <w:right w:w="0" w:type="dxa"/>
        <w:bottom w:w="0" w:type="dxa"/>
      </w:tblCellMar>
    </w:tblPr>
  </w:style>
  <w:style w:type="table" w:styleId="1071" w:customStyle="1">
    <w:name w:val="List Table 4 - Accent 2"/>
    <w:basedOn w:val="880"/>
    <w:uiPriority w:val="99"/>
    <w:qFormat/>
    <w:tblPr>
      <w:tblCellMar>
        <w:left w:w="0" w:type="dxa"/>
        <w:top w:w="0" w:type="dxa"/>
        <w:right w:w="0" w:type="dxa"/>
        <w:bottom w:w="0" w:type="dxa"/>
      </w:tblCellMar>
    </w:tblPr>
  </w:style>
  <w:style w:type="table" w:styleId="1072" w:customStyle="1">
    <w:name w:val="List Table 4 - Accent 3"/>
    <w:basedOn w:val="880"/>
    <w:uiPriority w:val="99"/>
    <w:qFormat/>
    <w:tblPr>
      <w:tblCellMar>
        <w:left w:w="0" w:type="dxa"/>
        <w:top w:w="0" w:type="dxa"/>
        <w:right w:w="0" w:type="dxa"/>
        <w:bottom w:w="0" w:type="dxa"/>
      </w:tblCellMar>
    </w:tblPr>
  </w:style>
  <w:style w:type="table" w:styleId="1073" w:customStyle="1">
    <w:name w:val="List Table 4 - Accent 4"/>
    <w:basedOn w:val="880"/>
    <w:uiPriority w:val="99"/>
    <w:qFormat/>
    <w:tblPr>
      <w:tblCellMar>
        <w:left w:w="0" w:type="dxa"/>
        <w:top w:w="0" w:type="dxa"/>
        <w:right w:w="0" w:type="dxa"/>
        <w:bottom w:w="0" w:type="dxa"/>
      </w:tblCellMar>
    </w:tblPr>
  </w:style>
  <w:style w:type="table" w:styleId="1074" w:customStyle="1">
    <w:name w:val="List Table 4 - Accent 5"/>
    <w:basedOn w:val="880"/>
    <w:uiPriority w:val="99"/>
    <w:qFormat/>
    <w:tblPr>
      <w:tblCellMar>
        <w:left w:w="0" w:type="dxa"/>
        <w:top w:w="0" w:type="dxa"/>
        <w:right w:w="0" w:type="dxa"/>
        <w:bottom w:w="0" w:type="dxa"/>
      </w:tblCellMar>
    </w:tblPr>
  </w:style>
  <w:style w:type="table" w:styleId="1075" w:customStyle="1">
    <w:name w:val="List Table 4 - Accent 6"/>
    <w:basedOn w:val="880"/>
    <w:uiPriority w:val="99"/>
    <w:qFormat/>
    <w:tblPr>
      <w:tblCellMar>
        <w:left w:w="0" w:type="dxa"/>
        <w:top w:w="0" w:type="dxa"/>
        <w:right w:w="0" w:type="dxa"/>
        <w:bottom w:w="0" w:type="dxa"/>
      </w:tblCellMar>
    </w:tblPr>
  </w:style>
  <w:style w:type="table" w:styleId="1076" w:customStyle="1">
    <w:name w:val="List Table 5 Dark - Accent 1"/>
    <w:basedOn w:val="880"/>
    <w:uiPriority w:val="99"/>
    <w:qFormat/>
    <w:tblPr>
      <w:tblCellMar>
        <w:left w:w="0" w:type="dxa"/>
        <w:top w:w="0" w:type="dxa"/>
        <w:right w:w="0" w:type="dxa"/>
        <w:bottom w:w="0" w:type="dxa"/>
      </w:tblCellMar>
    </w:tblPr>
  </w:style>
  <w:style w:type="table" w:styleId="1077" w:customStyle="1">
    <w:name w:val="List Table 5 Dark - Accent 2"/>
    <w:basedOn w:val="880"/>
    <w:uiPriority w:val="99"/>
    <w:qFormat/>
    <w:tblPr>
      <w:tblCellMar>
        <w:left w:w="0" w:type="dxa"/>
        <w:top w:w="0" w:type="dxa"/>
        <w:right w:w="0" w:type="dxa"/>
        <w:bottom w:w="0" w:type="dxa"/>
      </w:tblCellMar>
    </w:tblPr>
  </w:style>
  <w:style w:type="table" w:styleId="1078" w:customStyle="1">
    <w:name w:val="List Table 5 Dark - Accent 3"/>
    <w:basedOn w:val="880"/>
    <w:uiPriority w:val="99"/>
    <w:qFormat/>
    <w:tblPr>
      <w:tblCellMar>
        <w:left w:w="0" w:type="dxa"/>
        <w:top w:w="0" w:type="dxa"/>
        <w:right w:w="0" w:type="dxa"/>
        <w:bottom w:w="0" w:type="dxa"/>
      </w:tblCellMar>
    </w:tblPr>
  </w:style>
  <w:style w:type="table" w:styleId="1079" w:customStyle="1">
    <w:name w:val="List Table 5 Dark - Accent 4"/>
    <w:basedOn w:val="880"/>
    <w:uiPriority w:val="99"/>
    <w:qFormat/>
    <w:tblPr>
      <w:tblCellMar>
        <w:left w:w="0" w:type="dxa"/>
        <w:top w:w="0" w:type="dxa"/>
        <w:right w:w="0" w:type="dxa"/>
        <w:bottom w:w="0" w:type="dxa"/>
      </w:tblCellMar>
    </w:tblPr>
  </w:style>
  <w:style w:type="table" w:styleId="1080" w:customStyle="1">
    <w:name w:val="List Table 5 Dark - Accent 5"/>
    <w:basedOn w:val="880"/>
    <w:uiPriority w:val="99"/>
    <w:qFormat/>
    <w:tblPr>
      <w:tblCellMar>
        <w:left w:w="0" w:type="dxa"/>
        <w:top w:w="0" w:type="dxa"/>
        <w:right w:w="0" w:type="dxa"/>
        <w:bottom w:w="0" w:type="dxa"/>
      </w:tblCellMar>
    </w:tblPr>
  </w:style>
  <w:style w:type="table" w:styleId="1081" w:customStyle="1">
    <w:name w:val="List Table 5 Dark - Accent 6"/>
    <w:basedOn w:val="880"/>
    <w:uiPriority w:val="99"/>
    <w:qFormat/>
    <w:tblPr>
      <w:tblCellMar>
        <w:left w:w="0" w:type="dxa"/>
        <w:top w:w="0" w:type="dxa"/>
        <w:right w:w="0" w:type="dxa"/>
        <w:bottom w:w="0" w:type="dxa"/>
      </w:tblCellMar>
    </w:tblPr>
  </w:style>
  <w:style w:type="table" w:styleId="1082" w:customStyle="1">
    <w:name w:val="List Table 6 Colorful - Accent 1"/>
    <w:basedOn w:val="880"/>
    <w:uiPriority w:val="99"/>
    <w:qFormat/>
    <w:tblPr>
      <w:tblCellMar>
        <w:left w:w="0" w:type="dxa"/>
        <w:top w:w="0" w:type="dxa"/>
        <w:right w:w="0" w:type="dxa"/>
        <w:bottom w:w="0" w:type="dxa"/>
      </w:tblCellMar>
    </w:tblPr>
  </w:style>
  <w:style w:type="table" w:styleId="1083" w:customStyle="1">
    <w:name w:val="List Table 6 Colorful - Accent 2"/>
    <w:basedOn w:val="880"/>
    <w:uiPriority w:val="99"/>
    <w:qFormat/>
    <w:tblPr>
      <w:tblCellMar>
        <w:left w:w="0" w:type="dxa"/>
        <w:top w:w="0" w:type="dxa"/>
        <w:right w:w="0" w:type="dxa"/>
        <w:bottom w:w="0" w:type="dxa"/>
      </w:tblCellMar>
    </w:tblPr>
  </w:style>
  <w:style w:type="table" w:styleId="1084" w:customStyle="1">
    <w:name w:val="List Table 6 Colorful - Accent 3"/>
    <w:basedOn w:val="880"/>
    <w:uiPriority w:val="99"/>
    <w:qFormat/>
    <w:tblPr>
      <w:tblCellMar>
        <w:left w:w="0" w:type="dxa"/>
        <w:top w:w="0" w:type="dxa"/>
        <w:right w:w="0" w:type="dxa"/>
        <w:bottom w:w="0" w:type="dxa"/>
      </w:tblCellMar>
    </w:tblPr>
  </w:style>
  <w:style w:type="table" w:styleId="1085" w:customStyle="1">
    <w:name w:val="List Table 6 Colorful - Accent 4"/>
    <w:basedOn w:val="880"/>
    <w:uiPriority w:val="99"/>
    <w:qFormat/>
    <w:tblPr>
      <w:tblCellMar>
        <w:left w:w="0" w:type="dxa"/>
        <w:top w:w="0" w:type="dxa"/>
        <w:right w:w="0" w:type="dxa"/>
        <w:bottom w:w="0" w:type="dxa"/>
      </w:tblCellMar>
    </w:tblPr>
  </w:style>
  <w:style w:type="table" w:styleId="1086" w:customStyle="1">
    <w:name w:val="List Table 6 Colorful - Accent 5"/>
    <w:basedOn w:val="880"/>
    <w:uiPriority w:val="99"/>
    <w:qFormat/>
    <w:tblPr>
      <w:tblCellMar>
        <w:left w:w="0" w:type="dxa"/>
        <w:top w:w="0" w:type="dxa"/>
        <w:right w:w="0" w:type="dxa"/>
        <w:bottom w:w="0" w:type="dxa"/>
      </w:tblCellMar>
    </w:tblPr>
  </w:style>
  <w:style w:type="table" w:styleId="1087" w:customStyle="1">
    <w:name w:val="List Table 6 Colorful - Accent 6"/>
    <w:basedOn w:val="880"/>
    <w:uiPriority w:val="99"/>
    <w:qFormat/>
    <w:tblPr>
      <w:tblCellMar>
        <w:left w:w="0" w:type="dxa"/>
        <w:top w:w="0" w:type="dxa"/>
        <w:right w:w="0" w:type="dxa"/>
        <w:bottom w:w="0" w:type="dxa"/>
      </w:tblCellMar>
    </w:tblPr>
  </w:style>
  <w:style w:type="table" w:styleId="1088" w:customStyle="1">
    <w:name w:val="List Table 7 Colorful - Accent 1"/>
    <w:basedOn w:val="880"/>
    <w:uiPriority w:val="99"/>
    <w:qFormat/>
    <w:tblPr>
      <w:tblCellMar>
        <w:left w:w="0" w:type="dxa"/>
        <w:top w:w="0" w:type="dxa"/>
        <w:right w:w="0" w:type="dxa"/>
        <w:bottom w:w="0" w:type="dxa"/>
      </w:tblCellMar>
    </w:tblPr>
  </w:style>
  <w:style w:type="table" w:styleId="1089" w:customStyle="1">
    <w:name w:val="List Table 7 Colorful - Accent 2"/>
    <w:basedOn w:val="880"/>
    <w:uiPriority w:val="99"/>
    <w:qFormat/>
    <w:tblPr>
      <w:tblCellMar>
        <w:left w:w="0" w:type="dxa"/>
        <w:top w:w="0" w:type="dxa"/>
        <w:right w:w="0" w:type="dxa"/>
        <w:bottom w:w="0" w:type="dxa"/>
      </w:tblCellMar>
    </w:tblPr>
  </w:style>
  <w:style w:type="table" w:styleId="1090" w:customStyle="1">
    <w:name w:val="List Table 7 Colorful - Accent 3"/>
    <w:basedOn w:val="880"/>
    <w:uiPriority w:val="99"/>
    <w:qFormat/>
    <w:tblPr>
      <w:tblCellMar>
        <w:left w:w="0" w:type="dxa"/>
        <w:top w:w="0" w:type="dxa"/>
        <w:right w:w="0" w:type="dxa"/>
        <w:bottom w:w="0" w:type="dxa"/>
      </w:tblCellMar>
    </w:tblPr>
  </w:style>
  <w:style w:type="table" w:styleId="1091" w:customStyle="1">
    <w:name w:val="List Table 7 Colorful - Accent 4"/>
    <w:basedOn w:val="880"/>
    <w:uiPriority w:val="99"/>
    <w:qFormat/>
    <w:tblPr>
      <w:tblCellMar>
        <w:left w:w="0" w:type="dxa"/>
        <w:top w:w="0" w:type="dxa"/>
        <w:right w:w="0" w:type="dxa"/>
        <w:bottom w:w="0" w:type="dxa"/>
      </w:tblCellMar>
    </w:tblPr>
  </w:style>
  <w:style w:type="table" w:styleId="1092" w:customStyle="1">
    <w:name w:val="List Table 7 Colorful - Accent 5"/>
    <w:basedOn w:val="880"/>
    <w:uiPriority w:val="99"/>
    <w:qFormat/>
    <w:tblPr>
      <w:tblCellMar>
        <w:left w:w="0" w:type="dxa"/>
        <w:top w:w="0" w:type="dxa"/>
        <w:right w:w="0" w:type="dxa"/>
        <w:bottom w:w="0" w:type="dxa"/>
      </w:tblCellMar>
    </w:tblPr>
  </w:style>
  <w:style w:type="table" w:styleId="1093" w:customStyle="1">
    <w:name w:val="List Table 7 Colorful - Accent 6"/>
    <w:basedOn w:val="880"/>
    <w:uiPriority w:val="99"/>
    <w:qFormat/>
    <w:tblPr>
      <w:tblCellMar>
        <w:left w:w="0" w:type="dxa"/>
        <w:top w:w="0" w:type="dxa"/>
        <w:right w:w="0" w:type="dxa"/>
        <w:bottom w:w="0" w:type="dxa"/>
      </w:tblCellMar>
    </w:tblPr>
  </w:style>
  <w:style w:type="table" w:styleId="1094" w:customStyle="1">
    <w:name w:val="Lined - Accent"/>
    <w:basedOn w:val="880"/>
    <w:uiPriority w:val="99"/>
    <w:qFormat/>
    <w:rPr>
      <w:color w:val="404040"/>
    </w:rPr>
    <w:tblPr>
      <w:tblCellMar>
        <w:left w:w="0" w:type="dxa"/>
        <w:top w:w="0" w:type="dxa"/>
        <w:right w:w="0" w:type="dxa"/>
        <w:bottom w:w="0" w:type="dxa"/>
      </w:tblCellMar>
    </w:tblPr>
  </w:style>
  <w:style w:type="table" w:styleId="1095" w:customStyle="1">
    <w:name w:val="Lined - Accent 1"/>
    <w:basedOn w:val="880"/>
    <w:uiPriority w:val="99"/>
    <w:qFormat/>
    <w:rPr>
      <w:color w:val="404040"/>
    </w:rPr>
    <w:tblPr>
      <w:tblCellMar>
        <w:left w:w="0" w:type="dxa"/>
        <w:top w:w="0" w:type="dxa"/>
        <w:right w:w="0" w:type="dxa"/>
        <w:bottom w:w="0" w:type="dxa"/>
      </w:tblCellMar>
    </w:tblPr>
  </w:style>
  <w:style w:type="table" w:styleId="1096" w:customStyle="1">
    <w:name w:val="Lined - Accent 2"/>
    <w:basedOn w:val="880"/>
    <w:uiPriority w:val="99"/>
    <w:qFormat/>
    <w:rPr>
      <w:color w:val="404040"/>
    </w:rPr>
    <w:tblPr>
      <w:tblCellMar>
        <w:left w:w="0" w:type="dxa"/>
        <w:top w:w="0" w:type="dxa"/>
        <w:right w:w="0" w:type="dxa"/>
        <w:bottom w:w="0" w:type="dxa"/>
      </w:tblCellMar>
    </w:tblPr>
  </w:style>
  <w:style w:type="table" w:styleId="1097" w:customStyle="1">
    <w:name w:val="Lined - Accent 3"/>
    <w:basedOn w:val="880"/>
    <w:uiPriority w:val="99"/>
    <w:qFormat/>
    <w:rPr>
      <w:color w:val="404040"/>
    </w:rPr>
    <w:tblPr>
      <w:tblCellMar>
        <w:left w:w="0" w:type="dxa"/>
        <w:top w:w="0" w:type="dxa"/>
        <w:right w:w="0" w:type="dxa"/>
        <w:bottom w:w="0" w:type="dxa"/>
      </w:tblCellMar>
    </w:tblPr>
  </w:style>
  <w:style w:type="table" w:styleId="1098" w:customStyle="1">
    <w:name w:val="Lined - Accent 4"/>
    <w:basedOn w:val="880"/>
    <w:uiPriority w:val="99"/>
    <w:qFormat/>
    <w:rPr>
      <w:color w:val="404040"/>
    </w:rPr>
    <w:tblPr>
      <w:tblCellMar>
        <w:left w:w="0" w:type="dxa"/>
        <w:top w:w="0" w:type="dxa"/>
        <w:right w:w="0" w:type="dxa"/>
        <w:bottom w:w="0" w:type="dxa"/>
      </w:tblCellMar>
    </w:tblPr>
  </w:style>
  <w:style w:type="table" w:styleId="1099" w:customStyle="1">
    <w:name w:val="Lined - Accent 5"/>
    <w:basedOn w:val="880"/>
    <w:uiPriority w:val="99"/>
    <w:qFormat/>
    <w:rPr>
      <w:color w:val="404040"/>
    </w:rPr>
    <w:tblPr>
      <w:tblCellMar>
        <w:left w:w="0" w:type="dxa"/>
        <w:top w:w="0" w:type="dxa"/>
        <w:right w:w="0" w:type="dxa"/>
        <w:bottom w:w="0" w:type="dxa"/>
      </w:tblCellMar>
    </w:tblPr>
  </w:style>
  <w:style w:type="table" w:styleId="1100" w:customStyle="1">
    <w:name w:val="Lined - Accent 6"/>
    <w:basedOn w:val="880"/>
    <w:uiPriority w:val="99"/>
    <w:qFormat/>
    <w:rPr>
      <w:color w:val="404040"/>
    </w:rPr>
    <w:tblPr>
      <w:tblCellMar>
        <w:left w:w="0" w:type="dxa"/>
        <w:top w:w="0" w:type="dxa"/>
        <w:right w:w="0" w:type="dxa"/>
        <w:bottom w:w="0" w:type="dxa"/>
      </w:tblCellMar>
    </w:tblPr>
  </w:style>
  <w:style w:type="table" w:styleId="1101" w:customStyle="1">
    <w:name w:val="Bordered &amp; Lined - Accent"/>
    <w:basedOn w:val="880"/>
    <w:uiPriority w:val="99"/>
    <w:qFormat/>
    <w:rPr>
      <w:color w:val="404040"/>
    </w:rPr>
    <w:tblPr>
      <w:tblCellMar>
        <w:left w:w="0" w:type="dxa"/>
        <w:top w:w="0" w:type="dxa"/>
        <w:right w:w="0" w:type="dxa"/>
        <w:bottom w:w="0" w:type="dxa"/>
      </w:tblCellMar>
    </w:tblPr>
  </w:style>
  <w:style w:type="table" w:styleId="1102" w:customStyle="1">
    <w:name w:val="Bordered &amp; Lined - Accent 1"/>
    <w:basedOn w:val="880"/>
    <w:uiPriority w:val="99"/>
    <w:qFormat/>
    <w:rPr>
      <w:color w:val="404040"/>
    </w:rPr>
    <w:tblPr>
      <w:tblCellMar>
        <w:left w:w="0" w:type="dxa"/>
        <w:top w:w="0" w:type="dxa"/>
        <w:right w:w="0" w:type="dxa"/>
        <w:bottom w:w="0" w:type="dxa"/>
      </w:tblCellMar>
    </w:tblPr>
  </w:style>
  <w:style w:type="table" w:styleId="1103" w:customStyle="1">
    <w:name w:val="Bordered &amp; Lined - Accent 2"/>
    <w:basedOn w:val="880"/>
    <w:uiPriority w:val="99"/>
    <w:qFormat/>
    <w:rPr>
      <w:color w:val="404040"/>
    </w:rPr>
    <w:tblPr>
      <w:tblCellMar>
        <w:left w:w="0" w:type="dxa"/>
        <w:top w:w="0" w:type="dxa"/>
        <w:right w:w="0" w:type="dxa"/>
        <w:bottom w:w="0" w:type="dxa"/>
      </w:tblCellMar>
    </w:tblPr>
  </w:style>
  <w:style w:type="table" w:styleId="1104" w:customStyle="1">
    <w:name w:val="Bordered &amp; Lined - Accent 3"/>
    <w:basedOn w:val="880"/>
    <w:uiPriority w:val="99"/>
    <w:qFormat/>
    <w:rPr>
      <w:color w:val="404040"/>
    </w:rPr>
    <w:tblPr>
      <w:tblCellMar>
        <w:left w:w="0" w:type="dxa"/>
        <w:top w:w="0" w:type="dxa"/>
        <w:right w:w="0" w:type="dxa"/>
        <w:bottom w:w="0" w:type="dxa"/>
      </w:tblCellMar>
    </w:tblPr>
  </w:style>
  <w:style w:type="table" w:styleId="1105" w:customStyle="1">
    <w:name w:val="Bordered &amp; Lined - Accent 4"/>
    <w:basedOn w:val="880"/>
    <w:uiPriority w:val="99"/>
    <w:qFormat/>
    <w:rPr>
      <w:color w:val="404040"/>
    </w:rPr>
    <w:tblPr>
      <w:tblCellMar>
        <w:left w:w="0" w:type="dxa"/>
        <w:top w:w="0" w:type="dxa"/>
        <w:right w:w="0" w:type="dxa"/>
        <w:bottom w:w="0" w:type="dxa"/>
      </w:tblCellMar>
    </w:tblPr>
  </w:style>
  <w:style w:type="table" w:styleId="1106" w:customStyle="1">
    <w:name w:val="Bordered &amp; Lined - Accent 5"/>
    <w:basedOn w:val="880"/>
    <w:uiPriority w:val="99"/>
    <w:qFormat/>
    <w:rPr>
      <w:color w:val="404040"/>
    </w:rPr>
    <w:tblPr>
      <w:tblCellMar>
        <w:left w:w="0" w:type="dxa"/>
        <w:top w:w="0" w:type="dxa"/>
        <w:right w:w="0" w:type="dxa"/>
        <w:bottom w:w="0" w:type="dxa"/>
      </w:tblCellMar>
    </w:tblPr>
  </w:style>
  <w:style w:type="table" w:styleId="1107" w:customStyle="1">
    <w:name w:val="Bordered &amp; Lined - Accent 6"/>
    <w:basedOn w:val="880"/>
    <w:uiPriority w:val="99"/>
    <w:qFormat/>
    <w:rPr>
      <w:color w:val="404040"/>
    </w:rPr>
    <w:tblPr>
      <w:tblCellMar>
        <w:left w:w="0" w:type="dxa"/>
        <w:top w:w="0" w:type="dxa"/>
        <w:right w:w="0" w:type="dxa"/>
        <w:bottom w:w="0" w:type="dxa"/>
      </w:tblCellMar>
    </w:tblPr>
  </w:style>
  <w:style w:type="table" w:styleId="1108" w:customStyle="1">
    <w:name w:val="Bordered"/>
    <w:basedOn w:val="880"/>
    <w:uiPriority w:val="99"/>
    <w:qFormat/>
    <w:tblPr>
      <w:tblCellMar>
        <w:left w:w="0" w:type="dxa"/>
        <w:top w:w="0" w:type="dxa"/>
        <w:right w:w="0" w:type="dxa"/>
        <w:bottom w:w="0" w:type="dxa"/>
      </w:tblCellMar>
    </w:tblPr>
  </w:style>
  <w:style w:type="table" w:styleId="1109" w:customStyle="1">
    <w:name w:val="Bordered - Accent 1"/>
    <w:basedOn w:val="880"/>
    <w:uiPriority w:val="99"/>
    <w:qFormat/>
    <w:tblPr>
      <w:tblCellMar>
        <w:left w:w="0" w:type="dxa"/>
        <w:top w:w="0" w:type="dxa"/>
        <w:right w:w="0" w:type="dxa"/>
        <w:bottom w:w="0" w:type="dxa"/>
      </w:tblCellMar>
    </w:tblPr>
  </w:style>
  <w:style w:type="table" w:styleId="1110" w:customStyle="1">
    <w:name w:val="Bordered - Accent 2"/>
    <w:basedOn w:val="880"/>
    <w:uiPriority w:val="99"/>
    <w:qFormat/>
    <w:tblPr>
      <w:tblCellMar>
        <w:left w:w="0" w:type="dxa"/>
        <w:top w:w="0" w:type="dxa"/>
        <w:right w:w="0" w:type="dxa"/>
        <w:bottom w:w="0" w:type="dxa"/>
      </w:tblCellMar>
    </w:tblPr>
  </w:style>
  <w:style w:type="table" w:styleId="1111" w:customStyle="1">
    <w:name w:val="Bordered - Accent 3"/>
    <w:basedOn w:val="880"/>
    <w:uiPriority w:val="99"/>
    <w:qFormat/>
    <w:tblPr>
      <w:tblCellMar>
        <w:left w:w="0" w:type="dxa"/>
        <w:top w:w="0" w:type="dxa"/>
        <w:right w:w="0" w:type="dxa"/>
        <w:bottom w:w="0" w:type="dxa"/>
      </w:tblCellMar>
    </w:tblPr>
  </w:style>
  <w:style w:type="table" w:styleId="1112" w:customStyle="1">
    <w:name w:val="Bordered - Accent 4"/>
    <w:basedOn w:val="880"/>
    <w:uiPriority w:val="99"/>
    <w:qFormat/>
    <w:tblPr>
      <w:tblCellMar>
        <w:left w:w="0" w:type="dxa"/>
        <w:top w:w="0" w:type="dxa"/>
        <w:right w:w="0" w:type="dxa"/>
        <w:bottom w:w="0" w:type="dxa"/>
      </w:tblCellMar>
    </w:tblPr>
  </w:style>
  <w:style w:type="table" w:styleId="1113" w:customStyle="1">
    <w:name w:val="Bordered - Accent 5"/>
    <w:basedOn w:val="880"/>
    <w:uiPriority w:val="99"/>
    <w:qFormat/>
    <w:tblPr>
      <w:tblCellMar>
        <w:left w:w="0" w:type="dxa"/>
        <w:top w:w="0" w:type="dxa"/>
        <w:right w:w="0" w:type="dxa"/>
        <w:bottom w:w="0" w:type="dxa"/>
      </w:tblCellMar>
    </w:tblPr>
  </w:style>
  <w:style w:type="table" w:styleId="1114" w:customStyle="1">
    <w:name w:val="Bordered - Accent 6"/>
    <w:basedOn w:val="880"/>
    <w:uiPriority w:val="99"/>
    <w:qFormat/>
    <w:tblPr>
      <w:tblCellMar>
        <w:left w:w="0" w:type="dxa"/>
        <w:top w:w="0" w:type="dxa"/>
        <w:right w:w="0" w:type="dxa"/>
        <w:bottom w:w="0" w:type="dxa"/>
      </w:tblCellMar>
    </w:tblPr>
  </w:style>
  <w:style w:type="paragraph" w:styleId="1115" w:customStyle="1">
    <w:name w:val="TOC 标题11"/>
    <w:uiPriority w:val="39"/>
    <w:unhideWhenUsed/>
    <w:qFormat/>
    <w:rPr>
      <w:rFonts w:hint="default" w:ascii="Times New Roman" w:hAnsi="Times New Roman" w:eastAsia="宋体" w:cs="Times New Roman"/>
      <w:lang w:val="en-US" w:eastAsia="zh-CN" w:bidi="ar-SA"/>
    </w:rPr>
  </w:style>
  <w:style w:type="paragraph" w:styleId="1116" w:customStyle="1">
    <w:name w:val="Normal_0"/>
    <w:uiPriority w:val="0"/>
    <w:qFormat/>
    <w:rPr>
      <w:rFonts w:hint="default" w:ascii="黑体" w:hAnsi="黑体" w:eastAsia="黑体" w:cs="Times New Roman"/>
      <w:b/>
      <w:sz w:val="32"/>
      <w:szCs w:val="24"/>
      <w:lang w:val="en-US" w:eastAsia="zh-CN" w:bidi="ar-SA"/>
    </w:rPr>
  </w:style>
  <w:style w:type="paragraph" w:styleId="1117" w:customStyle="1">
    <w:name w:val="Normal_0_3"/>
    <w:uiPriority w:val="0"/>
    <w:qFormat/>
    <w:rPr>
      <w:rFonts w:hint="default" w:ascii="黑体" w:hAnsi="黑体" w:eastAsia="黑体" w:cs="黑体"/>
      <w:b/>
      <w:sz w:val="32"/>
      <w:szCs w:val="24"/>
      <w:lang w:val="en-US" w:eastAsia="zh-CN" w:bidi="ar-SA"/>
    </w:rPr>
  </w:style>
  <w:style w:type="paragraph" w:styleId="1118" w:customStyle="1">
    <w:name w:val="正文首行缩进 2_0"/>
    <w:basedOn w:val="801"/>
    <w:uiPriority w:val="0"/>
    <w:qFormat/>
    <w:pPr>
      <w:ind w:left="200" w:firstLine="200"/>
      <w:spacing w:after="120"/>
    </w:pPr>
    <w:rPr>
      <w:rFonts w:ascii="Times New Roman" w:hAnsi="Times New Roman"/>
      <w:sz w:val="24"/>
      <w:szCs w:val="24"/>
    </w:rPr>
  </w:style>
  <w:style w:type="paragraph" w:styleId="1119" w:customStyle="1">
    <w:name w:val="正文_2"/>
    <w:next w:val="112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标题 2_0"/>
    <w:basedOn w:val="1119"/>
    <w:next w:val="1119"/>
    <w:uiPriority w:val="0"/>
    <w:qFormat/>
    <w:pPr>
      <w:keepLines/>
      <w:keepNext/>
      <w:spacing w:before="20" w:beforeAutospacing="0" w:after="20" w:afterAutospacing="0" w:line="240" w:lineRule="auto"/>
      <w:outlineLvl w:val="1"/>
    </w:pPr>
    <w:rPr>
      <w:rFonts w:ascii="Arial" w:hAnsi="Arial" w:eastAsia="宋体" w:cs="Times New Roman"/>
      <w:b/>
      <w:sz w:val="28"/>
    </w:rPr>
  </w:style>
  <w:style w:type="paragraph" w:styleId="1121" w:customStyle="1">
    <w:name w:val="正文1_0"/>
    <w:basedOn w:val="1122"/>
    <w:uiPriority w:val="0"/>
    <w:qFormat/>
    <w:pPr>
      <w:ind w:left="357" w:firstLine="420"/>
      <w:jc w:val="left"/>
      <w:spacing w:line="360" w:lineRule="auto"/>
      <w:widowControl/>
    </w:pPr>
    <w:rPr>
      <w:rFonts w:cs="Arial"/>
      <w:szCs w:val="20"/>
    </w:rPr>
  </w:style>
  <w:style w:type="paragraph" w:styleId="1122"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1123" w:customStyle="1">
    <w:name w:val="Body Text First Indent_1"/>
    <w:basedOn w:val="864"/>
    <w:uiPriority w:val="99"/>
    <w:unhideWhenUsed/>
    <w:qFormat/>
    <w:pPr>
      <w:ind w:firstLine="420"/>
      <w:spacing w:after="120"/>
    </w:pPr>
    <w:rPr>
      <w:rFonts w:eastAsia="Times New Roman"/>
    </w:rPr>
  </w:style>
  <w:style w:type="paragraph" w:styleId="112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0_1"/>
    <w:next w:val="1126"/>
    <w:uiPriority w:val="0"/>
    <w:qFormat/>
    <w:rPr>
      <w:rFonts w:hint="default" w:ascii="黑体" w:hAnsi="黑体" w:eastAsia="黑体" w:cs="黑体"/>
      <w:b/>
      <w:sz w:val="32"/>
      <w:szCs w:val="24"/>
      <w:lang w:val="en-US" w:eastAsia="zh-CN" w:bidi="ar-SA"/>
    </w:rPr>
  </w:style>
  <w:style w:type="paragraph" w:styleId="1126" w:customStyle="1">
    <w:name w:val="Body Text First Indent_0"/>
    <w:basedOn w:val="1127"/>
    <w:uiPriority w:val="99"/>
    <w:unhideWhenUsed/>
    <w:qFormat/>
    <w:pPr>
      <w:ind w:firstLine="420"/>
      <w:spacing w:after="120"/>
    </w:pPr>
  </w:style>
  <w:style w:type="paragraph" w:styleId="1127" w:customStyle="1">
    <w:name w:val="正文3"/>
    <w:next w:val="1128"/>
    <w:uiPriority w:val="0"/>
    <w:qFormat/>
    <w:rPr>
      <w:rFonts w:hint="default" w:ascii="Times New Roman" w:hAnsi="Times New Roman" w:eastAsia="Times New Roman" w:cs="Times New Roman"/>
      <w:sz w:val="24"/>
      <w:szCs w:val="24"/>
      <w:lang w:val="en-US" w:eastAsia="zh-CN" w:bidi="ar-SA"/>
    </w:rPr>
  </w:style>
  <w:style w:type="paragraph" w:styleId="1128" w:customStyle="1">
    <w:name w:val="正文首行缩进3"/>
    <w:basedOn w:val="860"/>
    <w:uiPriority w:val="99"/>
    <w:unhideWhenUsed/>
    <w:qFormat/>
    <w:pPr>
      <w:ind w:firstLine="420"/>
      <w:spacing w:after="120"/>
    </w:pPr>
    <w:rPr>
      <w:sz w:val="20"/>
    </w:rPr>
  </w:style>
  <w:style w:type="paragraph" w:styleId="1129" w:customStyle="1">
    <w:name w:val="Normal_1_1"/>
    <w:uiPriority w:val="0"/>
    <w:qFormat/>
    <w:rPr>
      <w:rFonts w:hint="default" w:ascii="黑体" w:hAnsi="黑体" w:eastAsia="黑体" w:cs="黑体"/>
      <w:b/>
      <w:sz w:val="32"/>
      <w:szCs w:val="24"/>
      <w:lang w:val="en-US" w:eastAsia="zh-CN" w:bidi="ar-SA"/>
    </w:rPr>
  </w:style>
  <w:style w:type="paragraph" w:styleId="113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2_0"/>
    <w:uiPriority w:val="0"/>
    <w:qFormat/>
    <w:rPr>
      <w:rFonts w:hint="default" w:ascii="黑体" w:hAnsi="黑体" w:eastAsia="黑体" w:cs="黑体"/>
      <w:b/>
      <w:sz w:val="32"/>
      <w:szCs w:val="24"/>
      <w:lang w:val="en-US" w:eastAsia="zh-CN" w:bidi="ar-SA"/>
    </w:rPr>
  </w:style>
  <w:style w:type="paragraph" w:styleId="113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4_0"/>
    <w:uiPriority w:val="0"/>
    <w:qFormat/>
    <w:rPr>
      <w:rFonts w:hint="default" w:ascii="黑体" w:hAnsi="黑体" w:eastAsia="黑体" w:cs="黑体"/>
      <w:b/>
      <w:sz w:val="32"/>
      <w:szCs w:val="24"/>
      <w:lang w:val="en-US" w:eastAsia="zh-CN" w:bidi="ar-SA"/>
    </w:rPr>
  </w:style>
  <w:style w:type="paragraph" w:styleId="113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Normal_6_0"/>
    <w:uiPriority w:val="0"/>
    <w:qFormat/>
    <w:rPr>
      <w:rFonts w:hint="default" w:ascii="黑体" w:hAnsi="黑体" w:eastAsia="黑体" w:cs="黑体"/>
      <w:b/>
      <w:sz w:val="32"/>
      <w:szCs w:val="24"/>
      <w:lang w:val="en-US" w:eastAsia="zh-CN" w:bidi="ar-SA"/>
    </w:rPr>
  </w:style>
  <w:style w:type="paragraph" w:styleId="113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40" w:customStyle="1">
    <w:name w:val="Normal_7_0"/>
    <w:uiPriority w:val="0"/>
    <w:qFormat/>
    <w:rPr>
      <w:rFonts w:hint="default" w:ascii="黑体" w:hAnsi="黑体" w:eastAsia="黑体" w:cs="黑体"/>
      <w:b/>
      <w:sz w:val="32"/>
      <w:szCs w:val="24"/>
      <w:lang w:val="en-US" w:eastAsia="zh-CN" w:bidi="ar-SA"/>
    </w:rPr>
  </w:style>
  <w:style w:type="paragraph" w:styleId="114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4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10_0"/>
    <w:uiPriority w:val="0"/>
    <w:qFormat/>
    <w:rPr>
      <w:rFonts w:hint="default" w:ascii="黑体" w:hAnsi="黑体" w:eastAsia="黑体" w:cs="黑体"/>
      <w:b/>
      <w:sz w:val="32"/>
      <w:szCs w:val="24"/>
      <w:lang w:val="en-US" w:eastAsia="zh-CN" w:bidi="ar-SA"/>
    </w:rPr>
  </w:style>
  <w:style w:type="paragraph" w:styleId="114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首行缩进 2_1"/>
    <w:basedOn w:val="1146"/>
    <w:next w:val="1148"/>
    <w:uiPriority w:val="0"/>
    <w:qFormat/>
    <w:pPr>
      <w:ind w:left="200" w:firstLine="200"/>
      <w:spacing w:after="120"/>
    </w:pPr>
    <w:rPr>
      <w:rFonts w:ascii="Times New Roman"/>
      <w:szCs w:val="24"/>
    </w:rPr>
  </w:style>
  <w:style w:type="paragraph" w:styleId="1146" w:customStyle="1">
    <w:name w:val="正文文本缩进_1"/>
    <w:basedOn w:val="1147"/>
    <w:next w:val="1145"/>
    <w:uiPriority w:val="0"/>
    <w:qFormat/>
    <w:pPr>
      <w:ind w:firstLine="225"/>
    </w:pPr>
    <w:rPr>
      <w:rFonts w:ascii="仿宋_GB2312" w:eastAsia="仿宋_GB2312"/>
      <w:sz w:val="32"/>
    </w:rPr>
  </w:style>
  <w:style w:type="paragraph" w:styleId="1147" w:customStyle="1">
    <w:name w:val="正文_18"/>
    <w:next w:val="784"/>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xl53_0"/>
    <w:next w:val="114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4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Normal_11_0"/>
    <w:uiPriority w:val="0"/>
    <w:qFormat/>
    <w:rPr>
      <w:rFonts w:hint="default" w:ascii="黑体" w:hAnsi="黑体" w:eastAsia="黑体" w:cs="黑体"/>
      <w:b/>
      <w:sz w:val="32"/>
      <w:szCs w:val="24"/>
      <w:lang w:val="en-US" w:eastAsia="zh-CN" w:bidi="ar-SA"/>
    </w:rPr>
  </w:style>
  <w:style w:type="paragraph" w:styleId="115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55" w:customStyle="1">
    <w:name w:val="列出段落_2"/>
    <w:basedOn w:val="1153"/>
    <w:uiPriority w:val="34"/>
    <w:qFormat/>
    <w:pPr>
      <w:ind w:firstLine="420"/>
    </w:pPr>
  </w:style>
  <w:style w:type="paragraph" w:styleId="1156" w:customStyle="1">
    <w:name w:val="Normal_13_0"/>
    <w:uiPriority w:val="0"/>
    <w:qFormat/>
    <w:rPr>
      <w:rFonts w:hint="default" w:ascii="黑体" w:hAnsi="黑体" w:eastAsia="黑体" w:cs="黑体"/>
      <w:b/>
      <w:sz w:val="32"/>
      <w:szCs w:val="24"/>
      <w:lang w:val="en-US" w:eastAsia="zh-CN" w:bidi="ar-SA"/>
    </w:rPr>
  </w:style>
  <w:style w:type="paragraph" w:styleId="115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纯文本_0_0"/>
    <w:basedOn w:val="1157"/>
    <w:uiPriority w:val="0"/>
    <w:unhideWhenUsed/>
    <w:qFormat/>
    <w:rPr>
      <w:rFonts w:ascii="宋体" w:hAnsi="Courier New"/>
      <w:szCs w:val="21"/>
    </w:rPr>
  </w:style>
  <w:style w:type="paragraph" w:styleId="115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14_0"/>
    <w:uiPriority w:val="0"/>
    <w:qFormat/>
    <w:rPr>
      <w:rFonts w:hint="default" w:ascii="黑体" w:hAnsi="黑体" w:eastAsia="黑体" w:cs="黑体"/>
      <w:b/>
      <w:sz w:val="32"/>
      <w:szCs w:val="24"/>
      <w:lang w:val="en-US" w:eastAsia="zh-CN" w:bidi="ar-SA"/>
    </w:rPr>
  </w:style>
  <w:style w:type="paragraph" w:styleId="116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Normal_15_0"/>
    <w:uiPriority w:val="0"/>
    <w:qFormat/>
    <w:rPr>
      <w:rFonts w:hint="default" w:ascii="黑体" w:hAnsi="黑体" w:eastAsia="黑体" w:cs="黑体"/>
      <w:b/>
      <w:sz w:val="32"/>
      <w:szCs w:val="24"/>
      <w:lang w:val="en-US" w:eastAsia="zh-CN" w:bidi="ar-SA"/>
    </w:rPr>
  </w:style>
  <w:style w:type="paragraph" w:styleId="116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Normal_16_0"/>
    <w:uiPriority w:val="0"/>
    <w:qFormat/>
    <w:rPr>
      <w:rFonts w:hint="default" w:ascii="黑体" w:hAnsi="黑体" w:eastAsia="黑体" w:cs="黑体"/>
      <w:b/>
      <w:sz w:val="32"/>
      <w:szCs w:val="24"/>
      <w:lang w:val="en-US" w:eastAsia="zh-CN" w:bidi="ar-SA"/>
    </w:rPr>
  </w:style>
  <w:style w:type="paragraph" w:styleId="116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Normal_17_0"/>
    <w:uiPriority w:val="0"/>
    <w:qFormat/>
    <w:rPr>
      <w:rFonts w:hint="default" w:ascii="黑体" w:hAnsi="黑体" w:eastAsia="黑体" w:cs="黑体"/>
      <w:b/>
      <w:sz w:val="32"/>
      <w:szCs w:val="24"/>
      <w:lang w:val="en-US" w:eastAsia="zh-CN" w:bidi="ar-SA"/>
    </w:rPr>
  </w:style>
  <w:style w:type="paragraph" w:styleId="116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Normal_18_0"/>
    <w:uiPriority w:val="0"/>
    <w:qFormat/>
    <w:rPr>
      <w:rFonts w:hint="default" w:ascii="黑体" w:hAnsi="黑体" w:eastAsia="黑体" w:cs="黑体"/>
      <w:b/>
      <w:sz w:val="32"/>
      <w:szCs w:val="24"/>
      <w:lang w:val="en-US" w:eastAsia="zh-CN" w:bidi="ar-SA"/>
    </w:rPr>
  </w:style>
  <w:style w:type="paragraph" w:styleId="117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Normal_14_0_0"/>
    <w:uiPriority w:val="0"/>
    <w:qFormat/>
    <w:rPr>
      <w:rFonts w:hint="default" w:ascii="黑体" w:hAnsi="黑体" w:eastAsia="黑体" w:cs="Times New Roman"/>
      <w:b/>
      <w:sz w:val="32"/>
      <w:szCs w:val="24"/>
      <w:lang w:val="en-US" w:eastAsia="zh-CN" w:bidi="ar-SA"/>
    </w:rPr>
  </w:style>
  <w:style w:type="paragraph" w:styleId="117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Normal Indent_0"/>
    <w:basedOn w:val="958"/>
    <w:uiPriority w:val="0"/>
    <w:qFormat/>
    <w:pPr>
      <w:ind w:firstLine="420"/>
    </w:pPr>
    <w:rPr>
      <w:rFonts w:ascii="宋体" w:eastAsia="Times New Roman"/>
      <w:color w:val="000000"/>
      <w:sz w:val="24"/>
      <w:szCs w:val="20"/>
    </w:rPr>
  </w:style>
  <w:style w:type="paragraph" w:styleId="1180" w:customStyle="1">
    <w:name w:val="Heading 3_0"/>
    <w:basedOn w:val="958"/>
    <w:next w:val="958"/>
    <w:uiPriority w:val="0"/>
    <w:qFormat/>
    <w:pPr>
      <w:keepLines/>
      <w:keepNext/>
      <w:spacing w:before="260" w:after="260" w:line="413" w:lineRule="auto"/>
      <w:outlineLvl w:val="2"/>
    </w:pPr>
    <w:rPr>
      <w:rFonts w:ascii="Times New Roman" w:hAnsi="Times New Roman" w:eastAsia="Times New Roman"/>
      <w:szCs w:val="20"/>
    </w:rPr>
  </w:style>
  <w:style w:type="paragraph" w:styleId="118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2"/>
    <w:basedOn w:val="784"/>
    <w:uiPriority w:val="0"/>
    <w:qFormat/>
    <w:pPr>
      <w:ind w:firstLine="510"/>
      <w:spacing w:before="156" w:line="360" w:lineRule="auto"/>
    </w:pPr>
    <w:rPr>
      <w:sz w:val="24"/>
      <w:szCs w:val="20"/>
    </w:rPr>
  </w:style>
  <w:style w:type="paragraph" w:styleId="11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85" w:customStyle="1">
    <w:name w:val="Normal_19_1_0"/>
    <w:next w:val="1186"/>
    <w:uiPriority w:val="0"/>
    <w:qFormat/>
    <w:pPr>
      <w:jc w:val="both"/>
      <w:widowControl w:val="off"/>
    </w:pPr>
    <w:rPr>
      <w:rFonts w:hint="default" w:ascii="Calibri" w:hAnsi="Calibri" w:eastAsia="宋体" w:cs="Times New Roman"/>
      <w:szCs w:val="24"/>
      <w:lang w:val="en-US" w:eastAsia="zh-CN" w:bidi="ar-SA"/>
    </w:rPr>
  </w:style>
  <w:style w:type="paragraph" w:styleId="1186" w:customStyle="1">
    <w:name w:val="正文_16_0"/>
    <w:basedOn w:val="1147"/>
    <w:next w:val="1145"/>
    <w:uiPriority w:val="0"/>
    <w:qFormat/>
    <w:rPr>
      <w:rFonts w:ascii="Times New Roman" w:hAnsi="Times New Roman"/>
    </w:rPr>
  </w:style>
  <w:style w:type="paragraph" w:styleId="1187" w:customStyle="1">
    <w:name w:val="Normal_19_0"/>
    <w:basedOn w:val="1001"/>
    <w:uiPriority w:val="0"/>
    <w:qFormat/>
    <w:rPr>
      <w:szCs w:val="24"/>
    </w:rPr>
  </w:style>
  <w:style w:type="paragraph" w:styleId="1188" w:customStyle="1">
    <w:name w:val="Body Text First Indent_1_0"/>
    <w:basedOn w:val="1187"/>
    <w:uiPriority w:val="0"/>
    <w:qFormat/>
    <w:pPr>
      <w:ind w:firstLine="100"/>
      <w:spacing w:after="120"/>
    </w:pPr>
  </w:style>
  <w:style w:type="paragraph" w:styleId="1189" w:customStyle="1">
    <w:name w:val="Body Text_0"/>
    <w:basedOn w:val="1187"/>
    <w:uiPriority w:val="0"/>
    <w:qFormat/>
    <w:pPr>
      <w:spacing w:line="60" w:lineRule="auto"/>
    </w:pPr>
    <w:rPr>
      <w:rFonts w:ascii="仿宋_GB2312" w:eastAsia="仿宋_GB2312"/>
      <w:sz w:val="32"/>
    </w:rPr>
  </w:style>
  <w:style w:type="paragraph" w:styleId="1190" w:customStyle="1">
    <w:name w:val="Normal_19_1"/>
    <w:next w:val="832"/>
    <w:uiPriority w:val="0"/>
    <w:qFormat/>
    <w:pPr>
      <w:jc w:val="both"/>
      <w:widowControl w:val="off"/>
    </w:pPr>
    <w:rPr>
      <w:rFonts w:hint="default" w:ascii="Calibri" w:hAnsi="Calibri" w:eastAsia="宋体" w:cs="Times New Roman"/>
      <w:szCs w:val="24"/>
      <w:lang w:val="en-US" w:eastAsia="zh-CN" w:bidi="ar-SA"/>
    </w:rPr>
  </w:style>
  <w:style w:type="paragraph" w:styleId="119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9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93" w:customStyle="1">
    <w:name w:val="正文1_1"/>
    <w:basedOn w:val="1141"/>
    <w:uiPriority w:val="0"/>
    <w:qFormat/>
    <w:pPr>
      <w:jc w:val="both"/>
      <w:widowControl w:val="off"/>
    </w:pPr>
    <w:rPr>
      <w:sz w:val="20"/>
      <w:szCs w:val="20"/>
    </w:rPr>
  </w:style>
  <w:style w:type="paragraph" w:styleId="119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9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96" w:customStyle="1">
    <w:name w:val="Normal_16_1"/>
    <w:uiPriority w:val="0"/>
    <w:qFormat/>
    <w:rPr>
      <w:rFonts w:hint="default" w:ascii="黑体" w:hAnsi="黑体" w:eastAsia="黑体" w:cs="Times New Roman"/>
      <w:b/>
      <w:sz w:val="32"/>
      <w:szCs w:val="24"/>
      <w:lang w:val="en-US" w:eastAsia="zh-CN" w:bidi="ar-SA"/>
    </w:rPr>
  </w:style>
  <w:style w:type="paragraph" w:styleId="1197" w:customStyle="1">
    <w:name w:val="Normal_19_0_1"/>
    <w:uiPriority w:val="0"/>
    <w:qFormat/>
    <w:rPr>
      <w:rFonts w:hint="default" w:ascii="Tahoma" w:hAnsi="Tahoma" w:eastAsia="微软雅黑" w:cs="Times New Roman"/>
      <w:lang w:val="en-US" w:eastAsia="zh-CN" w:bidi="ar-SA"/>
    </w:rPr>
  </w:style>
  <w:style w:type="paragraph" w:styleId="119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9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00" w:customStyle="1">
    <w:name w:val="Normal_17_0_0"/>
    <w:uiPriority w:val="0"/>
    <w:qFormat/>
    <w:rPr>
      <w:rFonts w:hint="default" w:ascii="黑体" w:hAnsi="黑体" w:eastAsia="黑体" w:cs="Times New Roman"/>
      <w:b/>
      <w:sz w:val="32"/>
      <w:szCs w:val="24"/>
      <w:lang w:val="en-US" w:eastAsia="zh-CN" w:bidi="ar-SA"/>
    </w:rPr>
  </w:style>
  <w:style w:type="paragraph" w:styleId="1201" w:customStyle="1">
    <w:name w:val="Normal_19_0_1_0"/>
    <w:uiPriority w:val="0"/>
    <w:qFormat/>
    <w:rPr>
      <w:rFonts w:hint="default" w:ascii="Tahoma" w:hAnsi="Tahoma" w:eastAsia="微软雅黑" w:cs="Times New Roman"/>
      <w:lang w:val="en-US" w:eastAsia="zh-CN" w:bidi="ar-SA"/>
    </w:rPr>
  </w:style>
  <w:style w:type="paragraph" w:styleId="1202" w:customStyle="1">
    <w:name w:val="Normal_19_3"/>
    <w:next w:val="1203"/>
    <w:uiPriority w:val="0"/>
    <w:qFormat/>
    <w:pPr>
      <w:jc w:val="both"/>
      <w:widowControl w:val="off"/>
    </w:pPr>
    <w:rPr>
      <w:rFonts w:hint="default" w:ascii="Calibri" w:hAnsi="Calibri" w:eastAsia="Times New Roman" w:cs="Times New Roman"/>
      <w:szCs w:val="24"/>
      <w:lang w:val="en-US" w:eastAsia="zh-CN" w:bidi="ar-SA"/>
    </w:rPr>
  </w:style>
  <w:style w:type="paragraph" w:styleId="120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05" w:customStyle="1">
    <w:name w:val="custom-tag-placeholder-class"/>
    <w:uiPriority w:val="0"/>
    <w:qFormat/>
  </w:style>
  <w:style w:type="paragraph" w:styleId="1206" w:customStyle="1">
    <w:name w:val="Normal_19_0_0"/>
    <w:basedOn w:val="958"/>
    <w:next w:val="1207"/>
    <w:uiPriority w:val="0"/>
    <w:qFormat/>
    <w:rPr>
      <w:rFonts w:ascii="Calibri" w:hAnsi="Calibri" w:eastAsia="Times New Roman"/>
      <w:sz w:val="24"/>
    </w:rPr>
  </w:style>
  <w:style w:type="paragraph" w:styleId="1207" w:customStyle="1">
    <w:name w:val="Body Text First Indent_1_0_0"/>
    <w:basedOn w:val="1206"/>
    <w:uiPriority w:val="0"/>
    <w:qFormat/>
    <w:pPr>
      <w:ind w:firstLine="100"/>
      <w:spacing w:after="120"/>
    </w:pPr>
  </w:style>
  <w:style w:type="paragraph" w:styleId="1208" w:customStyle="1">
    <w:name w:val="List Paragraph_0"/>
    <w:basedOn w:val="1119"/>
    <w:uiPriority w:val="0"/>
    <w:qFormat/>
    <w:pPr>
      <w:ind w:firstLine="420"/>
    </w:pPr>
  </w:style>
  <w:style w:type="paragraph" w:styleId="1209" w:customStyle="1">
    <w:name w:val="纯文本_1"/>
    <w:basedOn w:val="799"/>
    <w:uiPriority w:val="0"/>
    <w:qFormat/>
    <w:rPr>
      <w:rFonts w:ascii="宋体" w:hAnsi="Times New Roman"/>
      <w:sz w:val="20"/>
      <w:szCs w:val="21"/>
    </w:rPr>
  </w:style>
  <w:style w:type="paragraph" w:styleId="1210" w:customStyle="1">
    <w:name w:val="正文_16_0_0"/>
    <w:next w:val="981"/>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_11_0"/>
    <w:basedOn w:val="981"/>
    <w:uiPriority w:val="0"/>
    <w:qFormat/>
    <w:rPr>
      <w:rFonts w:ascii="Calibri" w:hAnsi="Calibri"/>
      <w:szCs w:val="20"/>
    </w:rPr>
  </w:style>
  <w:style w:type="paragraph" w:styleId="1212" w:customStyle="1">
    <w:name w:val="Normal_19_0_0_0"/>
    <w:basedOn w:val="797"/>
    <w:uiPriority w:val="0"/>
    <w:qFormat/>
    <w:rPr>
      <w:rFonts w:cs="黑体"/>
      <w:szCs w:val="24"/>
    </w:rPr>
  </w:style>
  <w:style w:type="paragraph" w:styleId="1213" w:customStyle="1">
    <w:name w:val="无间隔11"/>
    <w:basedOn w:val="1127"/>
    <w:uiPriority w:val="0"/>
    <w:qFormat/>
    <w:rPr>
      <w:rFonts w:ascii="Calibri" w:hAnsi="Calibri" w:cs="Calibri"/>
    </w:rPr>
  </w:style>
  <w:style w:type="paragraph" w:styleId="1214" w:customStyle="1">
    <w:name w:val="标题 31"/>
    <w:basedOn w:val="1127"/>
    <w:next w:val="1127"/>
    <w:uiPriority w:val="0"/>
    <w:qFormat/>
    <w:pPr>
      <w:keepLines/>
      <w:keepNext/>
      <w:spacing w:before="260" w:after="260" w:line="413" w:lineRule="auto"/>
      <w:outlineLvl w:val="2"/>
    </w:pPr>
    <w:rPr>
      <w:b/>
      <w:sz w:val="32"/>
      <w:szCs w:val="20"/>
    </w:rPr>
  </w:style>
  <w:style w:type="character" w:styleId="1215" w:customStyle="1">
    <w:name w:val="标题 2 Char_0"/>
    <w:link w:val="1216"/>
    <w:uiPriority w:val="0"/>
    <w:qFormat/>
    <w:rPr>
      <w:rFonts w:ascii="Arial" w:hAnsi="Arial" w:eastAsia="黑体"/>
      <w:b/>
      <w:sz w:val="32"/>
      <w:szCs w:val="22"/>
    </w:rPr>
  </w:style>
  <w:style w:type="paragraph" w:styleId="1216" w:customStyle="1">
    <w:name w:val="标题 21"/>
    <w:basedOn w:val="798"/>
    <w:next w:val="798"/>
    <w:link w:val="1215"/>
    <w:uiPriority w:val="0"/>
    <w:unhideWhenUsed/>
    <w:qFormat/>
    <w:pPr>
      <w:keepLines/>
      <w:keepNext/>
      <w:spacing w:before="260" w:after="260" w:line="413" w:lineRule="auto"/>
      <w:outlineLvl w:val="1"/>
    </w:pPr>
    <w:rPr>
      <w:rFonts w:ascii="Arial" w:hAnsi="Arial"/>
      <w:szCs w:val="22"/>
    </w:rPr>
  </w:style>
  <w:style w:type="paragraph" w:styleId="1217" w:customStyle="1">
    <w:name w:val="Normal_19_1_0_0"/>
    <w:next w:val="835"/>
    <w:uiPriority w:val="0"/>
    <w:qFormat/>
    <w:pPr>
      <w:jc w:val="both"/>
      <w:widowControl w:val="off"/>
    </w:pPr>
    <w:rPr>
      <w:rFonts w:hint="default" w:ascii="Calibri" w:hAnsi="Calibri" w:eastAsia="宋体" w:cs="Times New Roman"/>
      <w:sz w:val="21"/>
      <w:szCs w:val="24"/>
      <w:lang w:val="en-US" w:eastAsia="zh-CN" w:bidi="ar-SA"/>
    </w:rPr>
  </w:style>
  <w:style w:type="paragraph" w:styleId="1218" w:customStyle="1">
    <w:name w:val="正文1_0_0"/>
    <w:basedOn w:val="798"/>
    <w:uiPriority w:val="0"/>
    <w:qFormat/>
    <w:pPr>
      <w:ind w:left="357" w:firstLine="420"/>
      <w:spacing w:line="360" w:lineRule="auto"/>
    </w:pPr>
    <w:rPr>
      <w:rFonts w:eastAsia="Times New Roman" w:cs="Arial"/>
    </w:rPr>
  </w:style>
  <w:style w:type="paragraph" w:styleId="1219" w:customStyle="1">
    <w:name w:val="普通正文"/>
    <w:basedOn w:val="784"/>
    <w:uiPriority w:val="0"/>
    <w:qFormat/>
    <w:pPr>
      <w:ind w:firstLine="480"/>
      <w:jc w:val="left"/>
      <w:spacing w:before="120" w:after="120" w:line="360" w:lineRule="auto"/>
    </w:pPr>
    <w:rPr>
      <w:rFonts w:ascii="Arial" w:hAnsi="Arial"/>
      <w:sz w:val="24"/>
      <w:szCs w:val="24"/>
    </w:rPr>
  </w:style>
  <w:style w:type="paragraph" w:styleId="1220" w:customStyle="1">
    <w:name w:val="正文空2字"/>
    <w:basedOn w:val="1221"/>
    <w:uiPriority w:val="99"/>
    <w:qFormat/>
    <w:pPr>
      <w:ind w:firstLine="640"/>
      <w:spacing w:line="560" w:lineRule="exact"/>
      <w:widowControl w:val="off"/>
    </w:pPr>
    <w:rPr>
      <w:rFonts w:ascii="仿宋_GB2312" w:hAnsi="仿宋_GB2312" w:cs="仿宋_GB2312"/>
      <w:lang w:val="zh-TW"/>
    </w:rPr>
  </w:style>
  <w:style w:type="paragraph" w:styleId="1221" w:customStyle="1">
    <w:name w:val="左对齐正文"/>
    <w:uiPriority w:val="99"/>
    <w:qFormat/>
    <w:rPr>
      <w:rFonts w:hint="default" w:ascii="Calibri" w:hAnsi="Calibri" w:eastAsia="仿宋_GB2312" w:cs="Calibri"/>
      <w:sz w:val="32"/>
      <w:szCs w:val="32"/>
      <w:lang w:val="en-US" w:eastAsia="zh-CN" w:bidi="ar-SA"/>
    </w:rPr>
  </w:style>
  <w:style w:type="paragraph" w:styleId="1222" w:customStyle="1">
    <w:name w:val="普通(网站)1"/>
    <w:basedOn w:val="784"/>
    <w:uiPriority w:val="0"/>
    <w:qFormat/>
    <w:rPr>
      <w:sz w:val="24"/>
    </w:rPr>
  </w:style>
  <w:style w:type="character" w:styleId="1223" w:customStyle="1">
    <w:name w:val="16"/>
    <w:uiPriority w:val="0"/>
    <w:qFormat/>
    <w:rPr>
      <w:rFonts w:ascii="Times New Roman" w:hAnsi="Times New Roman"/>
      <w:sz w:val="21"/>
      <w:szCs w:val="21"/>
      <w:lang w:val="en-US" w:eastAsia="zh-CN" w:bidi="ar-SA"/>
    </w:rPr>
  </w:style>
  <w:style w:type="paragraph" w:styleId="1224" w:customStyle="1">
    <w:name w:val="正文文本_0"/>
    <w:basedOn w:val="1119"/>
    <w:next w:val="1225"/>
    <w:uiPriority w:val="0"/>
    <w:qFormat/>
    <w:pPr>
      <w:spacing w:line="60" w:lineRule="auto"/>
    </w:pPr>
    <w:rPr>
      <w:rFonts w:ascii="仿宋_GB2312" w:eastAsia="仿宋_GB2312"/>
      <w:sz w:val="32"/>
    </w:rPr>
  </w:style>
  <w:style w:type="paragraph" w:styleId="1225" w:customStyle="1">
    <w:name w:val="正文缩进_1"/>
    <w:basedOn w:val="1119"/>
    <w:next w:val="1119"/>
    <w:uiPriority w:val="0"/>
    <w:qFormat/>
    <w:pPr>
      <w:ind w:firstLine="420"/>
    </w:pPr>
    <w:rPr>
      <w:rFonts w:ascii="宋体"/>
      <w:color w:val="000000"/>
      <w:sz w:val="24"/>
      <w:szCs w:val="20"/>
    </w:rPr>
  </w:style>
  <w:style w:type="paragraph" w:styleId="1226" w:customStyle="1">
    <w:name w:val="Table Paragraph"/>
    <w:basedOn w:val="958"/>
    <w:uiPriority w:val="1"/>
    <w:qFormat/>
    <w:rPr>
      <w:rFonts w:ascii="宋体" w:hAnsi="宋体" w:cs="宋体"/>
      <w:sz w:val="22"/>
      <w:lang w:val="zh-CN" w:bidi="zh-CN"/>
    </w:rPr>
  </w:style>
  <w:style w:type="paragraph" w:styleId="1227" w:customStyle="1">
    <w:name w:val="Normal_19_2"/>
    <w:basedOn w:val="802"/>
    <w:uiPriority w:val="0"/>
    <w:qFormat/>
    <w:rPr>
      <w:rFonts w:ascii="Times New Roman" w:hAnsi="Times New Roman"/>
      <w:szCs w:val="21"/>
    </w:rPr>
  </w:style>
  <w:style w:type="paragraph" w:styleId="1228" w:customStyle="1">
    <w:name w:val="正文文本2"/>
    <w:basedOn w:val="831"/>
    <w:uiPriority w:val="0"/>
    <w:qFormat/>
    <w:pPr>
      <w:spacing w:line="60" w:lineRule="auto"/>
    </w:pPr>
    <w:rPr>
      <w:rFonts w:ascii="仿宋_GB2312" w:eastAsia="仿宋_GB2312"/>
      <w:sz w:val="32"/>
      <w:szCs w:val="22"/>
    </w:rPr>
  </w:style>
  <w:style w:type="paragraph" w:styleId="1229" w:customStyle="1">
    <w:name w:val="Normal_19_2_0"/>
    <w:basedOn w:val="1230"/>
    <w:uiPriority w:val="0"/>
    <w:qFormat/>
    <w:rPr>
      <w:rFonts w:ascii="Times New Roman" w:hAnsi="Times New Roman"/>
      <w:szCs w:val="21"/>
    </w:rPr>
  </w:style>
  <w:style w:type="paragraph" w:styleId="1230"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31" w:customStyle="1">
    <w:name w:val="正文缩进1"/>
    <w:basedOn w:val="784"/>
    <w:uiPriority w:val="0"/>
    <w:qFormat/>
    <w:pPr>
      <w:ind w:firstLine="420"/>
      <w:jc w:val="left"/>
    </w:pPr>
    <w:rPr>
      <w:rFonts w:ascii="宋体"/>
      <w:sz w:val="24"/>
    </w:rPr>
  </w:style>
  <w:style w:type="paragraph" w:styleId="1232" w:customStyle="1">
    <w:name w:val="纯文本1"/>
    <w:basedOn w:val="832"/>
    <w:uiPriority w:val="0"/>
    <w:qFormat/>
    <w:rPr>
      <w:rFonts w:ascii="宋体" w:hAnsi="Courier New"/>
    </w:rPr>
  </w:style>
  <w:style w:type="paragraph" w:styleId="1233" w:customStyle="1">
    <w:name w:val="Normal_21_0"/>
    <w:next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Heading 1_0"/>
    <w:basedOn w:val="1233"/>
    <w:next w:val="1233"/>
    <w:uiPriority w:val="0"/>
    <w:qFormat/>
    <w:pPr>
      <w:jc w:val="center"/>
      <w:keepLines/>
      <w:keepNext/>
      <w:spacing w:before="240" w:after="120" w:line="300" w:lineRule="auto"/>
      <w:outlineLvl w:val="0"/>
    </w:pPr>
    <w:rPr>
      <w:rFonts w:ascii="宋体"/>
      <w:b/>
      <w:sz w:val="32"/>
      <w:szCs w:val="20"/>
    </w:rPr>
  </w:style>
  <w:style w:type="paragraph" w:styleId="123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36" w:customStyle="1">
    <w:name w:val="正文文本 字符"/>
    <w:uiPriority w:val="0"/>
    <w:qFormat/>
    <w:rPr>
      <w:rFonts w:ascii="楷体_GB2312" w:hAnsi="Arial" w:eastAsia="楷体_GB2312" w:cs="Times New Roman"/>
      <w:sz w:val="28"/>
      <w:szCs w:val="28"/>
    </w:rPr>
  </w:style>
  <w:style w:type="character" w:styleId="1237" w:customStyle="1">
    <w:name w:val="正文文本缩进 字符"/>
    <w:uiPriority w:val="0"/>
    <w:qFormat/>
    <w:rPr>
      <w:rFonts w:ascii="楷体_GB2312" w:hAnsi="Times New Roman" w:eastAsia="楷体_GB2312" w:cs="Times New Roman"/>
      <w:sz w:val="32"/>
      <w:szCs w:val="32"/>
    </w:rPr>
  </w:style>
  <w:style w:type="character" w:styleId="1238" w:customStyle="1">
    <w:name w:val="正文文本 字符1"/>
    <w:uiPriority w:val="0"/>
    <w:qFormat/>
    <w:rPr>
      <w:rFonts w:ascii="Calibri" w:hAnsi="Calibri"/>
      <w:sz w:val="28"/>
      <w:szCs w:val="24"/>
    </w:rPr>
  </w:style>
  <w:style w:type="character" w:styleId="1239" w:customStyle="1">
    <w:name w:val="正文文本首行缩进 字符"/>
    <w:uiPriority w:val="0"/>
    <w:qFormat/>
    <w:rPr>
      <w:rFonts w:ascii="仿宋_GB2312" w:hAnsi="Calibri" w:eastAsia="仿宋_GB2312"/>
      <w:sz w:val="30"/>
      <w:szCs w:val="30"/>
    </w:rPr>
  </w:style>
  <w:style w:type="paragraph" w:styleId="1240" w:customStyle="1">
    <w:name w:val="索引 41"/>
    <w:basedOn w:val="784"/>
    <w:next w:val="784"/>
    <w:uiPriority w:val="0"/>
    <w:semiHidden/>
    <w:qFormat/>
    <w:pPr>
      <w:ind w:left="1260"/>
    </w:pPr>
    <w:rPr>
      <w:rFonts w:eastAsia="Calibri" w:cs="宋体"/>
      <w:sz w:val="20"/>
      <w:szCs w:val="21"/>
      <w:lang w:val="zh-CN"/>
    </w:rPr>
  </w:style>
  <w:style w:type="character" w:styleId="1241" w:customStyle="1">
    <w:name w:val="font5 Char"/>
    <w:uiPriority w:val="0"/>
    <w:qFormat/>
    <w:rPr>
      <w:rFonts w:ascii="宋体" w:hAnsi="宋体" w:eastAsia="宋体"/>
      <w:sz w:val="28"/>
      <w:szCs w:val="28"/>
      <w:lang w:val="en-US" w:eastAsia="zh-CN" w:bidi="ar-SA"/>
    </w:rPr>
  </w:style>
  <w:style w:type="character" w:styleId="1242" w:customStyle="1">
    <w:name w:val="二级目录 Char"/>
    <w:link w:val="1243"/>
    <w:uiPriority w:val="0"/>
    <w:qFormat/>
    <w:rPr>
      <w:b/>
      <w:sz w:val="30"/>
      <w:szCs w:val="28"/>
    </w:rPr>
  </w:style>
  <w:style w:type="paragraph" w:styleId="1243" w:customStyle="1">
    <w:name w:val="二级目录"/>
    <w:next w:val="784"/>
    <w:link w:val="1242"/>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4" w:customStyle="1">
    <w:name w:val="列出段落 Char"/>
    <w:link w:val="1245"/>
    <w:uiPriority w:val="0"/>
    <w:qFormat/>
    <w:rPr>
      <w:rFonts w:ascii="Calibri" w:hAnsi="Calibri"/>
      <w:sz w:val="24"/>
      <w:szCs w:val="24"/>
      <w:lang w:eastAsia="en-US" w:bidi="en-US"/>
    </w:rPr>
  </w:style>
  <w:style w:type="paragraph" w:styleId="1245" w:customStyle="1">
    <w:name w:val="列出段落1"/>
    <w:basedOn w:val="784"/>
    <w:link w:val="1244"/>
    <w:uiPriority w:val="0"/>
    <w:qFormat/>
    <w:pPr>
      <w:contextualSpacing/>
      <w:ind w:left="720"/>
      <w:jc w:val="left"/>
      <w:widowControl/>
    </w:pPr>
    <w:rPr>
      <w:sz w:val="24"/>
      <w:szCs w:val="24"/>
      <w:lang w:eastAsia="en-US" w:bidi="en-US"/>
    </w:rPr>
  </w:style>
  <w:style w:type="paragraph" w:styleId="1246" w:customStyle="1">
    <w:name w:val="Body Text(ch)"/>
    <w:basedOn w:val="784"/>
    <w:uiPriority w:val="0"/>
    <w:qFormat/>
    <w:pPr>
      <w:spacing w:after="120"/>
    </w:pPr>
    <w:rPr>
      <w:rFonts w:ascii="宋体" w:hAnsi="Arial"/>
      <w:bCs/>
      <w:iCs/>
      <w:szCs w:val="24"/>
    </w:rPr>
  </w:style>
  <w:style w:type="paragraph" w:styleId="1247" w:customStyle="1">
    <w:name w:val="xl27"/>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8" w:customStyle="1">
    <w:name w:val="xl26"/>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9" w:customStyle="1">
    <w:name w:val="Char"/>
    <w:basedOn w:val="784"/>
    <w:uiPriority w:val="0"/>
    <w:qFormat/>
    <w:pPr>
      <w:ind w:firstLine="200"/>
      <w:tabs>
        <w:tab w:val="left" w:pos="360" w:leader="none"/>
      </w:tabs>
    </w:pPr>
    <w:rPr>
      <w:rFonts w:ascii="Times New Roman" w:hAnsi="Times New Roman"/>
      <w:sz w:val="28"/>
      <w:szCs w:val="30"/>
    </w:rPr>
  </w:style>
  <w:style w:type="paragraph" w:styleId="1250" w:customStyle="1">
    <w:name w:val="Char1"/>
    <w:basedOn w:val="894"/>
    <w:uiPriority w:val="0"/>
    <w:qFormat/>
    <w:rPr>
      <w:rFonts w:ascii="Tahoma" w:hAnsi="Tahoma"/>
      <w:sz w:val="24"/>
      <w:szCs w:val="24"/>
    </w:rPr>
  </w:style>
  <w:style w:type="paragraph" w:styleId="1251" w:customStyle="1">
    <w:name w:val="table_lines"/>
    <w:basedOn w:val="784"/>
    <w:uiPriority w:val="0"/>
    <w:qFormat/>
    <w:pPr>
      <w:jc w:val="left"/>
      <w:widowControl/>
    </w:pPr>
    <w:rPr>
      <w:rFonts w:ascii="Times New Roman" w:hAnsi="Times New Roman"/>
      <w:sz w:val="20"/>
      <w:szCs w:val="20"/>
      <w:lang w:val="de-DE" w:eastAsia="de-DE"/>
    </w:rPr>
  </w:style>
  <w:style w:type="paragraph" w:styleId="1252"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53" w:customStyle="1">
    <w:name w:val="font7"/>
    <w:basedOn w:val="784"/>
    <w:uiPriority w:val="0"/>
    <w:qFormat/>
    <w:pPr>
      <w:jc w:val="left"/>
      <w:spacing w:before="100" w:beforeAutospacing="1" w:after="100" w:afterAutospacing="1"/>
      <w:widowControl/>
    </w:pPr>
    <w:rPr>
      <w:rFonts w:hint="eastAsia" w:ascii="宋体" w:hAnsi="宋体"/>
      <w:sz w:val="18"/>
      <w:szCs w:val="18"/>
    </w:rPr>
  </w:style>
  <w:style w:type="paragraph" w:styleId="1254" w:customStyle="1">
    <w:name w:val="Char Char Char Char"/>
    <w:basedOn w:val="894"/>
    <w:uiPriority w:val="0"/>
    <w:qFormat/>
    <w:pPr>
      <w:spacing w:line="360" w:lineRule="auto"/>
    </w:pPr>
    <w:rPr>
      <w:rFonts w:ascii="Tahoma" w:hAnsi="Tahoma"/>
      <w:sz w:val="24"/>
      <w:szCs w:val="24"/>
    </w:rPr>
  </w:style>
  <w:style w:type="paragraph" w:styleId="1255" w:customStyle="1">
    <w:name w:val="4"/>
    <w:basedOn w:val="784"/>
    <w:next w:val="929"/>
    <w:uiPriority w:val="0"/>
    <w:qFormat/>
    <w:pPr>
      <w:ind w:firstLine="420"/>
      <w:spacing w:line="360" w:lineRule="auto"/>
    </w:pPr>
    <w:rPr>
      <w:rFonts w:ascii="Times New Roman" w:hAnsi="Times New Roman"/>
      <w:color w:val="ff0000"/>
      <w:sz w:val="24"/>
      <w:szCs w:val="24"/>
    </w:rPr>
  </w:style>
  <w:style w:type="paragraph" w:styleId="1256" w:customStyle="1">
    <w:name w:val="普通 (Web)"/>
    <w:basedOn w:val="784"/>
    <w:uiPriority w:val="0"/>
    <w:qFormat/>
    <w:pPr>
      <w:jc w:val="left"/>
      <w:spacing w:before="100" w:beforeAutospacing="1" w:after="100" w:afterAutospacing="1"/>
      <w:widowControl/>
    </w:pPr>
    <w:rPr>
      <w:rFonts w:ascii="宋体" w:hAnsi="宋体"/>
      <w:sz w:val="24"/>
      <w:szCs w:val="24"/>
    </w:rPr>
  </w:style>
  <w:style w:type="paragraph" w:styleId="1257" w:customStyle="1">
    <w:name w:val="Char Char Char Char Char Char Char Char Char Char"/>
    <w:basedOn w:val="784"/>
    <w:uiPriority w:val="0"/>
    <w:qFormat/>
    <w:pPr>
      <w:spacing w:line="360" w:lineRule="auto"/>
    </w:pPr>
    <w:rPr>
      <w:rFonts w:ascii="Times New Roman" w:hAnsi="Times New Roman"/>
      <w:sz w:val="24"/>
      <w:szCs w:val="20"/>
    </w:rPr>
  </w:style>
  <w:style w:type="paragraph" w:styleId="1258" w:customStyle="1">
    <w:name w:val="样式1"/>
    <w:basedOn w:val="784"/>
    <w:uiPriority w:val="0"/>
    <w:qFormat/>
    <w:pPr>
      <w:numPr>
        <w:ilvl w:val="0"/>
        <w:numId w:val="2"/>
      </w:numPr>
      <w:tabs>
        <w:tab w:val="left" w:pos="709" w:leader="none"/>
      </w:tabs>
    </w:pPr>
    <w:rPr>
      <w:rFonts w:ascii="宋体" w:hAnsi="宋体"/>
      <w:szCs w:val="21"/>
    </w:rPr>
  </w:style>
  <w:style w:type="paragraph" w:styleId="1259" w:customStyle="1">
    <w:name w:val="font6"/>
    <w:basedOn w:val="784"/>
    <w:uiPriority w:val="0"/>
    <w:qFormat/>
    <w:pPr>
      <w:jc w:val="left"/>
      <w:spacing w:before="100" w:beforeAutospacing="1" w:after="100" w:afterAutospacing="1"/>
      <w:widowControl/>
    </w:pPr>
    <w:rPr>
      <w:rFonts w:hint="eastAsia" w:ascii="宋体" w:hAnsi="宋体"/>
      <w:sz w:val="28"/>
      <w:szCs w:val="28"/>
      <w:u w:val="single"/>
    </w:rPr>
  </w:style>
  <w:style w:type="paragraph" w:styleId="1260" w:customStyle="1">
    <w:name w:val="xl25"/>
    <w:basedOn w:val="7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1" w:customStyle="1">
    <w:name w:val="图标"/>
    <w:basedOn w:val="784"/>
    <w:next w:val="78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2" w:customStyle="1">
    <w:name w:val="标题3"/>
    <w:basedOn w:val="784"/>
    <w:next w:val="784"/>
    <w:uiPriority w:val="0"/>
    <w:qFormat/>
    <w:pPr>
      <w:ind w:firstLine="624"/>
      <w:spacing w:line="590" w:lineRule="atLeast"/>
    </w:pPr>
    <w:rPr>
      <w:rFonts w:ascii="方正黑体_GBK" w:hAnsi="Times New Roman" w:eastAsia="方正黑体_GBK"/>
      <w:sz w:val="32"/>
      <w:szCs w:val="32"/>
    </w:rPr>
  </w:style>
  <w:style w:type="paragraph" w:styleId="1263" w:customStyle="1">
    <w:name w:val="xl24"/>
    <w:basedOn w:val="7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4" w:customStyle="1">
    <w:name w:val="xl29"/>
    <w:basedOn w:val="7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5" w:customStyle="1">
    <w:name w:val="Char Char Char Char Char Char Char Char"/>
    <w:basedOn w:val="784"/>
    <w:uiPriority w:val="0"/>
    <w:qFormat/>
    <w:pPr>
      <w:jc w:val="left"/>
      <w:spacing w:after="160" w:line="240" w:lineRule="exact"/>
      <w:widowControl/>
    </w:pPr>
    <w:rPr>
      <w:rFonts w:ascii="Verdana" w:hAnsi="Verdana"/>
      <w:sz w:val="20"/>
      <w:szCs w:val="20"/>
      <w:lang w:eastAsia="en-US"/>
    </w:rPr>
  </w:style>
  <w:style w:type="paragraph" w:styleId="1266" w:customStyle="1">
    <w:name w:val="xl28"/>
    <w:basedOn w:val="7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customStyle="1">
    <w:name w:val="Char Char Char Char Char Char Char Char1"/>
    <w:basedOn w:val="784"/>
    <w:uiPriority w:val="0"/>
    <w:qFormat/>
    <w:pPr>
      <w:jc w:val="left"/>
      <w:spacing w:after="160" w:line="240" w:lineRule="exact"/>
      <w:widowControl/>
    </w:pPr>
    <w:rPr>
      <w:rFonts w:ascii="Verdana" w:hAnsi="Verdana"/>
      <w:sz w:val="20"/>
      <w:szCs w:val="20"/>
      <w:lang w:eastAsia="en-US"/>
    </w:rPr>
  </w:style>
  <w:style w:type="paragraph" w:styleId="1268" w:customStyle="1">
    <w:name w:val="xl30"/>
    <w:basedOn w:val="784"/>
    <w:uiPriority w:val="0"/>
    <w:qFormat/>
    <w:pPr>
      <w:jc w:val="center"/>
      <w:spacing w:before="100" w:beforeAutospacing="1" w:after="100" w:afterAutospacing="1"/>
      <w:widowControl/>
    </w:pPr>
    <w:rPr>
      <w:rFonts w:ascii="宋体" w:hAnsi="宋体"/>
      <w:b/>
      <w:bCs/>
      <w:sz w:val="36"/>
      <w:szCs w:val="36"/>
    </w:rPr>
  </w:style>
  <w:style w:type="paragraph" w:styleId="1269" w:customStyle="1">
    <w:name w:val="Char Char Char Char1"/>
    <w:basedOn w:val="894"/>
    <w:uiPriority w:val="0"/>
    <w:qFormat/>
    <w:pPr>
      <w:spacing w:line="360" w:lineRule="auto"/>
    </w:pPr>
    <w:rPr>
      <w:rFonts w:ascii="Tahoma" w:hAnsi="Tahoma"/>
      <w:sz w:val="24"/>
      <w:szCs w:val="24"/>
    </w:rPr>
  </w:style>
  <w:style w:type="paragraph" w:styleId="1270" w:customStyle="1">
    <w:name w:val="table_1stline"/>
    <w:basedOn w:val="784"/>
    <w:uiPriority w:val="0"/>
    <w:qFormat/>
    <w:pPr>
      <w:jc w:val="left"/>
      <w:spacing w:before="120"/>
      <w:widowControl/>
    </w:pPr>
    <w:rPr>
      <w:rFonts w:ascii="Times New Roman" w:hAnsi="Times New Roman"/>
      <w:bCs/>
      <w:sz w:val="20"/>
      <w:szCs w:val="20"/>
      <w:lang w:val="de-DE" w:eastAsia="de-DE"/>
    </w:rPr>
  </w:style>
  <w:style w:type="paragraph" w:styleId="1271" w:customStyle="1">
    <w:name w:val="font5"/>
    <w:basedOn w:val="784"/>
    <w:uiPriority w:val="0"/>
    <w:qFormat/>
    <w:pPr>
      <w:jc w:val="left"/>
      <w:spacing w:before="100" w:beforeAutospacing="1" w:after="100" w:afterAutospacing="1"/>
      <w:widowControl/>
    </w:pPr>
    <w:rPr>
      <w:rFonts w:hint="eastAsia" w:ascii="宋体" w:hAnsi="宋体"/>
      <w:sz w:val="28"/>
      <w:szCs w:val="28"/>
    </w:rPr>
  </w:style>
  <w:style w:type="paragraph" w:styleId="1272" w:customStyle="1">
    <w:name w:val="标题1"/>
    <w:basedOn w:val="784"/>
    <w:next w:val="78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74" w:customStyle="1">
    <w:name w:val="Table Normal"/>
    <w:uiPriority w:val="0"/>
    <w:qFormat/>
    <w:tblPr>
      <w:tblCellMar>
        <w:left w:w="0" w:type="dxa"/>
        <w:top w:w="0" w:type="dxa"/>
        <w:right w:w="0" w:type="dxa"/>
        <w:bottom w:w="0" w:type="dxa"/>
      </w:tblCellMar>
    </w:tblPr>
  </w:style>
  <w:style w:type="paragraph" w:styleId="1275" w:customStyle="1">
    <w:name w:val="正文文本12"/>
    <w:basedOn w:val="784"/>
    <w:uiPriority w:val="1"/>
    <w:qFormat/>
    <w:pPr>
      <w:ind w:left="120"/>
    </w:pPr>
    <w:rPr>
      <w:rFonts w:ascii="宋体" w:hAnsi="宋体" w:cs="宋体"/>
      <w:szCs w:val="21"/>
      <w:lang w:val="zh-CN" w:bidi="zh-CN"/>
    </w:rPr>
  </w:style>
  <w:style w:type="paragraph" w:styleId="1276" w:customStyle="1">
    <w:name w:val="首行缩进"/>
    <w:basedOn w:val="784"/>
    <w:uiPriority w:val="0"/>
    <w:qFormat/>
    <w:pPr>
      <w:ind w:firstLine="480"/>
    </w:pPr>
    <w:rPr>
      <w:rFonts w:ascii="Times New Roman" w:hAnsi="Times New Roman"/>
      <w:szCs w:val="21"/>
      <w:lang w:val="zh-CN"/>
    </w:rPr>
  </w:style>
  <w:style w:type="paragraph" w:styleId="1277" w:customStyle="1">
    <w:name w:val="部分1"/>
    <w:basedOn w:val="78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8" w:customStyle="1">
    <w:name w:val="15"/>
    <w:uiPriority w:val="0"/>
    <w:qFormat/>
    <w:rPr>
      <w:rFonts w:ascii="Times New Roman" w:hAnsi="Times New Roman" w:cs="Times New Roman"/>
    </w:rPr>
  </w:style>
  <w:style w:type="paragraph" w:styleId="1279" w:customStyle="1">
    <w:name w:val="正文文本缩进 2_0"/>
    <w:basedOn w:val="1119"/>
    <w:uiPriority w:val="0"/>
    <w:qFormat/>
    <w:pPr>
      <w:ind w:firstLine="720"/>
      <w:jc w:val="left"/>
      <w:spacing w:line="540" w:lineRule="exact"/>
    </w:pPr>
    <w:rPr>
      <w:rFonts w:ascii="仿宋_GB2312" w:hAnsi="仿宋_GB2312" w:cs="宋体"/>
      <w:sz w:val="32"/>
      <w:szCs w:val="32"/>
    </w:rPr>
  </w:style>
  <w:style w:type="character" w:styleId="1280" w:customStyle="1">
    <w:name w:val="10"/>
    <w:basedOn w:val="794"/>
    <w:uiPriority w:val="0"/>
    <w:qFormat/>
    <w:rPr>
      <w:rFonts w:ascii="Times New Roman" w:hAnsi="Times New Roman" w:cs="Times New Roman"/>
    </w:rPr>
  </w:style>
  <w:style w:type="paragraph" w:styleId="1281" w:customStyle="1">
    <w:name w:val="正文_16_1"/>
    <w:basedOn w:val="784"/>
    <w:uiPriority w:val="0"/>
    <w:qFormat/>
    <w:rPr>
      <w:rFonts w:ascii="Times New Roman" w:hAnsi="Times New Roman"/>
      <w:szCs w:val="21"/>
    </w:rPr>
  </w:style>
  <w:style w:type="paragraph" w:styleId="1282" w:customStyle="1">
    <w:name w:val="页脚1"/>
    <w:basedOn w:val="784"/>
    <w:uiPriority w:val="0"/>
    <w:qFormat/>
    <w:pPr>
      <w:jc w:val="left"/>
      <w:tabs>
        <w:tab w:val="center" w:pos="4153" w:leader="none"/>
        <w:tab w:val="right" w:pos="8306" w:leader="none"/>
      </w:tabs>
    </w:pPr>
    <w:rPr>
      <w:sz w:val="18"/>
      <w:szCs w:val="18"/>
    </w:rPr>
  </w:style>
  <w:style w:type="character" w:styleId="1283" w:customStyle="1">
    <w:name w:val="页码1"/>
    <w:uiPriority w:val="0"/>
    <w:qFormat/>
  </w:style>
  <w:style w:type="paragraph" w:styleId="1284" w:customStyle="1">
    <w:name w:val="*正文"/>
    <w:basedOn w:val="871"/>
    <w:uiPriority w:val="0"/>
    <w:qFormat/>
    <w:pPr>
      <w:ind w:firstLine="200"/>
    </w:pPr>
    <w:rPr>
      <w:rFonts w:hAnsi="宋体"/>
      <w:szCs w:val="24"/>
    </w:rPr>
  </w:style>
  <w:style w:type="paragraph" w:styleId="1285" w:customStyle="1">
    <w:name w:val="*正文_0"/>
    <w:basedOn w:val="1286"/>
    <w:uiPriority w:val="0"/>
    <w:qFormat/>
    <w:pPr>
      <w:ind w:firstLine="200"/>
      <w:spacing w:line="360" w:lineRule="auto"/>
    </w:pPr>
    <w:rPr>
      <w:rFonts w:ascii="宋体" w:hAnsi="宋体" w:eastAsia="Arial" w:cs="Arial"/>
      <w:color w:val="000000"/>
      <w:sz w:val="24"/>
    </w:rPr>
  </w:style>
  <w:style w:type="paragraph" w:styleId="1286" w:customStyle="1">
    <w:name w:val="正文缩进_2"/>
    <w:basedOn w:val="1144"/>
    <w:uiPriority w:val="0"/>
    <w:unhideWhenUsed/>
    <w:qFormat/>
    <w:pPr>
      <w:ind w:firstLine="420"/>
      <w:jc w:val="left"/>
      <w:widowControl/>
    </w:pPr>
    <w:rPr>
      <w:rFonts w:ascii="Times New Roman" w:hAnsi="Times New Roman"/>
      <w:sz w:val="20"/>
      <w:szCs w:val="24"/>
    </w:rPr>
  </w:style>
  <w:style w:type="paragraph" w:styleId="1287" w:customStyle="1">
    <w:name w:val="*正文_0_0"/>
    <w:basedOn w:val="1144"/>
    <w:uiPriority w:val="0"/>
    <w:qFormat/>
    <w:pPr>
      <w:ind w:firstLine="200"/>
      <w:jc w:val="left"/>
      <w:spacing w:line="360" w:lineRule="auto"/>
      <w:widowControl/>
    </w:pPr>
    <w:rPr>
      <w:rFonts w:ascii="宋体" w:hAnsi="宋体" w:eastAsia="Arial" w:cs="Arial"/>
      <w:color w:val="000000"/>
      <w:sz w:val="24"/>
      <w:szCs w:val="24"/>
    </w:rPr>
  </w:style>
  <w:style w:type="paragraph" w:styleId="1288" w:customStyle="1">
    <w:name w:val="无间隔1_0_0"/>
    <w:basedOn w:val="798"/>
    <w:uiPriority w:val="0"/>
    <w:qFormat/>
    <w:rPr>
      <w:rFonts w:ascii="Times New Roman" w:hAnsi="Times New Roman"/>
      <w:szCs w:val="21"/>
    </w:rPr>
  </w:style>
  <w:style w:type="paragraph" w:styleId="1289"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90" w:customStyle="1">
    <w:name w:val="标题 4_0"/>
    <w:basedOn w:val="1291"/>
    <w:next w:val="1291"/>
    <w:uiPriority w:val="9"/>
    <w:unhideWhenUsed/>
    <w:qFormat/>
    <w:pPr>
      <w:keepLines/>
      <w:keepNext/>
      <w:spacing w:before="280" w:after="290" w:line="372" w:lineRule="auto"/>
      <w:outlineLvl w:val="3"/>
    </w:pPr>
    <w:rPr>
      <w:rFonts w:ascii="Arial" w:hAnsi="Arial" w:eastAsia="黑体"/>
      <w:b/>
      <w:sz w:val="28"/>
    </w:rPr>
  </w:style>
  <w:style w:type="paragraph" w:styleId="1291" w:customStyle="1">
    <w:name w:val="正文4"/>
    <w:uiPriority w:val="0"/>
    <w:qFormat/>
    <w:pPr>
      <w:jc w:val="both"/>
      <w:widowControl w:val="off"/>
    </w:pPr>
    <w:rPr>
      <w:rFonts w:hint="default" w:ascii="Calibri" w:hAnsi="Calibri" w:eastAsia="宋体" w:cs="Times New Roman"/>
      <w:lang w:val="en-US" w:eastAsia="zh-CN" w:bidi="ar-SA"/>
    </w:rPr>
  </w:style>
  <w:style w:type="paragraph" w:styleId="1292"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93" w:customStyle="1">
    <w:name w:val="p17_0_0"/>
    <w:basedOn w:val="1187"/>
    <w:uiPriority w:val="0"/>
    <w:qFormat/>
    <w:pPr>
      <w:jc w:val="left"/>
      <w:spacing w:before="100" w:beforeAutospacing="1" w:after="100" w:afterAutospacing="1"/>
      <w:widowControl/>
    </w:pPr>
    <w:rPr>
      <w:rFonts w:ascii="宋体" w:hAnsi="宋体" w:eastAsia="Times New Roman" w:cs="宋体"/>
      <w:sz w:val="24"/>
    </w:rPr>
  </w:style>
  <w:style w:type="paragraph" w:styleId="1294" w:customStyle="1">
    <w:name w:val="p17_0"/>
    <w:basedOn w:val="798"/>
    <w:uiPriority w:val="0"/>
    <w:qFormat/>
    <w:pPr>
      <w:spacing w:before="100" w:beforeAutospacing="1" w:after="100" w:afterAutospacing="1"/>
    </w:pPr>
    <w:rPr>
      <w:rFonts w:ascii="宋体" w:hAnsi="宋体" w:eastAsia="Times New Roman" w:cs="宋体"/>
      <w:sz w:val="24"/>
    </w:rPr>
  </w:style>
  <w:style w:type="paragraph" w:styleId="1295" w:customStyle="1">
    <w:name w:val="普通(网站)11"/>
    <w:basedOn w:val="784"/>
    <w:uiPriority w:val="99"/>
    <w:qFormat/>
    <w:rPr>
      <w:sz w:val="24"/>
    </w:rPr>
  </w:style>
  <w:style w:type="paragraph" w:styleId="129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97" w:customStyle="1">
    <w:name w:val="font11"/>
    <w:basedOn w:val="794"/>
    <w:uiPriority w:val="0"/>
    <w:qFormat/>
    <w:rPr>
      <w:rFonts w:hint="eastAsia" w:ascii="宋体" w:hAnsi="宋体" w:eastAsia="宋体" w:cs="宋体"/>
      <w:b/>
      <w:bCs/>
      <w:color w:val="000000"/>
      <w:sz w:val="22"/>
      <w:szCs w:val="22"/>
      <w:u w:val="none"/>
    </w:rPr>
  </w:style>
  <w:style w:type="paragraph" w:styleId="129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9" w:customStyle="1">
    <w:name w:val="正文文本4"/>
    <w:basedOn w:val="831"/>
    <w:uiPriority w:val="0"/>
    <w:qFormat/>
    <w:pPr>
      <w:spacing w:line="60" w:lineRule="auto"/>
    </w:pPr>
    <w:rPr>
      <w:rFonts w:ascii="仿宋_GB2312" w:eastAsia="仿宋_GB2312"/>
      <w:sz w:val="32"/>
      <w:szCs w:val="22"/>
    </w:rPr>
  </w:style>
  <w:style w:type="paragraph" w:styleId="1300"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301" w:customStyle="1">
    <w:name w:val="Normal_20_0_0_0"/>
    <w:uiPriority w:val="0"/>
    <w:qFormat/>
    <w:rPr>
      <w:rFonts w:hint="default" w:ascii="Tahoma" w:hAnsi="Tahoma" w:eastAsia="微软雅黑" w:cs="Times New Roman"/>
      <w:lang w:val="en-US" w:eastAsia="zh-CN" w:bidi="ar-SA"/>
    </w:rPr>
  </w:style>
  <w:style w:type="paragraph" w:styleId="1302"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03"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304" w:customStyle="1">
    <w:name w:val="无间隔_1"/>
    <w:uiPriority w:val="1"/>
    <w:qFormat/>
    <w:rPr>
      <w:rFonts w:hint="default" w:ascii="Calibri" w:hAnsi="Calibri" w:eastAsia="宋体" w:cs="Times New Roman"/>
      <w:sz w:val="22"/>
      <w:szCs w:val="22"/>
      <w:lang w:val="en-US" w:eastAsia="zh-CN" w:bidi="ar-SA"/>
    </w:rPr>
  </w:style>
  <w:style w:type="paragraph" w:styleId="1305" w:customStyle="1">
    <w:name w:val="Normal_20_0_0"/>
    <w:uiPriority w:val="0"/>
    <w:qFormat/>
    <w:rPr>
      <w:rFonts w:hint="default" w:ascii="Tahoma" w:hAnsi="Tahoma" w:eastAsia="微软雅黑" w:cs="Times New Roman"/>
      <w:lang w:val="en-US" w:eastAsia="zh-CN" w:bidi="ar-SA"/>
    </w:rPr>
  </w:style>
  <w:style w:type="paragraph" w:styleId="1306" w:customStyle="1">
    <w:name w:val="首行缩进_0"/>
    <w:basedOn w:val="1144"/>
    <w:uiPriority w:val="0"/>
    <w:qFormat/>
    <w:pPr>
      <w:ind w:firstLine="480"/>
      <w:jc w:val="left"/>
    </w:pPr>
    <w:rPr>
      <w:rFonts w:ascii="宋体" w:hAnsi="宋体" w:cs="宋体"/>
      <w:sz w:val="22"/>
      <w:szCs w:val="20"/>
      <w:lang w:val="zh-CN" w:eastAsia="ja-JP" w:bidi="ja-JP"/>
    </w:rPr>
  </w:style>
  <w:style w:type="character" w:styleId="1307" w:customStyle="1">
    <w:name w:val="font21"/>
    <w:basedOn w:val="794"/>
    <w:uiPriority w:val="0"/>
    <w:qFormat/>
    <w:rPr>
      <w:rFonts w:hint="default" w:ascii="Times New Roman" w:hAnsi="Times New Roman" w:cs="Times New Roman"/>
      <w:color w:val="000000"/>
      <w:sz w:val="28"/>
      <w:szCs w:val="28"/>
      <w:u w:val="none"/>
    </w:rPr>
  </w:style>
  <w:style w:type="character" w:styleId="1308" w:customStyle="1">
    <w:name w:val="font51"/>
    <w:basedOn w:val="794"/>
    <w:uiPriority w:val="0"/>
    <w:qFormat/>
    <w:rPr>
      <w:rFonts w:hint="eastAsia" w:ascii="宋体" w:hAnsi="宋体" w:eastAsia="宋体" w:cs="宋体"/>
      <w:color w:val="000000"/>
      <w:sz w:val="28"/>
      <w:szCs w:val="28"/>
      <w:u w:val="none"/>
    </w:rPr>
  </w:style>
  <w:style w:type="character" w:styleId="1309" w:customStyle="1">
    <w:name w:val="font31"/>
    <w:basedOn w:val="794"/>
    <w:uiPriority w:val="0"/>
    <w:qFormat/>
    <w:rPr>
      <w:rFonts w:hint="default" w:ascii="Times New Roman" w:hAnsi="Times New Roman" w:cs="Times New Roman"/>
      <w:color w:val="000000"/>
      <w:sz w:val="28"/>
      <w:szCs w:val="28"/>
      <w:u w:val="none"/>
    </w:rPr>
  </w:style>
  <w:style w:type="paragraph" w:styleId="1310" w:customStyle="1">
    <w:name w:val="批注文字11"/>
    <w:basedOn w:val="784"/>
    <w:uiPriority w:val="0"/>
    <w:semiHidden/>
    <w:qFormat/>
    <w:pPr>
      <w:jc w:val="left"/>
    </w:pPr>
    <w:rPr>
      <w:rFonts w:ascii="Times New Roman" w:hAnsi="Times New Roman"/>
      <w:szCs w:val="21"/>
    </w:rPr>
  </w:style>
  <w:style w:type="paragraph" w:styleId="1311" w:customStyle="1">
    <w:name w:val="正文文本缩进_1_0_0_0"/>
    <w:basedOn w:val="1312"/>
    <w:uiPriority w:val="0"/>
    <w:qFormat/>
    <w:pPr>
      <w:ind w:firstLine="225"/>
    </w:pPr>
    <w:rPr>
      <w:rFonts w:ascii="仿宋_GB2312" w:hAnsi="Calibri" w:eastAsia="仿宋_GB2312"/>
      <w:sz w:val="32"/>
    </w:rPr>
  </w:style>
  <w:style w:type="paragraph" w:styleId="1312" w:customStyle="1">
    <w:name w:val="正文_3_1_0_0"/>
    <w:next w:val="1311"/>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8190B-6F3B-41DF-9428-1EA1B1624A5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24</cp:revision>
  <dcterms:created xsi:type="dcterms:W3CDTF">2023-07-25T21:07:00Z</dcterms:created>
  <dcterms:modified xsi:type="dcterms:W3CDTF">2026-05-06T07:49:17Z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eyJoZGlkIjoiZmU1ZDQ3Nzk0ZDI3NzZmM2ZmNWViOGFlNTM3MjA5NDAiLCJ1c2VySWQiOiI1MTI0NDA5ODAifQ==</vt:lpwstr>
  </property>
  <property fmtid="{D5CDD505-2E9C-101B-9397-08002B2CF9AE}" pid="3" name="KSOProductBuildVer">
    <vt:lpwstr>2052-12.1.0.15358</vt:lpwstr>
  </property>
  <property fmtid="{D5CDD505-2E9C-101B-9397-08002B2CF9AE}" pid="4" name="ICV">
    <vt:lpwstr>3EFFBF191027470CBF7E2738D6AF6D3E_13</vt:lpwstr>
  </property>
</Properties>
</file>