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F18ECE">
      <w:pPr>
        <w:pStyle w:val="216"/>
        <w:spacing w:before="0" w:after="0"/>
        <w:ind w:firstLine="0"/>
        <w:jc w:val="center"/>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t>竞争性磋商文件</w:t>
      </w:r>
    </w:p>
    <w:p w14:paraId="2BAC3D4F">
      <w:pPr>
        <w:pStyle w:val="216"/>
        <w:spacing w:before="0" w:after="0"/>
        <w:ind w:firstLine="0"/>
        <w:jc w:val="center"/>
        <w:rPr>
          <w:rFonts w:hint="eastAsia" w:ascii="仿宋" w:hAnsi="仿宋" w:eastAsia="仿宋" w:cs="仿宋"/>
          <w:b/>
          <w:bCs/>
          <w:color w:val="000000"/>
          <w:sz w:val="84"/>
          <w:highlight w:val="none"/>
        </w:rPr>
      </w:pPr>
    </w:p>
    <w:p w14:paraId="35D0BD02">
      <w:pPr>
        <w:pStyle w:val="216"/>
        <w:spacing w:before="0" w:after="0"/>
        <w:ind w:firstLine="1687"/>
        <w:jc w:val="center"/>
        <w:rPr>
          <w:rFonts w:hint="eastAsia" w:ascii="仿宋" w:hAnsi="仿宋" w:eastAsia="仿宋" w:cs="仿宋"/>
          <w:b/>
          <w:bCs/>
          <w:color w:val="000000"/>
          <w:sz w:val="44"/>
          <w:szCs w:val="44"/>
          <w:highlight w:val="none"/>
        </w:rPr>
      </w:pPr>
    </w:p>
    <w:p w14:paraId="51E9F18C">
      <w:pPr>
        <w:pStyle w:val="216"/>
        <w:spacing w:before="0" w:after="0" w:line="600" w:lineRule="auto"/>
        <w:ind w:firstLine="0"/>
        <w:jc w:val="center"/>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t>项目名称：</w:t>
      </w:r>
      <w:r>
        <w:rPr>
          <w:rFonts w:hint="eastAsia" w:ascii="仿宋" w:hAnsi="仿宋" w:eastAsia="仿宋" w:cs="仿宋"/>
          <w:b/>
          <w:bCs/>
          <w:color w:val="000000"/>
          <w:sz w:val="44"/>
          <w:szCs w:val="44"/>
          <w:highlight w:val="none"/>
          <w:lang w:eastAsia="zh-CN"/>
        </w:rPr>
        <w:t>委托开展省政府批准建设用地审批事项合法性审查法律服务</w:t>
      </w:r>
    </w:p>
    <w:p w14:paraId="4BD813F9">
      <w:pPr>
        <w:pStyle w:val="216"/>
        <w:spacing w:before="0" w:after="0" w:line="600" w:lineRule="auto"/>
        <w:ind w:firstLine="0"/>
        <w:jc w:val="center"/>
        <w:rPr>
          <w:rFonts w:hint="eastAsia" w:ascii="仿宋" w:hAnsi="仿宋" w:eastAsia="仿宋" w:cs="仿宋"/>
          <w:b/>
          <w:bCs/>
          <w:color w:val="000000"/>
          <w:sz w:val="44"/>
          <w:szCs w:val="44"/>
          <w:highlight w:val="none"/>
          <w:lang w:eastAsia="zh-CN"/>
        </w:rPr>
      </w:pPr>
      <w:r>
        <w:rPr>
          <w:rFonts w:hint="eastAsia" w:ascii="仿宋" w:hAnsi="仿宋" w:eastAsia="仿宋" w:cs="仿宋"/>
          <w:b/>
          <w:bCs/>
          <w:color w:val="000000"/>
          <w:sz w:val="44"/>
          <w:szCs w:val="44"/>
          <w:highlight w:val="none"/>
        </w:rPr>
        <w:t>项目编号：</w:t>
      </w:r>
      <w:r>
        <w:rPr>
          <w:rFonts w:hint="eastAsia" w:ascii="仿宋" w:hAnsi="仿宋" w:eastAsia="仿宋" w:cs="仿宋"/>
          <w:b/>
          <w:bCs/>
          <w:color w:val="000000"/>
          <w:sz w:val="44"/>
          <w:szCs w:val="44"/>
          <w:highlight w:val="none"/>
          <w:lang w:eastAsia="zh-CN"/>
        </w:rPr>
        <w:t>JSZC-320000-JITC-C2026-0128</w:t>
      </w:r>
    </w:p>
    <w:p w14:paraId="041C2BEC">
      <w:pPr>
        <w:pStyle w:val="216"/>
        <w:spacing w:before="0" w:after="0"/>
        <w:ind w:firstLine="0"/>
        <w:jc w:val="both"/>
        <w:rPr>
          <w:rFonts w:hint="eastAsia" w:ascii="仿宋" w:hAnsi="仿宋" w:eastAsia="仿宋" w:cs="仿宋"/>
          <w:b/>
          <w:bCs/>
          <w:color w:val="000000"/>
          <w:sz w:val="36"/>
          <w:szCs w:val="36"/>
          <w:highlight w:val="none"/>
        </w:rPr>
      </w:pPr>
    </w:p>
    <w:p w14:paraId="515FF41A">
      <w:pPr>
        <w:pStyle w:val="216"/>
        <w:spacing w:before="0" w:after="0"/>
        <w:ind w:left="0" w:firstLine="0"/>
        <w:jc w:val="both"/>
        <w:rPr>
          <w:rFonts w:hint="eastAsia" w:ascii="仿宋" w:hAnsi="仿宋" w:eastAsia="仿宋" w:cs="仿宋"/>
          <w:b/>
          <w:bCs/>
          <w:color w:val="000000"/>
          <w:sz w:val="36"/>
          <w:szCs w:val="36"/>
          <w:highlight w:val="none"/>
        </w:rPr>
      </w:pPr>
    </w:p>
    <w:p w14:paraId="7782FC92">
      <w:pPr>
        <w:pStyle w:val="216"/>
        <w:spacing w:before="0" w:after="0"/>
        <w:ind w:firstLine="723"/>
        <w:jc w:val="center"/>
        <w:rPr>
          <w:rFonts w:hint="eastAsia" w:ascii="仿宋" w:hAnsi="仿宋" w:eastAsia="仿宋" w:cs="仿宋"/>
          <w:b/>
          <w:bCs/>
          <w:color w:val="000000"/>
          <w:sz w:val="36"/>
          <w:szCs w:val="36"/>
          <w:highlight w:val="none"/>
        </w:rPr>
      </w:pPr>
    </w:p>
    <w:p w14:paraId="5E5847BC">
      <w:pPr>
        <w:pStyle w:val="216"/>
        <w:spacing w:before="0" w:after="0"/>
        <w:ind w:firstLine="723"/>
        <w:jc w:val="center"/>
        <w:rPr>
          <w:rFonts w:hint="eastAsia" w:ascii="仿宋" w:hAnsi="仿宋" w:eastAsia="仿宋" w:cs="仿宋"/>
          <w:b/>
          <w:bCs/>
          <w:color w:val="000000"/>
          <w:sz w:val="36"/>
          <w:szCs w:val="36"/>
          <w:highlight w:val="none"/>
        </w:rPr>
      </w:pPr>
    </w:p>
    <w:p w14:paraId="3F0C1AE9">
      <w:pPr>
        <w:pStyle w:val="216"/>
        <w:spacing w:before="0" w:after="0" w:line="600" w:lineRule="auto"/>
        <w:ind w:firstLine="0"/>
        <w:jc w:val="center"/>
        <w:rPr>
          <w:rFonts w:hint="eastAsia" w:ascii="仿宋" w:hAnsi="仿宋" w:eastAsia="仿宋" w:cs="仿宋"/>
          <w:b/>
          <w:bCs/>
          <w:color w:val="000000"/>
          <w:sz w:val="32"/>
          <w:szCs w:val="32"/>
          <w:highlight w:val="none"/>
          <w:lang w:eastAsia="zh-CN"/>
        </w:rPr>
      </w:pPr>
      <w:r>
        <w:rPr>
          <w:rFonts w:hint="eastAsia" w:ascii="仿宋" w:hAnsi="仿宋" w:eastAsia="仿宋" w:cs="仿宋"/>
          <w:b/>
          <w:bCs/>
          <w:color w:val="000000"/>
          <w:sz w:val="32"/>
          <w:szCs w:val="32"/>
          <w:highlight w:val="none"/>
        </w:rPr>
        <w:t>采 购 人：</w:t>
      </w:r>
      <w:r>
        <w:rPr>
          <w:rFonts w:hint="eastAsia" w:ascii="仿宋" w:hAnsi="仿宋" w:eastAsia="仿宋" w:cs="仿宋"/>
          <w:b/>
          <w:bCs/>
          <w:color w:val="000000"/>
          <w:sz w:val="32"/>
          <w:szCs w:val="32"/>
          <w:highlight w:val="none"/>
          <w:lang w:eastAsia="zh-CN"/>
        </w:rPr>
        <w:t>江苏省司法厅</w:t>
      </w:r>
    </w:p>
    <w:p w14:paraId="013E329C">
      <w:pPr>
        <w:pStyle w:val="216"/>
        <w:spacing w:before="0" w:after="0" w:line="600" w:lineRule="auto"/>
        <w:ind w:firstLine="0"/>
        <w:jc w:val="center"/>
        <w:rPr>
          <w:rFonts w:hint="eastAsia" w:ascii="仿宋" w:hAnsi="仿宋" w:eastAsia="仿宋" w:cs="仿宋"/>
          <w:b/>
          <w:bCs/>
          <w:color w:val="000000"/>
          <w:sz w:val="32"/>
          <w:szCs w:val="32"/>
          <w:highlight w:val="none"/>
          <w:lang w:eastAsia="zh-CN"/>
        </w:rPr>
      </w:pPr>
      <w:r>
        <w:rPr>
          <w:rFonts w:hint="eastAsia" w:ascii="仿宋" w:hAnsi="仿宋" w:eastAsia="仿宋" w:cs="仿宋"/>
          <w:b/>
          <w:bCs/>
          <w:color w:val="000000"/>
          <w:sz w:val="32"/>
          <w:szCs w:val="32"/>
          <w:highlight w:val="none"/>
        </w:rPr>
        <w:t>代理机构：</w:t>
      </w:r>
      <w:r>
        <w:rPr>
          <w:rFonts w:hint="eastAsia" w:ascii="仿宋" w:hAnsi="仿宋" w:eastAsia="仿宋" w:cs="仿宋"/>
          <w:b/>
          <w:bCs/>
          <w:color w:val="000000"/>
          <w:sz w:val="32"/>
          <w:szCs w:val="32"/>
          <w:highlight w:val="none"/>
          <w:lang w:eastAsia="zh-CN"/>
        </w:rPr>
        <w:t>江苏省招标中心有限公司</w:t>
      </w:r>
    </w:p>
    <w:p w14:paraId="3928E332">
      <w:pPr>
        <w:pStyle w:val="203"/>
        <w:jc w:val="center"/>
        <w:rPr>
          <w:rFonts w:ascii="仿宋" w:hAnsi="仿宋" w:eastAsia="仿宋" w:cs="仿宋"/>
          <w:color w:val="000000"/>
          <w:highlight w:val="none"/>
          <w:lang w:val="en-US" w:eastAsia="zh-CN"/>
        </w:rPr>
      </w:pPr>
      <w:r>
        <w:rPr>
          <w:rFonts w:hint="eastAsia" w:ascii="仿宋" w:hAnsi="仿宋" w:eastAsia="仿宋" w:cs="仿宋"/>
          <w:b/>
          <w:bCs/>
          <w:color w:val="000000"/>
          <w:sz w:val="32"/>
          <w:szCs w:val="32"/>
          <w:highlight w:val="none"/>
          <w:lang w:val="en-US" w:eastAsia="zh-CN"/>
        </w:rPr>
        <w:t>2026年5月</w:t>
      </w:r>
    </w:p>
    <w:p w14:paraId="4BB78CAD">
      <w:pPr>
        <w:spacing w:line="240" w:lineRule="atLeast"/>
        <w:jc w:val="center"/>
        <w:rPr>
          <w:rFonts w:hint="eastAsia" w:ascii="仿宋" w:hAnsi="仿宋" w:eastAsia="仿宋" w:cs="仿宋"/>
          <w:b/>
          <w:bCs/>
          <w:color w:val="000000"/>
          <w:sz w:val="32"/>
          <w:szCs w:val="32"/>
          <w:highlight w:val="none"/>
        </w:rPr>
      </w:pPr>
    </w:p>
    <w:p w14:paraId="71470056">
      <w:pPr>
        <w:spacing w:line="240" w:lineRule="atLeast"/>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目  录</w:t>
      </w:r>
    </w:p>
    <w:p w14:paraId="7C1BC148">
      <w:pPr>
        <w:pStyle w:val="201"/>
        <w:tabs>
          <w:tab w:val="right" w:leader="dot" w:pos="9400"/>
        </w:tabs>
        <w:rPr>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TOC \o "1-1" \h \u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_Toc14489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第一章  竞争性磋商公告</w:t>
      </w:r>
      <w:r>
        <w:rPr>
          <w:color w:val="000000"/>
          <w:highlight w:val="none"/>
        </w:rPr>
        <w:tab/>
      </w:r>
      <w:r>
        <w:rPr>
          <w:color w:val="000000"/>
          <w:highlight w:val="none"/>
        </w:rPr>
        <w:fldChar w:fldCharType="begin"/>
      </w:r>
      <w:r>
        <w:rPr>
          <w:color w:val="000000"/>
          <w:highlight w:val="none"/>
        </w:rPr>
        <w:instrText xml:space="preserve"> PAGEREF _Toc14489 \h </w:instrText>
      </w:r>
      <w:r>
        <w:rPr>
          <w:color w:val="000000"/>
          <w:highlight w:val="none"/>
        </w:rPr>
        <w:fldChar w:fldCharType="separate"/>
      </w:r>
      <w:r>
        <w:rPr>
          <w:color w:val="000000"/>
          <w:highlight w:val="none"/>
        </w:rPr>
        <w:t>3</w:t>
      </w:r>
      <w:r>
        <w:rPr>
          <w:color w:val="000000"/>
          <w:highlight w:val="none"/>
        </w:rPr>
        <w:fldChar w:fldCharType="end"/>
      </w:r>
      <w:r>
        <w:rPr>
          <w:rFonts w:hint="eastAsia" w:ascii="仿宋" w:hAnsi="仿宋" w:eastAsia="仿宋" w:cs="仿宋"/>
          <w:color w:val="000000"/>
          <w:highlight w:val="none"/>
        </w:rPr>
        <w:fldChar w:fldCharType="end"/>
      </w:r>
    </w:p>
    <w:p w14:paraId="078E26A8">
      <w:pPr>
        <w:pStyle w:val="201"/>
        <w:tabs>
          <w:tab w:val="right" w:leader="dot" w:pos="9400"/>
        </w:tabs>
        <w:rPr>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_Toc17864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第二章  磋商须知</w:t>
      </w:r>
      <w:r>
        <w:rPr>
          <w:color w:val="000000"/>
          <w:highlight w:val="none"/>
        </w:rPr>
        <w:tab/>
      </w:r>
      <w:r>
        <w:rPr>
          <w:color w:val="000000"/>
          <w:highlight w:val="none"/>
        </w:rPr>
        <w:fldChar w:fldCharType="begin"/>
      </w:r>
      <w:r>
        <w:rPr>
          <w:color w:val="000000"/>
          <w:highlight w:val="none"/>
        </w:rPr>
        <w:instrText xml:space="preserve"> PAGEREF _Toc17864 \h </w:instrText>
      </w:r>
      <w:r>
        <w:rPr>
          <w:color w:val="000000"/>
          <w:highlight w:val="none"/>
        </w:rPr>
        <w:fldChar w:fldCharType="separate"/>
      </w:r>
      <w:r>
        <w:rPr>
          <w:color w:val="000000"/>
          <w:highlight w:val="none"/>
        </w:rPr>
        <w:t>7</w:t>
      </w:r>
      <w:r>
        <w:rPr>
          <w:color w:val="000000"/>
          <w:highlight w:val="none"/>
        </w:rPr>
        <w:fldChar w:fldCharType="end"/>
      </w:r>
      <w:r>
        <w:rPr>
          <w:rFonts w:hint="eastAsia" w:ascii="仿宋" w:hAnsi="仿宋" w:eastAsia="仿宋" w:cs="仿宋"/>
          <w:color w:val="000000"/>
          <w:highlight w:val="none"/>
        </w:rPr>
        <w:fldChar w:fldCharType="end"/>
      </w:r>
    </w:p>
    <w:p w14:paraId="6D9AD478">
      <w:pPr>
        <w:pStyle w:val="201"/>
        <w:tabs>
          <w:tab w:val="right" w:leader="dot" w:pos="9400"/>
        </w:tabs>
        <w:rPr>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_Toc10741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 xml:space="preserve">第三章 </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合同条款及格式</w:t>
      </w:r>
      <w:r>
        <w:rPr>
          <w:color w:val="000000"/>
          <w:highlight w:val="none"/>
        </w:rPr>
        <w:tab/>
      </w:r>
      <w:r>
        <w:rPr>
          <w:color w:val="000000"/>
          <w:highlight w:val="none"/>
        </w:rPr>
        <w:fldChar w:fldCharType="begin"/>
      </w:r>
      <w:r>
        <w:rPr>
          <w:color w:val="000000"/>
          <w:highlight w:val="none"/>
        </w:rPr>
        <w:instrText xml:space="preserve"> PAGEREF _Toc10741 \h </w:instrText>
      </w:r>
      <w:r>
        <w:rPr>
          <w:color w:val="000000"/>
          <w:highlight w:val="none"/>
        </w:rPr>
        <w:fldChar w:fldCharType="separate"/>
      </w:r>
      <w:r>
        <w:rPr>
          <w:color w:val="000000"/>
          <w:highlight w:val="none"/>
        </w:rPr>
        <w:t>19</w:t>
      </w:r>
      <w:r>
        <w:rPr>
          <w:color w:val="000000"/>
          <w:highlight w:val="none"/>
        </w:rPr>
        <w:fldChar w:fldCharType="end"/>
      </w:r>
      <w:r>
        <w:rPr>
          <w:rFonts w:hint="eastAsia" w:ascii="仿宋" w:hAnsi="仿宋" w:eastAsia="仿宋" w:cs="仿宋"/>
          <w:color w:val="000000"/>
          <w:highlight w:val="none"/>
        </w:rPr>
        <w:fldChar w:fldCharType="end"/>
      </w:r>
    </w:p>
    <w:p w14:paraId="35A31125">
      <w:pPr>
        <w:pStyle w:val="201"/>
        <w:tabs>
          <w:tab w:val="right" w:leader="dot" w:pos="9400"/>
        </w:tabs>
        <w:rPr>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_Toc6258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第四章</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 xml:space="preserve"> 项目需求</w:t>
      </w:r>
      <w:r>
        <w:rPr>
          <w:color w:val="000000"/>
          <w:highlight w:val="none"/>
        </w:rPr>
        <w:tab/>
      </w:r>
      <w:r>
        <w:rPr>
          <w:color w:val="000000"/>
          <w:highlight w:val="none"/>
        </w:rPr>
        <w:fldChar w:fldCharType="begin"/>
      </w:r>
      <w:r>
        <w:rPr>
          <w:color w:val="000000"/>
          <w:highlight w:val="none"/>
        </w:rPr>
        <w:instrText xml:space="preserve"> PAGEREF _Toc6258 \h </w:instrText>
      </w:r>
      <w:r>
        <w:rPr>
          <w:color w:val="000000"/>
          <w:highlight w:val="none"/>
        </w:rPr>
        <w:fldChar w:fldCharType="separate"/>
      </w:r>
      <w:r>
        <w:rPr>
          <w:color w:val="000000"/>
          <w:highlight w:val="none"/>
        </w:rPr>
        <w:t>24</w:t>
      </w:r>
      <w:r>
        <w:rPr>
          <w:color w:val="000000"/>
          <w:highlight w:val="none"/>
        </w:rPr>
        <w:fldChar w:fldCharType="end"/>
      </w:r>
      <w:r>
        <w:rPr>
          <w:rFonts w:hint="eastAsia" w:ascii="仿宋" w:hAnsi="仿宋" w:eastAsia="仿宋" w:cs="仿宋"/>
          <w:color w:val="000000"/>
          <w:highlight w:val="none"/>
        </w:rPr>
        <w:fldChar w:fldCharType="end"/>
      </w:r>
    </w:p>
    <w:p w14:paraId="48A7E1A9">
      <w:pPr>
        <w:pStyle w:val="201"/>
        <w:tabs>
          <w:tab w:val="right" w:leader="dot" w:pos="9400"/>
        </w:tabs>
        <w:rPr>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_Toc353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第五章  评审方法与评审标准</w:t>
      </w:r>
      <w:r>
        <w:rPr>
          <w:color w:val="000000"/>
          <w:highlight w:val="none"/>
        </w:rPr>
        <w:tab/>
      </w:r>
      <w:r>
        <w:rPr>
          <w:color w:val="000000"/>
          <w:highlight w:val="none"/>
        </w:rPr>
        <w:fldChar w:fldCharType="begin"/>
      </w:r>
      <w:r>
        <w:rPr>
          <w:color w:val="000000"/>
          <w:highlight w:val="none"/>
        </w:rPr>
        <w:instrText xml:space="preserve"> PAGEREF _Toc353 \h </w:instrText>
      </w:r>
      <w:r>
        <w:rPr>
          <w:color w:val="000000"/>
          <w:highlight w:val="none"/>
        </w:rPr>
        <w:fldChar w:fldCharType="separate"/>
      </w:r>
      <w:r>
        <w:rPr>
          <w:color w:val="000000"/>
          <w:highlight w:val="none"/>
        </w:rPr>
        <w:t>28</w:t>
      </w:r>
      <w:r>
        <w:rPr>
          <w:color w:val="000000"/>
          <w:highlight w:val="none"/>
        </w:rPr>
        <w:fldChar w:fldCharType="end"/>
      </w:r>
      <w:r>
        <w:rPr>
          <w:rFonts w:hint="eastAsia" w:ascii="仿宋" w:hAnsi="仿宋" w:eastAsia="仿宋" w:cs="仿宋"/>
          <w:color w:val="000000"/>
          <w:highlight w:val="none"/>
        </w:rPr>
        <w:fldChar w:fldCharType="end"/>
      </w:r>
    </w:p>
    <w:p w14:paraId="67179641">
      <w:pPr>
        <w:pStyle w:val="201"/>
        <w:tabs>
          <w:tab w:val="right" w:leader="dot" w:pos="9400"/>
        </w:tabs>
        <w:rPr>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_Toc22796 </w:instrText>
      </w:r>
      <w:r>
        <w:rPr>
          <w:rFonts w:hint="eastAsia" w:ascii="仿宋" w:hAnsi="仿宋" w:eastAsia="仿宋" w:cs="仿宋"/>
          <w:color w:val="000000"/>
          <w:highlight w:val="none"/>
        </w:rPr>
        <w:fldChar w:fldCharType="separate"/>
      </w:r>
      <w:r>
        <w:rPr>
          <w:rFonts w:hint="eastAsia" w:ascii="仿宋" w:hAnsi="仿宋" w:eastAsia="仿宋" w:cs="仿宋"/>
          <w:color w:val="000000"/>
          <w:szCs w:val="40"/>
          <w:highlight w:val="none"/>
        </w:rPr>
        <w:t>第六章  响应文件格式</w:t>
      </w:r>
      <w:r>
        <w:rPr>
          <w:color w:val="000000"/>
          <w:highlight w:val="none"/>
        </w:rPr>
        <w:tab/>
      </w:r>
      <w:r>
        <w:rPr>
          <w:color w:val="000000"/>
          <w:highlight w:val="none"/>
        </w:rPr>
        <w:fldChar w:fldCharType="begin"/>
      </w:r>
      <w:r>
        <w:rPr>
          <w:color w:val="000000"/>
          <w:highlight w:val="none"/>
        </w:rPr>
        <w:instrText xml:space="preserve"> PAGEREF _Toc22796 \h </w:instrText>
      </w:r>
      <w:r>
        <w:rPr>
          <w:color w:val="000000"/>
          <w:highlight w:val="none"/>
        </w:rPr>
        <w:fldChar w:fldCharType="separate"/>
      </w:r>
      <w:r>
        <w:rPr>
          <w:color w:val="000000"/>
          <w:highlight w:val="none"/>
        </w:rPr>
        <w:t>32</w:t>
      </w:r>
      <w:r>
        <w:rPr>
          <w:color w:val="000000"/>
          <w:highlight w:val="none"/>
        </w:rPr>
        <w:fldChar w:fldCharType="end"/>
      </w:r>
      <w:r>
        <w:rPr>
          <w:rFonts w:hint="eastAsia" w:ascii="仿宋" w:hAnsi="仿宋" w:eastAsia="仿宋" w:cs="仿宋"/>
          <w:color w:val="000000"/>
          <w:highlight w:val="none"/>
        </w:rPr>
        <w:fldChar w:fldCharType="end"/>
      </w:r>
    </w:p>
    <w:p w14:paraId="408F69EE">
      <w:pPr>
        <w:widowControl/>
        <w:ind w:left="630" w:right="1050"/>
        <w:jc w:val="center"/>
        <w:rPr>
          <w:rFonts w:hint="eastAsia" w:ascii="仿宋" w:hAnsi="仿宋" w:eastAsia="仿宋" w:cs="仿宋"/>
          <w:color w:val="000000"/>
          <w:highlight w:val="none"/>
        </w:rPr>
      </w:pPr>
      <w:r>
        <w:rPr>
          <w:rFonts w:hint="eastAsia" w:ascii="仿宋" w:hAnsi="仿宋" w:eastAsia="仿宋" w:cs="仿宋"/>
          <w:color w:val="000000"/>
          <w:highlight w:val="none"/>
        </w:rPr>
        <w:fldChar w:fldCharType="end"/>
      </w:r>
    </w:p>
    <w:p w14:paraId="0D417419">
      <w:pPr>
        <w:pStyle w:val="228"/>
        <w:pageBreakBefore/>
        <w:widowControl w:val="0"/>
        <w:spacing w:line="360" w:lineRule="auto"/>
        <w:rPr>
          <w:rFonts w:hint="eastAsia" w:ascii="仿宋" w:hAnsi="仿宋" w:eastAsia="仿宋" w:cs="仿宋"/>
          <w:color w:val="000000"/>
          <w:sz w:val="40"/>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440" w:right="1253" w:bottom="1440" w:left="1253" w:header="624" w:footer="964" w:gutter="0"/>
          <w:cols w:space="1701" w:num="1"/>
          <w:titlePg/>
          <w:docGrid w:linePitch="360" w:charSpace="0"/>
        </w:sectPr>
      </w:pPr>
    </w:p>
    <w:p w14:paraId="179444BA">
      <w:pPr>
        <w:pStyle w:val="228"/>
        <w:pageBreakBefore/>
        <w:widowControl w:val="0"/>
        <w:spacing w:line="360" w:lineRule="auto"/>
        <w:rPr>
          <w:rFonts w:hint="eastAsia" w:ascii="仿宋" w:hAnsi="仿宋" w:eastAsia="仿宋" w:cs="仿宋"/>
          <w:color w:val="000000"/>
          <w:sz w:val="40"/>
          <w:highlight w:val="none"/>
        </w:rPr>
      </w:pPr>
      <w:bookmarkStart w:id="0" w:name="_Toc28535"/>
      <w:bookmarkStart w:id="1" w:name="_Toc25487"/>
      <w:bookmarkStart w:id="2" w:name="_Toc5255"/>
      <w:bookmarkStart w:id="3" w:name="_Toc23501"/>
      <w:bookmarkStart w:id="4" w:name="_Toc14489"/>
      <w:bookmarkStart w:id="5" w:name="_Toc1194"/>
      <w:bookmarkStart w:id="6" w:name="_Toc324237148"/>
      <w:bookmarkStart w:id="7" w:name="_Toc27030"/>
      <w:bookmarkStart w:id="8" w:name="_Toc12478"/>
      <w:bookmarkStart w:id="9" w:name="_Toc13783"/>
      <w:bookmarkStart w:id="10" w:name="_Toc23520"/>
      <w:bookmarkStart w:id="11" w:name="_Toc7808"/>
      <w:bookmarkStart w:id="12" w:name="_Toc31740"/>
      <w:bookmarkStart w:id="13" w:name="_Toc3659"/>
      <w:bookmarkStart w:id="14" w:name="_Toc16499"/>
      <w:bookmarkStart w:id="15" w:name="_Toc10586"/>
      <w:bookmarkStart w:id="16" w:name="_Toc14553"/>
      <w:bookmarkStart w:id="17" w:name="_Toc8465"/>
      <w:bookmarkStart w:id="18" w:name="_Toc15751"/>
      <w:bookmarkStart w:id="19" w:name="_Toc9830"/>
      <w:bookmarkStart w:id="20" w:name="_Toc32263"/>
      <w:bookmarkStart w:id="21" w:name="_Toc22680"/>
      <w:bookmarkStart w:id="22" w:name="_Toc25170482"/>
      <w:bookmarkStart w:id="23" w:name="_Toc22438"/>
      <w:bookmarkStart w:id="24" w:name="_Toc25170481"/>
      <w:bookmarkStart w:id="25" w:name="_Toc26554093"/>
      <w:bookmarkStart w:id="26" w:name="_Toc49090575"/>
      <w:bookmarkStart w:id="27" w:name="_Toc120614281"/>
      <w:bookmarkStart w:id="28" w:name="_Toc462564139"/>
      <w:bookmarkStart w:id="29" w:name="_Toc479757211"/>
      <w:r>
        <w:rPr>
          <w:rFonts w:hint="eastAsia" w:ascii="仿宋" w:hAnsi="仿宋" w:eastAsia="仿宋" w:cs="仿宋"/>
          <w:color w:val="000000"/>
          <w:sz w:val="40"/>
          <w:highlight w:val="none"/>
        </w:rPr>
        <w:t xml:space="preserve">第一章  </w:t>
      </w:r>
      <w:bookmarkEnd w:id="0"/>
      <w:bookmarkEnd w:id="1"/>
      <w:bookmarkEnd w:id="2"/>
      <w:bookmarkEnd w:id="3"/>
      <w:r>
        <w:rPr>
          <w:rFonts w:hint="eastAsia" w:ascii="仿宋" w:hAnsi="仿宋" w:eastAsia="仿宋" w:cs="仿宋"/>
          <w:color w:val="000000"/>
          <w:sz w:val="40"/>
          <w:highlight w:val="none"/>
        </w:rPr>
        <w:t>竞争性磋商公告</w:t>
      </w:r>
      <w:bookmarkEnd w:id="4"/>
    </w:p>
    <w:p w14:paraId="4616B0D0">
      <w:pPr>
        <w:pStyle w:val="230"/>
        <w:keepNext w:val="0"/>
        <w:keepLines w:val="0"/>
        <w:pageBreakBefore w:val="0"/>
        <w:spacing w:before="0" w:beforeAutospacing="0" w:after="0" w:afterAutospacing="0" w:line="360" w:lineRule="auto"/>
        <w:ind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项目概况</w:t>
      </w:r>
    </w:p>
    <w:p w14:paraId="4D3E0315">
      <w:pPr>
        <w:pStyle w:val="230"/>
        <w:keepNext w:val="0"/>
        <w:keepLines w:val="0"/>
        <w:pageBreakBefore w:val="0"/>
        <w:spacing w:before="0" w:beforeAutospacing="0" w:after="0" w:afterAutospacing="0"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rPr>
        <w:t>委托开展省政府批准建设用地审批事项合法性审查法律服务</w:t>
      </w:r>
      <w:r>
        <w:rPr>
          <w:rFonts w:hint="eastAsia" w:ascii="宋体" w:hAnsi="宋体" w:eastAsia="宋体" w:cs="宋体"/>
          <w:color w:val="000000"/>
          <w:sz w:val="21"/>
          <w:szCs w:val="21"/>
          <w:highlight w:val="none"/>
          <w:lang w:val="en-US" w:eastAsia="zh-CN"/>
        </w:rPr>
        <w:t>项目</w:t>
      </w:r>
      <w:r>
        <w:rPr>
          <w:rFonts w:hint="eastAsia" w:ascii="宋体" w:hAnsi="宋体" w:eastAsia="宋体" w:cs="宋体"/>
          <w:color w:val="000000"/>
          <w:sz w:val="21"/>
          <w:szCs w:val="21"/>
          <w:highlight w:val="none"/>
          <w:lang w:val="zh-CN"/>
        </w:rPr>
        <w:t>的潜在供应商应在</w:t>
      </w:r>
      <w:r>
        <w:rPr>
          <w:rFonts w:hint="eastAsia" w:ascii="宋体" w:hAnsi="宋体" w:eastAsia="宋体" w:cs="宋体"/>
          <w:color w:val="000000"/>
          <w:sz w:val="21"/>
          <w:szCs w:val="21"/>
          <w:highlight w:val="none"/>
          <w:u w:val="single"/>
          <w:lang w:eastAsia="zh-CN"/>
        </w:rPr>
        <w:t>“苏采云”系统注册登记成功后免费下载</w:t>
      </w:r>
      <w:r>
        <w:rPr>
          <w:rFonts w:hint="eastAsia" w:ascii="宋体" w:hAnsi="宋体" w:eastAsia="宋体" w:cs="宋体"/>
          <w:color w:val="000000"/>
          <w:sz w:val="21"/>
          <w:szCs w:val="21"/>
          <w:highlight w:val="none"/>
          <w:lang w:val="zh-CN"/>
        </w:rPr>
        <w:t>获取采购文件，并于2026年5月</w:t>
      </w:r>
      <w:r>
        <w:rPr>
          <w:rFonts w:hint="eastAsia" w:ascii="宋体" w:hAnsi="宋体" w:eastAsia="宋体" w:cs="宋体"/>
          <w:color w:val="000000"/>
          <w:sz w:val="21"/>
          <w:szCs w:val="21"/>
          <w:highlight w:val="none"/>
          <w:lang w:val="en-US" w:eastAsia="zh-CN"/>
        </w:rPr>
        <w:t>25</w:t>
      </w:r>
      <w:r>
        <w:rPr>
          <w:rFonts w:hint="eastAsia" w:ascii="宋体" w:hAnsi="宋体" w:eastAsia="宋体" w:cs="宋体"/>
          <w:color w:val="000000"/>
          <w:sz w:val="21"/>
          <w:szCs w:val="21"/>
          <w:highlight w:val="none"/>
          <w:lang w:val="zh-CN"/>
        </w:rPr>
        <w:t>日</w:t>
      </w:r>
      <w:r>
        <w:rPr>
          <w:rFonts w:hint="eastAsia" w:ascii="宋体" w:hAnsi="宋体" w:eastAsia="宋体" w:cs="宋体"/>
          <w:color w:val="000000"/>
          <w:sz w:val="21"/>
          <w:szCs w:val="21"/>
          <w:highlight w:val="none"/>
          <w:lang w:val="en-US" w:eastAsia="zh-CN"/>
        </w:rPr>
        <w:t>14</w:t>
      </w:r>
      <w:r>
        <w:rPr>
          <w:rFonts w:hint="eastAsia" w:ascii="宋体" w:hAnsi="宋体" w:eastAsia="宋体" w:cs="宋体"/>
          <w:color w:val="000000"/>
          <w:sz w:val="21"/>
          <w:szCs w:val="21"/>
          <w:highlight w:val="none"/>
          <w:lang w:val="zh-CN"/>
        </w:rPr>
        <w:t>:</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lang w:val="zh-CN"/>
        </w:rPr>
        <w:t>0（北京时间）前提交响应文件。</w:t>
      </w:r>
    </w:p>
    <w:p w14:paraId="6AD32B8F">
      <w:pPr>
        <w:keepNext w:val="0"/>
        <w:keepLines w:val="0"/>
        <w:pageBreakBefore w:val="0"/>
        <w:spacing w:line="360" w:lineRule="auto"/>
        <w:ind w:firstLine="422"/>
        <w:rPr>
          <w:rFonts w:hint="eastAsia" w:ascii="宋体" w:hAnsi="宋体" w:eastAsia="宋体" w:cs="宋体"/>
          <w:b/>
          <w:bCs/>
          <w:color w:val="000000"/>
          <w:szCs w:val="21"/>
          <w:highlight w:val="none"/>
        </w:rPr>
      </w:pPr>
      <w:bookmarkStart w:id="30" w:name="_Toc28359079"/>
      <w:bookmarkStart w:id="31" w:name="_Toc35393790"/>
      <w:bookmarkStart w:id="32" w:name="_Toc28359002"/>
      <w:bookmarkStart w:id="33" w:name="_Toc35393621"/>
      <w:r>
        <w:rPr>
          <w:rFonts w:hint="eastAsia" w:ascii="宋体" w:hAnsi="宋体" w:eastAsia="宋体" w:cs="宋体"/>
          <w:b/>
          <w:bCs/>
          <w:color w:val="000000"/>
          <w:szCs w:val="21"/>
          <w:highlight w:val="none"/>
        </w:rPr>
        <w:t>一、项目基本情况</w:t>
      </w:r>
      <w:bookmarkEnd w:id="30"/>
      <w:bookmarkEnd w:id="31"/>
      <w:bookmarkEnd w:id="32"/>
      <w:bookmarkEnd w:id="33"/>
    </w:p>
    <w:p w14:paraId="537E5D79">
      <w:pPr>
        <w:keepNext w:val="0"/>
        <w:keepLines w:val="0"/>
        <w:pageBreakBefore w:val="0"/>
        <w:spacing w:line="360" w:lineRule="auto"/>
        <w:ind w:firstLine="422"/>
        <w:rPr>
          <w:rFonts w:hint="eastAsia" w:ascii="宋体" w:hAnsi="宋体" w:eastAsia="宋体" w:cs="宋体"/>
          <w:color w:val="000000"/>
          <w:szCs w:val="21"/>
          <w:highlight w:val="none"/>
          <w:lang w:eastAsia="zh-CN"/>
        </w:rPr>
      </w:pPr>
      <w:r>
        <w:rPr>
          <w:rFonts w:hint="eastAsia" w:ascii="宋体" w:hAnsi="宋体" w:eastAsia="宋体" w:cs="宋体"/>
          <w:b/>
          <w:bCs/>
          <w:color w:val="000000"/>
          <w:szCs w:val="21"/>
          <w:highlight w:val="none"/>
        </w:rPr>
        <w:t>项目编号：</w:t>
      </w:r>
      <w:r>
        <w:rPr>
          <w:rFonts w:hint="eastAsia" w:ascii="宋体" w:hAnsi="宋体" w:cs="宋体"/>
          <w:b w:val="0"/>
          <w:bCs w:val="0"/>
          <w:color w:val="000000"/>
          <w:szCs w:val="21"/>
          <w:highlight w:val="none"/>
          <w:lang w:eastAsia="zh-CN"/>
        </w:rPr>
        <w:t>JSZC-320000-JITC-C2026-0128</w:t>
      </w:r>
    </w:p>
    <w:p w14:paraId="1BB8B1C7">
      <w:pPr>
        <w:keepNext w:val="0"/>
        <w:keepLines w:val="0"/>
        <w:pageBreakBefore w:val="0"/>
        <w:spacing w:line="360" w:lineRule="auto"/>
        <w:ind w:firstLine="422"/>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项目名称：</w:t>
      </w:r>
      <w:r>
        <w:rPr>
          <w:rFonts w:hint="eastAsia" w:ascii="宋体" w:hAnsi="宋体" w:cs="宋体"/>
          <w:color w:val="000000"/>
          <w:szCs w:val="21"/>
          <w:highlight w:val="none"/>
          <w:lang w:eastAsia="zh-CN"/>
        </w:rPr>
        <w:t>委托开展省政府批准建设用地审批事项合法性审查法律服务</w:t>
      </w:r>
    </w:p>
    <w:p w14:paraId="288E615F">
      <w:pPr>
        <w:keepNext w:val="0"/>
        <w:keepLines w:val="0"/>
        <w:pageBreakBefore w:val="0"/>
        <w:spacing w:line="360" w:lineRule="auto"/>
        <w:ind w:firstLine="422"/>
        <w:rPr>
          <w:rFonts w:hint="default"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rPr>
        <w:t>采购预算：</w:t>
      </w:r>
      <w:r>
        <w:rPr>
          <w:rFonts w:hint="eastAsia" w:ascii="宋体" w:hAnsi="宋体" w:cs="仿宋_GB2312"/>
          <w:color w:val="000000"/>
          <w:szCs w:val="21"/>
          <w:highlight w:val="none"/>
          <w:lang w:val="en-US" w:eastAsia="zh-CN"/>
        </w:rPr>
        <w:t>105万元</w:t>
      </w:r>
    </w:p>
    <w:p w14:paraId="46B468AA">
      <w:pPr>
        <w:keepNext w:val="0"/>
        <w:keepLines w:val="0"/>
        <w:pageBreakBefore w:val="0"/>
        <w:spacing w:line="360" w:lineRule="auto"/>
        <w:ind w:firstLine="422"/>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最高限价：</w:t>
      </w:r>
      <w:r>
        <w:rPr>
          <w:rFonts w:hint="eastAsia" w:ascii="宋体" w:hAnsi="宋体" w:eastAsia="宋体" w:cs="仿宋_GB2312"/>
          <w:color w:val="000000"/>
          <w:szCs w:val="21"/>
          <w:highlight w:val="none"/>
        </w:rPr>
        <w:t>人民币</w:t>
      </w:r>
      <w:r>
        <w:rPr>
          <w:rFonts w:hint="eastAsia" w:ascii="宋体" w:hAnsi="宋体" w:cs="仿宋_GB2312"/>
          <w:color w:val="000000"/>
          <w:szCs w:val="21"/>
          <w:highlight w:val="none"/>
          <w:lang w:val="en-US" w:eastAsia="zh-CN"/>
        </w:rPr>
        <w:t>105</w:t>
      </w:r>
      <w:r>
        <w:rPr>
          <w:rFonts w:hint="eastAsia" w:ascii="宋体" w:hAnsi="宋体" w:eastAsia="宋体" w:cs="仿宋_GB2312"/>
          <w:color w:val="000000"/>
          <w:szCs w:val="21"/>
          <w:highlight w:val="none"/>
        </w:rPr>
        <w:t>万元</w:t>
      </w:r>
      <w:r>
        <w:rPr>
          <w:rFonts w:hint="eastAsia" w:ascii="宋体" w:hAnsi="宋体" w:eastAsia="宋体" w:cs="仿宋_GB2312"/>
          <w:color w:val="000000"/>
          <w:szCs w:val="21"/>
          <w:highlight w:val="none"/>
          <w:lang w:val="en-US" w:eastAsia="zh-CN"/>
        </w:rPr>
        <w:t>/三年（包1:35万元/年）</w:t>
      </w:r>
      <w:r>
        <w:rPr>
          <w:rFonts w:hint="eastAsia" w:ascii="宋体" w:hAnsi="宋体" w:eastAsia="宋体" w:cs="宋体"/>
          <w:color w:val="000000"/>
          <w:szCs w:val="21"/>
          <w:highlight w:val="none"/>
        </w:rPr>
        <w:t>，超过采购预算金额及最高限价作无效</w:t>
      </w:r>
      <w:r>
        <w:rPr>
          <w:rFonts w:hint="eastAsia" w:ascii="宋体" w:hAnsi="宋体" w:eastAsia="宋体" w:cs="宋体"/>
          <w:color w:val="000000"/>
          <w:szCs w:val="21"/>
          <w:highlight w:val="none"/>
          <w:lang w:val="en-US" w:eastAsia="zh-CN"/>
        </w:rPr>
        <w:t>响应</w:t>
      </w:r>
      <w:r>
        <w:rPr>
          <w:rFonts w:hint="eastAsia" w:ascii="宋体" w:hAnsi="宋体" w:eastAsia="宋体" w:cs="宋体"/>
          <w:color w:val="000000"/>
          <w:szCs w:val="21"/>
          <w:highlight w:val="none"/>
        </w:rPr>
        <w:t>处理。</w:t>
      </w:r>
    </w:p>
    <w:p w14:paraId="384EF21A">
      <w:pPr>
        <w:keepNext w:val="0"/>
        <w:keepLines w:val="0"/>
        <w:pageBreakBefore w:val="0"/>
        <w:spacing w:line="360" w:lineRule="auto"/>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采购需求简介：</w:t>
      </w:r>
      <w:r>
        <w:rPr>
          <w:rFonts w:hint="eastAsia" w:ascii="宋体" w:hAnsi="宋体" w:eastAsia="宋体" w:cs="宋体"/>
          <w:b w:val="0"/>
          <w:bCs w:val="0"/>
          <w:color w:val="000000"/>
          <w:sz w:val="21"/>
          <w:szCs w:val="21"/>
          <w:highlight w:val="none"/>
          <w:lang w:val="en-US" w:eastAsia="zh-CN" w:bidi="ar-SA"/>
        </w:rPr>
        <w:t>拟委托开展合法性审查法律服务采购，本项目按件计费，最高限价为850元/件，年度审查费用预算约为70万元（35万元/包），本项目共分2个包，兼投不兼中（在包2中被推荐为第一成交候选人的单位，不得被推荐为包1的成交候选人）三年总审查费用预算约为210万元。</w:t>
      </w:r>
      <w:r>
        <w:rPr>
          <w:rFonts w:hint="eastAsia" w:ascii="宋体" w:hAnsi="宋体" w:eastAsia="宋体" w:cs="宋体"/>
          <w:b w:val="0"/>
          <w:bCs w:val="0"/>
          <w:color w:val="FF0000"/>
          <w:sz w:val="21"/>
          <w:szCs w:val="21"/>
          <w:highlight w:val="none"/>
          <w:lang w:val="en-US" w:eastAsia="zh-CN" w:bidi="ar-SA"/>
        </w:rPr>
        <w:t>包2已经完成磋商，本次仅针对包1进行采购</w:t>
      </w:r>
      <w:r>
        <w:rPr>
          <w:rFonts w:hint="eastAsia" w:ascii="宋体" w:hAnsi="宋体" w:eastAsia="宋体" w:cs="宋体"/>
          <w:b w:val="0"/>
          <w:bCs w:val="0"/>
          <w:color w:val="000000"/>
          <w:sz w:val="21"/>
          <w:szCs w:val="21"/>
          <w:highlight w:val="none"/>
          <w:lang w:val="en-US" w:eastAsia="zh-CN" w:bidi="ar-SA"/>
        </w:rPr>
        <w:t>，中标律师事务所的服务费按季度实际办结数量结算，原则上每家年度服务费不超过35万元，遇有特殊情况另行协商确定，具体服务要求详见采购文件。</w:t>
      </w:r>
      <w:r>
        <w:rPr>
          <w:rFonts w:hint="eastAsia" w:ascii="宋体" w:hAnsi="宋体" w:eastAsia="宋体" w:cs="宋体"/>
          <w:color w:val="000000"/>
          <w:szCs w:val="21"/>
          <w:highlight w:val="none"/>
          <w:lang w:val="zh-CN" w:eastAsia="zh-CN"/>
        </w:rPr>
        <w:t>（详见第四章项目需求）</w:t>
      </w:r>
      <w:r>
        <w:rPr>
          <w:rFonts w:hint="eastAsia" w:ascii="宋体" w:hAnsi="宋体" w:eastAsia="宋体" w:cs="宋体"/>
          <w:color w:val="000000"/>
          <w:szCs w:val="21"/>
          <w:highlight w:val="none"/>
        </w:rPr>
        <w:t xml:space="preserve"> </w:t>
      </w:r>
    </w:p>
    <w:p w14:paraId="19A48FF5">
      <w:pPr>
        <w:keepNext w:val="0"/>
        <w:keepLines w:val="0"/>
        <w:pageBreakBefore w:val="0"/>
        <w:spacing w:line="360" w:lineRule="auto"/>
        <w:ind w:firstLine="422"/>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采购标的对应中小企业划分标准所属行业：</w:t>
      </w:r>
      <w:r>
        <w:rPr>
          <w:rFonts w:hint="eastAsia" w:ascii="宋体" w:hAnsi="宋体" w:eastAsia="宋体" w:cs="宋体"/>
          <w:b w:val="0"/>
          <w:bCs w:val="0"/>
          <w:color w:val="000000"/>
          <w:szCs w:val="21"/>
          <w:highlight w:val="none"/>
        </w:rPr>
        <w:t>租赁和商务服务业</w:t>
      </w:r>
      <w:r>
        <w:rPr>
          <w:rFonts w:hint="eastAsia" w:ascii="宋体" w:hAnsi="宋体" w:eastAsia="宋体" w:cs="宋体"/>
          <w:color w:val="000000"/>
          <w:szCs w:val="21"/>
          <w:highlight w:val="none"/>
        </w:rPr>
        <w:t>。</w:t>
      </w:r>
    </w:p>
    <w:p w14:paraId="294B4781">
      <w:pPr>
        <w:keepNext w:val="0"/>
        <w:keepLines w:val="0"/>
        <w:pageBreakBefore w:val="0"/>
        <w:spacing w:line="360" w:lineRule="auto"/>
        <w:ind w:firstLine="422"/>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合同履行期限：</w:t>
      </w:r>
      <w:r>
        <w:rPr>
          <w:rFonts w:hint="eastAsia" w:ascii="宋体" w:hAnsi="宋体" w:cs="宋体"/>
          <w:b w:val="0"/>
          <w:bCs w:val="0"/>
          <w:color w:val="000000"/>
          <w:szCs w:val="21"/>
          <w:highlight w:val="none"/>
          <w:lang w:val="en-US" w:eastAsia="zh-CN"/>
        </w:rPr>
        <w:t>本期合法性审查法律服务项目服务期限为三年，依据采购人要求安排具体履行时间。</w:t>
      </w:r>
    </w:p>
    <w:p w14:paraId="76A5A06A">
      <w:pPr>
        <w:keepNext w:val="0"/>
        <w:keepLines w:val="0"/>
        <w:pageBreakBefore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本项目</w:t>
      </w:r>
      <w:r>
        <w:rPr>
          <w:rFonts w:hint="eastAsia" w:ascii="宋体" w:hAnsi="宋体" w:eastAsia="宋体" w:cs="宋体"/>
          <w:b/>
          <w:bCs/>
          <w:color w:val="000000"/>
          <w:szCs w:val="21"/>
          <w:highlight w:val="none"/>
        </w:rPr>
        <w:t>不接受</w:t>
      </w:r>
      <w:r>
        <w:rPr>
          <w:rFonts w:hint="eastAsia" w:ascii="宋体" w:hAnsi="宋体" w:eastAsia="宋体" w:cs="宋体"/>
          <w:color w:val="000000"/>
          <w:szCs w:val="21"/>
          <w:highlight w:val="none"/>
        </w:rPr>
        <w:t>联合体投标。</w:t>
      </w:r>
    </w:p>
    <w:p w14:paraId="070A0A8A">
      <w:pPr>
        <w:pStyle w:val="215"/>
        <w:keepNext w:val="0"/>
        <w:keepLines w:val="0"/>
        <w:pageBreakBefore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本项目中标后</w:t>
      </w:r>
      <w:r>
        <w:rPr>
          <w:rFonts w:hint="eastAsia" w:ascii="宋体" w:hAnsi="宋体" w:eastAsia="宋体" w:cs="宋体"/>
          <w:b/>
          <w:bCs/>
          <w:color w:val="000000"/>
          <w:szCs w:val="21"/>
          <w:highlight w:val="none"/>
        </w:rPr>
        <w:t>不允许</w:t>
      </w:r>
      <w:r>
        <w:rPr>
          <w:rFonts w:hint="eastAsia" w:ascii="宋体" w:hAnsi="宋体" w:eastAsia="宋体" w:cs="宋体"/>
          <w:color w:val="000000"/>
          <w:szCs w:val="21"/>
          <w:highlight w:val="none"/>
        </w:rPr>
        <w:t>转包、分包。</w:t>
      </w:r>
    </w:p>
    <w:p w14:paraId="7A520422">
      <w:pPr>
        <w:keepNext w:val="0"/>
        <w:keepLines w:val="0"/>
        <w:pageBreakBefore w:val="0"/>
        <w:numPr>
          <w:ilvl w:val="0"/>
          <w:numId w:val="5"/>
        </w:numPr>
        <w:spacing w:line="360" w:lineRule="auto"/>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申请人的资格要求：</w:t>
      </w:r>
    </w:p>
    <w:p w14:paraId="52109BAF">
      <w:pPr>
        <w:keepNext w:val="0"/>
        <w:keepLines w:val="0"/>
        <w:pageBreakBefore w:val="0"/>
        <w:spacing w:line="360" w:lineRule="auto"/>
        <w:ind w:firstLine="422"/>
        <w:rPr>
          <w:rFonts w:hint="eastAsia" w:ascii="宋体" w:hAnsi="宋体" w:eastAsia="宋体" w:cs="宋体"/>
          <w:b/>
          <w:bCs/>
          <w:color w:val="000000"/>
          <w:szCs w:val="21"/>
          <w:highlight w:val="none"/>
        </w:rPr>
      </w:pPr>
      <w:bookmarkStart w:id="34" w:name="_Toc35393625"/>
      <w:bookmarkStart w:id="35" w:name="_Toc35393794"/>
      <w:bookmarkStart w:id="36" w:name="_Toc28359084"/>
      <w:bookmarkStart w:id="37" w:name="_Toc28359007"/>
      <w:r>
        <w:rPr>
          <w:rFonts w:hint="eastAsia" w:ascii="宋体" w:hAnsi="宋体" w:eastAsia="宋体" w:cs="宋体"/>
          <w:b/>
          <w:bCs/>
          <w:color w:val="000000"/>
          <w:szCs w:val="21"/>
          <w:highlight w:val="none"/>
        </w:rPr>
        <w:t>2.1满足《中华人民共和国政府采购法》第二十二条规定：</w:t>
      </w:r>
    </w:p>
    <w:p w14:paraId="4EA1F816">
      <w:pPr>
        <w:keepNext w:val="0"/>
        <w:keepLines w:val="0"/>
        <w:pageBreakBefore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（1）具有独立承担民事责任的能力，提供法人或其他组织的营业执照等证明文件，复印件加盖公章；</w:t>
      </w:r>
    </w:p>
    <w:p w14:paraId="2650BF62">
      <w:pPr>
        <w:keepNext w:val="0"/>
        <w:keepLines w:val="0"/>
        <w:pageBreakBefore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w:t>
      </w:r>
      <w:r>
        <w:rPr>
          <w:rFonts w:hint="eastAsia" w:ascii="宋体" w:hAnsi="宋体" w:eastAsia="宋体" w:cs="宋体"/>
          <w:color w:val="000000"/>
          <w:szCs w:val="22"/>
          <w:highlight w:val="none"/>
        </w:rPr>
        <w:t>法人代表授权书（原件）及法定代表人、授权代表身份证复印件及</w:t>
      </w:r>
      <w:r>
        <w:rPr>
          <w:rFonts w:hint="eastAsia" w:ascii="宋体" w:hAnsi="宋体" w:eastAsia="宋体" w:cs="宋体"/>
          <w:b/>
          <w:color w:val="000000"/>
          <w:szCs w:val="22"/>
          <w:highlight w:val="none"/>
          <w:lang w:eastAsia="zh-CN"/>
        </w:rPr>
        <w:t>2025年11月-2026年4月</w:t>
      </w:r>
      <w:r>
        <w:rPr>
          <w:rFonts w:hint="eastAsia" w:ascii="宋体" w:hAnsi="宋体" w:eastAsia="宋体" w:cs="宋体"/>
          <w:bCs/>
          <w:color w:val="000000"/>
          <w:szCs w:val="22"/>
          <w:highlight w:val="none"/>
        </w:rPr>
        <w:t>内任意一月投标单位为授权代表缴纳的社保证明</w:t>
      </w:r>
      <w:r>
        <w:rPr>
          <w:rFonts w:hint="eastAsia" w:ascii="宋体" w:hAnsi="宋体" w:eastAsia="宋体" w:cs="宋体"/>
          <w:color w:val="000000"/>
          <w:szCs w:val="22"/>
          <w:highlight w:val="none"/>
        </w:rPr>
        <w:t>（如果是法定代表人直接参与</w:t>
      </w:r>
      <w:r>
        <w:rPr>
          <w:rFonts w:hint="eastAsia" w:ascii="宋体" w:hAnsi="宋体" w:cs="宋体"/>
          <w:color w:val="000000"/>
          <w:szCs w:val="22"/>
          <w:highlight w:val="none"/>
          <w:lang w:val="en-US" w:eastAsia="zh-CN"/>
        </w:rPr>
        <w:t>磋商</w:t>
      </w:r>
      <w:r>
        <w:rPr>
          <w:rFonts w:hint="eastAsia" w:ascii="宋体" w:hAnsi="宋体" w:eastAsia="宋体" w:cs="宋体"/>
          <w:color w:val="000000"/>
          <w:szCs w:val="22"/>
          <w:highlight w:val="none"/>
        </w:rPr>
        <w:t>的可以不提供授权书</w:t>
      </w:r>
      <w:r>
        <w:rPr>
          <w:rFonts w:hint="eastAsia" w:ascii="宋体" w:hAnsi="宋体" w:cs="宋体"/>
          <w:color w:val="000000"/>
          <w:szCs w:val="22"/>
          <w:highlight w:val="none"/>
          <w:lang w:eastAsia="zh-CN"/>
        </w:rPr>
        <w:t>、</w:t>
      </w:r>
      <w:r>
        <w:rPr>
          <w:rFonts w:hint="eastAsia" w:ascii="宋体" w:hAnsi="宋体" w:eastAsia="宋体" w:cs="宋体"/>
          <w:color w:val="000000"/>
          <w:szCs w:val="22"/>
          <w:highlight w:val="none"/>
        </w:rPr>
        <w:t>授权代表身份证复印件及</w:t>
      </w:r>
      <w:r>
        <w:rPr>
          <w:rFonts w:hint="eastAsia" w:ascii="宋体" w:hAnsi="宋体" w:eastAsia="宋体" w:cs="宋体"/>
          <w:bCs/>
          <w:color w:val="000000"/>
          <w:szCs w:val="22"/>
          <w:highlight w:val="none"/>
        </w:rPr>
        <w:t>社保证明</w:t>
      </w:r>
      <w:r>
        <w:rPr>
          <w:rFonts w:hint="eastAsia" w:ascii="宋体" w:hAnsi="宋体" w:eastAsia="宋体" w:cs="宋体"/>
          <w:color w:val="000000"/>
          <w:szCs w:val="22"/>
          <w:highlight w:val="none"/>
        </w:rPr>
        <w:t>）</w:t>
      </w:r>
      <w:r>
        <w:rPr>
          <w:rFonts w:hint="eastAsia" w:ascii="宋体" w:hAnsi="宋体" w:eastAsia="宋体" w:cs="宋体"/>
          <w:color w:val="000000"/>
          <w:szCs w:val="21"/>
          <w:highlight w:val="none"/>
        </w:rPr>
        <w:t>；</w:t>
      </w:r>
    </w:p>
    <w:p w14:paraId="7D459134">
      <w:pPr>
        <w:keepNext w:val="0"/>
        <w:keepLines w:val="0"/>
        <w:pageBreakBefore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w:t>
      </w:r>
      <w:r>
        <w:rPr>
          <w:rFonts w:hint="eastAsia" w:ascii="宋体" w:hAnsi="宋体" w:eastAsia="宋体" w:cs="宋体"/>
          <w:color w:val="000000"/>
          <w:szCs w:val="22"/>
          <w:highlight w:val="none"/>
        </w:rPr>
        <w:t>具有良好的商业信誉和健全的财务会计制度，提供</w:t>
      </w:r>
      <w:r>
        <w:rPr>
          <w:rFonts w:hint="eastAsia" w:ascii="宋体" w:hAnsi="宋体" w:eastAsia="宋体" w:cs="宋体"/>
          <w:b/>
          <w:color w:val="000000"/>
          <w:szCs w:val="22"/>
          <w:highlight w:val="none"/>
          <w:lang w:eastAsia="zh-CN"/>
        </w:rPr>
        <w:t>2025年11月-2026年4月</w:t>
      </w:r>
      <w:r>
        <w:rPr>
          <w:rFonts w:hint="eastAsia" w:ascii="宋体" w:hAnsi="宋体" w:eastAsia="宋体" w:cs="宋体"/>
          <w:color w:val="000000"/>
          <w:szCs w:val="22"/>
          <w:highlight w:val="none"/>
        </w:rPr>
        <w:t>内任意一月份的财务状况报告（至少包括资产负债表或利润表）（法人或者其他组织成立未满三个月的可以不提供），或其银行出具的资信证书（复印件）（</w:t>
      </w:r>
      <w:r>
        <w:rPr>
          <w:rFonts w:hint="eastAsia" w:ascii="宋体" w:hAnsi="宋体" w:eastAsia="宋体" w:cs="宋体"/>
          <w:b/>
          <w:color w:val="000000"/>
          <w:szCs w:val="22"/>
          <w:highlight w:val="none"/>
          <w:lang w:eastAsia="zh-CN"/>
        </w:rPr>
        <w:t>2025年11月-2026年4月</w:t>
      </w:r>
      <w:r>
        <w:rPr>
          <w:rFonts w:hint="eastAsia" w:ascii="宋体" w:hAnsi="宋体" w:eastAsia="宋体" w:cs="宋体"/>
          <w:color w:val="000000"/>
          <w:szCs w:val="22"/>
          <w:highlight w:val="none"/>
        </w:rPr>
        <w:t>内），或2024</w:t>
      </w:r>
      <w:r>
        <w:rPr>
          <w:rFonts w:hint="eastAsia" w:ascii="宋体" w:hAnsi="宋体" w:eastAsia="宋体" w:cs="宋体"/>
          <w:color w:val="000000"/>
          <w:szCs w:val="22"/>
          <w:highlight w:val="none"/>
          <w:lang w:val="en-US" w:eastAsia="zh-CN"/>
        </w:rPr>
        <w:t>或2025</w:t>
      </w:r>
      <w:r>
        <w:rPr>
          <w:rFonts w:hint="eastAsia" w:ascii="宋体" w:hAnsi="宋体" w:eastAsia="宋体" w:cs="宋体"/>
          <w:color w:val="000000"/>
          <w:szCs w:val="22"/>
          <w:highlight w:val="none"/>
        </w:rPr>
        <w:t>年度经审计的财务报告复印件加盖公章</w:t>
      </w:r>
      <w:r>
        <w:rPr>
          <w:rFonts w:hint="eastAsia" w:ascii="宋体" w:hAnsi="宋体" w:eastAsia="宋体" w:cs="宋体"/>
          <w:color w:val="000000"/>
          <w:szCs w:val="21"/>
          <w:highlight w:val="none"/>
        </w:rPr>
        <w:t>；</w:t>
      </w:r>
    </w:p>
    <w:p w14:paraId="79ADAF3C">
      <w:pPr>
        <w:keepNext w:val="0"/>
        <w:keepLines w:val="0"/>
        <w:pageBreakBefore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（4）具有履行合同所必需的设备和专业技术能力（根据项目需求提供履行合同所必需的设备和专业技术能力的证明材料或相关加盖公章的承诺函，承诺函自行编写）；</w:t>
      </w:r>
    </w:p>
    <w:p w14:paraId="681B09A1">
      <w:pPr>
        <w:keepNext w:val="0"/>
        <w:keepLines w:val="0"/>
        <w:pageBreakBefore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14:paraId="585E4CA4">
      <w:pPr>
        <w:keepNext w:val="0"/>
        <w:keepLines w:val="0"/>
        <w:pageBreakBefore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（6）有依法缴纳税收的良好记录，提供</w:t>
      </w:r>
      <w:r>
        <w:rPr>
          <w:rFonts w:hint="eastAsia" w:ascii="宋体" w:hAnsi="宋体" w:eastAsia="宋体" w:cs="宋体"/>
          <w:b/>
          <w:color w:val="000000"/>
          <w:szCs w:val="22"/>
          <w:highlight w:val="none"/>
          <w:lang w:eastAsia="zh-CN"/>
        </w:rPr>
        <w:t>2025年11月-2026年4月</w:t>
      </w:r>
      <w:r>
        <w:rPr>
          <w:rFonts w:hint="eastAsia" w:ascii="宋体" w:hAnsi="宋体" w:eastAsia="宋体" w:cs="宋体"/>
          <w:color w:val="000000"/>
          <w:szCs w:val="21"/>
          <w:highlight w:val="none"/>
        </w:rPr>
        <w:t>内任意一月份的纳税凭据复印件加盖公章（依法免税的应提供相应文件说明）；</w:t>
      </w:r>
    </w:p>
    <w:p w14:paraId="5102C3B2">
      <w:pPr>
        <w:keepNext w:val="0"/>
        <w:keepLines w:val="0"/>
        <w:pageBreakBefore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（7）有依法缴纳社会保障资金的良好记录，提供</w:t>
      </w:r>
      <w:r>
        <w:rPr>
          <w:rFonts w:hint="eastAsia" w:ascii="宋体" w:hAnsi="宋体" w:eastAsia="宋体" w:cs="宋体"/>
          <w:b/>
          <w:color w:val="000000"/>
          <w:szCs w:val="22"/>
          <w:highlight w:val="none"/>
          <w:lang w:eastAsia="zh-CN"/>
        </w:rPr>
        <w:t>2025年11月-2026年4月</w:t>
      </w:r>
      <w:r>
        <w:rPr>
          <w:rFonts w:hint="eastAsia" w:ascii="宋体" w:hAnsi="宋体" w:eastAsia="宋体" w:cs="宋体"/>
          <w:color w:val="000000"/>
          <w:szCs w:val="21"/>
          <w:highlight w:val="none"/>
        </w:rPr>
        <w:t>内任意一月份的依法缴纳社会保障资金的凭据复印件加盖公章；</w:t>
      </w:r>
    </w:p>
    <w:p w14:paraId="46C42479">
      <w:pPr>
        <w:keepNext w:val="0"/>
        <w:keepLines w:val="0"/>
        <w:pageBreakBefore w:val="0"/>
        <w:spacing w:line="360" w:lineRule="auto"/>
        <w:ind w:firstLine="422"/>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2.2落实政府采购政策需满足的资格要求：（本项目非专门面向中小企业采购）</w:t>
      </w:r>
    </w:p>
    <w:p w14:paraId="39A5773B">
      <w:pPr>
        <w:keepNext w:val="0"/>
        <w:keepLines w:val="0"/>
        <w:pageBreakBefore w:val="0"/>
        <w:spacing w:line="360" w:lineRule="auto"/>
        <w:ind w:firstLine="422"/>
        <w:rPr>
          <w:rFonts w:hint="eastAsia"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rPr>
        <w:t>2.3</w:t>
      </w:r>
      <w:bookmarkStart w:id="38" w:name="OLE_LINK6"/>
      <w:bookmarkStart w:id="39" w:name="OLE_LINK8"/>
      <w:r>
        <w:rPr>
          <w:rFonts w:hint="eastAsia" w:ascii="宋体" w:hAnsi="宋体" w:eastAsia="宋体" w:cs="宋体"/>
          <w:b/>
          <w:bCs/>
          <w:color w:val="000000"/>
          <w:szCs w:val="21"/>
          <w:highlight w:val="none"/>
        </w:rPr>
        <w:t>本项目的特定资格要求：供应商具有司法部门颁发的律师事务所执业许可证书或律师事务所分所执业许可证书（提供有效的证书复印件加盖公章）</w:t>
      </w:r>
    </w:p>
    <w:bookmarkEnd w:id="38"/>
    <w:bookmarkEnd w:id="39"/>
    <w:p w14:paraId="6C875E0C">
      <w:pPr>
        <w:keepNext w:val="0"/>
        <w:keepLines w:val="0"/>
        <w:pageBreakBefore w:val="0"/>
        <w:spacing w:line="360" w:lineRule="auto"/>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2.4</w:t>
      </w:r>
      <w:r>
        <w:rPr>
          <w:rFonts w:hint="eastAsia" w:ascii="宋体" w:hAnsi="宋体" w:eastAsia="宋体" w:cs="宋体"/>
          <w:b/>
          <w:bCs/>
          <w:color w:val="000000"/>
          <w:szCs w:val="21"/>
          <w:highlight w:val="none"/>
        </w:rPr>
        <w:t>供应商存在下列情形的不得参加本次招标活动：</w:t>
      </w:r>
    </w:p>
    <w:p w14:paraId="2BD479EB">
      <w:pPr>
        <w:keepNext w:val="0"/>
        <w:keepLines w:val="0"/>
        <w:pageBreakBefore w:val="0"/>
        <w:spacing w:line="360" w:lineRule="auto"/>
        <w:ind w:firstLine="420"/>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w:t>
      </w:r>
      <w:r>
        <w:rPr>
          <w:rFonts w:hint="eastAsia" w:ascii="宋体" w:hAnsi="宋体" w:cs="宋体"/>
          <w:color w:val="000000"/>
          <w:szCs w:val="21"/>
          <w:highlight w:val="none"/>
          <w:lang w:val="en-US" w:eastAsia="zh-CN"/>
        </w:rPr>
        <w:t>1</w:t>
      </w:r>
      <w:r>
        <w:rPr>
          <w:rFonts w:hint="eastAsia" w:ascii="宋体" w:hAnsi="宋体" w:cs="宋体"/>
          <w:color w:val="000000"/>
          <w:szCs w:val="21"/>
          <w:highlight w:val="none"/>
          <w:lang w:eastAsia="zh-CN"/>
        </w:rPr>
        <w:t>）</w:t>
      </w:r>
      <w:r>
        <w:rPr>
          <w:rFonts w:hint="eastAsia" w:ascii="宋体" w:hAnsi="宋体" w:eastAsia="宋体" w:cs="宋体"/>
          <w:color w:val="000000"/>
          <w:szCs w:val="21"/>
          <w:highlight w:val="none"/>
        </w:rPr>
        <w:t>单位负责人为同一人或者存在直接控股、管理关系的不同供应商，不得参加同一合同项下的政府采购活动。</w:t>
      </w:r>
    </w:p>
    <w:p w14:paraId="7FE061D2">
      <w:pPr>
        <w:keepNext w:val="0"/>
        <w:keepLines w:val="0"/>
        <w:pageBreakBefore w:val="0"/>
        <w:spacing w:line="360" w:lineRule="auto"/>
        <w:ind w:firstLine="420"/>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w:t>
      </w:r>
      <w:r>
        <w:rPr>
          <w:rFonts w:hint="eastAsia" w:ascii="宋体" w:hAnsi="宋体" w:cs="宋体"/>
          <w:color w:val="000000"/>
          <w:szCs w:val="21"/>
          <w:highlight w:val="none"/>
          <w:lang w:val="en-US" w:eastAsia="zh-CN"/>
        </w:rPr>
        <w:t>2</w:t>
      </w:r>
      <w:r>
        <w:rPr>
          <w:rFonts w:hint="eastAsia" w:ascii="宋体" w:hAnsi="宋体" w:cs="宋体"/>
          <w:color w:val="000000"/>
          <w:szCs w:val="21"/>
          <w:highlight w:val="none"/>
          <w:lang w:eastAsia="zh-CN"/>
        </w:rPr>
        <w:t>）</w:t>
      </w:r>
      <w:r>
        <w:rPr>
          <w:rFonts w:hint="eastAsia" w:ascii="宋体" w:hAnsi="宋体" w:eastAsia="宋体" w:cs="宋体"/>
          <w:color w:val="000000"/>
          <w:szCs w:val="21"/>
          <w:highlight w:val="none"/>
        </w:rPr>
        <w:t>除单一来源项目外，凡为采购项目提供整体设计、规范编制或者项目管理、监理、检测等服务的供应商不得再参加本项目的采购活动。</w:t>
      </w:r>
    </w:p>
    <w:p w14:paraId="6A80D1C2">
      <w:pPr>
        <w:keepNext w:val="0"/>
        <w:keepLines w:val="0"/>
        <w:pageBreakBefore w:val="0"/>
        <w:spacing w:line="360" w:lineRule="auto"/>
        <w:ind w:firstLine="420"/>
        <w:rPr>
          <w:rFonts w:hint="eastAsia" w:ascii="宋体" w:hAnsi="宋体" w:eastAsia="宋体" w:cs="宋体"/>
          <w:bCs/>
          <w:color w:val="000000"/>
          <w:szCs w:val="21"/>
          <w:highlight w:val="none"/>
        </w:rPr>
      </w:pPr>
      <w:r>
        <w:rPr>
          <w:rFonts w:hint="eastAsia" w:ascii="宋体" w:hAnsi="宋体" w:cs="宋体"/>
          <w:color w:val="000000"/>
          <w:szCs w:val="21"/>
          <w:highlight w:val="none"/>
          <w:lang w:eastAsia="zh-CN"/>
        </w:rPr>
        <w:t>（</w:t>
      </w:r>
      <w:r>
        <w:rPr>
          <w:rFonts w:hint="eastAsia" w:ascii="宋体" w:hAnsi="宋体" w:cs="宋体"/>
          <w:color w:val="000000"/>
          <w:szCs w:val="21"/>
          <w:highlight w:val="none"/>
          <w:lang w:val="en-US" w:eastAsia="zh-CN"/>
        </w:rPr>
        <w:t>3</w:t>
      </w:r>
      <w:r>
        <w:rPr>
          <w:rFonts w:hint="eastAsia" w:ascii="宋体" w:hAnsi="宋体" w:cs="宋体"/>
          <w:color w:val="000000"/>
          <w:szCs w:val="21"/>
          <w:highlight w:val="none"/>
          <w:lang w:eastAsia="zh-CN"/>
        </w:rPr>
        <w:t>）</w:t>
      </w:r>
      <w:r>
        <w:rPr>
          <w:rFonts w:hint="eastAsia" w:ascii="宋体" w:hAnsi="宋体" w:eastAsia="宋体" w:cs="宋体"/>
          <w:color w:val="000000"/>
          <w:szCs w:val="21"/>
          <w:highlight w:val="none"/>
        </w:rPr>
        <w:t>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p w14:paraId="57EE61EC">
      <w:pPr>
        <w:pStyle w:val="231"/>
        <w:keepNext w:val="0"/>
        <w:keepLines w:val="0"/>
        <w:pageBreakBefore w:val="0"/>
        <w:spacing w:line="360" w:lineRule="auto"/>
        <w:ind w:firstLine="422"/>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三、获取</w:t>
      </w:r>
      <w:r>
        <w:rPr>
          <w:rFonts w:hint="eastAsia" w:ascii="宋体" w:hAnsi="宋体" w:cs="宋体"/>
          <w:bCs/>
          <w:color w:val="000000"/>
          <w:sz w:val="21"/>
          <w:szCs w:val="21"/>
          <w:highlight w:val="none"/>
          <w:lang w:val="en-US" w:eastAsia="zh-CN"/>
        </w:rPr>
        <w:t>采购</w:t>
      </w:r>
      <w:r>
        <w:rPr>
          <w:rFonts w:hint="eastAsia" w:ascii="宋体" w:hAnsi="宋体" w:eastAsia="宋体" w:cs="宋体"/>
          <w:bCs/>
          <w:color w:val="000000"/>
          <w:sz w:val="21"/>
          <w:szCs w:val="21"/>
          <w:highlight w:val="none"/>
        </w:rPr>
        <w:t xml:space="preserve">文件 </w:t>
      </w:r>
    </w:p>
    <w:p w14:paraId="12FE37EC">
      <w:pPr>
        <w:pStyle w:val="232"/>
        <w:keepNext w:val="0"/>
        <w:keepLines w:val="0"/>
        <w:pageBreakBefore w:val="0"/>
        <w:spacing w:line="360" w:lineRule="auto"/>
        <w:ind w:firstLine="420"/>
        <w:rPr>
          <w:rFonts w:hint="eastAsia" w:ascii="宋体" w:hAnsi="宋体" w:eastAsia="宋体" w:cs="宋体"/>
          <w:color w:val="000000"/>
          <w:sz w:val="21"/>
          <w:highlight w:val="none"/>
        </w:rPr>
      </w:pPr>
      <w:bookmarkStart w:id="40" w:name="_Toc28359082"/>
      <w:bookmarkStart w:id="41" w:name="_Toc28359005"/>
      <w:bookmarkStart w:id="42" w:name="_Toc35393624"/>
      <w:bookmarkStart w:id="43" w:name="_Toc35393793"/>
      <w:r>
        <w:rPr>
          <w:rFonts w:hint="eastAsia" w:ascii="宋体" w:hAnsi="宋体" w:eastAsia="宋体" w:cs="宋体"/>
          <w:color w:val="000000"/>
          <w:sz w:val="21"/>
          <w:highlight w:val="none"/>
        </w:rPr>
        <w:t>1.获取时间：自</w:t>
      </w:r>
      <w:r>
        <w:rPr>
          <w:rFonts w:hint="eastAsia" w:ascii="宋体" w:hAnsi="宋体" w:cs="宋体"/>
          <w:color w:val="000000"/>
          <w:sz w:val="21"/>
          <w:highlight w:val="none"/>
          <w:lang w:val="en-US" w:eastAsia="zh-CN"/>
        </w:rPr>
        <w:t>采购</w:t>
      </w:r>
      <w:r>
        <w:rPr>
          <w:rFonts w:hint="eastAsia" w:ascii="宋体" w:hAnsi="宋体" w:eastAsia="宋体" w:cs="宋体"/>
          <w:color w:val="000000"/>
          <w:sz w:val="21"/>
          <w:highlight w:val="none"/>
        </w:rPr>
        <w:t>公告发布之日起5个工作日 </w:t>
      </w:r>
    </w:p>
    <w:p w14:paraId="08A65C25">
      <w:pPr>
        <w:pStyle w:val="232"/>
        <w:keepNext w:val="0"/>
        <w:keepLines w:val="0"/>
        <w:pageBreakBefore w:val="0"/>
        <w:spacing w:line="360" w:lineRule="auto"/>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2.地点：“苏采云”系统注册登记成功后免费下载</w:t>
      </w:r>
    </w:p>
    <w:p w14:paraId="3FD6FAA8">
      <w:pPr>
        <w:pStyle w:val="232"/>
        <w:keepNext w:val="0"/>
        <w:keepLines w:val="0"/>
        <w:pageBreakBefore w:val="0"/>
        <w:spacing w:line="360" w:lineRule="auto"/>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3.获取方式：本项目采用网上注册登记方式</w:t>
      </w:r>
    </w:p>
    <w:p w14:paraId="5D12D02B">
      <w:pPr>
        <w:pStyle w:val="232"/>
        <w:keepNext w:val="0"/>
        <w:keepLines w:val="0"/>
        <w:pageBreakBefore w:val="0"/>
        <w:spacing w:line="360" w:lineRule="auto"/>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3.1潜在供应商访问电子招标响应交易平台的网络地址和方法：</w:t>
      </w:r>
    </w:p>
    <w:p w14:paraId="13FAF0B9">
      <w:pPr>
        <w:pStyle w:val="232"/>
        <w:keepNext w:val="0"/>
        <w:keepLines w:val="0"/>
        <w:pageBreakBefore w:val="0"/>
        <w:spacing w:line="360" w:lineRule="auto"/>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16ECA0DE">
      <w:pPr>
        <w:pStyle w:val="232"/>
        <w:keepNext w:val="0"/>
        <w:keepLines w:val="0"/>
        <w:pageBreakBefore w:val="0"/>
        <w:spacing w:line="360" w:lineRule="auto"/>
        <w:ind w:firstLine="420"/>
        <w:jc w:val="left"/>
        <w:rPr>
          <w:rFonts w:hint="eastAsia" w:ascii="宋体" w:hAnsi="宋体" w:eastAsia="宋体" w:cs="宋体"/>
          <w:color w:val="000000"/>
          <w:sz w:val="21"/>
          <w:highlight w:val="none"/>
        </w:rPr>
      </w:pPr>
      <w:r>
        <w:rPr>
          <w:rFonts w:hint="eastAsia" w:ascii="宋体" w:hAnsi="宋体" w:eastAsia="宋体" w:cs="宋体"/>
          <w:color w:val="000000"/>
          <w:sz w:val="21"/>
          <w:highlight w:val="none"/>
        </w:rPr>
        <w:t>3.2潜在供应商访问“苏采云”系统的网络地址和方法：“苏采云”系统的网址：http://jszfcg.jsczt.cn/。</w:t>
      </w:r>
    </w:p>
    <w:p w14:paraId="7A5BB660">
      <w:pPr>
        <w:pStyle w:val="232"/>
        <w:keepNext w:val="0"/>
        <w:keepLines w:val="0"/>
        <w:pageBreakBefore w:val="0"/>
        <w:spacing w:line="360" w:lineRule="auto"/>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3.3“CA数字证书”的获取：</w:t>
      </w:r>
    </w:p>
    <w:p w14:paraId="6EAD2A3C">
      <w:pPr>
        <w:pStyle w:val="232"/>
        <w:keepNext w:val="0"/>
        <w:keepLines w:val="0"/>
        <w:pageBreakBefore w:val="0"/>
        <w:spacing w:line="360" w:lineRule="auto"/>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3E089DEC">
      <w:pPr>
        <w:pStyle w:val="232"/>
        <w:keepNext w:val="0"/>
        <w:keepLines w:val="0"/>
        <w:pageBreakBefore w:val="0"/>
        <w:spacing w:line="360" w:lineRule="auto"/>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3.4采购文件（后缀名为“.kedt”）、供应商操作手册及政府采购客户端工具可通过“苏采云”系统--已报名项目--报名详情页面内相应链接进行下载。</w:t>
      </w:r>
    </w:p>
    <w:p w14:paraId="0736D79A">
      <w:pPr>
        <w:pStyle w:val="232"/>
        <w:keepNext w:val="0"/>
        <w:keepLines w:val="0"/>
        <w:pageBreakBefore w:val="0"/>
        <w:spacing w:line="360" w:lineRule="auto"/>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3.5招标代理机构（采购代理机构）将数据电文形式的采购文件加载至“苏采云”系统，供潜在供应商下载或者查阅。</w:t>
      </w:r>
    </w:p>
    <w:p w14:paraId="3DEE503B">
      <w:pPr>
        <w:pStyle w:val="232"/>
        <w:keepNext w:val="0"/>
        <w:keepLines w:val="0"/>
        <w:pageBreakBefore w:val="0"/>
        <w:spacing w:line="360" w:lineRule="auto"/>
        <w:ind w:firstLine="420"/>
        <w:rPr>
          <w:rFonts w:hint="eastAsia" w:ascii="宋体" w:hAnsi="宋体" w:eastAsia="宋体" w:cs="宋体"/>
          <w:b/>
          <w:bCs/>
          <w:color w:val="000000"/>
          <w:sz w:val="21"/>
          <w:highlight w:val="none"/>
        </w:rPr>
      </w:pPr>
      <w:r>
        <w:rPr>
          <w:rFonts w:hint="eastAsia" w:ascii="宋体" w:hAnsi="宋体" w:eastAsia="宋体" w:cs="宋体"/>
          <w:color w:val="000000"/>
          <w:sz w:val="21"/>
          <w:highlight w:val="none"/>
        </w:rPr>
        <w:t>3.6请潜在投标单位提前安装相应的控件（详见《江苏省政府采购管理交易系统（苏采云）供应商操作手册》）并使用谷歌浏览器登录“苏采云”系统参与不见面开评标。</w:t>
      </w:r>
    </w:p>
    <w:p w14:paraId="6F84D739">
      <w:pPr>
        <w:keepNext w:val="0"/>
        <w:keepLines w:val="0"/>
        <w:pageBreakBefore w:val="0"/>
        <w:spacing w:line="360" w:lineRule="auto"/>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四、</w:t>
      </w:r>
      <w:bookmarkEnd w:id="40"/>
      <w:bookmarkEnd w:id="41"/>
      <w:r>
        <w:rPr>
          <w:rFonts w:hint="eastAsia" w:ascii="宋体" w:hAnsi="宋体" w:cs="宋体"/>
          <w:b/>
          <w:bCs/>
          <w:color w:val="000000"/>
          <w:szCs w:val="21"/>
          <w:highlight w:val="none"/>
          <w:lang w:val="en-US" w:eastAsia="zh-CN"/>
        </w:rPr>
        <w:t>响应</w:t>
      </w:r>
      <w:r>
        <w:rPr>
          <w:rFonts w:hint="eastAsia" w:ascii="宋体" w:hAnsi="宋体" w:eastAsia="宋体" w:cs="宋体"/>
          <w:b/>
          <w:bCs/>
          <w:color w:val="000000"/>
          <w:szCs w:val="21"/>
          <w:highlight w:val="none"/>
        </w:rPr>
        <w:t>截止时间、开标时间和地点</w:t>
      </w:r>
      <w:bookmarkEnd w:id="42"/>
      <w:bookmarkEnd w:id="43"/>
    </w:p>
    <w:p w14:paraId="5188C50B">
      <w:pPr>
        <w:pStyle w:val="232"/>
        <w:keepNext w:val="0"/>
        <w:keepLines w:val="0"/>
        <w:pageBreakBefore w:val="0"/>
        <w:spacing w:line="360" w:lineRule="auto"/>
        <w:ind w:firstLine="420"/>
        <w:rPr>
          <w:rFonts w:hint="eastAsia" w:ascii="宋体" w:hAnsi="宋体" w:eastAsia="宋体" w:cs="宋体"/>
          <w:color w:val="000000"/>
          <w:sz w:val="21"/>
          <w:highlight w:val="none"/>
        </w:rPr>
        <w:sectPr>
          <w:footerReference r:id="rId10" w:type="first"/>
          <w:footerReference r:id="rId9" w:type="default"/>
          <w:pgSz w:w="11906" w:h="16838"/>
          <w:pgMar w:top="1020" w:right="907" w:bottom="1020" w:left="1020" w:header="737" w:footer="992" w:gutter="0"/>
          <w:cols w:space="1701" w:num="1"/>
          <w:titlePg/>
          <w:docGrid w:linePitch="360" w:charSpace="0"/>
        </w:sectPr>
      </w:pPr>
    </w:p>
    <w:p w14:paraId="5B58F3A3">
      <w:pPr>
        <w:pStyle w:val="232"/>
        <w:keepNext w:val="0"/>
        <w:keepLines w:val="0"/>
        <w:pageBreakBefore w:val="0"/>
        <w:spacing w:line="360" w:lineRule="auto"/>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1.</w:t>
      </w:r>
      <w:r>
        <w:rPr>
          <w:rFonts w:hint="eastAsia" w:ascii="宋体" w:hAnsi="宋体" w:cs="宋体"/>
          <w:color w:val="000000"/>
          <w:sz w:val="21"/>
          <w:highlight w:val="none"/>
          <w:lang w:val="en-US" w:eastAsia="zh-CN"/>
        </w:rPr>
        <w:t>响应</w:t>
      </w:r>
      <w:r>
        <w:rPr>
          <w:rFonts w:hint="eastAsia" w:ascii="宋体" w:hAnsi="宋体" w:eastAsia="宋体" w:cs="宋体"/>
          <w:color w:val="000000"/>
          <w:sz w:val="21"/>
          <w:highlight w:val="none"/>
        </w:rPr>
        <w:t>截止时间：</w:t>
      </w:r>
      <w:r>
        <w:rPr>
          <w:rFonts w:hint="eastAsia" w:ascii="宋体" w:hAnsi="宋体" w:cs="宋体"/>
          <w:color w:val="000000"/>
          <w:sz w:val="21"/>
          <w:highlight w:val="none"/>
          <w:lang w:eastAsia="zh-CN"/>
        </w:rPr>
        <w:t>2026年5月</w:t>
      </w:r>
      <w:r>
        <w:rPr>
          <w:rFonts w:hint="eastAsia" w:ascii="宋体" w:hAnsi="宋体" w:cs="宋体"/>
          <w:color w:val="000000"/>
          <w:sz w:val="21"/>
          <w:highlight w:val="none"/>
          <w:lang w:val="en-US" w:eastAsia="zh-CN"/>
        </w:rPr>
        <w:t>25</w:t>
      </w:r>
      <w:r>
        <w:rPr>
          <w:rFonts w:hint="eastAsia" w:ascii="宋体" w:hAnsi="宋体" w:cs="宋体"/>
          <w:color w:val="000000"/>
          <w:sz w:val="21"/>
          <w:highlight w:val="none"/>
          <w:lang w:eastAsia="zh-CN"/>
        </w:rPr>
        <w:t>日</w:t>
      </w:r>
      <w:r>
        <w:rPr>
          <w:rFonts w:hint="eastAsia" w:ascii="宋体" w:hAnsi="宋体" w:cs="宋体"/>
          <w:color w:val="000000"/>
          <w:sz w:val="21"/>
          <w:highlight w:val="none"/>
          <w:lang w:val="en-US" w:eastAsia="zh-CN"/>
        </w:rPr>
        <w:t>14</w:t>
      </w:r>
      <w:r>
        <w:rPr>
          <w:rFonts w:hint="eastAsia" w:ascii="宋体" w:hAnsi="宋体" w:eastAsia="宋体" w:cs="宋体"/>
          <w:color w:val="000000"/>
          <w:sz w:val="21"/>
          <w:highlight w:val="none"/>
        </w:rPr>
        <w:t>:</w:t>
      </w:r>
      <w:r>
        <w:rPr>
          <w:rFonts w:hint="eastAsia" w:ascii="宋体" w:hAnsi="宋体" w:cs="宋体"/>
          <w:color w:val="000000"/>
          <w:sz w:val="21"/>
          <w:highlight w:val="none"/>
          <w:lang w:val="en-US" w:eastAsia="zh-CN"/>
        </w:rPr>
        <w:t>3</w:t>
      </w:r>
      <w:r>
        <w:rPr>
          <w:rFonts w:hint="eastAsia" w:ascii="宋体" w:hAnsi="宋体" w:eastAsia="宋体" w:cs="宋体"/>
          <w:color w:val="000000"/>
          <w:sz w:val="21"/>
          <w:highlight w:val="none"/>
          <w:lang w:val="en-US" w:eastAsia="zh-CN"/>
        </w:rPr>
        <w:t>0</w:t>
      </w:r>
      <w:r>
        <w:rPr>
          <w:rFonts w:hint="eastAsia" w:ascii="宋体" w:hAnsi="宋体" w:eastAsia="宋体" w:cs="宋体"/>
          <w:color w:val="000000"/>
          <w:sz w:val="21"/>
          <w:highlight w:val="none"/>
        </w:rPr>
        <w:t>（北京时间）</w:t>
      </w:r>
    </w:p>
    <w:p w14:paraId="2A521C67">
      <w:pPr>
        <w:pStyle w:val="232"/>
        <w:keepNext w:val="0"/>
        <w:keepLines w:val="0"/>
        <w:pageBreakBefore w:val="0"/>
        <w:spacing w:line="360" w:lineRule="auto"/>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2.开标时间：</w:t>
      </w:r>
      <w:r>
        <w:rPr>
          <w:rFonts w:hint="eastAsia" w:ascii="宋体" w:hAnsi="宋体" w:cs="宋体"/>
          <w:color w:val="000000"/>
          <w:sz w:val="21"/>
          <w:highlight w:val="none"/>
          <w:lang w:eastAsia="zh-CN"/>
        </w:rPr>
        <w:t>2026年5月</w:t>
      </w:r>
      <w:r>
        <w:rPr>
          <w:rFonts w:hint="eastAsia" w:ascii="宋体" w:hAnsi="宋体" w:cs="宋体"/>
          <w:color w:val="000000"/>
          <w:sz w:val="21"/>
          <w:highlight w:val="none"/>
          <w:lang w:val="en-US" w:eastAsia="zh-CN"/>
        </w:rPr>
        <w:t>25</w:t>
      </w:r>
      <w:r>
        <w:rPr>
          <w:rFonts w:hint="eastAsia" w:ascii="宋体" w:hAnsi="宋体" w:cs="宋体"/>
          <w:color w:val="000000"/>
          <w:sz w:val="21"/>
          <w:highlight w:val="none"/>
          <w:lang w:eastAsia="zh-CN"/>
        </w:rPr>
        <w:t>日</w:t>
      </w:r>
      <w:r>
        <w:rPr>
          <w:rFonts w:hint="eastAsia" w:ascii="宋体" w:hAnsi="宋体" w:cs="宋体"/>
          <w:color w:val="000000"/>
          <w:sz w:val="21"/>
          <w:highlight w:val="none"/>
          <w:lang w:val="en-US" w:eastAsia="zh-CN"/>
        </w:rPr>
        <w:t>14</w:t>
      </w:r>
      <w:r>
        <w:rPr>
          <w:rFonts w:hint="eastAsia" w:ascii="宋体" w:hAnsi="宋体" w:eastAsia="宋体" w:cs="宋体"/>
          <w:color w:val="000000"/>
          <w:sz w:val="21"/>
          <w:highlight w:val="none"/>
        </w:rPr>
        <w:t>:</w:t>
      </w:r>
      <w:r>
        <w:rPr>
          <w:rFonts w:hint="eastAsia" w:ascii="宋体" w:hAnsi="宋体" w:cs="宋体"/>
          <w:color w:val="000000"/>
          <w:sz w:val="21"/>
          <w:highlight w:val="none"/>
          <w:lang w:val="en-US" w:eastAsia="zh-CN"/>
        </w:rPr>
        <w:t>3</w:t>
      </w:r>
      <w:r>
        <w:rPr>
          <w:rFonts w:hint="eastAsia" w:ascii="宋体" w:hAnsi="宋体" w:eastAsia="宋体" w:cs="宋体"/>
          <w:color w:val="000000"/>
          <w:sz w:val="21"/>
          <w:highlight w:val="none"/>
          <w:lang w:val="en-US" w:eastAsia="zh-CN"/>
        </w:rPr>
        <w:t>0</w:t>
      </w:r>
      <w:r>
        <w:rPr>
          <w:rFonts w:hint="eastAsia" w:ascii="宋体" w:hAnsi="宋体" w:eastAsia="宋体" w:cs="宋体"/>
          <w:color w:val="000000"/>
          <w:sz w:val="21"/>
          <w:highlight w:val="none"/>
        </w:rPr>
        <w:t xml:space="preserve">（北京时间） </w:t>
      </w:r>
    </w:p>
    <w:p w14:paraId="1BB8E5D9">
      <w:pPr>
        <w:pStyle w:val="232"/>
        <w:keepNext w:val="0"/>
        <w:keepLines w:val="0"/>
        <w:pageBreakBefore w:val="0"/>
        <w:spacing w:line="360" w:lineRule="auto"/>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3.开标地点：“苏采云”系统（网址： http://jszfcg.jsczt.cn/）“开标大厅”，点击“苏采云”进入系统“开标大厅”。</w:t>
      </w:r>
    </w:p>
    <w:p w14:paraId="39238DC0">
      <w:pPr>
        <w:keepNext w:val="0"/>
        <w:keepLines w:val="0"/>
        <w:pageBreakBefore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注：各供应商请关注开标大厅交流区，在开标结束后，请勿离开开标大厅。</w:t>
      </w:r>
    </w:p>
    <w:p w14:paraId="3ABE2B5B">
      <w:pPr>
        <w:keepNext w:val="0"/>
        <w:keepLines w:val="0"/>
        <w:pageBreakBefore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投标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7C15D696">
      <w:pPr>
        <w:keepNext w:val="0"/>
        <w:keepLines w:val="0"/>
        <w:pageBreakBefore w:val="0"/>
        <w:spacing w:line="360" w:lineRule="auto"/>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五、公告期限</w:t>
      </w:r>
    </w:p>
    <w:p w14:paraId="61C18A95">
      <w:pPr>
        <w:keepNext w:val="0"/>
        <w:keepLines w:val="0"/>
        <w:pageBreakBefore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自本公告发布之日起</w:t>
      </w:r>
      <w:r>
        <w:rPr>
          <w:rFonts w:hint="eastAsia" w:ascii="宋体" w:hAnsi="宋体" w:eastAsia="宋体" w:cs="宋体"/>
          <w:color w:val="000000"/>
          <w:szCs w:val="21"/>
          <w:highlight w:val="none"/>
          <w:lang w:val="en-US" w:eastAsia="zh-CN"/>
        </w:rPr>
        <w:t>3</w:t>
      </w:r>
      <w:r>
        <w:rPr>
          <w:rFonts w:hint="eastAsia" w:ascii="宋体" w:hAnsi="宋体" w:eastAsia="宋体" w:cs="宋体"/>
          <w:color w:val="000000"/>
          <w:szCs w:val="21"/>
          <w:highlight w:val="none"/>
        </w:rPr>
        <w:t>个工作日。</w:t>
      </w:r>
    </w:p>
    <w:p w14:paraId="18F75560">
      <w:pPr>
        <w:keepNext w:val="0"/>
        <w:keepLines w:val="0"/>
        <w:pageBreakBefore w:val="0"/>
        <w:numPr>
          <w:ilvl w:val="0"/>
          <w:numId w:val="6"/>
        </w:numPr>
        <w:spacing w:line="360" w:lineRule="auto"/>
        <w:ind w:firstLine="422"/>
        <w:rPr>
          <w:rFonts w:hint="eastAsia" w:ascii="宋体" w:hAnsi="宋体" w:eastAsia="宋体" w:cs="宋体"/>
          <w:b/>
          <w:bCs/>
          <w:color w:val="000000"/>
          <w:szCs w:val="21"/>
          <w:highlight w:val="none"/>
        </w:rPr>
      </w:pPr>
      <w:bookmarkStart w:id="44" w:name="_Toc35393795"/>
      <w:bookmarkStart w:id="45" w:name="_Toc35393626"/>
      <w:r>
        <w:rPr>
          <w:rFonts w:hint="eastAsia" w:ascii="宋体" w:hAnsi="宋体" w:eastAsia="宋体" w:cs="宋体"/>
          <w:b/>
          <w:bCs/>
          <w:color w:val="000000"/>
          <w:szCs w:val="21"/>
          <w:highlight w:val="none"/>
        </w:rPr>
        <w:t>其他补充事宜</w:t>
      </w:r>
      <w:bookmarkEnd w:id="44"/>
      <w:bookmarkEnd w:id="45"/>
    </w:p>
    <w:p w14:paraId="42EA5427">
      <w:pPr>
        <w:pStyle w:val="231"/>
        <w:keepNext w:val="0"/>
        <w:keepLines w:val="0"/>
        <w:pageBreakBefore w:val="0"/>
        <w:spacing w:line="360" w:lineRule="auto"/>
        <w:ind w:firstLine="420"/>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1.本项目公告媒体：江苏政府采购网（http://www.ccgp-jiangsu.gov.cn/）</w:t>
      </w:r>
    </w:p>
    <w:p w14:paraId="0C28BFD6">
      <w:pPr>
        <w:pStyle w:val="231"/>
        <w:keepNext w:val="0"/>
        <w:keepLines w:val="0"/>
        <w:pageBreakBefore w:val="0"/>
        <w:spacing w:line="360" w:lineRule="auto"/>
        <w:ind w:firstLine="420"/>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2A252C52">
      <w:pPr>
        <w:pStyle w:val="231"/>
        <w:keepNext w:val="0"/>
        <w:keepLines w:val="0"/>
        <w:pageBreakBefore w:val="0"/>
        <w:spacing w:line="360" w:lineRule="auto"/>
        <w:ind w:firstLine="420"/>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http://www.ccgp-jiangsu.gov.cn/jiangsu/zlxz/ee/ee3a4bc5a3454aa2b0d9312230633ce9.html。</w:t>
      </w:r>
    </w:p>
    <w:p w14:paraId="24BB9CBD">
      <w:pPr>
        <w:pStyle w:val="231"/>
        <w:keepNext w:val="0"/>
        <w:keepLines w:val="0"/>
        <w:pageBreakBefore w:val="0"/>
        <w:spacing w:line="360" w:lineRule="auto"/>
        <w:ind w:firstLine="420"/>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p>
    <w:p w14:paraId="55EBEE96">
      <w:pPr>
        <w:keepNext w:val="0"/>
        <w:keepLines w:val="0"/>
        <w:pageBreakBefore w:val="0"/>
        <w:spacing w:line="360" w:lineRule="auto"/>
        <w:ind w:firstLine="420"/>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3.本项目执行《政府采购促进中小企业发展管理办法</w:t>
      </w:r>
      <w:r>
        <w:rPr>
          <w:rFonts w:hint="eastAsia" w:ascii="宋体" w:hAnsi="宋体" w:cs="宋体"/>
          <w:color w:val="000000"/>
          <w:szCs w:val="21"/>
          <w:highlight w:val="none"/>
          <w:lang w:eastAsia="zh-CN"/>
        </w:rPr>
        <w:t>》《</w:t>
      </w:r>
      <w:r>
        <w:rPr>
          <w:rFonts w:hint="eastAsia" w:ascii="宋体" w:hAnsi="宋体" w:eastAsia="宋体" w:cs="宋体"/>
          <w:color w:val="000000"/>
          <w:szCs w:val="21"/>
          <w:highlight w:val="none"/>
        </w:rPr>
        <w:t>关于政府采购支持监狱企业发展有关问题的通知</w:t>
      </w:r>
      <w:r>
        <w:rPr>
          <w:rFonts w:hint="eastAsia" w:ascii="宋体" w:hAnsi="宋体" w:cs="宋体"/>
          <w:color w:val="000000"/>
          <w:szCs w:val="21"/>
          <w:highlight w:val="none"/>
          <w:lang w:eastAsia="zh-CN"/>
        </w:rPr>
        <w:t>》《</w:t>
      </w:r>
      <w:r>
        <w:rPr>
          <w:rFonts w:hint="eastAsia" w:ascii="宋体" w:hAnsi="宋体" w:eastAsia="宋体" w:cs="宋体"/>
          <w:color w:val="000000"/>
          <w:szCs w:val="21"/>
          <w:highlight w:val="none"/>
        </w:rPr>
        <w:t>关于促进残疾人就业政府采购政策的通知</w:t>
      </w:r>
      <w:r>
        <w:rPr>
          <w:rFonts w:hint="eastAsia" w:ascii="宋体" w:hAnsi="宋体" w:cs="宋体"/>
          <w:color w:val="000000"/>
          <w:szCs w:val="21"/>
          <w:highlight w:val="none"/>
          <w:lang w:eastAsia="zh-CN"/>
        </w:rPr>
        <w:t>》《</w:t>
      </w:r>
      <w:r>
        <w:rPr>
          <w:rFonts w:hint="eastAsia" w:ascii="宋体" w:hAnsi="宋体" w:eastAsia="宋体" w:cs="宋体"/>
          <w:color w:val="000000"/>
          <w:szCs w:val="21"/>
          <w:highlight w:val="none"/>
        </w:rPr>
        <w:t>节能产品政府采购实施意见</w:t>
      </w:r>
      <w:r>
        <w:rPr>
          <w:rFonts w:hint="eastAsia" w:ascii="宋体" w:hAnsi="宋体" w:cs="宋体"/>
          <w:color w:val="000000"/>
          <w:szCs w:val="21"/>
          <w:highlight w:val="none"/>
          <w:lang w:eastAsia="zh-CN"/>
        </w:rPr>
        <w:t>》《</w:t>
      </w:r>
      <w:r>
        <w:rPr>
          <w:rFonts w:hint="eastAsia" w:ascii="宋体" w:hAnsi="宋体" w:eastAsia="宋体" w:cs="宋体"/>
          <w:color w:val="000000"/>
          <w:szCs w:val="21"/>
          <w:highlight w:val="none"/>
        </w:rPr>
        <w:t>关于环境标志产品政府采购实施的意见》等政府采购文件</w:t>
      </w:r>
      <w:r>
        <w:rPr>
          <w:rFonts w:hint="eastAsia" w:ascii="宋体" w:hAnsi="宋体" w:cs="宋体"/>
          <w:color w:val="000000"/>
          <w:szCs w:val="21"/>
          <w:highlight w:val="none"/>
          <w:lang w:eastAsia="zh-CN"/>
        </w:rPr>
        <w:t>。</w:t>
      </w:r>
    </w:p>
    <w:p w14:paraId="0BB03A60">
      <w:pPr>
        <w:keepNext w:val="0"/>
        <w:keepLines w:val="0"/>
        <w:pageBreakBefore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4.有关本次招标的事项若存在变动或修改，敬请及时关注在“江苏政府采购网”发布的更正公告。</w:t>
      </w:r>
    </w:p>
    <w:p w14:paraId="000539EE">
      <w:pPr>
        <w:keepNext w:val="0"/>
        <w:keepLines w:val="0"/>
        <w:pageBreakBefore w:val="0"/>
        <w:spacing w:line="360" w:lineRule="auto"/>
        <w:ind w:firstLine="420"/>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5.1、政府采购支持政策:</w:t>
      </w:r>
    </w:p>
    <w:p w14:paraId="79922BD6">
      <w:pPr>
        <w:keepNext w:val="0"/>
        <w:keepLines w:val="0"/>
        <w:pageBreakBefore w:val="0"/>
        <w:spacing w:line="360" w:lineRule="auto"/>
        <w:ind w:firstLine="420"/>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（一）《政府采购促进中小企业发展管理办法》</w:t>
      </w:r>
    </w:p>
    <w:p w14:paraId="0D3A7A10">
      <w:pPr>
        <w:keepNext w:val="0"/>
        <w:keepLines w:val="0"/>
        <w:pageBreakBefore w:val="0"/>
        <w:spacing w:line="360" w:lineRule="auto"/>
        <w:ind w:firstLine="420"/>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（二）《关于政府采购支持监狱企业发展有关问题的通知》</w:t>
      </w:r>
    </w:p>
    <w:p w14:paraId="2A845AF5">
      <w:pPr>
        <w:keepNext w:val="0"/>
        <w:keepLines w:val="0"/>
        <w:pageBreakBefore w:val="0"/>
        <w:spacing w:line="360" w:lineRule="auto"/>
        <w:ind w:firstLine="420"/>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（三）《关于促进残疾人就业政府采购政策的通知》</w:t>
      </w:r>
    </w:p>
    <w:p w14:paraId="1AE2738A">
      <w:pPr>
        <w:keepNext w:val="0"/>
        <w:keepLines w:val="0"/>
        <w:pageBreakBefore w:val="0"/>
        <w:spacing w:line="360" w:lineRule="auto"/>
        <w:ind w:firstLine="420"/>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（四）《关于调整优化节能产品、环境标志产品政府采购执行机制的通知》</w:t>
      </w:r>
    </w:p>
    <w:p w14:paraId="22650D9D">
      <w:pPr>
        <w:keepNext w:val="0"/>
        <w:keepLines w:val="0"/>
        <w:pageBreakBefore w:val="0"/>
        <w:spacing w:line="360" w:lineRule="auto"/>
        <w:ind w:firstLine="420"/>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（五）《关于做好政府采购支持企业发展有关事项的通知》</w:t>
      </w:r>
    </w:p>
    <w:p w14:paraId="7F81A4EF">
      <w:pPr>
        <w:keepNext w:val="0"/>
        <w:keepLines w:val="0"/>
        <w:pageBreakBefore w:val="0"/>
        <w:spacing w:line="360" w:lineRule="auto"/>
        <w:ind w:firstLine="420"/>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（六）《国务院办公厅关于在政府采购中实施本国产品标准及相关政策的通知》</w:t>
      </w:r>
    </w:p>
    <w:p w14:paraId="1E66A457">
      <w:pPr>
        <w:keepNext w:val="0"/>
        <w:keepLines w:val="0"/>
        <w:pageBreakBefore w:val="0"/>
        <w:spacing w:line="360" w:lineRule="auto"/>
        <w:ind w:firstLine="420"/>
        <w:rPr>
          <w:highlight w:val="none"/>
        </w:rPr>
      </w:pPr>
      <w:r>
        <w:rPr>
          <w:rFonts w:hint="eastAsia" w:ascii="宋体" w:hAnsi="宋体" w:cs="宋体"/>
          <w:color w:val="000000"/>
          <w:szCs w:val="21"/>
          <w:highlight w:val="none"/>
          <w:lang w:val="en-US" w:eastAsia="zh-CN"/>
        </w:rPr>
        <w:t>七） 关于贯彻落实《国务院办公厅关于在政府采购中实施本国产品标准及相关政策的通知》的意见</w:t>
      </w:r>
    </w:p>
    <w:p w14:paraId="7003A069">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6.1潜在供应商访问电子招标响应交易平台的网络地址和方法：</w:t>
      </w:r>
    </w:p>
    <w:p w14:paraId="13FAE648">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04AC0257">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6.2潜在供应商访问“苏采云”系统的网络地址和方法：“苏采云”系统的网址：http://jszfcg.jsczt.cn/。</w:t>
      </w:r>
    </w:p>
    <w:p w14:paraId="310DDDF9">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6.3“CA数字证书”的获取：</w:t>
      </w:r>
    </w:p>
    <w:p w14:paraId="31BD967B">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07E8CE25">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6.4采购文件（后缀名为“.kedt”）、供应商操作手册及政府采购客户端工具可通过“苏采云”系统--已报名项目--报名详情页面内相应链接进行下载。</w:t>
      </w:r>
    </w:p>
    <w:p w14:paraId="32F20E25">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6.5招标代理机构（采购代理机构）将数据电文形式的采购文件加载至“苏采云”系统，供潜在供应商下载或者查阅。</w:t>
      </w:r>
    </w:p>
    <w:p w14:paraId="2800F93C">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6.6请潜在投标单位提前安装相应的控件（详见《江苏省政府采购管理交易系统（苏采云）供应商操作手册》）并使用谷歌浏览器登录“苏采云”系统参与不见面开评标。</w:t>
      </w:r>
    </w:p>
    <w:p w14:paraId="3B66E42B">
      <w:pPr>
        <w:keepNext w:val="0"/>
        <w:keepLines w:val="0"/>
        <w:pageBreakBefore w:val="0"/>
        <w:spacing w:line="360" w:lineRule="auto"/>
        <w:ind w:firstLine="420"/>
        <w:rPr>
          <w:rFonts w:ascii="宋体" w:hAnsi="宋体" w:eastAsia="宋体" w:cs="宋体"/>
          <w:color w:val="000000"/>
          <w:highlight w:val="none"/>
          <w:lang w:val="en-US" w:eastAsia="zh-CN"/>
        </w:rPr>
      </w:pPr>
      <w:r>
        <w:rPr>
          <w:rFonts w:ascii="宋体" w:hAnsi="宋体" w:eastAsia="宋体" w:cs="宋体"/>
          <w:color w:val="000000"/>
          <w:sz w:val="21"/>
        </w:rPr>
        <w:t>7、投标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73DB2AFE">
      <w:pPr>
        <w:keepNext w:val="0"/>
        <w:keepLines w:val="0"/>
        <w:pageBreakBefore w:val="0"/>
        <w:spacing w:line="360" w:lineRule="auto"/>
        <w:ind w:firstLine="420"/>
        <w:rPr>
          <w:rFonts w:ascii="宋体" w:hAnsi="宋体" w:eastAsia="宋体" w:cs="宋体"/>
          <w:color w:val="000000"/>
          <w:highlight w:val="none"/>
          <w:lang w:val="en-US" w:eastAsia="zh-CN"/>
        </w:rPr>
      </w:pPr>
    </w:p>
    <w:p w14:paraId="4A758A59">
      <w:pPr>
        <w:keepNext w:val="0"/>
        <w:keepLines w:val="0"/>
        <w:pageBreakBefore w:val="0"/>
        <w:spacing w:line="360" w:lineRule="auto"/>
        <w:ind w:firstLine="422"/>
        <w:rPr>
          <w:rFonts w:hint="eastAsia" w:ascii="宋体" w:hAnsi="宋体" w:eastAsia="宋体" w:cs="宋体"/>
          <w:b/>
          <w:bCs/>
          <w:color w:val="000000"/>
          <w:szCs w:val="21"/>
          <w:highlight w:val="none"/>
        </w:rPr>
      </w:pPr>
      <w:bookmarkStart w:id="46" w:name="_Toc35393796"/>
      <w:bookmarkStart w:id="47" w:name="_Toc35393627"/>
      <w:bookmarkStart w:id="48" w:name="_Toc28359085"/>
      <w:bookmarkStart w:id="49" w:name="_Toc28359008"/>
      <w:r>
        <w:rPr>
          <w:rFonts w:hint="eastAsia" w:ascii="宋体" w:hAnsi="宋体" w:eastAsia="宋体" w:cs="宋体"/>
          <w:b/>
          <w:bCs/>
          <w:color w:val="000000"/>
          <w:szCs w:val="21"/>
          <w:highlight w:val="none"/>
        </w:rPr>
        <w:t>七、对本次招标提出询问，请按以下方式联系</w:t>
      </w:r>
      <w:bookmarkEnd w:id="46"/>
      <w:bookmarkEnd w:id="47"/>
      <w:bookmarkEnd w:id="48"/>
      <w:bookmarkEnd w:id="49"/>
    </w:p>
    <w:p w14:paraId="67524505">
      <w:pPr>
        <w:keepNext w:val="0"/>
        <w:keepLines w:val="0"/>
        <w:pageBreakBefore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1.采购人信息</w:t>
      </w:r>
    </w:p>
    <w:p w14:paraId="26FF5B45">
      <w:pPr>
        <w:keepNext w:val="0"/>
        <w:keepLines w:val="0"/>
        <w:pageBreakBefore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名    称：</w:t>
      </w:r>
      <w:r>
        <w:rPr>
          <w:rFonts w:hint="eastAsia" w:ascii="宋体" w:hAnsi="宋体" w:cs="宋体"/>
          <w:color w:val="000000"/>
          <w:szCs w:val="21"/>
          <w:highlight w:val="none"/>
          <w:lang w:eastAsia="zh-CN"/>
        </w:rPr>
        <w:t>江苏省司法厅</w:t>
      </w:r>
    </w:p>
    <w:p w14:paraId="0FF97BE5">
      <w:pPr>
        <w:keepNext w:val="0"/>
        <w:keepLines w:val="0"/>
        <w:pageBreakBefore w:val="0"/>
        <w:spacing w:line="360" w:lineRule="auto"/>
        <w:ind w:firstLine="420"/>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地    址：</w:t>
      </w:r>
      <w:r>
        <w:rPr>
          <w:rFonts w:hint="eastAsia" w:ascii="宋体" w:hAnsi="宋体" w:cs="宋体"/>
          <w:color w:val="000000"/>
          <w:szCs w:val="21"/>
          <w:highlight w:val="none"/>
          <w:lang w:eastAsia="zh-CN"/>
        </w:rPr>
        <w:t>南京市鼓楼区北京西路28号</w:t>
      </w:r>
    </w:p>
    <w:p w14:paraId="6432EB0D">
      <w:pPr>
        <w:keepNext w:val="0"/>
        <w:keepLines w:val="0"/>
        <w:pageBreakBefore w:val="0"/>
        <w:spacing w:line="360" w:lineRule="auto"/>
        <w:ind w:firstLine="420"/>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项目联系人：</w:t>
      </w:r>
      <w:r>
        <w:rPr>
          <w:rFonts w:hint="eastAsia" w:ascii="宋体" w:hAnsi="宋体" w:cs="宋体"/>
          <w:color w:val="000000"/>
          <w:szCs w:val="21"/>
          <w:highlight w:val="none"/>
          <w:lang w:eastAsia="zh-CN"/>
        </w:rPr>
        <w:t>陆主任</w:t>
      </w:r>
    </w:p>
    <w:p w14:paraId="1068DDA9">
      <w:pPr>
        <w:keepNext w:val="0"/>
        <w:keepLines w:val="0"/>
        <w:pageBreakBefore w:val="0"/>
        <w:spacing w:line="360" w:lineRule="auto"/>
        <w:ind w:firstLine="420"/>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电    话：</w:t>
      </w:r>
      <w:r>
        <w:rPr>
          <w:rFonts w:hint="eastAsia" w:ascii="宋体" w:hAnsi="宋体" w:cs="宋体"/>
          <w:color w:val="000000"/>
          <w:szCs w:val="21"/>
          <w:highlight w:val="none"/>
          <w:lang w:eastAsia="zh-CN"/>
        </w:rPr>
        <w:t>025-83591231</w:t>
      </w:r>
    </w:p>
    <w:p w14:paraId="626E9399">
      <w:pPr>
        <w:keepNext w:val="0"/>
        <w:keepLines w:val="0"/>
        <w:pageBreakBefore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2.采购代理机构信息</w:t>
      </w:r>
    </w:p>
    <w:p w14:paraId="796050B8">
      <w:pPr>
        <w:keepNext w:val="0"/>
        <w:keepLines w:val="0"/>
        <w:pageBreakBefore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名    称：</w:t>
      </w:r>
      <w:r>
        <w:rPr>
          <w:rFonts w:hint="eastAsia" w:ascii="宋体" w:hAnsi="宋体" w:cs="宋体"/>
          <w:color w:val="000000"/>
          <w:szCs w:val="21"/>
          <w:highlight w:val="none"/>
          <w:lang w:eastAsia="zh-CN"/>
        </w:rPr>
        <w:t>江苏省招标中心有限公司</w:t>
      </w:r>
      <w:r>
        <w:rPr>
          <w:rFonts w:hint="eastAsia" w:ascii="宋体" w:hAnsi="宋体" w:eastAsia="宋体" w:cs="宋体"/>
          <w:color w:val="000000"/>
          <w:szCs w:val="21"/>
          <w:highlight w:val="none"/>
        </w:rPr>
        <w:t xml:space="preserve">            </w:t>
      </w:r>
    </w:p>
    <w:p w14:paraId="2B0624FD">
      <w:pPr>
        <w:keepNext w:val="0"/>
        <w:keepLines w:val="0"/>
        <w:pageBreakBefore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地　　址：</w:t>
      </w:r>
      <w:r>
        <w:rPr>
          <w:rFonts w:hint="eastAsia" w:ascii="宋体" w:hAnsi="宋体" w:cs="宋体"/>
          <w:color w:val="000000"/>
          <w:szCs w:val="21"/>
          <w:highlight w:val="none"/>
          <w:lang w:eastAsia="zh-CN"/>
        </w:rPr>
        <w:t>江苏省鼓楼区郑和中路118号D座16楼</w:t>
      </w:r>
      <w:r>
        <w:rPr>
          <w:rFonts w:hint="eastAsia" w:ascii="宋体" w:hAnsi="宋体" w:eastAsia="宋体" w:cs="宋体"/>
          <w:color w:val="000000"/>
          <w:szCs w:val="21"/>
          <w:highlight w:val="none"/>
        </w:rPr>
        <w:t xml:space="preserve"> </w:t>
      </w:r>
    </w:p>
    <w:p w14:paraId="1EF9253A">
      <w:pPr>
        <w:keepNext w:val="0"/>
        <w:keepLines w:val="0"/>
        <w:pageBreakBefore w:val="0"/>
        <w:spacing w:line="360" w:lineRule="auto"/>
        <w:ind w:firstLine="420"/>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联系方式：</w:t>
      </w:r>
      <w:r>
        <w:rPr>
          <w:rFonts w:hint="eastAsia" w:ascii="宋体" w:hAnsi="宋体" w:cs="宋体"/>
          <w:color w:val="000000"/>
          <w:sz w:val="21"/>
          <w:szCs w:val="21"/>
          <w:highlight w:val="none"/>
          <w:lang w:eastAsia="zh-CN"/>
        </w:rPr>
        <w:t>15252912937、18912559956、17626046040</w:t>
      </w:r>
    </w:p>
    <w:p w14:paraId="459D7C60">
      <w:pPr>
        <w:keepNext w:val="0"/>
        <w:keepLines w:val="0"/>
        <w:pageBreakBefore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3.项目联系方式</w:t>
      </w:r>
    </w:p>
    <w:p w14:paraId="0C3B4D3F">
      <w:pPr>
        <w:keepNext w:val="0"/>
        <w:keepLines w:val="0"/>
        <w:pageBreakBefore w:val="0"/>
        <w:spacing w:line="360" w:lineRule="auto"/>
        <w:ind w:firstLine="420"/>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项目联系人：</w:t>
      </w:r>
      <w:r>
        <w:rPr>
          <w:rFonts w:hint="eastAsia" w:ascii="宋体" w:hAnsi="宋体" w:cs="宋体"/>
          <w:color w:val="000000"/>
          <w:sz w:val="21"/>
          <w:szCs w:val="21"/>
          <w:highlight w:val="none"/>
          <w:lang w:val="en-US" w:eastAsia="zh-CN"/>
        </w:rPr>
        <w:t>黄志浩、柏涛、毛哲宇</w:t>
      </w:r>
    </w:p>
    <w:p w14:paraId="3CDA19A1">
      <w:pPr>
        <w:keepNext w:val="0"/>
        <w:keepLines w:val="0"/>
        <w:pageBreakBefore w:val="0"/>
        <w:spacing w:line="360" w:lineRule="auto"/>
        <w:ind w:firstLine="420"/>
        <w:rPr>
          <w:rFonts w:hint="eastAsia" w:ascii="宋体" w:hAnsi="宋体" w:eastAsia="宋体" w:cs="宋体"/>
          <w:b/>
          <w:bCs/>
          <w:color w:val="000000"/>
          <w:szCs w:val="21"/>
          <w:highlight w:val="none"/>
          <w:lang w:eastAsia="zh-CN"/>
        </w:rPr>
        <w:sectPr>
          <w:headerReference r:id="rId11" w:type="default"/>
          <w:footerReference r:id="rId12" w:type="default"/>
          <w:pgSz w:w="11906" w:h="16838"/>
          <w:pgMar w:top="1020" w:right="907" w:bottom="1020" w:left="1020" w:header="737" w:footer="992" w:gutter="0"/>
          <w:cols w:space="1701" w:num="1"/>
          <w:titlePg/>
          <w:docGrid w:linePitch="360" w:charSpace="0"/>
        </w:sectPr>
      </w:pPr>
      <w:r>
        <w:rPr>
          <w:rFonts w:hint="eastAsia" w:ascii="宋体" w:hAnsi="宋体" w:eastAsia="宋体" w:cs="宋体"/>
          <w:color w:val="000000"/>
          <w:szCs w:val="21"/>
          <w:highlight w:val="none"/>
        </w:rPr>
        <w:t>电　　话：</w:t>
      </w:r>
      <w:r>
        <w:rPr>
          <w:rFonts w:hint="eastAsia" w:ascii="宋体" w:hAnsi="宋体" w:cs="宋体"/>
          <w:color w:val="000000"/>
          <w:sz w:val="21"/>
          <w:szCs w:val="21"/>
          <w:highlight w:val="none"/>
          <w:lang w:eastAsia="zh-CN"/>
        </w:rPr>
        <w:t>15252912937、18912559956、17626046040</w:t>
      </w:r>
      <w:r>
        <w:rPr>
          <w:rFonts w:hint="eastAsia" w:ascii="宋体" w:hAnsi="宋体" w:cs="宋体"/>
          <w:color w:val="000000"/>
          <w:szCs w:val="21"/>
          <w:highlight w:val="none"/>
          <w:lang w:eastAsia="zh-CN"/>
        </w:rPr>
        <w:t xml:space="preserve"> </w:t>
      </w:r>
    </w:p>
    <w:bookmarkEnd w:id="34"/>
    <w:bookmarkEnd w:id="35"/>
    <w:bookmarkEnd w:id="36"/>
    <w:bookmarkEnd w:id="37"/>
    <w:p w14:paraId="192C08CC">
      <w:pPr>
        <w:pStyle w:val="228"/>
        <w:pageBreakBefore/>
        <w:spacing w:line="360" w:lineRule="auto"/>
        <w:rPr>
          <w:rFonts w:hint="eastAsia" w:ascii="仿宋" w:hAnsi="仿宋" w:eastAsia="仿宋" w:cs="仿宋"/>
          <w:color w:val="000000"/>
          <w:sz w:val="40"/>
          <w:highlight w:val="none"/>
        </w:rPr>
      </w:pPr>
      <w:bookmarkStart w:id="50" w:name="_Toc17864"/>
      <w:bookmarkStart w:id="51" w:name="_Toc18354"/>
      <w:bookmarkStart w:id="52" w:name="_Toc3742"/>
      <w:bookmarkStart w:id="53" w:name="_Toc3756"/>
      <w:bookmarkStart w:id="54" w:name="_Toc12906"/>
      <w:bookmarkStart w:id="55" w:name="_Toc8087"/>
      <w:bookmarkStart w:id="56" w:name="_Toc18049"/>
      <w:bookmarkStart w:id="57" w:name="_Toc15218"/>
      <w:bookmarkStart w:id="58" w:name="_Toc25170480"/>
      <w:bookmarkStart w:id="59" w:name="_Toc26106"/>
      <w:bookmarkStart w:id="60" w:name="_Toc14577347"/>
      <w:bookmarkStart w:id="61" w:name="_Toc513029209"/>
      <w:bookmarkStart w:id="62" w:name="_Toc61149549"/>
      <w:bookmarkStart w:id="63" w:name="_Toc324237147"/>
      <w:bookmarkStart w:id="64" w:name="_Toc479757207"/>
      <w:bookmarkStart w:id="65" w:name="_Toc513029242"/>
      <w:bookmarkStart w:id="66" w:name="_Toc16938558"/>
      <w:bookmarkStart w:id="67" w:name="_Toc120614221"/>
      <w:bookmarkStart w:id="68" w:name="_Toc20823314"/>
      <w:r>
        <w:rPr>
          <w:rFonts w:hint="eastAsia" w:ascii="仿宋" w:hAnsi="仿宋" w:eastAsia="仿宋" w:cs="仿宋"/>
          <w:color w:val="000000"/>
          <w:sz w:val="40"/>
          <w:highlight w:val="none"/>
        </w:rPr>
        <w:t>第二章  磋商须知</w:t>
      </w:r>
      <w:bookmarkEnd w:id="50"/>
      <w:bookmarkEnd w:id="51"/>
      <w:bookmarkEnd w:id="52"/>
      <w:bookmarkEnd w:id="53"/>
      <w:bookmarkEnd w:id="54"/>
      <w:bookmarkEnd w:id="55"/>
      <w:bookmarkEnd w:id="56"/>
      <w:bookmarkEnd w:id="57"/>
      <w:bookmarkEnd w:id="58"/>
      <w:bookmarkEnd w:id="59"/>
    </w:p>
    <w:p w14:paraId="5A4CA2F8">
      <w:pPr>
        <w:pStyle w:val="216"/>
        <w:spacing w:before="0" w:after="0"/>
        <w:jc w:val="center"/>
        <w:rPr>
          <w:rFonts w:hint="eastAsia" w:ascii="仿宋" w:hAnsi="仿宋" w:eastAsia="仿宋" w:cs="仿宋"/>
          <w:color w:val="000000"/>
          <w:highlight w:val="none"/>
        </w:rPr>
      </w:pPr>
      <w:bookmarkStart w:id="69" w:name="_Toc15873"/>
      <w:bookmarkStart w:id="70" w:name="_Toc7248"/>
      <w:r>
        <w:rPr>
          <w:rFonts w:hint="eastAsia" w:ascii="仿宋" w:hAnsi="仿宋" w:eastAsia="仿宋" w:cs="仿宋"/>
          <w:color w:val="000000"/>
          <w:highlight w:val="none"/>
        </w:rPr>
        <w:t>（参加竞争性磋商的供应商以下简称“供应商”）</w:t>
      </w:r>
      <w:bookmarkEnd w:id="69"/>
      <w:bookmarkEnd w:id="70"/>
    </w:p>
    <w:p w14:paraId="7591B860">
      <w:pPr>
        <w:spacing w:line="360" w:lineRule="auto"/>
        <w:ind w:firstLine="480"/>
        <w:jc w:val="center"/>
        <w:rPr>
          <w:rFonts w:hint="eastAsia" w:ascii="仿宋" w:hAnsi="仿宋" w:eastAsia="仿宋" w:cs="仿宋"/>
          <w:color w:val="000000"/>
          <w:sz w:val="24"/>
          <w:szCs w:val="24"/>
          <w:highlight w:val="none"/>
        </w:rPr>
      </w:pPr>
    </w:p>
    <w:bookmarkEnd w:id="60"/>
    <w:bookmarkEnd w:id="61"/>
    <w:bookmarkEnd w:id="62"/>
    <w:p w14:paraId="16AE197B">
      <w:pPr>
        <w:pStyle w:val="182"/>
        <w:spacing w:before="0" w:after="160" w:line="360" w:lineRule="auto"/>
        <w:ind w:firstLine="422"/>
        <w:rPr>
          <w:rFonts w:ascii="宋体"/>
          <w:color w:val="000000"/>
          <w:sz w:val="21"/>
          <w:szCs w:val="21"/>
          <w:highlight w:val="none"/>
          <w:lang w:val="zh-CN"/>
        </w:rPr>
      </w:pPr>
      <w:bookmarkStart w:id="71" w:name="_Toc10369"/>
      <w:bookmarkStart w:id="72" w:name="_Toc27638"/>
      <w:bookmarkStart w:id="73" w:name="_Toc13609"/>
      <w:r>
        <w:rPr>
          <w:rFonts w:hint="eastAsia" w:ascii="宋体"/>
          <w:color w:val="000000"/>
          <w:sz w:val="21"/>
          <w:szCs w:val="21"/>
          <w:highlight w:val="none"/>
          <w:lang w:val="zh-CN"/>
        </w:rPr>
        <w:t>一、总    则</w:t>
      </w:r>
      <w:bookmarkEnd w:id="71"/>
      <w:bookmarkEnd w:id="72"/>
      <w:bookmarkEnd w:id="73"/>
    </w:p>
    <w:p w14:paraId="3CB56E26">
      <w:pPr>
        <w:keepNext w:val="0"/>
        <w:keepLines w:val="0"/>
        <w:pageBreakBefore w:val="0"/>
        <w:widowControl w:val="0"/>
        <w:spacing w:line="360" w:lineRule="auto"/>
        <w:ind w:firstLine="42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1、适用法律</w:t>
      </w:r>
    </w:p>
    <w:p w14:paraId="398431B0">
      <w:pPr>
        <w:keepNext w:val="0"/>
        <w:keepLines w:val="0"/>
        <w:pageBreakBefore w:val="0"/>
        <w:widowControl w:val="0"/>
        <w:spacing w:line="360" w:lineRule="auto"/>
        <w:ind w:firstLine="42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1.1</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《中华人民共和国政府采购法》、《中华人民共和国政府采购法实施条例》、</w:t>
      </w:r>
      <w:r>
        <w:rPr>
          <w:rFonts w:hint="eastAsia" w:ascii="宋体" w:hAnsi="宋体" w:eastAsia="宋体" w:cs="宋体"/>
          <w:b w:val="0"/>
          <w:bCs w:val="0"/>
          <w:color w:val="000000"/>
          <w:szCs w:val="21"/>
          <w:highlight w:val="none"/>
          <w:lang w:val="zh-CN"/>
        </w:rPr>
        <w:t>《</w:t>
      </w:r>
      <w:r>
        <w:rPr>
          <w:rFonts w:hint="eastAsia" w:ascii="宋体" w:hAnsi="宋体" w:eastAsia="宋体" w:cs="宋体"/>
          <w:b w:val="0"/>
          <w:bCs w:val="0"/>
          <w:color w:val="000000"/>
          <w:highlight w:val="none"/>
        </w:rPr>
        <w:t>政府采购竞争性磋商采购方式管理暂行办法</w:t>
      </w:r>
      <w:r>
        <w:rPr>
          <w:rFonts w:hint="eastAsia" w:ascii="宋体" w:hAnsi="宋体" w:eastAsia="宋体" w:cs="宋体"/>
          <w:b w:val="0"/>
          <w:bCs w:val="0"/>
          <w:color w:val="000000"/>
          <w:szCs w:val="21"/>
          <w:highlight w:val="none"/>
          <w:lang w:val="zh-CN"/>
        </w:rPr>
        <w:t>》</w:t>
      </w:r>
      <w:r>
        <w:rPr>
          <w:rFonts w:hint="eastAsia" w:ascii="宋体" w:hAnsi="宋体" w:eastAsia="宋体" w:cs="宋体"/>
          <w:color w:val="000000"/>
          <w:szCs w:val="21"/>
          <w:highlight w:val="none"/>
          <w:lang w:val="zh-CN"/>
        </w:rPr>
        <w:t>等有关法律、规章和规定等。</w:t>
      </w:r>
    </w:p>
    <w:p w14:paraId="394FBAF4">
      <w:pPr>
        <w:keepNext w:val="0"/>
        <w:keepLines w:val="0"/>
        <w:pageBreakBefore w:val="0"/>
        <w:widowControl w:val="0"/>
        <w:spacing w:line="360" w:lineRule="auto"/>
        <w:ind w:firstLine="422"/>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2、定义</w:t>
      </w:r>
    </w:p>
    <w:p w14:paraId="049B0552">
      <w:pPr>
        <w:keepNext w:val="0"/>
        <w:keepLines w:val="0"/>
        <w:pageBreakBefore w:val="0"/>
        <w:widowControl w:val="0"/>
        <w:spacing w:line="360" w:lineRule="auto"/>
        <w:ind w:firstLine="42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2.1 “</w:t>
      </w:r>
      <w:r>
        <w:rPr>
          <w:rFonts w:hint="eastAsia" w:ascii="宋体" w:hAnsi="宋体" w:eastAsia="宋体" w:cs="宋体"/>
          <w:b w:val="0"/>
          <w:bCs/>
          <w:color w:val="000000"/>
          <w:szCs w:val="21"/>
          <w:highlight w:val="none"/>
          <w:lang w:val="zh-CN"/>
        </w:rPr>
        <w:t>供应商</w:t>
      </w:r>
      <w:r>
        <w:rPr>
          <w:rFonts w:hint="eastAsia" w:ascii="宋体" w:hAnsi="宋体" w:eastAsia="宋体" w:cs="宋体"/>
          <w:color w:val="000000"/>
          <w:szCs w:val="21"/>
          <w:highlight w:val="none"/>
          <w:lang w:val="zh-CN"/>
        </w:rPr>
        <w:t>”</w:t>
      </w:r>
      <w:r>
        <w:rPr>
          <w:rFonts w:hint="eastAsia" w:ascii="宋体" w:hAnsi="宋体" w:eastAsia="宋体" w:cs="宋体"/>
          <w:color w:val="000000"/>
          <w:highlight w:val="none"/>
        </w:rPr>
        <w:t>是指参加磋商竞争，并符合采购文件规定资格条件的法人、其他组织或者自然人。</w:t>
      </w:r>
    </w:p>
    <w:p w14:paraId="2AD23226">
      <w:pPr>
        <w:keepNext w:val="0"/>
        <w:keepLines w:val="0"/>
        <w:pageBreakBefore w:val="0"/>
        <w:widowControl w:val="0"/>
        <w:spacing w:line="360" w:lineRule="auto"/>
        <w:ind w:firstLine="420"/>
        <w:rPr>
          <w:rFonts w:hint="eastAsia" w:ascii="宋体" w:hAnsi="宋体" w:eastAsia="宋体" w:cs="宋体"/>
          <w:b/>
          <w:color w:val="000000"/>
          <w:szCs w:val="21"/>
          <w:highlight w:val="none"/>
          <w:lang w:val="zh-CN"/>
        </w:rPr>
      </w:pPr>
      <w:r>
        <w:rPr>
          <w:rFonts w:hint="eastAsia" w:ascii="宋体" w:hAnsi="宋体" w:eastAsia="宋体" w:cs="宋体"/>
          <w:color w:val="000000"/>
          <w:szCs w:val="21"/>
          <w:highlight w:val="none"/>
          <w:lang w:val="zh-CN"/>
        </w:rPr>
        <w:t>2.2 “货物、服务和工程”指本采购文件中所述</w:t>
      </w:r>
      <w:r>
        <w:rPr>
          <w:rFonts w:hint="eastAsia" w:ascii="宋体" w:hAnsi="宋体" w:eastAsia="宋体" w:cs="宋体"/>
          <w:bCs/>
          <w:color w:val="000000"/>
          <w:szCs w:val="21"/>
          <w:highlight w:val="none"/>
          <w:lang w:val="zh-CN"/>
        </w:rPr>
        <w:t>产品</w:t>
      </w:r>
      <w:r>
        <w:rPr>
          <w:rFonts w:hint="eastAsia" w:ascii="宋体" w:hAnsi="宋体" w:eastAsia="宋体" w:cs="宋体"/>
          <w:color w:val="000000"/>
          <w:szCs w:val="21"/>
          <w:highlight w:val="none"/>
          <w:lang w:val="zh-CN"/>
        </w:rPr>
        <w:t>及相关货物、</w:t>
      </w:r>
      <w:r>
        <w:rPr>
          <w:rFonts w:hint="eastAsia" w:ascii="宋体" w:hAnsi="宋体" w:eastAsia="宋体" w:cs="宋体"/>
          <w:b w:val="0"/>
          <w:bCs w:val="0"/>
          <w:color w:val="000000"/>
          <w:szCs w:val="21"/>
          <w:highlight w:val="none"/>
          <w:lang w:val="zh-CN"/>
        </w:rPr>
        <w:t>服务</w:t>
      </w:r>
      <w:r>
        <w:rPr>
          <w:rFonts w:hint="eastAsia" w:ascii="宋体" w:hAnsi="宋体" w:eastAsia="宋体" w:cs="宋体"/>
          <w:color w:val="000000"/>
          <w:szCs w:val="21"/>
          <w:highlight w:val="none"/>
          <w:lang w:val="zh-CN"/>
        </w:rPr>
        <w:t>和工程。</w:t>
      </w:r>
    </w:p>
    <w:p w14:paraId="55D003C4">
      <w:pPr>
        <w:keepNext w:val="0"/>
        <w:keepLines w:val="0"/>
        <w:pageBreakBefore w:val="0"/>
        <w:widowControl w:val="0"/>
        <w:spacing w:line="360" w:lineRule="auto"/>
        <w:ind w:firstLine="42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2.3 “用户或使用单位”是指使用</w:t>
      </w:r>
      <w:r>
        <w:rPr>
          <w:rFonts w:hint="eastAsia" w:ascii="宋体" w:hAnsi="宋体" w:eastAsia="宋体" w:cs="宋体"/>
          <w:color w:val="000000"/>
          <w:szCs w:val="21"/>
          <w:highlight w:val="none"/>
        </w:rPr>
        <w:t>服务</w:t>
      </w:r>
      <w:r>
        <w:rPr>
          <w:rFonts w:hint="eastAsia" w:ascii="宋体" w:hAnsi="宋体" w:eastAsia="宋体" w:cs="宋体"/>
          <w:color w:val="000000"/>
          <w:szCs w:val="21"/>
          <w:highlight w:val="none"/>
          <w:lang w:val="zh-CN"/>
        </w:rPr>
        <w:t>的单位。</w:t>
      </w:r>
    </w:p>
    <w:p w14:paraId="76DE8108">
      <w:pPr>
        <w:keepNext w:val="0"/>
        <w:keepLines w:val="0"/>
        <w:pageBreakBefore w:val="0"/>
        <w:widowControl w:val="0"/>
        <w:spacing w:line="360" w:lineRule="auto"/>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zh-CN"/>
        </w:rPr>
        <w:t>3、政策功能</w:t>
      </w:r>
    </w:p>
    <w:p w14:paraId="71D5A45E">
      <w:pPr>
        <w:pStyle w:val="236"/>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3.1</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中小企业政策、监狱和戒毒企业及残疾人福利性单位</w:t>
      </w:r>
    </w:p>
    <w:p w14:paraId="385E943C">
      <w:pPr>
        <w:pStyle w:val="236"/>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3.1.1政府采购促进中小企业发展，在政府采购活动中，供应商提供的货物、工程或者服务符合下列情形的，享受中小企业扶持政策：</w:t>
      </w:r>
    </w:p>
    <w:p w14:paraId="63952AE6">
      <w:pPr>
        <w:pStyle w:val="236"/>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（1）在货物采购项目中，货物由中小企业制造，即货物由中小企业生产且使用该中小企业商号或者注册商标；</w:t>
      </w:r>
    </w:p>
    <w:p w14:paraId="76FE6CC9">
      <w:pPr>
        <w:pStyle w:val="236"/>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（2）在工程采购项目中，工程由中小企业承建，即工程施工单位为中小企业；</w:t>
      </w:r>
    </w:p>
    <w:p w14:paraId="54ABC7B2">
      <w:pPr>
        <w:pStyle w:val="236"/>
        <w:keepNext w:val="0"/>
        <w:keepLines w:val="0"/>
        <w:pageBreakBefore w:val="0"/>
        <w:widowControl w:val="0"/>
        <w:spacing w:line="360" w:lineRule="auto"/>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（3）在服务采购项目中，服务由中小企业承接，即提供服务的人员为中小企业依照《中华人民共和国劳动合同法》订立劳动合同的从业人员。</w:t>
      </w:r>
    </w:p>
    <w:p w14:paraId="6B00DBED">
      <w:pPr>
        <w:pStyle w:val="236"/>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3.1.2以联合体形式参加政府采购活动，联合体各方均为中小企业的，联合体视同中小企业。其中，联合体各方均为小微企业的，联合体视同小微企业。</w:t>
      </w:r>
    </w:p>
    <w:p w14:paraId="5897BFAD">
      <w:pPr>
        <w:pStyle w:val="236"/>
        <w:keepNext w:val="0"/>
        <w:keepLines w:val="0"/>
        <w:pageBreakBefore w:val="0"/>
        <w:widowControl w:val="0"/>
        <w:spacing w:line="360" w:lineRule="auto"/>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3.1.3对于专门面向中小微型企业的项目，只面向中小微型企业采购。对于非专门面向中小微企业采购的项目，采购人或采购代理机构应给予小微企业10%的价格扣除，用扣除后的价格参与评审。</w:t>
      </w:r>
    </w:p>
    <w:p w14:paraId="3713804A">
      <w:pPr>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3.1.4中小企业，是指在中华人民共和国境内依法设立，依据国务院批准的中小企业划分标准（详见《关于印发中小企业划型标准规定的通知</w:t>
      </w:r>
      <w:r>
        <w:rPr>
          <w:rFonts w:hint="eastAsia" w:ascii="宋体" w:hAnsi="宋体" w:cs="宋体"/>
          <w:color w:val="000000"/>
          <w:szCs w:val="21"/>
          <w:highlight w:val="none"/>
          <w:lang w:eastAsia="zh-CN"/>
        </w:rPr>
        <w:t>》）。</w:t>
      </w:r>
    </w:p>
    <w:p w14:paraId="4AB0C1A1">
      <w:pPr>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3.1.5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04ABFF77">
      <w:pPr>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3.2.1 政府采购支持监狱和戒毒企业发展政策，监狱和戒毒企业提供的产品和服务在评标时将获得优势，参加响应的监狱和戒毒企业，应当提供由省级以上监狱管理局、戒毒管理局（含新疆生产建设兵团）出具的属于监狱企业的证明文件，监狱和戒毒企业享受政府采购支持政策的要求详见财库〔2014〕68号。</w:t>
      </w:r>
    </w:p>
    <w:p w14:paraId="1E2E64C6">
      <w:pPr>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3.2.2 政府采购促进残疾人就业政策，残疾人福利性单位提供的产品和服务在评标时将获得优势，参加响应的残疾人福利性单位，应当提供《残疾人福利性单位声明函》，残疾人福利性单位享受政府采购支持政策的要求详见财库〔2017〕141号。</w:t>
      </w:r>
    </w:p>
    <w:p w14:paraId="22F4AB3E">
      <w:pPr>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注：①参加响应的中小企业，应当按照《政府采购促进中小企业发展管理办法》（财库〔2020〕46号）规定，出具《中小企业声明函》，否则不得享受相关中小企业扶持政策。</w:t>
      </w:r>
    </w:p>
    <w:p w14:paraId="0C9F36B1">
      <w:pPr>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②参加磋商的监狱企业，视同小型、微型企业。监狱企业应当按照《财政部 司法部关于政府采购支持监狱企业发展有关问题的通知》（财库〔2014〕68号）的规定，提供由省级以上监狱管理局、戒毒管理局</w:t>
      </w:r>
      <w:r>
        <w:rPr>
          <w:rFonts w:hint="eastAsia" w:ascii="宋体" w:hAnsi="宋体" w:cs="宋体"/>
          <w:color w:val="000000"/>
          <w:szCs w:val="21"/>
          <w:highlight w:val="none"/>
          <w:lang w:eastAsia="zh-CN"/>
        </w:rPr>
        <w:t>（</w:t>
      </w:r>
      <w:r>
        <w:rPr>
          <w:rFonts w:hint="eastAsia" w:ascii="宋体" w:hAnsi="宋体" w:eastAsia="宋体" w:cs="宋体"/>
          <w:color w:val="000000"/>
          <w:szCs w:val="21"/>
          <w:highlight w:val="none"/>
        </w:rPr>
        <w:t>含新疆生产建设兵团</w:t>
      </w:r>
      <w:r>
        <w:rPr>
          <w:rFonts w:hint="eastAsia" w:ascii="宋体" w:hAnsi="宋体" w:cs="宋体"/>
          <w:color w:val="000000"/>
          <w:szCs w:val="21"/>
          <w:highlight w:val="none"/>
          <w:lang w:eastAsia="zh-CN"/>
        </w:rPr>
        <w:t>）</w:t>
      </w:r>
      <w:r>
        <w:rPr>
          <w:rFonts w:hint="eastAsia" w:ascii="宋体" w:hAnsi="宋体" w:eastAsia="宋体" w:cs="宋体"/>
          <w:color w:val="000000"/>
          <w:szCs w:val="21"/>
          <w:highlight w:val="none"/>
        </w:rPr>
        <w:t>出具的属于监狱企业的证明文件（响应文件中上传加盖出具单位公章的电子件）。</w:t>
      </w:r>
    </w:p>
    <w:p w14:paraId="1047A998">
      <w:pPr>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③参加磋商的残疾人福利性单位，视同小型、微型企业。残疾人福利性单位应当按照《财政部 民政部 中国残疾人联合会关于促进残疾人就业政府采购政策的通知》（财库〔2017〕141号）的规定，提供《残疾人福利性单位声明函》。</w:t>
      </w:r>
    </w:p>
    <w:p w14:paraId="0C7C04F0">
      <w:pPr>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磋商文件中相关内容为准，是否允许大中型企业向一家或者多家小微企业分包以磋商文件中相关内容为准。）</w:t>
      </w:r>
    </w:p>
    <w:p w14:paraId="19FEB047">
      <w:pPr>
        <w:pStyle w:val="236"/>
        <w:keepNext w:val="0"/>
        <w:keepLines w:val="0"/>
        <w:pageBreakBefore w:val="0"/>
        <w:widowControl w:val="0"/>
        <w:spacing w:line="360" w:lineRule="auto"/>
        <w:ind w:firstLine="420"/>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19352C72">
      <w:pPr>
        <w:pStyle w:val="236"/>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（3）参加政府采购活动的中小企业应当提供《中小企业声明函》、由省级以上监狱管理局戒毒管理局</w:t>
      </w:r>
      <w:r>
        <w:rPr>
          <w:rFonts w:hint="eastAsia" w:ascii="宋体" w:hAnsi="宋体" w:cs="宋体"/>
          <w:color w:val="000000"/>
          <w:szCs w:val="21"/>
          <w:highlight w:val="none"/>
          <w:lang w:eastAsia="zh-CN"/>
        </w:rPr>
        <w:t>（</w:t>
      </w:r>
      <w:r>
        <w:rPr>
          <w:rFonts w:hint="eastAsia" w:ascii="宋体" w:hAnsi="宋体" w:eastAsia="宋体" w:cs="宋体"/>
          <w:color w:val="000000"/>
          <w:szCs w:val="21"/>
          <w:highlight w:val="none"/>
        </w:rPr>
        <w:t>含新疆生产建设兵团）出具的属于监狱企业的证明文件或《残疾人福利性单位声明函》。</w:t>
      </w:r>
    </w:p>
    <w:p w14:paraId="0F8FCE18">
      <w:pPr>
        <w:pStyle w:val="236"/>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（4）未按要求提供相关材料的，不享受相关政策。</w:t>
      </w:r>
    </w:p>
    <w:p w14:paraId="41E8F4A4">
      <w:pPr>
        <w:pStyle w:val="236"/>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3.2</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节能产品政策</w:t>
      </w:r>
    </w:p>
    <w:p w14:paraId="5D21D664">
      <w:pPr>
        <w:pStyle w:val="236"/>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（1）节能产品是指列入财政部、国家发展和改革委员会制定的节能产品品目政府采购清单，且经过认证的节能产品；</w:t>
      </w:r>
    </w:p>
    <w:p w14:paraId="6B03C255">
      <w:pPr>
        <w:pStyle w:val="236"/>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（2）拟采购产品属于节能产品政府采购清单规定必须强制采购的，实行强制采购。</w:t>
      </w:r>
    </w:p>
    <w:p w14:paraId="643B0911">
      <w:pPr>
        <w:pStyle w:val="236"/>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（3）拟采购产品属于节能产品政府采购清单规定优先采购的，在技术、服务等指标同等条件下，实行优先采购。</w:t>
      </w:r>
    </w:p>
    <w:p w14:paraId="3ABCDADB">
      <w:pPr>
        <w:pStyle w:val="236"/>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（4）参加政府采购活动的节能产品供应商应当提供有效的节能产品认证证书复印件。</w:t>
      </w:r>
    </w:p>
    <w:p w14:paraId="566A9C3A">
      <w:pPr>
        <w:pStyle w:val="236"/>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（5）未按要求提供相关材料的，不享受相关政策。</w:t>
      </w:r>
    </w:p>
    <w:p w14:paraId="6069E30C">
      <w:pPr>
        <w:pStyle w:val="236"/>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3.3</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环境标志产品政策</w:t>
      </w:r>
    </w:p>
    <w:p w14:paraId="7C7CC582">
      <w:pPr>
        <w:pStyle w:val="236"/>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（1）环境标志产品是指列入财政部、生态环境部制定的环境标志产品品目政府采购清单，且经过认证的环境标志产品；</w:t>
      </w:r>
    </w:p>
    <w:p w14:paraId="730A8042">
      <w:pPr>
        <w:pStyle w:val="236"/>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（2）拟采购产品属于环境标志产品政府采购清单规定优先采购的，在性能、技术、服务等指标同等条件下，实行优先采购。</w:t>
      </w:r>
    </w:p>
    <w:p w14:paraId="5A651A50">
      <w:pPr>
        <w:pStyle w:val="236"/>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（3）参加政府采购活动的环境标志产品应当提供有效的环境标志产品认证证书复印件。</w:t>
      </w:r>
    </w:p>
    <w:p w14:paraId="00051E13">
      <w:pPr>
        <w:pStyle w:val="236"/>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（4）未按要求提供相关材料的，不享受相关政策。</w:t>
      </w:r>
    </w:p>
    <w:p w14:paraId="09D8F4AC">
      <w:pPr>
        <w:pStyle w:val="236"/>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3.4</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信息安全产品政策</w:t>
      </w:r>
    </w:p>
    <w:p w14:paraId="01C32964">
      <w:pPr>
        <w:pStyle w:val="236"/>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（1）信息安全产品是指列入国家质检总局、国家认监委《信息安全产品强制性认证目录》，并获得强制性产品认证证书的产品；</w:t>
      </w:r>
    </w:p>
    <w:p w14:paraId="137EB4B2">
      <w:pPr>
        <w:pStyle w:val="236"/>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（2）提供的产品属于信息安全产品的，供应商应当选择经国家认证的信息安全产品响应，并提供由中国信息安全认证中心按国家标准认证颁发的有效认证证书复印件。</w:t>
      </w:r>
    </w:p>
    <w:p w14:paraId="1911FF34">
      <w:pPr>
        <w:keepNext w:val="0"/>
        <w:keepLines w:val="0"/>
        <w:pageBreakBefore w:val="0"/>
        <w:widowControl w:val="0"/>
        <w:spacing w:line="360" w:lineRule="auto"/>
        <w:ind w:firstLine="422"/>
        <w:rPr>
          <w:rFonts w:hint="eastAsia" w:ascii="宋体" w:hAnsi="宋体" w:eastAsia="宋体" w:cs="宋体"/>
          <w:b/>
          <w:bCs/>
          <w:color w:val="000000"/>
          <w:szCs w:val="21"/>
          <w:highlight w:val="none"/>
          <w:lang w:val="zh-CN"/>
        </w:rPr>
      </w:pPr>
      <w:r>
        <w:rPr>
          <w:rFonts w:hint="eastAsia" w:ascii="宋体" w:hAnsi="宋体" w:eastAsia="宋体" w:cs="宋体"/>
          <w:b/>
          <w:color w:val="000000"/>
          <w:szCs w:val="21"/>
          <w:highlight w:val="none"/>
        </w:rPr>
        <w:t>4、</w:t>
      </w:r>
      <w:r>
        <w:rPr>
          <w:rFonts w:hint="eastAsia" w:ascii="宋体" w:hAnsi="宋体" w:eastAsia="宋体" w:cs="宋体"/>
          <w:b/>
          <w:bCs/>
          <w:color w:val="000000"/>
          <w:szCs w:val="21"/>
          <w:highlight w:val="none"/>
          <w:lang w:val="zh-CN"/>
        </w:rPr>
        <w:t>磋商费用</w:t>
      </w:r>
    </w:p>
    <w:p w14:paraId="52C1C4A2">
      <w:pPr>
        <w:keepNext w:val="0"/>
        <w:keepLines w:val="0"/>
        <w:pageBreakBefore w:val="0"/>
        <w:widowControl w:val="0"/>
        <w:spacing w:line="360" w:lineRule="auto"/>
        <w:ind w:firstLine="42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4.1 供应商应承担所有与准备和参加磋商有关的费用，无论采购结果如何，</w:t>
      </w:r>
      <w:r>
        <w:rPr>
          <w:rFonts w:hint="eastAsia" w:ascii="宋体" w:hAnsi="宋体" w:eastAsia="宋体" w:cs="宋体"/>
          <w:color w:val="000000"/>
          <w:szCs w:val="21"/>
          <w:highlight w:val="none"/>
        </w:rPr>
        <w:t>采购代理机构</w:t>
      </w:r>
      <w:r>
        <w:rPr>
          <w:rFonts w:hint="eastAsia" w:ascii="宋体" w:hAnsi="宋体" w:eastAsia="宋体" w:cs="宋体"/>
          <w:color w:val="000000"/>
          <w:szCs w:val="21"/>
          <w:highlight w:val="none"/>
          <w:lang w:val="zh-CN"/>
        </w:rPr>
        <w:t>和采购人在任何情况下均无义务和责任承担这些费用。</w:t>
      </w:r>
    </w:p>
    <w:p w14:paraId="3B71B509">
      <w:pPr>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4.2 </w:t>
      </w:r>
      <w:r>
        <w:rPr>
          <w:rFonts w:hint="eastAsia" w:ascii="宋体" w:hAnsi="宋体" w:eastAsia="宋体" w:cs="宋体"/>
          <w:color w:val="000000"/>
          <w:szCs w:val="21"/>
          <w:highlight w:val="none"/>
          <w:lang w:val="en-US" w:eastAsia="zh-CN"/>
        </w:rPr>
        <w:t>成交服务费采用差额定率累进计费方式。成交供应商按照“国家计委关于印发《招标代理服务收费管理暂行办法》的通知《招标代理服务收费管理暂行办法》（计价格</w:t>
      </w:r>
      <w:r>
        <w:rPr>
          <w:rFonts w:hint="eastAsia" w:ascii="宋体" w:hAnsi="宋体" w:cs="宋体"/>
          <w:color w:val="000000"/>
          <w:szCs w:val="21"/>
          <w:highlight w:val="none"/>
          <w:lang w:val="en-US" w:eastAsia="zh-CN"/>
        </w:rPr>
        <w:t>〔2002〕</w:t>
      </w:r>
      <w:r>
        <w:rPr>
          <w:rFonts w:hint="eastAsia" w:ascii="宋体" w:hAnsi="宋体" w:eastAsia="宋体" w:cs="宋体"/>
          <w:color w:val="000000"/>
          <w:szCs w:val="21"/>
          <w:highlight w:val="none"/>
          <w:lang w:val="en-US" w:eastAsia="zh-CN"/>
        </w:rPr>
        <w:t>1980 号）”中规定的收费标准</w:t>
      </w:r>
      <w:r>
        <w:rPr>
          <w:rFonts w:hint="eastAsia" w:ascii="宋体" w:hAnsi="宋体" w:cs="宋体"/>
          <w:color w:val="000000"/>
          <w:szCs w:val="21"/>
          <w:highlight w:val="none"/>
          <w:lang w:val="en-US" w:eastAsia="zh-CN"/>
        </w:rPr>
        <w:t>的49%</w:t>
      </w:r>
      <w:r>
        <w:rPr>
          <w:rFonts w:hint="eastAsia" w:ascii="宋体" w:hAnsi="宋体" w:eastAsia="宋体" w:cs="宋体"/>
          <w:color w:val="000000"/>
          <w:szCs w:val="21"/>
          <w:highlight w:val="none"/>
          <w:lang w:val="en-US" w:eastAsia="zh-CN"/>
        </w:rPr>
        <w:t>向采购代理机构支付成交服务费，服务费一次付清</w:t>
      </w:r>
      <w:r>
        <w:rPr>
          <w:rFonts w:hint="eastAsia" w:ascii="宋体" w:hAnsi="宋体" w:cs="宋体"/>
          <w:color w:val="000000"/>
          <w:szCs w:val="21"/>
          <w:highlight w:val="none"/>
          <w:lang w:val="en-US" w:eastAsia="zh-CN"/>
        </w:rPr>
        <w:t>（</w:t>
      </w:r>
      <w:r>
        <w:rPr>
          <w:rFonts w:hint="eastAsia" w:ascii="宋体" w:hAnsi="宋体" w:cs="宋体"/>
          <w:color w:val="000000"/>
          <w:szCs w:val="21"/>
          <w:highlight w:val="none"/>
        </w:rPr>
        <w:t>以</w:t>
      </w:r>
      <w:r>
        <w:rPr>
          <w:rFonts w:hint="eastAsia" w:ascii="宋体" w:hAnsi="宋体" w:eastAsia="宋体" w:cs="宋体"/>
          <w:color w:val="000000"/>
          <w:szCs w:val="21"/>
          <w:highlight w:val="none"/>
          <w:lang w:val="en-US" w:eastAsia="zh-CN"/>
        </w:rPr>
        <w:t>三年预算为</w:t>
      </w:r>
      <w:r>
        <w:rPr>
          <w:rFonts w:hint="eastAsia" w:ascii="宋体" w:hAnsi="宋体" w:cs="宋体"/>
          <w:color w:val="000000"/>
          <w:szCs w:val="21"/>
          <w:highlight w:val="none"/>
        </w:rPr>
        <w:t>计算基数</w:t>
      </w:r>
      <w:r>
        <w:rPr>
          <w:rFonts w:hint="eastAsia" w:ascii="宋体" w:hAnsi="宋体" w:cs="宋体"/>
          <w:color w:val="000000"/>
          <w:szCs w:val="21"/>
          <w:highlight w:val="none"/>
          <w:lang w:val="en-US" w:eastAsia="zh-CN"/>
        </w:rPr>
        <w:t>）</w:t>
      </w:r>
      <w:r>
        <w:rPr>
          <w:rFonts w:hint="eastAsia" w:ascii="宋体" w:hAnsi="宋体" w:eastAsia="宋体" w:cs="宋体"/>
          <w:color w:val="000000"/>
          <w:szCs w:val="21"/>
          <w:highlight w:val="none"/>
          <w:lang w:val="en-US" w:eastAsia="zh-CN"/>
        </w:rPr>
        <w:t>。</w:t>
      </w:r>
    </w:p>
    <w:p w14:paraId="6E782B6F">
      <w:pPr>
        <w:keepNext w:val="0"/>
        <w:keepLines w:val="0"/>
        <w:pageBreakBefore w:val="0"/>
        <w:widowControl w:val="0"/>
        <w:spacing w:line="360" w:lineRule="auto"/>
        <w:ind w:firstLine="422"/>
        <w:rPr>
          <w:rFonts w:hint="eastAsia" w:ascii="宋体" w:hAnsi="宋体" w:eastAsia="宋体" w:cs="宋体"/>
          <w:b/>
          <w:bCs/>
          <w:color w:val="000000"/>
          <w:highlight w:val="none"/>
        </w:rPr>
      </w:pPr>
      <w:r>
        <w:rPr>
          <w:rFonts w:hint="eastAsia" w:ascii="宋体" w:hAnsi="宋体" w:eastAsia="宋体" w:cs="宋体"/>
          <w:b/>
          <w:bCs/>
          <w:color w:val="000000"/>
          <w:highlight w:val="none"/>
        </w:rPr>
        <w:t>代理服务费受理单位：</w:t>
      </w:r>
    </w:p>
    <w:p w14:paraId="3BBA1683">
      <w:pPr>
        <w:keepNext w:val="0"/>
        <w:keepLines w:val="0"/>
        <w:pageBreakBefore w:val="0"/>
        <w:widowControl w:val="0"/>
        <w:spacing w:line="360" w:lineRule="auto"/>
        <w:ind w:firstLine="422"/>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rPr>
        <w:t>单位名称：</w:t>
      </w:r>
      <w:r>
        <w:rPr>
          <w:rFonts w:hint="eastAsia" w:ascii="宋体" w:hAnsi="宋体" w:cs="宋体"/>
          <w:b/>
          <w:bCs/>
          <w:color w:val="000000"/>
          <w:highlight w:val="none"/>
          <w:lang w:eastAsia="zh-CN"/>
        </w:rPr>
        <w:t>江苏省招标中心有限公司</w:t>
      </w:r>
    </w:p>
    <w:p w14:paraId="60DD61A8">
      <w:pPr>
        <w:keepNext w:val="0"/>
        <w:keepLines w:val="0"/>
        <w:pageBreakBefore w:val="0"/>
        <w:widowControl w:val="0"/>
        <w:spacing w:line="360" w:lineRule="auto"/>
        <w:ind w:firstLine="422"/>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rPr>
        <w:t>开户银行：</w:t>
      </w:r>
      <w:r>
        <w:rPr>
          <w:rFonts w:hint="eastAsia" w:ascii="宋体" w:hAnsi="宋体" w:cs="宋体"/>
          <w:b/>
          <w:bCs/>
          <w:color w:val="000000"/>
          <w:highlight w:val="none"/>
          <w:lang w:eastAsia="zh-CN"/>
        </w:rPr>
        <w:t xml:space="preserve"> 中信银行南京江苏路支行</w:t>
      </w:r>
    </w:p>
    <w:p w14:paraId="4B0EA841">
      <w:pPr>
        <w:keepNext w:val="0"/>
        <w:keepLines w:val="0"/>
        <w:pageBreakBefore w:val="0"/>
        <w:widowControl w:val="0"/>
        <w:spacing w:line="360" w:lineRule="auto"/>
        <w:ind w:firstLine="422"/>
        <w:rPr>
          <w:rFonts w:hint="eastAsia" w:ascii="宋体" w:hAnsi="宋体" w:cs="宋体"/>
          <w:b/>
          <w:bCs/>
          <w:color w:val="000000"/>
          <w:highlight w:val="none"/>
          <w:lang w:eastAsia="zh-CN"/>
        </w:rPr>
      </w:pPr>
      <w:r>
        <w:rPr>
          <w:rFonts w:hint="eastAsia" w:ascii="宋体" w:hAnsi="宋体" w:eastAsia="宋体" w:cs="宋体"/>
          <w:b/>
          <w:bCs/>
          <w:color w:val="000000"/>
          <w:highlight w:val="none"/>
        </w:rPr>
        <w:t>账号：</w:t>
      </w:r>
      <w:r>
        <w:rPr>
          <w:rFonts w:hint="eastAsia" w:ascii="宋体" w:hAnsi="宋体" w:cs="宋体"/>
          <w:b/>
          <w:bCs/>
          <w:color w:val="000000"/>
          <w:highlight w:val="none"/>
          <w:lang w:eastAsia="zh-CN"/>
        </w:rPr>
        <w:t>7321810182600023404</w:t>
      </w:r>
      <w:bookmarkStart w:id="74" w:name="_Toc27850"/>
      <w:bookmarkStart w:id="75" w:name="_Toc2323"/>
      <w:bookmarkStart w:id="76" w:name="_Toc20863"/>
    </w:p>
    <w:p w14:paraId="510C5B3F">
      <w:pPr>
        <w:keepNext w:val="0"/>
        <w:keepLines w:val="0"/>
        <w:pageBreakBefore w:val="0"/>
        <w:widowControl w:val="0"/>
        <w:spacing w:line="360" w:lineRule="auto"/>
        <w:ind w:firstLine="422"/>
        <w:rPr>
          <w:rFonts w:hint="eastAsia" w:ascii="宋体" w:hAnsi="宋体" w:cs="宋体"/>
          <w:b/>
          <w:bCs/>
          <w:color w:val="000000"/>
          <w:highlight w:val="none"/>
          <w:lang w:val="zh-CN" w:eastAsia="zh-CN"/>
        </w:rPr>
      </w:pPr>
    </w:p>
    <w:p w14:paraId="0AFCE57A">
      <w:pPr>
        <w:pStyle w:val="182"/>
        <w:spacing w:before="0" w:after="160" w:line="360" w:lineRule="auto"/>
        <w:ind w:firstLine="422"/>
        <w:rPr>
          <w:rFonts w:ascii="宋体"/>
          <w:color w:val="000000"/>
          <w:sz w:val="21"/>
          <w:szCs w:val="21"/>
          <w:highlight w:val="none"/>
          <w:lang w:val="zh-CN"/>
        </w:rPr>
      </w:pPr>
      <w:r>
        <w:rPr>
          <w:rFonts w:hint="eastAsia" w:ascii="宋体"/>
          <w:color w:val="000000"/>
          <w:sz w:val="21"/>
          <w:szCs w:val="21"/>
          <w:highlight w:val="none"/>
          <w:lang w:val="zh-CN"/>
        </w:rPr>
        <w:t>二、响应文件编制</w:t>
      </w:r>
      <w:bookmarkEnd w:id="74"/>
      <w:bookmarkEnd w:id="75"/>
      <w:bookmarkEnd w:id="76"/>
    </w:p>
    <w:p w14:paraId="64F85D70">
      <w:pPr>
        <w:keepNext w:val="0"/>
        <w:keepLines w:val="0"/>
        <w:pageBreakBefore w:val="0"/>
        <w:spacing w:line="360" w:lineRule="auto"/>
        <w:ind w:firstLine="422"/>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5、</w:t>
      </w:r>
      <w:r>
        <w:rPr>
          <w:rFonts w:hint="eastAsia" w:ascii="宋体" w:hAnsi="宋体" w:eastAsia="宋体" w:cs="宋体"/>
          <w:color w:val="000000"/>
          <w:szCs w:val="21"/>
          <w:highlight w:val="none"/>
          <w:lang w:val="zh-CN"/>
        </w:rPr>
        <w:t>供应商应当按照磋商文件的要求编制响应文件，并对其提交的响应文件真实性、合法性承担法律责任。</w:t>
      </w:r>
    </w:p>
    <w:p w14:paraId="5718617B">
      <w:pPr>
        <w:keepNext w:val="0"/>
        <w:keepLines w:val="0"/>
        <w:pageBreakBefore w:val="0"/>
        <w:spacing w:line="360" w:lineRule="auto"/>
        <w:ind w:firstLine="422"/>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6、响应文件的语言、计量单位、货币和编制</w:t>
      </w:r>
    </w:p>
    <w:p w14:paraId="3EC4D900">
      <w:pPr>
        <w:keepNext w:val="0"/>
        <w:keepLines w:val="0"/>
        <w:pageBreakBefore w:val="0"/>
        <w:spacing w:line="360" w:lineRule="auto"/>
        <w:ind w:firstLine="42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6.1 提交的响应文件、技术文件和资料，包括图纸中的说明，以及供应商与</w:t>
      </w:r>
      <w:r>
        <w:rPr>
          <w:rFonts w:hint="eastAsia" w:ascii="宋体" w:hAnsi="宋体" w:cs="宋体"/>
          <w:color w:val="000000"/>
          <w:szCs w:val="21"/>
          <w:highlight w:val="none"/>
          <w:u w:val="single"/>
          <w:lang w:val="zh-CN"/>
        </w:rPr>
        <w:t>江苏省招标中心有限公司</w:t>
      </w:r>
      <w:r>
        <w:rPr>
          <w:rFonts w:hint="eastAsia" w:ascii="宋体" w:hAnsi="宋体" w:eastAsia="宋体" w:cs="宋体"/>
          <w:color w:val="000000"/>
          <w:szCs w:val="21"/>
          <w:highlight w:val="none"/>
          <w:lang w:val="zh-CN"/>
        </w:rPr>
        <w:t>就有关磋商的所有来往函电均应使用中文。响应文件中若有英文或其他语言文字的资料，应提供相应的中文翻译资料。对不同文本响应文件的解释发生异议的，以中文文本为准。</w:t>
      </w:r>
    </w:p>
    <w:p w14:paraId="776AC396">
      <w:pPr>
        <w:keepNext w:val="0"/>
        <w:keepLines w:val="0"/>
        <w:pageBreakBefore w:val="0"/>
        <w:spacing w:line="360" w:lineRule="auto"/>
        <w:ind w:firstLine="42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6.2 供应商所使用的计量单位应为国家法定计量单位。</w:t>
      </w:r>
    </w:p>
    <w:p w14:paraId="70A63EAC">
      <w:pPr>
        <w:keepNext w:val="0"/>
        <w:keepLines w:val="0"/>
        <w:pageBreakBefore w:val="0"/>
        <w:spacing w:line="360" w:lineRule="auto"/>
        <w:ind w:firstLine="422"/>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6.3 供应商应用人民币报价。</w:t>
      </w:r>
    </w:p>
    <w:p w14:paraId="06E8AEE4">
      <w:pPr>
        <w:keepNext w:val="0"/>
        <w:keepLines w:val="0"/>
        <w:pageBreakBefore w:val="0"/>
        <w:spacing w:line="360" w:lineRule="auto"/>
        <w:ind w:firstLine="42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6.4 响应文件应字迹清楚、内容齐全、不得涂改。如有修改，修改处须有供应商公章或法定代表人或其授权磋商代表签字。</w:t>
      </w:r>
    </w:p>
    <w:p w14:paraId="074C904E">
      <w:pPr>
        <w:keepNext w:val="0"/>
        <w:keepLines w:val="0"/>
        <w:pageBreakBefore w:val="0"/>
        <w:spacing w:line="360" w:lineRule="auto"/>
        <w:ind w:firstLine="42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6.5 响应文件应按照磋商文件规定的顺序，统一用A4规格幅面打印、装订成册并编制目录，由于编排混乱导致响应文件被误读或查找不到，责任由供应商承担。</w:t>
      </w:r>
    </w:p>
    <w:p w14:paraId="6920988E">
      <w:pPr>
        <w:keepNext w:val="0"/>
        <w:keepLines w:val="0"/>
        <w:pageBreakBefore w:val="0"/>
        <w:spacing w:line="360" w:lineRule="auto"/>
        <w:ind w:firstLine="42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6.6 供应商应在响应文件中写清相应的项目编号、项目名称、供应商名称、地址、电话、传真等。</w:t>
      </w:r>
    </w:p>
    <w:p w14:paraId="4536AF89">
      <w:pPr>
        <w:keepNext w:val="0"/>
        <w:keepLines w:val="0"/>
        <w:pageBreakBefore w:val="0"/>
        <w:spacing w:line="360" w:lineRule="auto"/>
        <w:ind w:firstLine="422"/>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7、响应文件的组成</w:t>
      </w:r>
    </w:p>
    <w:p w14:paraId="589FADF4">
      <w:pPr>
        <w:keepNext w:val="0"/>
        <w:keepLines w:val="0"/>
        <w:pageBreakBefore w:val="0"/>
        <w:spacing w:line="360" w:lineRule="auto"/>
        <w:ind w:firstLine="42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7.1 </w:t>
      </w:r>
      <w:r>
        <w:rPr>
          <w:rFonts w:hint="eastAsia" w:ascii="宋体" w:hAnsi="宋体" w:eastAsia="宋体" w:cs="宋体"/>
          <w:color w:val="000000"/>
          <w:szCs w:val="21"/>
          <w:highlight w:val="none"/>
        </w:rPr>
        <w:t>供应商应当根据磋商文件要求编制响应文件，并根据自己的商务能力、技术水平对磋商文件提出的要求和条件逐条标明是否响应。</w:t>
      </w:r>
      <w:r>
        <w:rPr>
          <w:rFonts w:hint="eastAsia" w:ascii="宋体" w:hAnsi="宋体" w:eastAsia="宋体" w:cs="宋体"/>
          <w:color w:val="000000"/>
          <w:szCs w:val="21"/>
          <w:highlight w:val="none"/>
          <w:lang w:val="zh-CN"/>
        </w:rPr>
        <w:t>响应文件由商务部分、技术部分、价格部分，以及其他部分组成。</w:t>
      </w:r>
    </w:p>
    <w:p w14:paraId="4EB4D5FB">
      <w:pPr>
        <w:pStyle w:val="195"/>
        <w:keepNext w:val="0"/>
        <w:keepLines w:val="0"/>
        <w:pageBreakBefore w:val="0"/>
        <w:spacing w:line="360" w:lineRule="auto"/>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7.2</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如标书制作工具中格式和内容与“江苏政府采购网”发布的竞争性磋商文件不一致，以“江苏政府采购网”发布的竞争性磋商文件为准。</w:t>
      </w:r>
    </w:p>
    <w:p w14:paraId="1C65D21A">
      <w:pPr>
        <w:keepNext w:val="0"/>
        <w:keepLines w:val="0"/>
        <w:pageBreakBefore w:val="0"/>
        <w:spacing w:line="360" w:lineRule="auto"/>
        <w:ind w:firstLine="420"/>
        <w:rPr>
          <w:rFonts w:hint="eastAsia" w:ascii="宋体" w:hAnsi="宋体" w:eastAsia="宋体" w:cs="宋体"/>
          <w:color w:val="000000"/>
          <w:szCs w:val="21"/>
          <w:highlight w:val="none"/>
          <w:lang w:val="zh-CN"/>
        </w:rPr>
      </w:pPr>
      <w:r>
        <w:rPr>
          <w:rFonts w:hint="eastAsia" w:ascii="宋体" w:hAnsi="宋体" w:eastAsia="宋体" w:cs="宋体"/>
          <w:bCs/>
          <w:color w:val="000000"/>
          <w:szCs w:val="21"/>
          <w:highlight w:val="none"/>
          <w:lang w:val="zh-CN"/>
        </w:rPr>
        <w:t>7.</w:t>
      </w:r>
      <w:r>
        <w:rPr>
          <w:rFonts w:hint="eastAsia" w:ascii="宋体" w:hAnsi="宋体" w:eastAsia="宋体" w:cs="宋体"/>
          <w:bCs/>
          <w:color w:val="000000"/>
          <w:szCs w:val="21"/>
          <w:highlight w:val="none"/>
        </w:rPr>
        <w:t>3</w:t>
      </w:r>
      <w:r>
        <w:rPr>
          <w:rFonts w:hint="eastAsia" w:ascii="宋体" w:hAnsi="宋体" w:eastAsia="宋体" w:cs="宋体"/>
          <w:bCs/>
          <w:color w:val="000000"/>
          <w:szCs w:val="21"/>
          <w:highlight w:val="none"/>
          <w:lang w:val="zh-CN"/>
        </w:rPr>
        <w:t xml:space="preserve"> </w:t>
      </w:r>
      <w:r>
        <w:rPr>
          <w:rFonts w:hint="eastAsia" w:ascii="宋体" w:hAnsi="宋体" w:eastAsia="宋体" w:cs="宋体"/>
          <w:b/>
          <w:bCs/>
          <w:color w:val="000000"/>
          <w:szCs w:val="21"/>
          <w:highlight w:val="none"/>
          <w:lang w:val="zh-CN"/>
        </w:rPr>
        <w:t>响应文件的商务部分。</w:t>
      </w:r>
      <w:r>
        <w:rPr>
          <w:rFonts w:hint="eastAsia" w:ascii="宋体" w:hAnsi="宋体" w:eastAsia="宋体" w:cs="宋体"/>
          <w:color w:val="000000"/>
          <w:szCs w:val="21"/>
          <w:highlight w:val="none"/>
          <w:lang w:val="zh-CN"/>
        </w:rPr>
        <w:t>商务部分是证明供应商有资格参加磋商和成交后有能力履行合同的文件，</w:t>
      </w:r>
      <w:r>
        <w:rPr>
          <w:rFonts w:hint="eastAsia" w:ascii="宋体" w:hAnsi="宋体" w:eastAsia="宋体" w:cs="宋体"/>
          <w:color w:val="000000"/>
          <w:szCs w:val="21"/>
          <w:highlight w:val="none"/>
        </w:rPr>
        <w:t>这些文件应能满足竞争性磋商采购文件的要求</w:t>
      </w:r>
      <w:r>
        <w:rPr>
          <w:rFonts w:hint="eastAsia" w:ascii="宋体" w:hAnsi="宋体" w:eastAsia="宋体" w:cs="宋体"/>
          <w:color w:val="000000"/>
          <w:szCs w:val="21"/>
          <w:highlight w:val="none"/>
          <w:lang w:val="zh-CN"/>
        </w:rPr>
        <w:t>，包括但不限于下列文件，其中加</w:t>
      </w:r>
      <w:r>
        <w:rPr>
          <w:rFonts w:hint="eastAsia" w:ascii="宋体" w:hAnsi="宋体" w:eastAsia="宋体" w:cs="宋体"/>
          <w:b/>
          <w:color w:val="000000"/>
          <w:szCs w:val="21"/>
          <w:highlight w:val="none"/>
        </w:rPr>
        <w:t>※</w:t>
      </w:r>
      <w:r>
        <w:rPr>
          <w:rFonts w:hint="eastAsia" w:ascii="宋体" w:hAnsi="宋体" w:eastAsia="宋体" w:cs="宋体"/>
          <w:color w:val="000000"/>
          <w:szCs w:val="21"/>
          <w:highlight w:val="none"/>
          <w:lang w:val="zh-CN"/>
        </w:rPr>
        <w:t>项目不得有缺失或无效，</w:t>
      </w:r>
      <w:r>
        <w:rPr>
          <w:rFonts w:hint="eastAsia" w:ascii="宋体" w:hAnsi="宋体" w:eastAsia="宋体" w:cs="宋体"/>
          <w:color w:val="000000"/>
          <w:szCs w:val="21"/>
          <w:highlight w:val="none"/>
        </w:rPr>
        <w:t>否则作无效响应处理</w:t>
      </w:r>
      <w:r>
        <w:rPr>
          <w:rFonts w:hint="eastAsia" w:ascii="宋体" w:hAnsi="宋体" w:eastAsia="宋体" w:cs="宋体"/>
          <w:color w:val="000000"/>
          <w:szCs w:val="21"/>
          <w:highlight w:val="none"/>
          <w:lang w:val="zh-CN"/>
        </w:rPr>
        <w:t>：</w:t>
      </w:r>
    </w:p>
    <w:p w14:paraId="4B33EDCC">
      <w:pPr>
        <w:keepNext w:val="0"/>
        <w:keepLines w:val="0"/>
        <w:pageBreakBefore w:val="0"/>
        <w:spacing w:line="360" w:lineRule="auto"/>
        <w:ind w:firstLine="420"/>
        <w:jc w:val="lef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（1）</w:t>
      </w:r>
      <w:r>
        <w:rPr>
          <w:rFonts w:hint="eastAsia" w:ascii="宋体" w:hAnsi="宋体" w:eastAsia="宋体" w:cs="宋体"/>
          <w:b/>
          <w:color w:val="000000"/>
          <w:szCs w:val="21"/>
          <w:highlight w:val="none"/>
        </w:rPr>
        <w:t>※</w:t>
      </w:r>
      <w:r>
        <w:rPr>
          <w:rFonts w:hint="eastAsia" w:ascii="宋体" w:hAnsi="宋体" w:eastAsia="宋体" w:cs="宋体"/>
          <w:color w:val="000000"/>
          <w:szCs w:val="21"/>
          <w:highlight w:val="none"/>
          <w:lang w:val="zh-CN"/>
        </w:rPr>
        <w:t>磋商函；</w:t>
      </w:r>
    </w:p>
    <w:p w14:paraId="7286A53A">
      <w:pPr>
        <w:keepNext w:val="0"/>
        <w:keepLines w:val="0"/>
        <w:pageBreakBefore w:val="0"/>
        <w:widowControl/>
        <w:spacing w:line="360" w:lineRule="auto"/>
        <w:ind w:firstLine="420"/>
        <w:jc w:val="lef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（2）</w:t>
      </w:r>
      <w:r>
        <w:rPr>
          <w:rFonts w:hint="eastAsia" w:ascii="宋体" w:hAnsi="宋体" w:eastAsia="宋体" w:cs="宋体"/>
          <w:b/>
          <w:color w:val="000000"/>
          <w:szCs w:val="21"/>
          <w:highlight w:val="none"/>
        </w:rPr>
        <w:t>※</w:t>
      </w:r>
      <w:r>
        <w:rPr>
          <w:rFonts w:hint="eastAsia" w:ascii="宋体" w:hAnsi="宋体" w:eastAsia="宋体" w:cs="宋体"/>
          <w:color w:val="000000"/>
          <w:szCs w:val="21"/>
          <w:highlight w:val="none"/>
          <w:lang w:val="zh-CN"/>
        </w:rPr>
        <w:t>法定代表人授权委托书</w:t>
      </w:r>
      <w:r>
        <w:rPr>
          <w:rFonts w:hint="eastAsia" w:ascii="宋体" w:hAnsi="宋体" w:cs="宋体"/>
          <w:color w:val="000000"/>
          <w:szCs w:val="21"/>
          <w:highlight w:val="none"/>
          <w:lang w:val="zh-CN"/>
        </w:rPr>
        <w:t>、</w:t>
      </w:r>
      <w:r>
        <w:rPr>
          <w:rFonts w:hint="eastAsia" w:ascii="宋体" w:hAnsi="宋体" w:eastAsia="宋体" w:cs="宋体"/>
          <w:color w:val="000000"/>
          <w:szCs w:val="21"/>
          <w:highlight w:val="none"/>
          <w:lang w:val="zh-CN"/>
        </w:rPr>
        <w:t>委托代理人的身份证明文件的复印件</w:t>
      </w:r>
      <w:r>
        <w:rPr>
          <w:rFonts w:hint="eastAsia" w:ascii="宋体" w:hAnsi="宋体" w:cs="宋体"/>
          <w:color w:val="000000"/>
          <w:szCs w:val="21"/>
          <w:highlight w:val="none"/>
          <w:lang w:val="en-US" w:eastAsia="zh-CN"/>
        </w:rPr>
        <w:t>及投标单位为其缴纳的社保证明</w:t>
      </w:r>
      <w:r>
        <w:rPr>
          <w:rFonts w:hint="eastAsia" w:ascii="宋体" w:hAnsi="宋体" w:eastAsia="宋体" w:cs="宋体"/>
          <w:color w:val="000000"/>
          <w:szCs w:val="21"/>
          <w:highlight w:val="none"/>
          <w:lang w:val="zh-CN"/>
        </w:rPr>
        <w:t>；</w:t>
      </w:r>
      <w:r>
        <w:rPr>
          <w:rFonts w:hint="eastAsia" w:ascii="宋体" w:hAnsi="宋体" w:eastAsia="宋体" w:cs="宋体"/>
          <w:color w:val="000000"/>
          <w:szCs w:val="22"/>
          <w:highlight w:val="none"/>
        </w:rPr>
        <w:t>（如果是法定代表人直接参与</w:t>
      </w:r>
      <w:r>
        <w:rPr>
          <w:rFonts w:hint="eastAsia" w:ascii="宋体" w:hAnsi="宋体" w:cs="宋体"/>
          <w:color w:val="000000"/>
          <w:szCs w:val="22"/>
          <w:highlight w:val="none"/>
          <w:lang w:val="en-US" w:eastAsia="zh-CN"/>
        </w:rPr>
        <w:t>磋商</w:t>
      </w:r>
      <w:r>
        <w:rPr>
          <w:rFonts w:hint="eastAsia" w:ascii="宋体" w:hAnsi="宋体" w:eastAsia="宋体" w:cs="宋体"/>
          <w:color w:val="000000"/>
          <w:szCs w:val="22"/>
          <w:highlight w:val="none"/>
        </w:rPr>
        <w:t>的可以不提供授权书</w:t>
      </w:r>
      <w:r>
        <w:rPr>
          <w:rFonts w:hint="eastAsia" w:ascii="宋体" w:hAnsi="宋体" w:cs="宋体"/>
          <w:color w:val="000000"/>
          <w:szCs w:val="22"/>
          <w:highlight w:val="none"/>
          <w:lang w:eastAsia="zh-CN"/>
        </w:rPr>
        <w:t>、</w:t>
      </w:r>
      <w:r>
        <w:rPr>
          <w:rFonts w:hint="eastAsia" w:ascii="宋体" w:hAnsi="宋体" w:eastAsia="宋体" w:cs="宋体"/>
          <w:color w:val="000000"/>
          <w:szCs w:val="22"/>
          <w:highlight w:val="none"/>
        </w:rPr>
        <w:t>授权代表身份证复印件及</w:t>
      </w:r>
      <w:r>
        <w:rPr>
          <w:rFonts w:hint="eastAsia" w:ascii="宋体" w:hAnsi="宋体" w:eastAsia="宋体" w:cs="宋体"/>
          <w:bCs/>
          <w:color w:val="000000"/>
          <w:szCs w:val="22"/>
          <w:highlight w:val="none"/>
        </w:rPr>
        <w:t>社保证明</w:t>
      </w:r>
      <w:r>
        <w:rPr>
          <w:rFonts w:hint="eastAsia" w:ascii="宋体" w:hAnsi="宋体" w:eastAsia="宋体" w:cs="宋体"/>
          <w:color w:val="000000"/>
          <w:szCs w:val="22"/>
          <w:highlight w:val="none"/>
        </w:rPr>
        <w:t>）</w:t>
      </w:r>
      <w:r>
        <w:rPr>
          <w:rFonts w:hint="eastAsia" w:ascii="宋体" w:hAnsi="宋体" w:eastAsia="宋体" w:cs="宋体"/>
          <w:color w:val="000000"/>
          <w:szCs w:val="21"/>
          <w:highlight w:val="none"/>
          <w:lang w:val="zh-CN"/>
        </w:rPr>
        <w:t xml:space="preserve"> </w:t>
      </w:r>
    </w:p>
    <w:p w14:paraId="4B8A1B83">
      <w:pPr>
        <w:keepNext w:val="0"/>
        <w:keepLines w:val="0"/>
        <w:pageBreakBefore w:val="0"/>
        <w:spacing w:line="360" w:lineRule="auto"/>
        <w:ind w:firstLine="42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w:t>
      </w:r>
      <w:r>
        <w:rPr>
          <w:rFonts w:hint="eastAsia" w:ascii="宋体" w:hAnsi="宋体" w:eastAsia="宋体" w:cs="宋体"/>
          <w:color w:val="000000"/>
          <w:szCs w:val="21"/>
          <w:highlight w:val="none"/>
        </w:rPr>
        <w:t>3</w:t>
      </w:r>
      <w:r>
        <w:rPr>
          <w:rFonts w:hint="eastAsia" w:ascii="宋体" w:hAnsi="宋体" w:eastAsia="宋体" w:cs="宋体"/>
          <w:color w:val="000000"/>
          <w:szCs w:val="21"/>
          <w:highlight w:val="none"/>
          <w:lang w:val="zh-CN"/>
        </w:rPr>
        <w:t>）</w:t>
      </w:r>
      <w:r>
        <w:rPr>
          <w:rFonts w:hint="eastAsia" w:ascii="宋体" w:hAnsi="宋体" w:eastAsia="宋体" w:cs="宋体"/>
          <w:b/>
          <w:color w:val="000000"/>
          <w:szCs w:val="21"/>
          <w:highlight w:val="none"/>
        </w:rPr>
        <w:t>※</w:t>
      </w:r>
      <w:r>
        <w:rPr>
          <w:rFonts w:hint="eastAsia" w:ascii="宋体" w:hAnsi="宋体" w:eastAsia="宋体" w:cs="宋体"/>
          <w:color w:val="000000"/>
          <w:szCs w:val="21"/>
          <w:highlight w:val="none"/>
        </w:rPr>
        <w:t xml:space="preserve">第一章竞争性磋商公告中 </w:t>
      </w:r>
      <w:r>
        <w:rPr>
          <w:rFonts w:hint="eastAsia" w:ascii="宋体" w:hAnsi="宋体" w:eastAsia="宋体" w:cs="宋体"/>
          <w:color w:val="000000"/>
          <w:szCs w:val="21"/>
          <w:highlight w:val="none"/>
          <w:lang w:val="zh-CN"/>
        </w:rPr>
        <w:t>《中华人民共和国政府采购法》规定的资格条件证明文件；</w:t>
      </w:r>
    </w:p>
    <w:p w14:paraId="1E24E317">
      <w:pPr>
        <w:keepNext w:val="0"/>
        <w:keepLines w:val="0"/>
        <w:pageBreakBefore w:val="0"/>
        <w:spacing w:line="360" w:lineRule="auto"/>
        <w:ind w:firstLine="42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w:t>
      </w:r>
      <w:r>
        <w:rPr>
          <w:rFonts w:hint="eastAsia" w:ascii="宋体" w:hAnsi="宋体" w:eastAsia="宋体" w:cs="宋体"/>
          <w:color w:val="000000"/>
          <w:szCs w:val="21"/>
          <w:highlight w:val="none"/>
        </w:rPr>
        <w:t>4</w:t>
      </w:r>
      <w:r>
        <w:rPr>
          <w:rFonts w:hint="eastAsia" w:ascii="宋体" w:hAnsi="宋体" w:eastAsia="宋体" w:cs="宋体"/>
          <w:color w:val="000000"/>
          <w:szCs w:val="21"/>
          <w:highlight w:val="none"/>
          <w:lang w:val="zh-CN"/>
        </w:rPr>
        <w:t>）</w:t>
      </w:r>
      <w:r>
        <w:rPr>
          <w:rFonts w:hint="eastAsia" w:ascii="宋体" w:hAnsi="宋体" w:eastAsia="宋体" w:cs="宋体"/>
          <w:b/>
          <w:color w:val="000000"/>
          <w:szCs w:val="21"/>
          <w:highlight w:val="none"/>
        </w:rPr>
        <w:t>※</w:t>
      </w:r>
      <w:r>
        <w:rPr>
          <w:rFonts w:hint="eastAsia" w:ascii="宋体" w:hAnsi="宋体" w:eastAsia="宋体" w:cs="宋体"/>
          <w:color w:val="000000"/>
          <w:szCs w:val="21"/>
          <w:highlight w:val="none"/>
        </w:rPr>
        <w:t>第一章竞争性磋商公告中 采购人根据采购项目的特殊要求规定的特定条件证明文件；</w:t>
      </w:r>
    </w:p>
    <w:p w14:paraId="2F6CF569">
      <w:pPr>
        <w:keepNext w:val="0"/>
        <w:keepLines w:val="0"/>
        <w:pageBreakBefore w:val="0"/>
        <w:widowControl/>
        <w:spacing w:line="360" w:lineRule="auto"/>
        <w:ind w:firstLine="42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w:t>
      </w:r>
      <w:r>
        <w:rPr>
          <w:rFonts w:hint="eastAsia" w:ascii="宋体" w:hAnsi="宋体" w:eastAsia="宋体" w:cs="宋体"/>
          <w:color w:val="000000"/>
          <w:szCs w:val="21"/>
          <w:highlight w:val="none"/>
        </w:rPr>
        <w:t>5</w:t>
      </w:r>
      <w:r>
        <w:rPr>
          <w:rFonts w:hint="eastAsia" w:ascii="宋体" w:hAnsi="宋体" w:eastAsia="宋体" w:cs="宋体"/>
          <w:color w:val="000000"/>
          <w:szCs w:val="21"/>
          <w:highlight w:val="none"/>
          <w:lang w:val="zh-CN"/>
        </w:rPr>
        <w:t>）</w:t>
      </w:r>
      <w:r>
        <w:rPr>
          <w:rFonts w:hint="eastAsia" w:ascii="宋体" w:hAnsi="宋体" w:eastAsia="宋体" w:cs="宋体"/>
          <w:b/>
          <w:color w:val="000000"/>
          <w:szCs w:val="21"/>
          <w:highlight w:val="none"/>
        </w:rPr>
        <w:t>※</w:t>
      </w:r>
      <w:r>
        <w:rPr>
          <w:rFonts w:hint="eastAsia" w:ascii="宋体" w:hAnsi="宋体" w:eastAsia="宋体" w:cs="宋体"/>
          <w:color w:val="000000"/>
          <w:szCs w:val="21"/>
          <w:highlight w:val="none"/>
          <w:lang w:val="zh-CN"/>
        </w:rPr>
        <w:t>《商务条款响应偏离表》；</w:t>
      </w:r>
    </w:p>
    <w:p w14:paraId="5865C2CC">
      <w:pPr>
        <w:keepNext w:val="0"/>
        <w:keepLines w:val="0"/>
        <w:pageBreakBefore w:val="0"/>
        <w:widowControl/>
        <w:spacing w:line="360" w:lineRule="auto"/>
        <w:ind w:firstLine="420"/>
        <w:rPr>
          <w:rFonts w:hint="eastAsia" w:ascii="宋体" w:hAnsi="宋体" w:eastAsia="宋体" w:cs="宋体"/>
          <w:b/>
          <w:color w:val="000000"/>
          <w:szCs w:val="21"/>
          <w:highlight w:val="none"/>
          <w:lang w:val="zh-CN"/>
        </w:rPr>
      </w:pPr>
      <w:r>
        <w:rPr>
          <w:rFonts w:hint="eastAsia" w:ascii="宋体" w:hAnsi="宋体" w:eastAsia="宋体" w:cs="宋体"/>
          <w:color w:val="000000"/>
          <w:szCs w:val="21"/>
          <w:highlight w:val="none"/>
          <w:lang w:val="zh-CN"/>
        </w:rPr>
        <w:t>（</w:t>
      </w:r>
      <w:r>
        <w:rPr>
          <w:rFonts w:hint="eastAsia" w:ascii="宋体" w:hAnsi="宋体" w:eastAsia="宋体" w:cs="宋体"/>
          <w:color w:val="000000"/>
          <w:szCs w:val="21"/>
          <w:highlight w:val="none"/>
        </w:rPr>
        <w:t>6</w:t>
      </w:r>
      <w:r>
        <w:rPr>
          <w:rFonts w:hint="eastAsia" w:ascii="宋体" w:hAnsi="宋体" w:eastAsia="宋体" w:cs="宋体"/>
          <w:color w:val="000000"/>
          <w:szCs w:val="21"/>
          <w:highlight w:val="none"/>
          <w:lang w:val="zh-CN"/>
        </w:rPr>
        <w:t>）合同草案</w:t>
      </w:r>
      <w:r>
        <w:rPr>
          <w:rFonts w:hint="eastAsia" w:ascii="宋体" w:hAnsi="宋体" w:cs="宋体"/>
          <w:color w:val="000000"/>
          <w:szCs w:val="21"/>
          <w:highlight w:val="none"/>
          <w:lang w:val="zh-CN"/>
        </w:rPr>
        <w:t>条款；</w:t>
      </w:r>
    </w:p>
    <w:p w14:paraId="43A55E29">
      <w:pPr>
        <w:keepNext w:val="0"/>
        <w:keepLines w:val="0"/>
        <w:pageBreakBefore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r>
        <w:rPr>
          <w:rFonts w:hint="eastAsia" w:ascii="宋体" w:hAnsi="宋体" w:cs="宋体"/>
          <w:b w:val="0"/>
          <w:bCs w:val="0"/>
          <w:color w:val="000000"/>
          <w:szCs w:val="21"/>
          <w:highlight w:val="none"/>
          <w:lang w:val="en-US" w:eastAsia="zh-CN"/>
        </w:rPr>
        <w:t>7</w:t>
      </w:r>
      <w:r>
        <w:rPr>
          <w:rFonts w:hint="eastAsia" w:ascii="宋体" w:hAnsi="宋体" w:eastAsia="宋体" w:cs="宋体"/>
          <w:b w:val="0"/>
          <w:bCs w:val="0"/>
          <w:color w:val="000000"/>
          <w:szCs w:val="21"/>
          <w:highlight w:val="none"/>
        </w:rPr>
        <w:t>）《中小企业声明函》</w:t>
      </w:r>
    </w:p>
    <w:p w14:paraId="4961145B">
      <w:pPr>
        <w:keepNext w:val="0"/>
        <w:keepLines w:val="0"/>
        <w:pageBreakBefore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（8）供应商认为需要</w:t>
      </w:r>
      <w:r>
        <w:rPr>
          <w:rFonts w:hint="eastAsia" w:ascii="宋体" w:hAnsi="宋体" w:eastAsia="宋体" w:cs="宋体"/>
          <w:color w:val="000000"/>
          <w:szCs w:val="21"/>
          <w:highlight w:val="none"/>
          <w:lang w:val="zh-CN"/>
        </w:rPr>
        <w:t>提供的其他资格证明文件和商务资料。</w:t>
      </w:r>
    </w:p>
    <w:p w14:paraId="71AD982B">
      <w:pPr>
        <w:keepNext w:val="0"/>
        <w:keepLines w:val="0"/>
        <w:pageBreakBefore w:val="0"/>
        <w:spacing w:line="360" w:lineRule="auto"/>
        <w:ind w:firstLine="420"/>
        <w:rPr>
          <w:rFonts w:hint="eastAsia" w:ascii="宋体" w:hAnsi="宋体" w:eastAsia="宋体" w:cs="宋体"/>
          <w:color w:val="000000"/>
          <w:szCs w:val="21"/>
          <w:highlight w:val="none"/>
          <w:lang w:val="zh-CN"/>
        </w:rPr>
      </w:pPr>
      <w:r>
        <w:rPr>
          <w:rFonts w:hint="eastAsia" w:ascii="宋体" w:hAnsi="宋体" w:eastAsia="宋体" w:cs="宋体"/>
          <w:bCs/>
          <w:color w:val="000000"/>
          <w:szCs w:val="21"/>
          <w:highlight w:val="none"/>
          <w:lang w:val="zh-CN"/>
        </w:rPr>
        <w:t>7.</w:t>
      </w:r>
      <w:r>
        <w:rPr>
          <w:rFonts w:hint="eastAsia" w:ascii="宋体" w:hAnsi="宋体" w:eastAsia="宋体" w:cs="宋体"/>
          <w:bCs/>
          <w:color w:val="000000"/>
          <w:szCs w:val="21"/>
          <w:highlight w:val="none"/>
        </w:rPr>
        <w:t>4</w:t>
      </w:r>
      <w:r>
        <w:rPr>
          <w:rFonts w:hint="eastAsia" w:ascii="宋体" w:hAnsi="宋体" w:eastAsia="宋体" w:cs="宋体"/>
          <w:b/>
          <w:bCs/>
          <w:color w:val="000000"/>
          <w:szCs w:val="21"/>
          <w:highlight w:val="none"/>
          <w:lang w:val="zh-CN"/>
        </w:rPr>
        <w:t>响应文件的技术部分。</w:t>
      </w:r>
      <w:r>
        <w:rPr>
          <w:rFonts w:hint="eastAsia" w:ascii="宋体" w:hAnsi="宋体" w:eastAsia="宋体" w:cs="宋体"/>
          <w:color w:val="000000"/>
          <w:szCs w:val="21"/>
          <w:highlight w:val="none"/>
          <w:lang w:val="zh-CN"/>
        </w:rPr>
        <w:t>技术部分是证明</w:t>
      </w:r>
      <w:r>
        <w:rPr>
          <w:rFonts w:hint="eastAsia" w:ascii="宋体" w:hAnsi="宋体" w:eastAsia="宋体" w:cs="宋体"/>
          <w:color w:val="000000"/>
          <w:szCs w:val="21"/>
          <w:highlight w:val="none"/>
        </w:rPr>
        <w:t>供应商提供的服务是合格的，并符合磋商文件要求的证明文件，以及</w:t>
      </w:r>
      <w:r>
        <w:rPr>
          <w:rFonts w:hint="eastAsia" w:ascii="宋体" w:hAnsi="宋体" w:eastAsia="宋体" w:cs="宋体"/>
          <w:color w:val="000000"/>
          <w:szCs w:val="21"/>
          <w:highlight w:val="none"/>
          <w:lang w:val="zh-CN"/>
        </w:rPr>
        <w:t>对服务的详细说明，这些文件可以是文字资料、图纸和数据等。提供的服务如与磋商文件要求有不符之处，应说明其差别之所在。包括但不限于下列文件，其中加</w:t>
      </w:r>
      <w:r>
        <w:rPr>
          <w:rFonts w:hint="eastAsia" w:ascii="宋体" w:hAnsi="宋体" w:eastAsia="宋体" w:cs="宋体"/>
          <w:color w:val="000000"/>
          <w:szCs w:val="21"/>
          <w:highlight w:val="none"/>
        </w:rPr>
        <w:t>“</w:t>
      </w:r>
      <w:r>
        <w:rPr>
          <w:rFonts w:hint="eastAsia" w:ascii="宋体" w:hAnsi="宋体" w:eastAsia="宋体" w:cs="宋体"/>
          <w:b/>
          <w:color w:val="000000"/>
          <w:szCs w:val="21"/>
          <w:highlight w:val="none"/>
        </w:rPr>
        <w:t>※</w:t>
      </w: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zh-CN"/>
        </w:rPr>
        <w:t>项目不得有缺失或无效：</w:t>
      </w:r>
    </w:p>
    <w:p w14:paraId="6F48FBEC">
      <w:pPr>
        <w:keepNext w:val="0"/>
        <w:keepLines w:val="0"/>
        <w:pageBreakBefore w:val="0"/>
        <w:widowControl/>
        <w:spacing w:line="360" w:lineRule="auto"/>
        <w:ind w:firstLine="42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（1）</w:t>
      </w:r>
      <w:r>
        <w:rPr>
          <w:rFonts w:hint="eastAsia" w:ascii="宋体" w:hAnsi="宋体" w:eastAsia="宋体" w:cs="宋体"/>
          <w:color w:val="000000"/>
          <w:szCs w:val="21"/>
          <w:highlight w:val="none"/>
        </w:rPr>
        <w:t>服务</w:t>
      </w:r>
      <w:r>
        <w:rPr>
          <w:rFonts w:hint="eastAsia" w:ascii="宋体" w:hAnsi="宋体" w:eastAsia="宋体" w:cs="宋体"/>
          <w:color w:val="000000"/>
          <w:szCs w:val="21"/>
          <w:highlight w:val="none"/>
          <w:lang w:val="zh-CN"/>
        </w:rPr>
        <w:t>内容的详细说明；</w:t>
      </w:r>
    </w:p>
    <w:p w14:paraId="27BCE6D8">
      <w:pPr>
        <w:keepNext w:val="0"/>
        <w:keepLines w:val="0"/>
        <w:pageBreakBefore w:val="0"/>
        <w:spacing w:line="360" w:lineRule="auto"/>
        <w:ind w:firstLine="42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（2）</w:t>
      </w:r>
      <w:r>
        <w:rPr>
          <w:rFonts w:hint="eastAsia" w:ascii="宋体" w:hAnsi="宋体" w:eastAsia="宋体" w:cs="宋体"/>
          <w:b/>
          <w:color w:val="000000"/>
          <w:szCs w:val="21"/>
          <w:highlight w:val="none"/>
        </w:rPr>
        <w:t>※</w:t>
      </w:r>
      <w:r>
        <w:rPr>
          <w:rFonts w:hint="eastAsia" w:ascii="宋体" w:hAnsi="宋体" w:eastAsia="宋体" w:cs="宋体"/>
          <w:color w:val="000000"/>
          <w:szCs w:val="21"/>
          <w:highlight w:val="none"/>
          <w:lang w:val="zh-CN"/>
        </w:rPr>
        <w:t>《技术（服务）条款响应偏离表》；</w:t>
      </w:r>
    </w:p>
    <w:p w14:paraId="4B97AA53">
      <w:pPr>
        <w:keepNext w:val="0"/>
        <w:keepLines w:val="0"/>
        <w:pageBreakBefore w:val="0"/>
        <w:spacing w:line="360" w:lineRule="auto"/>
        <w:ind w:firstLine="420"/>
        <w:rPr>
          <w:rFonts w:hint="eastAsia" w:ascii="宋体" w:hAnsi="宋体" w:eastAsia="宋体" w:cs="宋体"/>
          <w:color w:val="000000"/>
          <w:szCs w:val="21"/>
          <w:highlight w:val="none"/>
          <w:lang w:val="zh-CN"/>
        </w:rPr>
      </w:pPr>
      <w:r>
        <w:rPr>
          <w:rFonts w:hint="eastAsia" w:ascii="宋体" w:hAnsi="宋体" w:eastAsia="宋体" w:cs="宋体"/>
          <w:color w:val="000000"/>
          <w:highlight w:val="none"/>
        </w:rPr>
        <w:t>（3）</w:t>
      </w:r>
      <w:r>
        <w:rPr>
          <w:rFonts w:hint="eastAsia" w:ascii="宋体" w:hAnsi="宋体" w:eastAsia="宋体" w:cs="宋体"/>
          <w:color w:val="000000"/>
          <w:szCs w:val="21"/>
          <w:highlight w:val="none"/>
          <w:lang w:val="zh-CN"/>
        </w:rPr>
        <w:t>服务承诺；</w:t>
      </w:r>
    </w:p>
    <w:p w14:paraId="7FAA2256">
      <w:pPr>
        <w:keepNext w:val="0"/>
        <w:keepLines w:val="0"/>
        <w:pageBreakBefore w:val="0"/>
        <w:widowControl/>
        <w:spacing w:line="360" w:lineRule="auto"/>
        <w:ind w:firstLine="42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（4）供应商认为需要</w:t>
      </w:r>
      <w:r>
        <w:rPr>
          <w:rFonts w:hint="eastAsia" w:ascii="宋体" w:hAnsi="宋体" w:eastAsia="宋体" w:cs="宋体"/>
          <w:color w:val="000000"/>
          <w:szCs w:val="21"/>
          <w:highlight w:val="none"/>
          <w:lang w:val="zh-CN"/>
        </w:rPr>
        <w:t>提供的其他技术资料。</w:t>
      </w:r>
    </w:p>
    <w:p w14:paraId="7A7393A4">
      <w:pPr>
        <w:keepNext w:val="0"/>
        <w:keepLines w:val="0"/>
        <w:pageBreakBefore w:val="0"/>
        <w:spacing w:line="360" w:lineRule="auto"/>
        <w:ind w:firstLine="420"/>
        <w:rPr>
          <w:rFonts w:hint="eastAsia" w:ascii="宋体" w:hAnsi="宋体" w:eastAsia="宋体" w:cs="宋体"/>
          <w:b/>
          <w:color w:val="000000"/>
          <w:szCs w:val="21"/>
          <w:highlight w:val="none"/>
          <w:lang w:val="zh-CN"/>
        </w:rPr>
      </w:pPr>
      <w:r>
        <w:rPr>
          <w:rFonts w:hint="eastAsia" w:ascii="宋体" w:hAnsi="宋体" w:eastAsia="宋体" w:cs="宋体"/>
          <w:color w:val="000000"/>
          <w:szCs w:val="21"/>
          <w:highlight w:val="none"/>
          <w:lang w:val="zh-CN"/>
        </w:rPr>
        <w:t>7.</w:t>
      </w:r>
      <w:r>
        <w:rPr>
          <w:rFonts w:hint="eastAsia" w:ascii="宋体" w:hAnsi="宋体" w:eastAsia="宋体" w:cs="宋体"/>
          <w:color w:val="000000"/>
          <w:szCs w:val="21"/>
          <w:highlight w:val="none"/>
        </w:rPr>
        <w:t>5</w:t>
      </w:r>
      <w:r>
        <w:rPr>
          <w:rFonts w:hint="eastAsia" w:ascii="宋体" w:hAnsi="宋体" w:eastAsia="宋体" w:cs="宋体"/>
          <w:color w:val="000000"/>
          <w:szCs w:val="21"/>
          <w:highlight w:val="none"/>
          <w:lang w:val="zh-CN"/>
        </w:rPr>
        <w:t xml:space="preserve"> </w:t>
      </w:r>
      <w:r>
        <w:rPr>
          <w:rFonts w:hint="eastAsia" w:ascii="宋体" w:hAnsi="宋体" w:eastAsia="宋体" w:cs="宋体"/>
          <w:b/>
          <w:color w:val="000000"/>
          <w:szCs w:val="21"/>
          <w:highlight w:val="none"/>
          <w:lang w:val="zh-CN"/>
        </w:rPr>
        <w:t>响应文件的价格部分</w:t>
      </w:r>
    </w:p>
    <w:p w14:paraId="5836F8C7">
      <w:pPr>
        <w:keepNext w:val="0"/>
        <w:keepLines w:val="0"/>
        <w:pageBreakBefore w:val="0"/>
        <w:spacing w:line="360" w:lineRule="auto"/>
        <w:ind w:firstLine="42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（1）价格部分是对服务价格构成的说明，磋商文件如没有特别说明的话，对每一项服务仅接受一个价格。包括但不限于下列文件，其中加</w:t>
      </w:r>
      <w:r>
        <w:rPr>
          <w:rFonts w:hint="eastAsia" w:ascii="宋体" w:hAnsi="宋体" w:eastAsia="宋体" w:cs="宋体"/>
          <w:color w:val="000000"/>
          <w:szCs w:val="21"/>
          <w:highlight w:val="none"/>
        </w:rPr>
        <w:t>“</w:t>
      </w:r>
      <w:r>
        <w:rPr>
          <w:rFonts w:hint="eastAsia" w:ascii="宋体" w:hAnsi="宋体" w:eastAsia="宋体" w:cs="宋体"/>
          <w:b/>
          <w:color w:val="000000"/>
          <w:szCs w:val="21"/>
          <w:highlight w:val="none"/>
        </w:rPr>
        <w:t>※</w:t>
      </w: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zh-CN"/>
        </w:rPr>
        <w:t>项目不得有缺失或无效：</w:t>
      </w:r>
    </w:p>
    <w:p w14:paraId="5B8A697B">
      <w:pPr>
        <w:keepNext w:val="0"/>
        <w:keepLines w:val="0"/>
        <w:pageBreakBefore w:val="0"/>
        <w:spacing w:line="360" w:lineRule="auto"/>
        <w:ind w:firstLine="422"/>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w:t>
      </w:r>
      <w:r>
        <w:rPr>
          <w:rFonts w:hint="eastAsia" w:ascii="宋体" w:hAnsi="宋体" w:eastAsia="宋体" w:cs="宋体"/>
          <w:color w:val="000000"/>
          <w:szCs w:val="21"/>
          <w:highlight w:val="none"/>
        </w:rPr>
        <w:t>1）报价一览表（格式见附件）</w:t>
      </w:r>
    </w:p>
    <w:p w14:paraId="5645F867">
      <w:pPr>
        <w:keepNext w:val="0"/>
        <w:keepLines w:val="0"/>
        <w:pageBreakBefore w:val="0"/>
        <w:spacing w:line="360" w:lineRule="auto"/>
        <w:ind w:firstLine="42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（2）报价应包含完成本服务项目发生的所有含税费用、支付给员工的工资和国家强制缴纳的各种社会保障资金，以及供应商认为需要的其他费用等。</w:t>
      </w:r>
    </w:p>
    <w:p w14:paraId="0B4EE938">
      <w:pPr>
        <w:keepNext w:val="0"/>
        <w:keepLines w:val="0"/>
        <w:pageBreakBefore w:val="0"/>
        <w:spacing w:line="360" w:lineRule="auto"/>
        <w:ind w:firstLine="422"/>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lang w:val="zh-CN"/>
        </w:rPr>
        <w:t>报价要求：</w:t>
      </w:r>
      <w:r>
        <w:rPr>
          <w:rFonts w:hint="eastAsia" w:ascii="宋体" w:hAnsi="宋体" w:eastAsia="宋体" w:cs="宋体"/>
          <w:color w:val="000000"/>
          <w:szCs w:val="21"/>
          <w:highlight w:val="none"/>
          <w:lang w:val="zh-CN"/>
        </w:rPr>
        <w:t>以人民币万元或元为单位报价。报价采用总承包方式，供应商的报价应包括但不限于完成采购内容所需的直接费、间接费、利润、税金、政策性文件规定及合同包含的所有风险、责任等各项应有费用。（</w:t>
      </w:r>
      <w:r>
        <w:rPr>
          <w:rFonts w:hint="eastAsia" w:ascii="宋体" w:hAnsi="宋体" w:eastAsia="宋体" w:cs="宋体"/>
          <w:color w:val="000000"/>
          <w:szCs w:val="21"/>
          <w:highlight w:val="none"/>
        </w:rPr>
        <w:t>详见第四章项目需求</w:t>
      </w:r>
      <w:r>
        <w:rPr>
          <w:rFonts w:hint="eastAsia" w:ascii="宋体" w:hAnsi="宋体" w:eastAsia="宋体" w:cs="宋体"/>
          <w:color w:val="000000"/>
          <w:szCs w:val="21"/>
          <w:highlight w:val="none"/>
          <w:lang w:val="zh-CN"/>
        </w:rPr>
        <w:t>）</w:t>
      </w:r>
    </w:p>
    <w:p w14:paraId="15BF7CB0">
      <w:pPr>
        <w:keepNext w:val="0"/>
        <w:keepLines w:val="0"/>
        <w:pageBreakBefore w:val="0"/>
        <w:spacing w:line="360" w:lineRule="auto"/>
        <w:ind w:firstLine="420"/>
        <w:rPr>
          <w:rFonts w:hint="eastAsia" w:ascii="宋体" w:hAnsi="宋体" w:eastAsia="宋体" w:cs="宋体"/>
          <w:b/>
          <w:color w:val="000000"/>
          <w:szCs w:val="21"/>
          <w:highlight w:val="none"/>
          <w:lang w:val="zh-CN"/>
        </w:rPr>
      </w:pPr>
      <w:r>
        <w:rPr>
          <w:rFonts w:hint="eastAsia" w:ascii="宋体" w:hAnsi="宋体" w:eastAsia="宋体" w:cs="宋体"/>
          <w:color w:val="000000"/>
          <w:szCs w:val="21"/>
          <w:highlight w:val="none"/>
          <w:lang w:val="zh-CN"/>
        </w:rPr>
        <w:t>（3）</w:t>
      </w:r>
      <w:r>
        <w:rPr>
          <w:rFonts w:hint="eastAsia" w:ascii="宋体" w:hAnsi="宋体" w:eastAsia="宋体" w:cs="宋体"/>
          <w:b/>
          <w:color w:val="000000"/>
          <w:szCs w:val="21"/>
          <w:highlight w:val="none"/>
          <w:lang w:val="zh-CN"/>
        </w:rPr>
        <w:t>供应商应充分考虑到市场价格变动，以及项目实施过程中的不可预见因素，一旦成交，总价格不变。如果有漏项，视同让利。</w:t>
      </w:r>
    </w:p>
    <w:p w14:paraId="480C4B54">
      <w:pPr>
        <w:keepNext w:val="0"/>
        <w:keepLines w:val="0"/>
        <w:pageBreakBefore w:val="0"/>
        <w:spacing w:line="360" w:lineRule="auto"/>
        <w:ind w:firstLine="420"/>
        <w:rPr>
          <w:rFonts w:hint="eastAsia" w:ascii="宋体" w:hAnsi="宋体" w:eastAsia="宋体" w:cs="宋体"/>
          <w:b/>
          <w:color w:val="000000"/>
          <w:szCs w:val="21"/>
          <w:highlight w:val="none"/>
          <w:lang w:val="zh-CN"/>
        </w:rPr>
      </w:pPr>
      <w:r>
        <w:rPr>
          <w:rFonts w:hint="eastAsia" w:ascii="宋体" w:hAnsi="宋体" w:eastAsia="宋体" w:cs="宋体"/>
          <w:color w:val="000000"/>
          <w:szCs w:val="21"/>
          <w:highlight w:val="none"/>
          <w:lang w:val="zh-CN"/>
        </w:rPr>
        <w:t>（4）</w:t>
      </w:r>
      <w:r>
        <w:rPr>
          <w:rFonts w:hint="eastAsia" w:ascii="宋体" w:hAnsi="宋体" w:eastAsia="宋体" w:cs="宋体"/>
          <w:b/>
          <w:color w:val="000000"/>
          <w:szCs w:val="21"/>
          <w:highlight w:val="none"/>
          <w:lang w:val="zh-CN"/>
        </w:rPr>
        <w:t>经磋商后，如果成交价高于或低于供应商在响应文件首次报价的，分项报价同比例调整。</w:t>
      </w:r>
    </w:p>
    <w:p w14:paraId="244B7192">
      <w:pPr>
        <w:keepNext w:val="0"/>
        <w:keepLines w:val="0"/>
        <w:pageBreakBefore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szCs w:val="21"/>
          <w:highlight w:val="none"/>
          <w:lang w:val="zh-CN"/>
        </w:rPr>
        <w:t>7.</w:t>
      </w:r>
      <w:r>
        <w:rPr>
          <w:rFonts w:hint="eastAsia" w:ascii="宋体" w:hAnsi="宋体" w:eastAsia="宋体" w:cs="宋体"/>
          <w:color w:val="000000"/>
          <w:szCs w:val="21"/>
          <w:highlight w:val="none"/>
        </w:rPr>
        <w:t>6</w:t>
      </w:r>
      <w:r>
        <w:rPr>
          <w:rFonts w:hint="eastAsia" w:ascii="宋体" w:hAnsi="宋体" w:eastAsia="宋体" w:cs="宋体"/>
          <w:color w:val="000000"/>
          <w:szCs w:val="21"/>
          <w:highlight w:val="none"/>
          <w:lang w:val="zh-CN"/>
        </w:rPr>
        <w:t xml:space="preserve"> </w:t>
      </w:r>
      <w:r>
        <w:rPr>
          <w:rFonts w:hint="eastAsia" w:ascii="宋体" w:hAnsi="宋体" w:eastAsia="宋体" w:cs="宋体"/>
          <w:b/>
          <w:color w:val="000000"/>
          <w:szCs w:val="21"/>
          <w:highlight w:val="none"/>
          <w:lang w:val="zh-CN"/>
        </w:rPr>
        <w:t>响应文件的其他部分。</w:t>
      </w:r>
      <w:r>
        <w:rPr>
          <w:rFonts w:hint="eastAsia" w:ascii="宋体" w:hAnsi="宋体" w:eastAsia="宋体" w:cs="宋体"/>
          <w:color w:val="000000"/>
          <w:szCs w:val="21"/>
          <w:highlight w:val="none"/>
          <w:lang w:val="zh-CN"/>
        </w:rPr>
        <w:t>其他部分由供应商根据编制响应文件需要提供的其他相关文件。</w:t>
      </w:r>
    </w:p>
    <w:p w14:paraId="4D5016DF">
      <w:pPr>
        <w:keepNext w:val="0"/>
        <w:keepLines w:val="0"/>
        <w:pageBreakBefore w:val="0"/>
        <w:spacing w:line="360" w:lineRule="auto"/>
        <w:ind w:firstLine="422"/>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8、磋商保证金（</w:t>
      </w:r>
      <w:r>
        <w:rPr>
          <w:rFonts w:hint="eastAsia" w:ascii="宋体" w:hAnsi="宋体" w:eastAsia="宋体" w:cs="宋体"/>
          <w:b/>
          <w:bCs/>
          <w:color w:val="000000"/>
          <w:szCs w:val="21"/>
          <w:highlight w:val="none"/>
        </w:rPr>
        <w:t>本项目不收取磋商保证金</w:t>
      </w:r>
      <w:r>
        <w:rPr>
          <w:rFonts w:hint="eastAsia" w:ascii="宋体" w:hAnsi="宋体" w:eastAsia="宋体" w:cs="宋体"/>
          <w:b/>
          <w:bCs/>
          <w:color w:val="000000"/>
          <w:szCs w:val="21"/>
          <w:highlight w:val="none"/>
          <w:lang w:val="zh-CN"/>
        </w:rPr>
        <w:t>）</w:t>
      </w:r>
    </w:p>
    <w:p w14:paraId="1E9285E7">
      <w:pPr>
        <w:pStyle w:val="182"/>
        <w:spacing w:before="0" w:after="160" w:line="360" w:lineRule="auto"/>
        <w:ind w:firstLine="422"/>
        <w:rPr>
          <w:rFonts w:ascii="宋体"/>
          <w:color w:val="000000"/>
          <w:sz w:val="21"/>
          <w:szCs w:val="21"/>
          <w:highlight w:val="none"/>
          <w:lang w:val="zh-CN"/>
        </w:rPr>
      </w:pPr>
      <w:bookmarkStart w:id="77" w:name="_Toc11074"/>
      <w:bookmarkStart w:id="78" w:name="_Toc27322"/>
      <w:bookmarkStart w:id="79" w:name="_Toc30134"/>
      <w:r>
        <w:rPr>
          <w:rFonts w:hint="eastAsia" w:ascii="宋体"/>
          <w:color w:val="000000"/>
          <w:sz w:val="21"/>
          <w:szCs w:val="21"/>
          <w:highlight w:val="none"/>
          <w:lang w:val="zh-CN"/>
        </w:rPr>
        <w:t>三、响应文件签署与提交</w:t>
      </w:r>
      <w:bookmarkEnd w:id="77"/>
      <w:bookmarkEnd w:id="78"/>
      <w:bookmarkEnd w:id="79"/>
    </w:p>
    <w:p w14:paraId="1BE290BC">
      <w:pPr>
        <w:pageBreakBefore w:val="0"/>
        <w:widowControl w:val="0"/>
        <w:spacing w:line="360" w:lineRule="auto"/>
        <w:ind w:firstLine="422"/>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rPr>
        <w:t>9</w:t>
      </w:r>
      <w:r>
        <w:rPr>
          <w:rFonts w:hint="eastAsia" w:ascii="宋体" w:hAnsi="宋体" w:eastAsia="宋体" w:cs="宋体"/>
          <w:b/>
          <w:bCs/>
          <w:color w:val="000000"/>
          <w:szCs w:val="21"/>
          <w:highlight w:val="none"/>
          <w:lang w:val="zh-CN"/>
        </w:rPr>
        <w:t>.1 响应文件应加盖响应供应商公章。磋商文件中注明须签字的地方应由供应商的法定代表人或委托代理人签字，如为委托代理人签字的应附“法定代表人授权委托书”。</w:t>
      </w:r>
    </w:p>
    <w:p w14:paraId="63AA31A4">
      <w:pPr>
        <w:pageBreakBefore w:val="0"/>
        <w:widowControl w:val="0"/>
        <w:spacing w:line="360" w:lineRule="auto"/>
        <w:ind w:firstLine="42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9</w:t>
      </w:r>
      <w:r>
        <w:rPr>
          <w:rFonts w:hint="eastAsia" w:ascii="宋体" w:hAnsi="宋体" w:eastAsia="宋体" w:cs="宋体"/>
          <w:color w:val="000000"/>
          <w:szCs w:val="21"/>
          <w:highlight w:val="none"/>
          <w:lang w:val="zh-CN"/>
        </w:rPr>
        <w:t>.</w:t>
      </w:r>
      <w:r>
        <w:rPr>
          <w:rFonts w:hint="eastAsia" w:ascii="宋体" w:hAnsi="宋体" w:eastAsia="宋体" w:cs="宋体"/>
          <w:color w:val="000000"/>
          <w:szCs w:val="21"/>
          <w:highlight w:val="none"/>
        </w:rPr>
        <w:t>2</w:t>
      </w:r>
      <w:r>
        <w:rPr>
          <w:rFonts w:hint="eastAsia" w:ascii="宋体" w:hAnsi="宋体" w:eastAsia="宋体" w:cs="宋体"/>
          <w:color w:val="000000"/>
          <w:szCs w:val="21"/>
          <w:highlight w:val="none"/>
          <w:lang w:val="zh-CN"/>
        </w:rPr>
        <w:t xml:space="preserve"> 供应商应当按照《操作手册》规定，在</w:t>
      </w:r>
      <w:r>
        <w:rPr>
          <w:rFonts w:hint="eastAsia" w:ascii="宋体" w:hAnsi="宋体" w:eastAsia="宋体" w:cs="宋体"/>
          <w:color w:val="000000"/>
          <w:szCs w:val="21"/>
          <w:highlight w:val="none"/>
        </w:rPr>
        <w:t>磋商公告规定的递交</w:t>
      </w:r>
      <w:r>
        <w:rPr>
          <w:rFonts w:hint="eastAsia" w:ascii="宋体" w:hAnsi="宋体" w:eastAsia="宋体" w:cs="宋体"/>
          <w:color w:val="000000"/>
          <w:szCs w:val="21"/>
          <w:highlight w:val="none"/>
          <w:lang w:val="zh-CN"/>
        </w:rPr>
        <w:t>响应文件截止时间前制作并上传电子响应文件。</w:t>
      </w:r>
    </w:p>
    <w:p w14:paraId="1358F678">
      <w:pPr>
        <w:pageBreakBefore w:val="0"/>
        <w:widowControl w:val="0"/>
        <w:spacing w:line="360" w:lineRule="auto"/>
        <w:ind w:firstLine="420"/>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9.3 供</w:t>
      </w:r>
      <w:r>
        <w:rPr>
          <w:rFonts w:hint="eastAsia" w:ascii="宋体" w:hAnsi="宋体" w:eastAsia="宋体" w:cs="宋体"/>
          <w:bCs/>
          <w:color w:val="000000"/>
          <w:szCs w:val="21"/>
          <w:highlight w:val="none"/>
          <w:lang w:val="zh-CN"/>
        </w:rPr>
        <w:t>应商应充分考虑网络环境、网络带宽等因素可能对磋商产生的影响，如因供应商自身原因造成的电子响应文件上传不成功的，按照本</w:t>
      </w:r>
      <w:r>
        <w:rPr>
          <w:rFonts w:hint="eastAsia" w:ascii="宋体" w:hAnsi="宋体" w:eastAsia="宋体" w:cs="宋体"/>
          <w:b/>
          <w:color w:val="000000"/>
          <w:szCs w:val="21"/>
          <w:highlight w:val="none"/>
          <w:lang w:val="zh-CN"/>
        </w:rPr>
        <w:t>磋商文件第二章第16.3.3</w:t>
      </w:r>
      <w:r>
        <w:rPr>
          <w:rFonts w:hint="eastAsia" w:ascii="宋体" w:hAnsi="宋体" w:eastAsia="宋体" w:cs="宋体"/>
          <w:bCs/>
          <w:color w:val="000000"/>
          <w:szCs w:val="21"/>
          <w:highlight w:val="none"/>
          <w:lang w:val="zh-CN"/>
        </w:rPr>
        <w:t>条规定做无效响应处理。</w:t>
      </w:r>
    </w:p>
    <w:p w14:paraId="0DDFD3ED">
      <w:pPr>
        <w:pageBreakBefore w:val="0"/>
        <w:widowControl w:val="0"/>
        <w:spacing w:line="360" w:lineRule="auto"/>
        <w:ind w:firstLine="420"/>
        <w:rPr>
          <w:rFonts w:hint="eastAsia" w:ascii="宋体" w:hAnsi="宋体" w:eastAsia="宋体" w:cs="宋体"/>
          <w:bCs/>
          <w:color w:val="000000"/>
          <w:szCs w:val="21"/>
          <w:highlight w:val="none"/>
          <w:lang w:val="zh-CN"/>
        </w:rPr>
      </w:pPr>
      <w:r>
        <w:rPr>
          <w:rFonts w:hint="eastAsia" w:ascii="宋体" w:hAnsi="宋体" w:eastAsia="宋体" w:cs="宋体"/>
          <w:color w:val="000000"/>
          <w:szCs w:val="21"/>
          <w:highlight w:val="none"/>
        </w:rPr>
        <w:t xml:space="preserve">9.4 </w:t>
      </w:r>
      <w:r>
        <w:rPr>
          <w:rFonts w:hint="eastAsia" w:ascii="宋体" w:hAnsi="宋体" w:eastAsia="宋体" w:cs="宋体"/>
          <w:color w:val="000000"/>
          <w:szCs w:val="21"/>
          <w:highlight w:val="none"/>
          <w:lang w:val="zh-CN"/>
        </w:rPr>
        <w:t>采购代理机构可以按照规定，通过修改磋商文件酌情延长提交响应文件截止日期，在此情况下，供应商的所有权利和义务均以延长后新的截止日期为准。</w:t>
      </w:r>
    </w:p>
    <w:p w14:paraId="65BC653A">
      <w:pPr>
        <w:pageBreakBefore w:val="0"/>
        <w:widowControl w:val="0"/>
        <w:spacing w:line="360" w:lineRule="auto"/>
        <w:ind w:firstLine="420"/>
        <w:rPr>
          <w:rFonts w:hint="eastAsia" w:ascii="宋体" w:hAnsi="宋体" w:eastAsia="宋体" w:cs="宋体"/>
          <w:b/>
          <w:bCs/>
          <w:color w:val="000000"/>
          <w:szCs w:val="21"/>
          <w:highlight w:val="none"/>
          <w:lang w:val="zh-CN"/>
        </w:rPr>
      </w:pPr>
      <w:r>
        <w:rPr>
          <w:rFonts w:hint="eastAsia" w:ascii="宋体" w:hAnsi="宋体" w:eastAsia="宋体" w:cs="宋体"/>
          <w:bCs/>
          <w:color w:val="000000"/>
          <w:szCs w:val="21"/>
          <w:highlight w:val="none"/>
          <w:lang w:val="zh-CN"/>
        </w:rPr>
        <w:t>9.</w:t>
      </w:r>
      <w:r>
        <w:rPr>
          <w:rFonts w:hint="eastAsia" w:ascii="宋体" w:hAnsi="宋体" w:eastAsia="宋体" w:cs="宋体"/>
          <w:bCs/>
          <w:color w:val="000000"/>
          <w:szCs w:val="21"/>
          <w:highlight w:val="none"/>
        </w:rPr>
        <w:t xml:space="preserve">5 </w:t>
      </w:r>
      <w:r>
        <w:rPr>
          <w:rFonts w:hint="eastAsia" w:ascii="宋体" w:hAnsi="宋体" w:eastAsia="宋体" w:cs="宋体"/>
          <w:b/>
          <w:bCs/>
          <w:color w:val="000000"/>
          <w:szCs w:val="21"/>
          <w:highlight w:val="none"/>
          <w:lang w:val="zh-CN"/>
        </w:rPr>
        <w:t>有下列情形之一的响应文件将拒收：</w:t>
      </w:r>
    </w:p>
    <w:p w14:paraId="269B0A18">
      <w:pPr>
        <w:pageBreakBefore w:val="0"/>
        <w:widowControl w:val="0"/>
        <w:spacing w:line="360" w:lineRule="auto"/>
        <w:ind w:firstLine="42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采购代理机构拒绝接收提交响应文件截止时间后上传的任何电子响应文件。</w:t>
      </w:r>
    </w:p>
    <w:p w14:paraId="45528AB1">
      <w:pPr>
        <w:pStyle w:val="230"/>
        <w:keepNext/>
        <w:keepLines/>
        <w:pageBreakBefore w:val="0"/>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22"/>
        <w:jc w:val="both"/>
        <w:rPr>
          <w:rFonts w:hint="eastAsia" w:ascii="宋体" w:hAnsi="宋体" w:eastAsia="宋体" w:cs="宋体"/>
          <w:color w:val="000000"/>
          <w:sz w:val="21"/>
          <w:szCs w:val="21"/>
          <w:highlight w:val="none"/>
        </w:rPr>
      </w:pPr>
      <w:bookmarkStart w:id="80" w:name="_Toc20823300"/>
      <w:bookmarkStart w:id="81" w:name="_Toc16938544"/>
      <w:bookmarkStart w:id="82" w:name="_Toc513029228"/>
      <w:r>
        <w:rPr>
          <w:rFonts w:hint="eastAsia" w:ascii="宋体" w:hAnsi="宋体" w:eastAsia="宋体" w:cs="宋体"/>
          <w:b/>
          <w:bCs/>
          <w:color w:val="000000"/>
          <w:sz w:val="21"/>
          <w:szCs w:val="21"/>
          <w:highlight w:val="none"/>
        </w:rPr>
        <w:t>四、响应文件的撤回和修改</w:t>
      </w:r>
      <w:bookmarkEnd w:id="80"/>
      <w:bookmarkEnd w:id="81"/>
      <w:bookmarkEnd w:id="82"/>
    </w:p>
    <w:p w14:paraId="1DA5F0FC">
      <w:pPr>
        <w:pStyle w:val="230"/>
        <w:pageBreakBefore w:val="0"/>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22"/>
        <w:jc w:val="both"/>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10.1响应文件的撤回</w:t>
      </w:r>
    </w:p>
    <w:p w14:paraId="424A4050">
      <w:pPr>
        <w:pStyle w:val="230"/>
        <w:pageBreakBefore w:val="0"/>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2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 电子响应文件的撤回</w:t>
      </w:r>
    </w:p>
    <w:p w14:paraId="48FA8E80">
      <w:pPr>
        <w:pStyle w:val="230"/>
        <w:pageBreakBefore w:val="0"/>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2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供应商可在提交响应文件截止时间前，撤回其电子响应文件，具体操作方法见《操作手册》。</w:t>
      </w:r>
    </w:p>
    <w:p w14:paraId="66E3FEC0">
      <w:pPr>
        <w:pStyle w:val="230"/>
        <w:pageBreakBefore w:val="0"/>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2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 供应商撤回电子响应文件，则认为其不再参与本项目磋商活动。</w:t>
      </w:r>
    </w:p>
    <w:p w14:paraId="179BA192">
      <w:pPr>
        <w:pStyle w:val="230"/>
        <w:pageBreakBefore w:val="0"/>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20"/>
        <w:jc w:val="both"/>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10</w:t>
      </w:r>
      <w:r>
        <w:rPr>
          <w:rFonts w:hint="eastAsia" w:ascii="宋体" w:hAnsi="宋体" w:eastAsia="宋体" w:cs="宋体"/>
          <w:b/>
          <w:bCs/>
          <w:color w:val="000000"/>
          <w:sz w:val="21"/>
          <w:szCs w:val="21"/>
          <w:highlight w:val="none"/>
        </w:rPr>
        <w:t>.2响应文件的修改</w:t>
      </w:r>
    </w:p>
    <w:p w14:paraId="5753CBCD">
      <w:pPr>
        <w:pStyle w:val="230"/>
        <w:pageBreakBefore w:val="0"/>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2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（1）供应商可在提交响应文件截止时间前，对其电子响应文件进行修改，具体操作方法见《操作手册》。</w:t>
      </w:r>
    </w:p>
    <w:p w14:paraId="3FD2E568">
      <w:pPr>
        <w:pStyle w:val="230"/>
        <w:pageBreakBefore w:val="0"/>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2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（2）在提交响应文件截止时间之后，供应商不得对其电子响应文件作任何修改。</w:t>
      </w:r>
    </w:p>
    <w:p w14:paraId="5A77DD75">
      <w:pPr>
        <w:pageBreakBefore w:val="0"/>
        <w:widowControl w:val="0"/>
        <w:spacing w:line="360" w:lineRule="auto"/>
        <w:ind w:firstLine="420"/>
        <w:rPr>
          <w:rFonts w:ascii="宋体" w:hAnsi="宋体" w:cs="宋体"/>
          <w:color w:val="000000"/>
          <w:szCs w:val="21"/>
          <w:highlight w:val="none"/>
        </w:rPr>
      </w:pPr>
      <w:r>
        <w:rPr>
          <w:rFonts w:hint="eastAsia" w:ascii="宋体" w:hAnsi="宋体" w:eastAsia="宋体" w:cs="宋体"/>
          <w:color w:val="000000"/>
          <w:szCs w:val="21"/>
          <w:highlight w:val="none"/>
        </w:rPr>
        <w:t>（3）在提交响应文件截止时间至磋商文件中规定的磋商有效期满之间的这段时间内，供应商不得撤回其响应文件。</w:t>
      </w:r>
    </w:p>
    <w:p w14:paraId="7DD5EE57">
      <w:pPr>
        <w:pStyle w:val="182"/>
        <w:spacing w:before="0" w:after="160" w:line="360" w:lineRule="auto"/>
        <w:ind w:firstLine="422"/>
        <w:rPr>
          <w:rFonts w:ascii="宋体"/>
          <w:color w:val="000000"/>
          <w:sz w:val="21"/>
          <w:szCs w:val="21"/>
          <w:highlight w:val="none"/>
          <w:lang w:val="zh-CN"/>
        </w:rPr>
      </w:pPr>
      <w:bookmarkStart w:id="83" w:name="_Toc18702"/>
      <w:bookmarkStart w:id="84" w:name="_Toc9457"/>
      <w:bookmarkStart w:id="85" w:name="_Toc4383"/>
      <w:r>
        <w:rPr>
          <w:rFonts w:hint="eastAsia" w:ascii="宋体" w:eastAsia="宋体"/>
          <w:color w:val="000000"/>
          <w:sz w:val="21"/>
          <w:szCs w:val="21"/>
          <w:highlight w:val="none"/>
          <w:lang w:val="en-US" w:eastAsia="zh-CN"/>
        </w:rPr>
        <w:t>四</w:t>
      </w:r>
      <w:r>
        <w:rPr>
          <w:rFonts w:hint="eastAsia" w:ascii="宋体"/>
          <w:color w:val="000000"/>
          <w:sz w:val="21"/>
          <w:szCs w:val="21"/>
          <w:highlight w:val="none"/>
          <w:lang w:val="zh-CN"/>
        </w:rPr>
        <w:t>、磋商</w:t>
      </w:r>
      <w:bookmarkEnd w:id="83"/>
      <w:bookmarkEnd w:id="84"/>
      <w:bookmarkEnd w:id="85"/>
    </w:p>
    <w:p w14:paraId="21E10C9B">
      <w:pPr>
        <w:keepNext w:val="0"/>
        <w:keepLines w:val="0"/>
        <w:pageBreakBefore w:val="0"/>
        <w:widowControl w:val="0"/>
        <w:spacing w:line="360" w:lineRule="auto"/>
        <w:ind w:firstLine="420"/>
        <w:rPr>
          <w:rFonts w:hint="eastAsia" w:ascii="宋体" w:hAnsi="宋体" w:eastAsia="宋体" w:cs="宋体"/>
          <w:b/>
          <w:bCs/>
          <w:color w:val="000000"/>
          <w:szCs w:val="21"/>
          <w:highlight w:val="none"/>
          <w:lang w:val="zh-CN"/>
        </w:rPr>
      </w:pPr>
      <w:r>
        <w:rPr>
          <w:rFonts w:hint="eastAsia" w:ascii="宋体" w:hAnsi="宋体" w:eastAsia="宋体" w:cs="宋体"/>
          <w:color w:val="000000"/>
          <w:szCs w:val="21"/>
          <w:highlight w:val="none"/>
        </w:rPr>
        <w:t>11</w:t>
      </w:r>
      <w:r>
        <w:rPr>
          <w:rFonts w:hint="eastAsia" w:ascii="宋体" w:hAnsi="宋体" w:eastAsia="宋体" w:cs="宋体"/>
          <w:b/>
          <w:bCs/>
          <w:color w:val="000000"/>
          <w:szCs w:val="21"/>
          <w:highlight w:val="none"/>
          <w:lang w:val="zh-CN"/>
        </w:rPr>
        <w:t>、联合体（</w:t>
      </w:r>
      <w:r>
        <w:rPr>
          <w:rFonts w:hint="eastAsia" w:ascii="宋体" w:hAnsi="宋体" w:eastAsia="宋体" w:cs="宋体"/>
          <w:b/>
          <w:bCs/>
          <w:color w:val="000000"/>
          <w:szCs w:val="21"/>
          <w:highlight w:val="none"/>
        </w:rPr>
        <w:t>本项目不接受联合体响应</w:t>
      </w:r>
      <w:r>
        <w:rPr>
          <w:rFonts w:hint="eastAsia" w:ascii="宋体" w:hAnsi="宋体" w:eastAsia="宋体" w:cs="宋体"/>
          <w:b/>
          <w:bCs/>
          <w:color w:val="000000"/>
          <w:szCs w:val="21"/>
          <w:highlight w:val="none"/>
          <w:lang w:val="zh-CN"/>
        </w:rPr>
        <w:t>）</w:t>
      </w:r>
    </w:p>
    <w:p w14:paraId="0554DE40">
      <w:pPr>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11.1</w:t>
      </w:r>
      <w:r>
        <w:rPr>
          <w:rFonts w:hint="eastAsia" w:ascii="宋体" w:hAnsi="宋体" w:eastAsia="宋体" w:cs="宋体"/>
          <w:color w:val="000000"/>
          <w:szCs w:val="21"/>
          <w:highlight w:val="none"/>
        </w:rPr>
        <w:t>两个以上的自然人、法人或者其他组织可以组成一个联合体，以一个供应商的身份共同参加政府采购。</w:t>
      </w:r>
    </w:p>
    <w:p w14:paraId="6252959E">
      <w:pPr>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11.2鼓励大中型企业和其他自然人、法人或者其他组织与小型、微型企业组成联合体共同参加非专门面向中小企业的政府采购活动。</w:t>
      </w:r>
    </w:p>
    <w:p w14:paraId="7658F713">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szCs w:val="21"/>
          <w:highlight w:val="none"/>
        </w:rPr>
        <w:t>11.3以联合体形式参加采购的，</w:t>
      </w:r>
      <w:r>
        <w:rPr>
          <w:rFonts w:hint="eastAsia" w:ascii="宋体" w:hAnsi="宋体" w:eastAsia="宋体" w:cs="宋体"/>
          <w:b/>
          <w:color w:val="000000"/>
          <w:szCs w:val="21"/>
          <w:highlight w:val="none"/>
        </w:rPr>
        <w:t>联合体各方均应当符合政府采购法第二十二条第一款规定的</w:t>
      </w:r>
      <w:r>
        <w:rPr>
          <w:rFonts w:hint="eastAsia" w:ascii="宋体" w:hAnsi="宋体" w:eastAsia="宋体" w:cs="宋体"/>
          <w:b/>
          <w:color w:val="000000"/>
          <w:highlight w:val="none"/>
        </w:rPr>
        <w:t>条件；采购人根据采购项目的特殊要求规定供应商特定条件的，联合体各方中至少应当有一方符合采购人规定的特定条件</w:t>
      </w:r>
      <w:r>
        <w:rPr>
          <w:rFonts w:hint="eastAsia" w:ascii="宋体" w:hAnsi="宋体" w:eastAsia="宋体" w:cs="宋体"/>
          <w:color w:val="000000"/>
          <w:highlight w:val="none"/>
        </w:rPr>
        <w:t>。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5BA2509D">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11.4 联合体各方之间应当签订联合体协议，明确约定联合体各方承担的工作和相应的责任，并将联合体协议连同响应文件一并提交。</w:t>
      </w:r>
    </w:p>
    <w:p w14:paraId="4347BBAF">
      <w:pPr>
        <w:keepNext w:val="0"/>
        <w:keepLines w:val="0"/>
        <w:pageBreakBefore w:val="0"/>
        <w:widowControl w:val="0"/>
        <w:spacing w:line="360" w:lineRule="auto"/>
        <w:ind w:firstLine="420"/>
        <w:rPr>
          <w:rFonts w:hint="eastAsia" w:ascii="宋体" w:hAnsi="宋体" w:eastAsia="宋体" w:cs="宋体"/>
          <w:b/>
          <w:bCs/>
          <w:color w:val="000000"/>
          <w:szCs w:val="21"/>
          <w:highlight w:val="none"/>
          <w:lang w:val="zh-CN"/>
        </w:rPr>
      </w:pPr>
      <w:r>
        <w:rPr>
          <w:rFonts w:hint="eastAsia" w:ascii="宋体" w:hAnsi="宋体" w:eastAsia="宋体" w:cs="宋体"/>
          <w:color w:val="000000"/>
          <w:highlight w:val="none"/>
        </w:rPr>
        <w:t>11.5 以联合体形式参加政府采购活动的，联合体各方不得再单独参加或者与其他供应商另外组成联合体参加同一合同项下的政府采购活动。</w:t>
      </w:r>
    </w:p>
    <w:p w14:paraId="636A6AEB">
      <w:pPr>
        <w:keepNext w:val="0"/>
        <w:keepLines w:val="0"/>
        <w:pageBreakBefore w:val="0"/>
        <w:widowControl w:val="0"/>
        <w:spacing w:line="360" w:lineRule="auto"/>
        <w:ind w:firstLine="422"/>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rPr>
        <w:t>12</w:t>
      </w:r>
      <w:r>
        <w:rPr>
          <w:rFonts w:hint="eastAsia" w:ascii="宋体" w:hAnsi="宋体" w:eastAsia="宋体" w:cs="宋体"/>
          <w:b/>
          <w:bCs/>
          <w:color w:val="000000"/>
          <w:szCs w:val="21"/>
          <w:highlight w:val="none"/>
          <w:lang w:val="zh-CN"/>
        </w:rPr>
        <w:t>. 响应文件解密</w:t>
      </w:r>
    </w:p>
    <w:p w14:paraId="2F8EFE54">
      <w:pPr>
        <w:keepNext w:val="0"/>
        <w:keepLines w:val="0"/>
        <w:pageBreakBefore w:val="0"/>
        <w:widowControl w:val="0"/>
        <w:spacing w:line="360" w:lineRule="auto"/>
        <w:ind w:firstLine="42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12</w:t>
      </w:r>
      <w:r>
        <w:rPr>
          <w:rFonts w:hint="eastAsia" w:ascii="宋体" w:hAnsi="宋体" w:eastAsia="宋体" w:cs="宋体"/>
          <w:color w:val="000000"/>
          <w:szCs w:val="21"/>
          <w:highlight w:val="none"/>
          <w:lang w:val="zh-CN"/>
        </w:rPr>
        <w:t>.1 供应商应当按照《操作手册》规定，在苏采云系统规定的时间内对响应文件进行解密。</w:t>
      </w:r>
    </w:p>
    <w:p w14:paraId="2240E0D1">
      <w:pPr>
        <w:keepNext w:val="0"/>
        <w:keepLines w:val="0"/>
        <w:pageBreakBefore w:val="0"/>
        <w:widowControl w:val="0"/>
        <w:spacing w:line="360" w:lineRule="auto"/>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12.2 所有供应商使用 CA 证书在递交响应文件截止后，解密各自响应文件，供应商不足3家的，不得评标。</w:t>
      </w:r>
    </w:p>
    <w:p w14:paraId="430922D3">
      <w:pPr>
        <w:keepNext w:val="0"/>
        <w:keepLines w:val="0"/>
        <w:pageBreakBefore w:val="0"/>
        <w:widowControl w:val="0"/>
        <w:spacing w:line="360" w:lineRule="auto"/>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12.3 供应商原因造成响应文件未解密的，视为撤销其响应文件；因供应商之外的原因造成响应文件未解密的，视为撤回其响应文件。部分响应文件未解密的，其他响应文件的评标可以继续进行。</w:t>
      </w:r>
    </w:p>
    <w:p w14:paraId="1EAB39DC">
      <w:pPr>
        <w:keepNext w:val="0"/>
        <w:keepLines w:val="0"/>
        <w:pageBreakBefore w:val="0"/>
        <w:widowControl w:val="0"/>
        <w:spacing w:line="360" w:lineRule="auto"/>
        <w:ind w:firstLine="422"/>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rPr>
        <w:t>13</w:t>
      </w:r>
      <w:r>
        <w:rPr>
          <w:rFonts w:hint="eastAsia" w:ascii="宋体" w:hAnsi="宋体" w:eastAsia="宋体" w:cs="宋体"/>
          <w:b/>
          <w:bCs/>
          <w:color w:val="000000"/>
          <w:szCs w:val="21"/>
          <w:highlight w:val="none"/>
          <w:lang w:val="zh-CN"/>
        </w:rPr>
        <w:t>、磋商组织</w:t>
      </w:r>
    </w:p>
    <w:p w14:paraId="7B2CC402">
      <w:pPr>
        <w:keepNext w:val="0"/>
        <w:keepLines w:val="0"/>
        <w:pageBreakBefore w:val="0"/>
        <w:widowControl w:val="0"/>
        <w:spacing w:line="360" w:lineRule="auto"/>
        <w:ind w:firstLine="42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13</w:t>
      </w:r>
      <w:r>
        <w:rPr>
          <w:rFonts w:hint="eastAsia" w:ascii="宋体" w:hAnsi="宋体" w:eastAsia="宋体" w:cs="宋体"/>
          <w:color w:val="000000"/>
          <w:szCs w:val="21"/>
          <w:highlight w:val="none"/>
          <w:lang w:val="zh-CN"/>
        </w:rPr>
        <w:t>.1 在提交响应文件时间截止后，</w:t>
      </w:r>
      <w:r>
        <w:rPr>
          <w:rFonts w:hint="eastAsia" w:ascii="宋体" w:hAnsi="宋体" w:eastAsia="宋体" w:cs="宋体"/>
          <w:color w:val="000000"/>
          <w:szCs w:val="21"/>
          <w:highlight w:val="none"/>
        </w:rPr>
        <w:t>采购代理机构</w:t>
      </w:r>
      <w:r>
        <w:rPr>
          <w:rFonts w:hint="eastAsia" w:ascii="宋体" w:hAnsi="宋体" w:eastAsia="宋体" w:cs="宋体"/>
          <w:color w:val="000000"/>
          <w:szCs w:val="21"/>
          <w:highlight w:val="none"/>
          <w:lang w:val="zh-CN"/>
        </w:rPr>
        <w:t>在规定的时间和地点组织磋商小组分别与供应商进行磋商。</w:t>
      </w:r>
    </w:p>
    <w:p w14:paraId="1C31D278">
      <w:pPr>
        <w:keepNext w:val="0"/>
        <w:keepLines w:val="0"/>
        <w:pageBreakBefore w:val="0"/>
        <w:widowControl w:val="0"/>
        <w:spacing w:line="360" w:lineRule="auto"/>
        <w:ind w:firstLine="42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13</w:t>
      </w:r>
      <w:r>
        <w:rPr>
          <w:rFonts w:hint="eastAsia" w:ascii="宋体" w:hAnsi="宋体" w:eastAsia="宋体" w:cs="宋体"/>
          <w:color w:val="000000"/>
          <w:szCs w:val="21"/>
          <w:highlight w:val="none"/>
          <w:lang w:val="zh-CN"/>
        </w:rPr>
        <w:t>.2 磋商工作由</w:t>
      </w:r>
      <w:r>
        <w:rPr>
          <w:rFonts w:hint="eastAsia" w:ascii="宋体" w:hAnsi="宋体" w:eastAsia="宋体" w:cs="宋体"/>
          <w:color w:val="000000"/>
          <w:szCs w:val="21"/>
          <w:highlight w:val="none"/>
        </w:rPr>
        <w:t>采购代理机构</w:t>
      </w:r>
      <w:r>
        <w:rPr>
          <w:rFonts w:hint="eastAsia" w:ascii="宋体" w:hAnsi="宋体" w:eastAsia="宋体" w:cs="宋体"/>
          <w:color w:val="000000"/>
          <w:szCs w:val="21"/>
          <w:highlight w:val="none"/>
          <w:lang w:val="zh-CN"/>
        </w:rPr>
        <w:t>负责组织，具体磋商事务由依法组建的磋商小组负责。</w:t>
      </w:r>
    </w:p>
    <w:p w14:paraId="3FB9DE80">
      <w:pPr>
        <w:keepNext w:val="0"/>
        <w:keepLines w:val="0"/>
        <w:pageBreakBefore w:val="0"/>
        <w:widowControl w:val="0"/>
        <w:spacing w:line="360" w:lineRule="auto"/>
        <w:ind w:firstLine="422"/>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rPr>
        <w:t>14</w:t>
      </w:r>
      <w:r>
        <w:rPr>
          <w:rFonts w:hint="eastAsia" w:ascii="宋体" w:hAnsi="宋体" w:eastAsia="宋体" w:cs="宋体"/>
          <w:b/>
          <w:color w:val="000000"/>
          <w:szCs w:val="21"/>
          <w:highlight w:val="none"/>
          <w:lang w:val="zh-CN"/>
        </w:rPr>
        <w:t>、评审过程的保密与公正</w:t>
      </w:r>
    </w:p>
    <w:p w14:paraId="4076BD56">
      <w:pPr>
        <w:keepNext w:val="0"/>
        <w:keepLines w:val="0"/>
        <w:pageBreakBefore w:val="0"/>
        <w:widowControl w:val="0"/>
        <w:spacing w:line="360" w:lineRule="auto"/>
        <w:ind w:firstLine="420"/>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14</w:t>
      </w:r>
      <w:r>
        <w:rPr>
          <w:rFonts w:hint="eastAsia" w:ascii="宋体" w:hAnsi="宋体" w:eastAsia="宋体" w:cs="宋体"/>
          <w:bCs/>
          <w:color w:val="000000"/>
          <w:szCs w:val="21"/>
          <w:highlight w:val="none"/>
          <w:lang w:val="zh-CN"/>
        </w:rPr>
        <w:t>.1 磋商小组、采购人和采购代理机构工作人员、相关监督人员等与评审工作有关的人员，对评审情况以及在评审过程中获悉的国家秘密、商业秘密负有保密责任。</w:t>
      </w:r>
    </w:p>
    <w:p w14:paraId="44EDB54B">
      <w:pPr>
        <w:keepNext w:val="0"/>
        <w:keepLines w:val="0"/>
        <w:pageBreakBefore w:val="0"/>
        <w:widowControl w:val="0"/>
        <w:spacing w:line="360" w:lineRule="auto"/>
        <w:ind w:firstLine="420"/>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14</w:t>
      </w:r>
      <w:r>
        <w:rPr>
          <w:rFonts w:hint="eastAsia" w:ascii="宋体" w:hAnsi="宋体" w:eastAsia="宋体" w:cs="宋体"/>
          <w:bCs/>
          <w:color w:val="000000"/>
          <w:szCs w:val="21"/>
          <w:highlight w:val="none"/>
          <w:lang w:val="zh-CN"/>
        </w:rPr>
        <w:t>.2 在评审过程中，供应商不得以任何行为影响磋商评审过程，否则其响应文件将被作为无效响应文件。</w:t>
      </w:r>
    </w:p>
    <w:p w14:paraId="65449AAD">
      <w:pPr>
        <w:keepNext w:val="0"/>
        <w:keepLines w:val="0"/>
        <w:pageBreakBefore w:val="0"/>
        <w:widowControl w:val="0"/>
        <w:spacing w:line="360" w:lineRule="auto"/>
        <w:ind w:firstLine="420"/>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14</w:t>
      </w:r>
      <w:r>
        <w:rPr>
          <w:rFonts w:hint="eastAsia" w:ascii="宋体" w:hAnsi="宋体" w:eastAsia="宋体" w:cs="宋体"/>
          <w:bCs/>
          <w:color w:val="000000"/>
          <w:szCs w:val="21"/>
          <w:highlight w:val="none"/>
          <w:lang w:val="zh-CN"/>
        </w:rPr>
        <w:t>.3 在项目评审期间，采购代理机构将设专门人员与供应商联系。</w:t>
      </w:r>
    </w:p>
    <w:p w14:paraId="0569D0F4">
      <w:pPr>
        <w:keepNext w:val="0"/>
        <w:keepLines w:val="0"/>
        <w:pageBreakBefore w:val="0"/>
        <w:widowControl w:val="0"/>
        <w:spacing w:line="360" w:lineRule="auto"/>
        <w:ind w:firstLine="420"/>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14</w:t>
      </w:r>
      <w:r>
        <w:rPr>
          <w:rFonts w:hint="eastAsia" w:ascii="宋体" w:hAnsi="宋体" w:eastAsia="宋体" w:cs="宋体"/>
          <w:bCs/>
          <w:color w:val="000000"/>
          <w:szCs w:val="21"/>
          <w:highlight w:val="none"/>
          <w:lang w:val="zh-CN"/>
        </w:rPr>
        <w:t>.4 采购代理机构和磋商小组不向未成交的供应商解释未成交原因，也不公布评审过程中的相关细节。</w:t>
      </w:r>
    </w:p>
    <w:p w14:paraId="1738134F">
      <w:pPr>
        <w:keepNext w:val="0"/>
        <w:keepLines w:val="0"/>
        <w:pageBreakBefore w:val="0"/>
        <w:widowControl w:val="0"/>
        <w:spacing w:line="360" w:lineRule="auto"/>
        <w:ind w:firstLine="422"/>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1</w:t>
      </w:r>
      <w:r>
        <w:rPr>
          <w:rFonts w:hint="eastAsia" w:ascii="宋体" w:hAnsi="宋体" w:eastAsia="宋体" w:cs="宋体"/>
          <w:b/>
          <w:color w:val="000000"/>
          <w:szCs w:val="21"/>
          <w:highlight w:val="none"/>
        </w:rPr>
        <w:t>5</w:t>
      </w:r>
      <w:r>
        <w:rPr>
          <w:rFonts w:hint="eastAsia" w:ascii="宋体" w:hAnsi="宋体" w:eastAsia="宋体" w:cs="宋体"/>
          <w:b/>
          <w:color w:val="000000"/>
          <w:szCs w:val="21"/>
          <w:highlight w:val="none"/>
          <w:lang w:val="zh-CN"/>
        </w:rPr>
        <w:t>.评审过程中的澄清</w:t>
      </w:r>
    </w:p>
    <w:p w14:paraId="3B8B091A">
      <w:pPr>
        <w:keepNext w:val="0"/>
        <w:keepLines w:val="0"/>
        <w:pageBreakBefore w:val="0"/>
        <w:widowControl w:val="0"/>
        <w:spacing w:line="360" w:lineRule="auto"/>
        <w:ind w:firstLine="420"/>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1</w:t>
      </w:r>
      <w:r>
        <w:rPr>
          <w:rFonts w:hint="eastAsia" w:ascii="宋体" w:hAnsi="宋体" w:eastAsia="宋体" w:cs="宋体"/>
          <w:bCs/>
          <w:color w:val="000000"/>
          <w:szCs w:val="21"/>
          <w:highlight w:val="none"/>
        </w:rPr>
        <w:t>5</w:t>
      </w:r>
      <w:r>
        <w:rPr>
          <w:rFonts w:hint="eastAsia" w:ascii="宋体" w:hAnsi="宋体" w:eastAsia="宋体" w:cs="宋体"/>
          <w:bCs/>
          <w:color w:val="000000"/>
          <w:szCs w:val="21"/>
          <w:highlight w:val="none"/>
          <w:lang w:val="zh-CN"/>
        </w:rPr>
        <w:t>.1 项目评审期间，磋商小组有权要求供应商对响应文件中含义不明确、同类问题表述不一致或者有明显文字和计算错误的内容等作出必要的澄清、说明或者补正。</w:t>
      </w:r>
    </w:p>
    <w:p w14:paraId="241DD661">
      <w:pPr>
        <w:keepNext w:val="0"/>
        <w:keepLines w:val="0"/>
        <w:pageBreakBefore w:val="0"/>
        <w:widowControl w:val="0"/>
        <w:spacing w:line="360" w:lineRule="auto"/>
        <w:ind w:firstLine="420"/>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供应商的澄清、说明或者补正不得超出响应文件的范围或者改变响应文件的实质性内容。</w:t>
      </w:r>
    </w:p>
    <w:p w14:paraId="3F99BE42">
      <w:pPr>
        <w:keepNext w:val="0"/>
        <w:keepLines w:val="0"/>
        <w:pageBreakBefore w:val="0"/>
        <w:widowControl w:val="0"/>
        <w:spacing w:line="360" w:lineRule="auto"/>
        <w:ind w:firstLine="420"/>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磋商小组并非对每个供应商都作澄清要求。</w:t>
      </w:r>
    </w:p>
    <w:p w14:paraId="655159CF">
      <w:pPr>
        <w:keepNext w:val="0"/>
        <w:keepLines w:val="0"/>
        <w:pageBreakBefore w:val="0"/>
        <w:widowControl w:val="0"/>
        <w:spacing w:line="360" w:lineRule="auto"/>
        <w:ind w:firstLine="420"/>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1</w:t>
      </w:r>
      <w:r>
        <w:rPr>
          <w:rFonts w:hint="eastAsia" w:ascii="宋体" w:hAnsi="宋体" w:eastAsia="宋体" w:cs="宋体"/>
          <w:bCs/>
          <w:color w:val="000000"/>
          <w:szCs w:val="21"/>
          <w:highlight w:val="none"/>
        </w:rPr>
        <w:t>5</w:t>
      </w:r>
      <w:r>
        <w:rPr>
          <w:rFonts w:hint="eastAsia" w:ascii="宋体" w:hAnsi="宋体" w:eastAsia="宋体" w:cs="宋体"/>
          <w:bCs/>
          <w:color w:val="000000"/>
          <w:szCs w:val="21"/>
          <w:highlight w:val="none"/>
          <w:lang w:val="zh-CN"/>
        </w:rPr>
        <w:t>.2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p>
    <w:p w14:paraId="350F4CB9">
      <w:pPr>
        <w:keepNext w:val="0"/>
        <w:keepLines w:val="0"/>
        <w:pageBreakBefore w:val="0"/>
        <w:widowControl w:val="0"/>
        <w:spacing w:line="360" w:lineRule="auto"/>
        <w:ind w:firstLine="420"/>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1</w:t>
      </w:r>
      <w:r>
        <w:rPr>
          <w:rFonts w:hint="eastAsia" w:ascii="宋体" w:hAnsi="宋体" w:eastAsia="宋体" w:cs="宋体"/>
          <w:bCs/>
          <w:color w:val="000000"/>
          <w:szCs w:val="21"/>
          <w:highlight w:val="none"/>
        </w:rPr>
        <w:t>5</w:t>
      </w:r>
      <w:r>
        <w:rPr>
          <w:rFonts w:hint="eastAsia" w:ascii="宋体" w:hAnsi="宋体" w:eastAsia="宋体" w:cs="宋体"/>
          <w:bCs/>
          <w:color w:val="000000"/>
          <w:szCs w:val="21"/>
          <w:highlight w:val="none"/>
          <w:lang w:val="zh-CN"/>
        </w:rPr>
        <w:t>.3 接到磋商小组澄清、说明和补正要求的供应商如未按规定做出澄清、说明和补正，其风险由供应商自行承担。供应商拒不按照要求对</w:t>
      </w:r>
      <w:r>
        <w:rPr>
          <w:rFonts w:hint="eastAsia" w:ascii="宋体" w:hAnsi="宋体" w:eastAsia="宋体" w:cs="宋体"/>
          <w:bCs/>
          <w:color w:val="000000"/>
          <w:szCs w:val="21"/>
          <w:highlight w:val="none"/>
        </w:rPr>
        <w:t>响应</w:t>
      </w:r>
      <w:r>
        <w:rPr>
          <w:rFonts w:hint="eastAsia" w:ascii="宋体" w:hAnsi="宋体" w:eastAsia="宋体" w:cs="宋体"/>
          <w:bCs/>
          <w:color w:val="000000"/>
          <w:szCs w:val="21"/>
          <w:highlight w:val="none"/>
          <w:lang w:val="zh-CN"/>
        </w:rPr>
        <w:t>件进行澄清、说明或者补正的，视其放弃该项权利。</w:t>
      </w:r>
    </w:p>
    <w:p w14:paraId="3B8660BA">
      <w:pPr>
        <w:keepNext w:val="0"/>
        <w:keepLines w:val="0"/>
        <w:pageBreakBefore w:val="0"/>
        <w:widowControl w:val="0"/>
        <w:spacing w:line="360" w:lineRule="auto"/>
        <w:ind w:firstLine="422"/>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1</w:t>
      </w:r>
      <w:r>
        <w:rPr>
          <w:rFonts w:hint="eastAsia" w:ascii="宋体" w:hAnsi="宋体" w:eastAsia="宋体" w:cs="宋体"/>
          <w:b/>
          <w:color w:val="000000"/>
          <w:szCs w:val="21"/>
          <w:highlight w:val="none"/>
        </w:rPr>
        <w:t>5</w:t>
      </w:r>
      <w:r>
        <w:rPr>
          <w:rFonts w:hint="eastAsia" w:ascii="宋体" w:hAnsi="宋体" w:eastAsia="宋体" w:cs="宋体"/>
          <w:b/>
          <w:color w:val="000000"/>
          <w:szCs w:val="21"/>
          <w:highlight w:val="none"/>
          <w:lang w:val="zh-CN"/>
        </w:rPr>
        <w:t>.4</w:t>
      </w:r>
      <w:r>
        <w:rPr>
          <w:rFonts w:hint="eastAsia" w:ascii="宋体" w:hAnsi="宋体" w:cs="宋体"/>
          <w:b/>
          <w:color w:val="000000"/>
          <w:szCs w:val="21"/>
          <w:highlight w:val="none"/>
          <w:lang w:val="en-US" w:eastAsia="zh-CN"/>
        </w:rPr>
        <w:t xml:space="preserve"> </w:t>
      </w:r>
      <w:r>
        <w:rPr>
          <w:rFonts w:hint="eastAsia" w:ascii="宋体" w:hAnsi="宋体" w:eastAsia="宋体" w:cs="宋体"/>
          <w:b/>
          <w:color w:val="000000"/>
          <w:szCs w:val="21"/>
          <w:highlight w:val="none"/>
          <w:lang w:val="zh-CN"/>
        </w:rPr>
        <w:t>响应文件报价出现前后不一致的，除采购文件另有规定外，按照下列规定修正：</w:t>
      </w:r>
    </w:p>
    <w:p w14:paraId="7E0B823B">
      <w:pPr>
        <w:keepNext w:val="0"/>
        <w:keepLines w:val="0"/>
        <w:pageBreakBefore w:val="0"/>
        <w:widowControl w:val="0"/>
        <w:numPr>
          <w:ilvl w:val="0"/>
          <w:numId w:val="7"/>
        </w:numPr>
        <w:spacing w:line="360" w:lineRule="auto"/>
        <w:ind w:firstLine="420"/>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响应</w:t>
      </w:r>
      <w:r>
        <w:rPr>
          <w:rFonts w:hint="eastAsia" w:ascii="宋体" w:hAnsi="宋体" w:eastAsia="宋体" w:cs="宋体"/>
          <w:bCs/>
          <w:color w:val="000000"/>
          <w:szCs w:val="21"/>
          <w:highlight w:val="none"/>
          <w:lang w:val="zh-CN"/>
        </w:rPr>
        <w:t>文件中报价表内容与</w:t>
      </w:r>
      <w:r>
        <w:rPr>
          <w:rFonts w:hint="eastAsia" w:ascii="宋体" w:hAnsi="宋体" w:eastAsia="宋体" w:cs="宋体"/>
          <w:bCs/>
          <w:color w:val="000000"/>
          <w:szCs w:val="21"/>
          <w:highlight w:val="none"/>
        </w:rPr>
        <w:t>响应</w:t>
      </w:r>
      <w:r>
        <w:rPr>
          <w:rFonts w:hint="eastAsia" w:ascii="宋体" w:hAnsi="宋体" w:eastAsia="宋体" w:cs="宋体"/>
          <w:bCs/>
          <w:color w:val="000000"/>
          <w:szCs w:val="21"/>
          <w:highlight w:val="none"/>
          <w:lang w:val="zh-CN"/>
        </w:rPr>
        <w:t>文件中相应内容不一致的，以报价表为准；</w:t>
      </w:r>
    </w:p>
    <w:p w14:paraId="62D449F3">
      <w:pPr>
        <w:keepNext w:val="0"/>
        <w:keepLines w:val="0"/>
        <w:pageBreakBefore w:val="0"/>
        <w:widowControl w:val="0"/>
        <w:spacing w:line="360" w:lineRule="auto"/>
        <w:ind w:firstLine="420"/>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w:t>
      </w:r>
      <w:r>
        <w:rPr>
          <w:rFonts w:hint="eastAsia" w:ascii="宋体" w:hAnsi="宋体" w:eastAsia="宋体" w:cs="宋体"/>
          <w:bCs/>
          <w:color w:val="000000"/>
          <w:szCs w:val="21"/>
          <w:highlight w:val="none"/>
        </w:rPr>
        <w:t>2</w:t>
      </w:r>
      <w:r>
        <w:rPr>
          <w:rFonts w:hint="eastAsia" w:ascii="宋体" w:hAnsi="宋体" w:eastAsia="宋体" w:cs="宋体"/>
          <w:bCs/>
          <w:color w:val="000000"/>
          <w:szCs w:val="21"/>
          <w:highlight w:val="none"/>
          <w:lang w:val="zh-CN"/>
        </w:rPr>
        <w:t>) 大写金额和小写金额不一致的，以大写金额为准；</w:t>
      </w:r>
    </w:p>
    <w:p w14:paraId="4FCF571E">
      <w:pPr>
        <w:keepNext w:val="0"/>
        <w:keepLines w:val="0"/>
        <w:pageBreakBefore w:val="0"/>
        <w:widowControl w:val="0"/>
        <w:spacing w:line="360" w:lineRule="auto"/>
        <w:ind w:firstLine="420"/>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w:t>
      </w:r>
      <w:r>
        <w:rPr>
          <w:rFonts w:hint="eastAsia" w:ascii="宋体" w:hAnsi="宋体" w:eastAsia="宋体" w:cs="宋体"/>
          <w:bCs/>
          <w:color w:val="000000"/>
          <w:szCs w:val="21"/>
          <w:highlight w:val="none"/>
        </w:rPr>
        <w:t>3</w:t>
      </w:r>
      <w:r>
        <w:rPr>
          <w:rFonts w:hint="eastAsia" w:ascii="宋体" w:hAnsi="宋体" w:eastAsia="宋体" w:cs="宋体"/>
          <w:bCs/>
          <w:color w:val="000000"/>
          <w:szCs w:val="21"/>
          <w:highlight w:val="none"/>
          <w:lang w:val="zh-CN"/>
        </w:rPr>
        <w:t>) 单价金额小数点或者百分比有明显错位的，以报价表的总价为准，并修改单价；</w:t>
      </w:r>
    </w:p>
    <w:p w14:paraId="60A6AF23">
      <w:pPr>
        <w:keepNext w:val="0"/>
        <w:keepLines w:val="0"/>
        <w:pageBreakBefore w:val="0"/>
        <w:widowControl w:val="0"/>
        <w:spacing w:line="360" w:lineRule="auto"/>
        <w:ind w:firstLine="420"/>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w:t>
      </w:r>
      <w:r>
        <w:rPr>
          <w:rFonts w:hint="eastAsia" w:ascii="宋体" w:hAnsi="宋体" w:eastAsia="宋体" w:cs="宋体"/>
          <w:bCs/>
          <w:color w:val="000000"/>
          <w:szCs w:val="21"/>
          <w:highlight w:val="none"/>
        </w:rPr>
        <w:t>4</w:t>
      </w:r>
      <w:r>
        <w:rPr>
          <w:rFonts w:hint="eastAsia" w:ascii="宋体" w:hAnsi="宋体" w:eastAsia="宋体" w:cs="宋体"/>
          <w:bCs/>
          <w:color w:val="000000"/>
          <w:szCs w:val="21"/>
          <w:highlight w:val="none"/>
          <w:lang w:val="zh-CN"/>
        </w:rPr>
        <w:t>) 总价金额与按单价汇总金额不一致的，以单价金额计算结果为准。</w:t>
      </w:r>
    </w:p>
    <w:p w14:paraId="375D2983">
      <w:pPr>
        <w:keepNext w:val="0"/>
        <w:keepLines w:val="0"/>
        <w:pageBreakBefore w:val="0"/>
        <w:widowControl w:val="0"/>
        <w:spacing w:line="360" w:lineRule="auto"/>
        <w:ind w:firstLine="420"/>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同时出现两种以上不一致的，按照前款规定的顺序修正。</w:t>
      </w:r>
    </w:p>
    <w:p w14:paraId="23B857C6">
      <w:pPr>
        <w:keepNext w:val="0"/>
        <w:keepLines w:val="0"/>
        <w:pageBreakBefore w:val="0"/>
        <w:widowControl w:val="0"/>
        <w:spacing w:line="360" w:lineRule="auto"/>
        <w:ind w:firstLine="420"/>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磋商小组</w:t>
      </w:r>
      <w:r>
        <w:rPr>
          <w:rFonts w:hint="eastAsia" w:ascii="宋体" w:hAnsi="宋体" w:eastAsia="宋体" w:cs="宋体"/>
          <w:bCs/>
          <w:color w:val="000000"/>
          <w:szCs w:val="21"/>
          <w:highlight w:val="none"/>
          <w:lang w:val="zh-CN"/>
        </w:rPr>
        <w:t>将按上述修正错误的方法调整响应文件中的磋商报价，并通过苏采云系统告知供应商，调整后的价格对供应商具有约束力。如果供应商不接受修正后的价格，</w:t>
      </w:r>
      <w:r>
        <w:rPr>
          <w:rFonts w:hint="eastAsia" w:ascii="宋体" w:hAnsi="宋体" w:eastAsia="宋体" w:cs="宋体"/>
          <w:bCs/>
          <w:color w:val="000000"/>
          <w:szCs w:val="21"/>
          <w:highlight w:val="none"/>
        </w:rPr>
        <w:t>将作无效响应处理</w:t>
      </w:r>
      <w:r>
        <w:rPr>
          <w:rFonts w:hint="eastAsia" w:ascii="宋体" w:hAnsi="宋体" w:eastAsia="宋体" w:cs="宋体"/>
          <w:bCs/>
          <w:color w:val="000000"/>
          <w:szCs w:val="21"/>
          <w:highlight w:val="none"/>
          <w:lang w:val="zh-CN"/>
        </w:rPr>
        <w:t>。</w:t>
      </w:r>
    </w:p>
    <w:p w14:paraId="0E7C610C">
      <w:pPr>
        <w:keepNext w:val="0"/>
        <w:keepLines w:val="0"/>
        <w:pageBreakBefore w:val="0"/>
        <w:widowControl w:val="0"/>
        <w:spacing w:line="360" w:lineRule="auto"/>
        <w:ind w:firstLine="422"/>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1</w:t>
      </w:r>
      <w:r>
        <w:rPr>
          <w:rFonts w:hint="eastAsia" w:ascii="宋体" w:hAnsi="宋体" w:eastAsia="宋体" w:cs="宋体"/>
          <w:b/>
          <w:color w:val="000000"/>
          <w:szCs w:val="21"/>
          <w:highlight w:val="none"/>
        </w:rPr>
        <w:t>6</w:t>
      </w:r>
      <w:r>
        <w:rPr>
          <w:rFonts w:hint="eastAsia" w:ascii="宋体" w:hAnsi="宋体" w:eastAsia="宋体" w:cs="宋体"/>
          <w:b/>
          <w:color w:val="000000"/>
          <w:szCs w:val="21"/>
          <w:highlight w:val="none"/>
          <w:lang w:val="zh-CN"/>
        </w:rPr>
        <w:t>. 响应文件</w:t>
      </w:r>
      <w:r>
        <w:rPr>
          <w:rFonts w:hint="eastAsia" w:ascii="宋体" w:hAnsi="宋体" w:eastAsia="宋体" w:cs="宋体"/>
          <w:b/>
          <w:color w:val="000000"/>
          <w:szCs w:val="21"/>
          <w:highlight w:val="none"/>
        </w:rPr>
        <w:t>的</w:t>
      </w:r>
      <w:r>
        <w:rPr>
          <w:rFonts w:hint="eastAsia" w:ascii="宋体" w:hAnsi="宋体" w:eastAsia="宋体" w:cs="宋体"/>
          <w:b/>
          <w:color w:val="000000"/>
          <w:szCs w:val="21"/>
          <w:highlight w:val="none"/>
          <w:lang w:val="zh-CN"/>
        </w:rPr>
        <w:t>审查</w:t>
      </w:r>
    </w:p>
    <w:p w14:paraId="3E47C0CF">
      <w:pPr>
        <w:keepNext w:val="0"/>
        <w:keepLines w:val="0"/>
        <w:pageBreakBefore w:val="0"/>
        <w:widowControl w:val="0"/>
        <w:spacing w:line="360" w:lineRule="auto"/>
        <w:ind w:firstLine="420"/>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1</w:t>
      </w:r>
      <w:r>
        <w:rPr>
          <w:rFonts w:hint="eastAsia" w:ascii="宋体" w:hAnsi="宋体" w:eastAsia="宋体" w:cs="宋体"/>
          <w:bCs/>
          <w:color w:val="000000"/>
          <w:szCs w:val="21"/>
          <w:highlight w:val="none"/>
        </w:rPr>
        <w:t>6</w:t>
      </w:r>
      <w:r>
        <w:rPr>
          <w:rFonts w:hint="eastAsia" w:ascii="宋体" w:hAnsi="宋体" w:eastAsia="宋体" w:cs="宋体"/>
          <w:bCs/>
          <w:color w:val="000000"/>
          <w:szCs w:val="21"/>
          <w:highlight w:val="none"/>
          <w:lang w:val="zh-CN"/>
        </w:rPr>
        <w:t>.1</w:t>
      </w:r>
      <w:r>
        <w:rPr>
          <w:rFonts w:hint="eastAsia" w:ascii="宋体" w:hAnsi="宋体" w:cs="宋体"/>
          <w:bCs/>
          <w:color w:val="000000"/>
          <w:szCs w:val="21"/>
          <w:highlight w:val="none"/>
          <w:lang w:val="en-US" w:eastAsia="zh-CN"/>
        </w:rPr>
        <w:t xml:space="preserve"> </w:t>
      </w:r>
      <w:r>
        <w:rPr>
          <w:rFonts w:hint="eastAsia" w:ascii="宋体" w:hAnsi="宋体" w:eastAsia="宋体" w:cs="宋体"/>
          <w:bCs/>
          <w:color w:val="000000"/>
          <w:szCs w:val="21"/>
          <w:highlight w:val="none"/>
          <w:lang w:val="zh-CN"/>
        </w:rPr>
        <w:t>响应文件审查分为</w:t>
      </w:r>
      <w:r>
        <w:rPr>
          <w:rFonts w:hint="eastAsia" w:ascii="宋体" w:hAnsi="宋体" w:eastAsia="宋体" w:cs="宋体"/>
          <w:b/>
          <w:color w:val="000000"/>
          <w:szCs w:val="21"/>
          <w:highlight w:val="none"/>
          <w:lang w:val="zh-CN"/>
        </w:rPr>
        <w:t>资格审查和符合性审查</w:t>
      </w:r>
      <w:r>
        <w:rPr>
          <w:rFonts w:hint="eastAsia" w:ascii="宋体" w:hAnsi="宋体" w:eastAsia="宋体" w:cs="宋体"/>
          <w:bCs/>
          <w:color w:val="000000"/>
          <w:szCs w:val="21"/>
          <w:highlight w:val="none"/>
          <w:lang w:val="zh-CN"/>
        </w:rPr>
        <w:t>。</w:t>
      </w:r>
    </w:p>
    <w:p w14:paraId="412852EC">
      <w:pPr>
        <w:keepNext w:val="0"/>
        <w:keepLines w:val="0"/>
        <w:pageBreakBefore w:val="0"/>
        <w:widowControl w:val="0"/>
        <w:spacing w:line="360" w:lineRule="auto"/>
        <w:ind w:firstLine="422"/>
        <w:rPr>
          <w:rFonts w:hint="eastAsia" w:ascii="宋体" w:hAnsi="宋体" w:eastAsia="宋体" w:cs="宋体"/>
          <w:bCs/>
          <w:color w:val="000000"/>
          <w:szCs w:val="21"/>
          <w:highlight w:val="none"/>
          <w:lang w:val="zh-CN"/>
        </w:rPr>
      </w:pPr>
      <w:r>
        <w:rPr>
          <w:rFonts w:hint="eastAsia" w:ascii="宋体" w:hAnsi="宋体" w:eastAsia="宋体" w:cs="宋体"/>
          <w:b/>
          <w:color w:val="000000"/>
          <w:szCs w:val="21"/>
          <w:highlight w:val="none"/>
          <w:lang w:val="zh-CN"/>
        </w:rPr>
        <w:t>1</w:t>
      </w:r>
      <w:r>
        <w:rPr>
          <w:rFonts w:hint="eastAsia" w:ascii="宋体" w:hAnsi="宋体" w:eastAsia="宋体" w:cs="宋体"/>
          <w:b/>
          <w:color w:val="000000"/>
          <w:szCs w:val="21"/>
          <w:highlight w:val="none"/>
        </w:rPr>
        <w:t>6</w:t>
      </w:r>
      <w:r>
        <w:rPr>
          <w:rFonts w:hint="eastAsia" w:ascii="宋体" w:hAnsi="宋体" w:eastAsia="宋体" w:cs="宋体"/>
          <w:b/>
          <w:color w:val="000000"/>
          <w:szCs w:val="21"/>
          <w:highlight w:val="none"/>
          <w:lang w:val="zh-CN"/>
        </w:rPr>
        <w:t>.2</w:t>
      </w:r>
      <w:r>
        <w:rPr>
          <w:rFonts w:hint="eastAsia" w:ascii="宋体" w:hAnsi="宋体" w:cs="宋体"/>
          <w:b/>
          <w:color w:val="000000"/>
          <w:szCs w:val="21"/>
          <w:highlight w:val="none"/>
          <w:lang w:val="en-US" w:eastAsia="zh-CN"/>
        </w:rPr>
        <w:t xml:space="preserve"> </w:t>
      </w:r>
      <w:r>
        <w:rPr>
          <w:rFonts w:hint="eastAsia" w:ascii="宋体" w:hAnsi="宋体" w:eastAsia="宋体" w:cs="宋体"/>
          <w:b/>
          <w:color w:val="000000"/>
          <w:szCs w:val="21"/>
          <w:highlight w:val="none"/>
          <w:lang w:val="zh-CN"/>
        </w:rPr>
        <w:t>资格性审查：</w:t>
      </w:r>
      <w:r>
        <w:rPr>
          <w:rFonts w:hint="eastAsia" w:ascii="宋体" w:hAnsi="宋体" w:eastAsia="宋体" w:cs="宋体"/>
          <w:bCs/>
          <w:color w:val="000000"/>
          <w:szCs w:val="21"/>
          <w:highlight w:val="none"/>
          <w:lang w:val="zh-CN"/>
        </w:rPr>
        <w:t>依据法律法规和磋商文件的规定，磋商小组对响应文件中的资格证明文件进行审查，以确定供应商是否具备参加磋商的资格。</w:t>
      </w:r>
    </w:p>
    <w:p w14:paraId="166BB6CA">
      <w:pPr>
        <w:keepNext w:val="0"/>
        <w:keepLines w:val="0"/>
        <w:pageBreakBefore w:val="0"/>
        <w:widowControl w:val="0"/>
        <w:spacing w:line="360" w:lineRule="auto"/>
        <w:ind w:firstLine="420"/>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1</w:t>
      </w:r>
      <w:r>
        <w:rPr>
          <w:rFonts w:hint="eastAsia" w:ascii="宋体" w:hAnsi="宋体" w:eastAsia="宋体" w:cs="宋体"/>
          <w:bCs/>
          <w:color w:val="000000"/>
          <w:szCs w:val="21"/>
          <w:highlight w:val="none"/>
        </w:rPr>
        <w:t>6</w:t>
      </w:r>
      <w:r>
        <w:rPr>
          <w:rFonts w:hint="eastAsia" w:ascii="宋体" w:hAnsi="宋体" w:eastAsia="宋体" w:cs="宋体"/>
          <w:bCs/>
          <w:color w:val="000000"/>
          <w:szCs w:val="21"/>
          <w:highlight w:val="none"/>
          <w:lang w:val="zh-CN"/>
        </w:rPr>
        <w:t>.2.1响应文件有下列情况之一的，在资格性审查时按照无效响应处理：</w:t>
      </w:r>
    </w:p>
    <w:p w14:paraId="7F6789F0">
      <w:pPr>
        <w:keepNext w:val="0"/>
        <w:keepLines w:val="0"/>
        <w:pageBreakBefore w:val="0"/>
        <w:widowControl w:val="0"/>
        <w:spacing w:line="360" w:lineRule="auto"/>
        <w:ind w:firstLine="420"/>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（1）不具备采购文件中规定资格条件的。</w:t>
      </w:r>
    </w:p>
    <w:p w14:paraId="3D8A4DF8">
      <w:pPr>
        <w:keepNext w:val="0"/>
        <w:keepLines w:val="0"/>
        <w:pageBreakBefore w:val="0"/>
        <w:widowControl w:val="0"/>
        <w:spacing w:line="360" w:lineRule="auto"/>
        <w:ind w:firstLine="422"/>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rPr>
        <w:t>16</w:t>
      </w:r>
      <w:r>
        <w:rPr>
          <w:rFonts w:hint="eastAsia" w:ascii="宋体" w:hAnsi="宋体" w:eastAsia="宋体" w:cs="宋体"/>
          <w:b/>
          <w:color w:val="000000"/>
          <w:szCs w:val="21"/>
          <w:highlight w:val="none"/>
          <w:lang w:val="zh-CN"/>
        </w:rPr>
        <w:t>.</w:t>
      </w:r>
      <w:r>
        <w:rPr>
          <w:rFonts w:hint="eastAsia" w:ascii="宋体" w:hAnsi="宋体" w:eastAsia="宋体" w:cs="宋体"/>
          <w:b/>
          <w:color w:val="000000"/>
          <w:szCs w:val="21"/>
          <w:highlight w:val="none"/>
        </w:rPr>
        <w:t>3</w:t>
      </w:r>
      <w:r>
        <w:rPr>
          <w:rFonts w:hint="eastAsia" w:ascii="宋体" w:hAnsi="宋体" w:cs="宋体"/>
          <w:b/>
          <w:color w:val="000000"/>
          <w:szCs w:val="21"/>
          <w:highlight w:val="none"/>
          <w:lang w:val="en-US" w:eastAsia="zh-CN"/>
        </w:rPr>
        <w:t xml:space="preserve"> </w:t>
      </w:r>
      <w:r>
        <w:rPr>
          <w:rFonts w:hint="eastAsia" w:ascii="宋体" w:hAnsi="宋体" w:eastAsia="宋体" w:cs="宋体"/>
          <w:b/>
          <w:color w:val="000000"/>
          <w:szCs w:val="21"/>
          <w:highlight w:val="none"/>
          <w:lang w:val="zh-CN"/>
        </w:rPr>
        <w:t>响应文件的符合性检查</w:t>
      </w:r>
    </w:p>
    <w:p w14:paraId="5A250F1A">
      <w:pPr>
        <w:keepNext w:val="0"/>
        <w:keepLines w:val="0"/>
        <w:pageBreakBefore w:val="0"/>
        <w:widowControl w:val="0"/>
        <w:spacing w:line="360" w:lineRule="auto"/>
        <w:ind w:firstLine="420"/>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16</w:t>
      </w:r>
      <w:r>
        <w:rPr>
          <w:rFonts w:hint="eastAsia" w:ascii="宋体" w:hAnsi="宋体" w:eastAsia="宋体" w:cs="宋体"/>
          <w:bCs/>
          <w:color w:val="000000"/>
          <w:szCs w:val="21"/>
          <w:highlight w:val="none"/>
          <w:lang w:val="zh-CN"/>
        </w:rPr>
        <w:t>.</w:t>
      </w:r>
      <w:r>
        <w:rPr>
          <w:rFonts w:hint="eastAsia" w:ascii="宋体" w:hAnsi="宋体" w:eastAsia="宋体" w:cs="宋体"/>
          <w:bCs/>
          <w:color w:val="000000"/>
          <w:szCs w:val="21"/>
          <w:highlight w:val="none"/>
        </w:rPr>
        <w:t>3</w:t>
      </w:r>
      <w:r>
        <w:rPr>
          <w:rFonts w:hint="eastAsia" w:ascii="宋体" w:hAnsi="宋体" w:eastAsia="宋体" w:cs="宋体"/>
          <w:bCs/>
          <w:color w:val="000000"/>
          <w:szCs w:val="21"/>
          <w:highlight w:val="none"/>
          <w:lang w:val="zh-CN"/>
        </w:rPr>
        <w:t>.1磋商小组将依据法律法规和竞争性磋商文件的规定，对响应文件的有效性、完整性和对竞争性磋商文件的响应程度进行审查，以确定是否对竞争性磋商文件的实质性要求作出响应。</w:t>
      </w:r>
    </w:p>
    <w:p w14:paraId="09FECD8A">
      <w:pPr>
        <w:keepNext w:val="0"/>
        <w:keepLines w:val="0"/>
        <w:pageBreakBefore w:val="0"/>
        <w:widowControl w:val="0"/>
        <w:spacing w:line="360" w:lineRule="auto"/>
        <w:ind w:firstLine="422"/>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rPr>
        <w:t>16</w:t>
      </w:r>
      <w:r>
        <w:rPr>
          <w:rFonts w:hint="eastAsia" w:ascii="宋体" w:hAnsi="宋体" w:eastAsia="宋体" w:cs="宋体"/>
          <w:b/>
          <w:color w:val="000000"/>
          <w:szCs w:val="21"/>
          <w:highlight w:val="none"/>
          <w:lang w:val="zh-CN"/>
        </w:rPr>
        <w:t>.</w:t>
      </w:r>
      <w:r>
        <w:rPr>
          <w:rFonts w:hint="eastAsia" w:ascii="宋体" w:hAnsi="宋体" w:eastAsia="宋体" w:cs="宋体"/>
          <w:b/>
          <w:color w:val="000000"/>
          <w:szCs w:val="21"/>
          <w:highlight w:val="none"/>
        </w:rPr>
        <w:t>3</w:t>
      </w:r>
      <w:r>
        <w:rPr>
          <w:rFonts w:hint="eastAsia" w:ascii="宋体" w:hAnsi="宋体" w:eastAsia="宋体" w:cs="宋体"/>
          <w:b/>
          <w:color w:val="000000"/>
          <w:szCs w:val="21"/>
          <w:highlight w:val="none"/>
          <w:lang w:val="zh-CN"/>
        </w:rPr>
        <w:t>.2实质性要求是指本竞争性磋商文件中用带星号（“</w:t>
      </w:r>
      <w:r>
        <w:rPr>
          <w:rFonts w:hint="eastAsia" w:ascii="宋体" w:hAnsi="宋体" w:eastAsia="宋体" w:cs="宋体"/>
          <w:b/>
          <w:color w:val="000000"/>
          <w:szCs w:val="21"/>
          <w:highlight w:val="none"/>
        </w:rPr>
        <w:t>※</w:t>
      </w:r>
      <w:r>
        <w:rPr>
          <w:rFonts w:hint="eastAsia" w:ascii="宋体" w:hAnsi="宋体" w:eastAsia="宋体" w:cs="宋体"/>
          <w:b/>
          <w:color w:val="000000"/>
          <w:szCs w:val="21"/>
          <w:highlight w:val="none"/>
          <w:lang w:val="zh-CN"/>
        </w:rPr>
        <w:t>”）、（“★”）等其他文字说明的商务和技术要求。</w:t>
      </w:r>
    </w:p>
    <w:p w14:paraId="5B7859BB">
      <w:pPr>
        <w:keepNext w:val="0"/>
        <w:keepLines w:val="0"/>
        <w:pageBreakBefore w:val="0"/>
        <w:widowControl w:val="0"/>
        <w:spacing w:line="360" w:lineRule="auto"/>
        <w:ind w:firstLine="422"/>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rPr>
        <w:t>16</w:t>
      </w:r>
      <w:r>
        <w:rPr>
          <w:rFonts w:hint="eastAsia" w:ascii="宋体" w:hAnsi="宋体" w:eastAsia="宋体" w:cs="宋体"/>
          <w:b/>
          <w:color w:val="000000"/>
          <w:szCs w:val="21"/>
          <w:highlight w:val="none"/>
          <w:lang w:val="zh-CN"/>
        </w:rPr>
        <w:t>.3.3响应文件属下列情形之一的，按照无效响应处理：</w:t>
      </w:r>
    </w:p>
    <w:p w14:paraId="2B17A202">
      <w:pPr>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如果响应文件实质上没有响应竞争性磋商文件的要求，磋商小组将予以拒绝，供应商不得通过修改或撤销不合要求的偏离或保留而使其响应成为实质性响应。</w:t>
      </w:r>
    </w:p>
    <w:p w14:paraId="5872804E">
      <w:pPr>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（1）供应商在苏采云系统规定的时间内未成功解密电子响应文件的。</w:t>
      </w:r>
    </w:p>
    <w:p w14:paraId="48D8E8AF">
      <w:pPr>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（2）供应商未按照采购文件要求上传电子响应文件的。</w:t>
      </w:r>
    </w:p>
    <w:p w14:paraId="0D2C160D">
      <w:pPr>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（3）供应商不具备采购文件中规定资格要求的；</w:t>
      </w:r>
    </w:p>
    <w:p w14:paraId="2EA2F715">
      <w:pPr>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（4）供应商在报价时采用选择性报价；</w:t>
      </w:r>
    </w:p>
    <w:p w14:paraId="2D60FC9B">
      <w:pPr>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（5）报价超过采购文件中规定的预算金额或者最高限价的；</w:t>
      </w:r>
    </w:p>
    <w:p w14:paraId="27FDE74E">
      <w:pPr>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（6）响应文件含有采购人不能接受的附加条件的；</w:t>
      </w:r>
    </w:p>
    <w:p w14:paraId="2511459D">
      <w:pPr>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（7）不同供应商的响应文件由同一单位或者个人编制；</w:t>
      </w:r>
    </w:p>
    <w:p w14:paraId="1A52EF33">
      <w:pPr>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（8）不同供应商委托同一单位或者个人办理磋商事宜；</w:t>
      </w:r>
    </w:p>
    <w:p w14:paraId="6B87B468">
      <w:pPr>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（9）不同供应商的响应文件载明的项目管理成员或联系人员为同一人；</w:t>
      </w:r>
    </w:p>
    <w:p w14:paraId="12BE6AE2">
      <w:pPr>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（10）不同供应商的响应文件异常一致或者报价呈规律性差异；</w:t>
      </w:r>
    </w:p>
    <w:p w14:paraId="6BBAD9FA">
      <w:pPr>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（11）不同供应商的响应文件相互混装；</w:t>
      </w:r>
    </w:p>
    <w:p w14:paraId="659CF5B7">
      <w:pPr>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（12）不同供应商的负责人为同一人或者存在控股、管理关系的；</w:t>
      </w:r>
    </w:p>
    <w:p w14:paraId="3463E56C">
      <w:pPr>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（13）不同供应商的委托代理人(或法定代表人、项目经理、项目总监、项目负责人等)在采购文件发布日上月至投标截止日当月在同一单位缴纳社会保险的；</w:t>
      </w:r>
    </w:p>
    <w:p w14:paraId="2214223E">
      <w:pPr>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（14）提供虚假材料的（包括工商营业执照、财务报表、资格证明文件等）；</w:t>
      </w:r>
    </w:p>
    <w:p w14:paraId="66ACE6A0">
      <w:pPr>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（15）未通过符合性检查的；</w:t>
      </w:r>
    </w:p>
    <w:p w14:paraId="00E61ACE">
      <w:pPr>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（16）</w:t>
      </w:r>
      <w:r>
        <w:rPr>
          <w:rFonts w:hint="eastAsia" w:ascii="宋体" w:hAnsi="宋体" w:cs="宋体"/>
          <w:color w:val="000000"/>
          <w:szCs w:val="21"/>
          <w:highlight w:val="none"/>
          <w:lang w:eastAsia="zh-CN"/>
        </w:rPr>
        <w:t>磋商小组</w:t>
      </w:r>
      <w:r>
        <w:rPr>
          <w:rFonts w:hint="eastAsia" w:ascii="宋体" w:hAnsi="宋体" w:eastAsia="宋体" w:cs="宋体"/>
          <w:color w:val="000000"/>
          <w:szCs w:val="21"/>
          <w:highlight w:val="none"/>
        </w:rPr>
        <w:t>认定供应商的报价明显低于其他通过符合性审查供应商的报价，有可能影响产品质量或者不能诚信履约，且供应商不能应</w:t>
      </w:r>
      <w:r>
        <w:rPr>
          <w:rFonts w:hint="eastAsia" w:ascii="宋体" w:hAnsi="宋体" w:cs="宋体"/>
          <w:color w:val="000000"/>
          <w:szCs w:val="21"/>
          <w:highlight w:val="none"/>
          <w:lang w:eastAsia="zh-CN"/>
        </w:rPr>
        <w:t>磋商小组</w:t>
      </w:r>
      <w:r>
        <w:rPr>
          <w:rFonts w:hint="eastAsia" w:ascii="宋体" w:hAnsi="宋体" w:eastAsia="宋体" w:cs="宋体"/>
          <w:color w:val="000000"/>
          <w:szCs w:val="21"/>
          <w:highlight w:val="none"/>
        </w:rPr>
        <w:t>要求在规定的回复时间内通过“苏采云”系统作出必要的说明证明其报价合理性的；</w:t>
      </w:r>
    </w:p>
    <w:p w14:paraId="276199E0">
      <w:pPr>
        <w:keepNext w:val="0"/>
        <w:keepLines w:val="0"/>
        <w:pageBreakBefore w:val="0"/>
        <w:widowControl w:val="0"/>
        <w:spacing w:line="360" w:lineRule="auto"/>
        <w:ind w:firstLine="420"/>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lang w:val="en-US" w:eastAsia="zh-CN"/>
        </w:rPr>
        <w:t>17</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lang w:val="en-US" w:eastAsia="zh-CN"/>
        </w:rPr>
        <w:t>未按文件要求签署、盖章的</w:t>
      </w:r>
    </w:p>
    <w:p w14:paraId="4B7166F3">
      <w:pPr>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w:t>
      </w:r>
      <w:r>
        <w:rPr>
          <w:rFonts w:hint="eastAsia" w:ascii="宋体" w:hAnsi="宋体" w:eastAsia="宋体" w:cs="宋体"/>
          <w:color w:val="000000"/>
          <w:szCs w:val="21"/>
          <w:highlight w:val="none"/>
          <w:lang w:val="en-US" w:eastAsia="zh-CN"/>
        </w:rPr>
        <w:t>8</w:t>
      </w:r>
      <w:r>
        <w:rPr>
          <w:rFonts w:hint="eastAsia" w:ascii="宋体" w:hAnsi="宋体" w:eastAsia="宋体" w:cs="宋体"/>
          <w:color w:val="000000"/>
          <w:szCs w:val="21"/>
          <w:highlight w:val="none"/>
        </w:rPr>
        <w:t>）不符合采购文件中规定的其它实质性要求的；</w:t>
      </w:r>
    </w:p>
    <w:p w14:paraId="54C5F8D1">
      <w:pPr>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w:t>
      </w:r>
      <w:r>
        <w:rPr>
          <w:rFonts w:hint="eastAsia" w:ascii="宋体" w:hAnsi="宋体" w:eastAsia="宋体" w:cs="宋体"/>
          <w:color w:val="000000"/>
          <w:szCs w:val="21"/>
          <w:highlight w:val="none"/>
          <w:lang w:val="en-US" w:eastAsia="zh-CN"/>
        </w:rPr>
        <w:t>9</w:t>
      </w:r>
      <w:r>
        <w:rPr>
          <w:rFonts w:hint="eastAsia" w:ascii="宋体" w:hAnsi="宋体" w:eastAsia="宋体" w:cs="宋体"/>
          <w:color w:val="000000"/>
          <w:szCs w:val="21"/>
          <w:highlight w:val="none"/>
        </w:rPr>
        <w:t>）法律、法规和采购文件规定的其他无效情形。</w:t>
      </w:r>
    </w:p>
    <w:p w14:paraId="70C9F424">
      <w:pPr>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16.4</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异常低价响应审查</w:t>
      </w:r>
    </w:p>
    <w:p w14:paraId="4BE8BC56">
      <w:pPr>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16.4.1 评审过程中出现下列情形之一的，磋商小组应当启动异常低价响应审查程序：</w:t>
      </w:r>
    </w:p>
    <w:p w14:paraId="4301A77B">
      <w:pPr>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（1）投标（响应）报价低于全部通过符合性审查供应商投标（响应）报价平均值50%的，即投标（响应）报价＜全部通过符合性审查供应商投标（响应）报价平均值×50%；</w:t>
      </w:r>
    </w:p>
    <w:p w14:paraId="060B25CB">
      <w:pPr>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（2）投标（响应）报价低于通过符合性审查的次低报价供应商投标（响应）报价50%的，即投标（响应）报价＜通过符合性审查的次低报价供应商投标（响应）报价×50%；</w:t>
      </w:r>
    </w:p>
    <w:p w14:paraId="672EEF02">
      <w:pPr>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（3）投标（响应）报价低于采购项目最高限价45%的，即投标（响应）报价&lt;采购项目最高限价×45%；</w:t>
      </w:r>
    </w:p>
    <w:p w14:paraId="408C1B41">
      <w:pPr>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w:t>
      </w:r>
      <w:r>
        <w:rPr>
          <w:rFonts w:hint="eastAsia" w:ascii="宋体" w:hAnsi="宋体" w:eastAsia="宋体" w:cs="宋体"/>
          <w:color w:val="000000"/>
          <w:szCs w:val="21"/>
          <w:highlight w:val="none"/>
          <w:lang w:eastAsia="zh-CN"/>
        </w:rPr>
        <w:t>磋商小组</w:t>
      </w:r>
      <w:r>
        <w:rPr>
          <w:rFonts w:hint="eastAsia" w:ascii="宋体" w:hAnsi="宋体" w:eastAsia="宋体" w:cs="宋体"/>
          <w:color w:val="000000"/>
          <w:szCs w:val="21"/>
          <w:highlight w:val="none"/>
        </w:rPr>
        <w:t>基于专业判断，认为供应商报价过低，有可能影响产品质量或者不能诚信履约的其他情形。</w:t>
      </w:r>
    </w:p>
    <w:p w14:paraId="018579E5">
      <w:pPr>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16.4.2</w:t>
      </w:r>
      <w:r>
        <w:rPr>
          <w:rFonts w:hint="eastAsia" w:ascii="宋体" w:hAnsi="宋体" w:cs="宋体"/>
          <w:color w:val="000000"/>
          <w:szCs w:val="21"/>
          <w:highlight w:val="none"/>
          <w:lang w:eastAsia="zh-CN"/>
        </w:rPr>
        <w:t>磋商小组</w:t>
      </w:r>
      <w:r>
        <w:rPr>
          <w:rFonts w:hint="eastAsia" w:ascii="宋体" w:hAnsi="宋体" w:eastAsia="宋体" w:cs="宋体"/>
          <w:color w:val="000000"/>
          <w:szCs w:val="21"/>
          <w:highlight w:val="none"/>
        </w:rPr>
        <w:t>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b/>
          <w:bCs/>
          <w:color w:val="000000"/>
          <w:szCs w:val="21"/>
          <w:highlight w:val="none"/>
        </w:rPr>
        <w:t>磋商小组通过“苏采云”系统要求供应商作出必要的说明，并规定回复时间。供应商说明应当采用通过“苏采云”系统（使用“CA数字证书”,加盖电子签章）形式。</w:t>
      </w:r>
    </w:p>
    <w:p w14:paraId="06E68596">
      <w:pPr>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16.4.</w:t>
      </w:r>
      <w:r>
        <w:rPr>
          <w:rFonts w:hint="eastAsia" w:ascii="宋体" w:hAnsi="宋体" w:eastAsia="宋体" w:cs="宋体"/>
          <w:color w:val="000000"/>
          <w:szCs w:val="21"/>
          <w:highlight w:val="none"/>
        </w:rPr>
        <w:t>3</w:t>
      </w:r>
      <w:r>
        <w:rPr>
          <w:rFonts w:hint="eastAsia" w:ascii="宋体" w:hAnsi="宋体" w:cs="宋体"/>
          <w:color w:val="000000"/>
          <w:szCs w:val="21"/>
          <w:highlight w:val="none"/>
          <w:lang w:eastAsia="zh-CN"/>
        </w:rPr>
        <w:t>磋商小组</w:t>
      </w:r>
      <w:r>
        <w:rPr>
          <w:rFonts w:hint="eastAsia" w:ascii="宋体" w:hAnsi="宋体" w:eastAsia="宋体" w:cs="宋体"/>
          <w:color w:val="000000"/>
          <w:szCs w:val="21"/>
          <w:highlight w:val="none"/>
        </w:rPr>
        <w:t>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宋体"/>
          <w:color w:val="000000"/>
          <w:szCs w:val="21"/>
          <w:highlight w:val="none"/>
          <w:lang w:eastAsia="zh-CN"/>
        </w:rPr>
        <w:t>磋商小组</w:t>
      </w:r>
      <w:r>
        <w:rPr>
          <w:rFonts w:hint="eastAsia" w:ascii="宋体" w:hAnsi="宋体" w:eastAsia="宋体" w:cs="宋体"/>
          <w:color w:val="000000"/>
          <w:szCs w:val="21"/>
          <w:highlight w:val="none"/>
        </w:rPr>
        <w:t>应当将其作为无效投标（响应）处理。</w:t>
      </w:r>
    </w:p>
    <w:p w14:paraId="40153671">
      <w:pPr>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16.4.4</w:t>
      </w:r>
      <w:r>
        <w:rPr>
          <w:rFonts w:hint="eastAsia" w:ascii="宋体" w:hAnsi="宋体" w:eastAsia="宋体" w:cs="宋体"/>
          <w:color w:val="000000"/>
          <w:szCs w:val="21"/>
          <w:highlight w:val="none"/>
        </w:rPr>
        <w:t>异常低价投标（响应）审查的启动原因、审查意见和审查结果应当在评审报告中记录，并随供应商提供的相关书面说明及证明材料，以及</w:t>
      </w:r>
      <w:r>
        <w:rPr>
          <w:rFonts w:hint="eastAsia" w:ascii="宋体" w:hAnsi="宋体" w:cs="宋体"/>
          <w:color w:val="000000"/>
          <w:szCs w:val="21"/>
          <w:highlight w:val="none"/>
          <w:lang w:eastAsia="zh-CN"/>
        </w:rPr>
        <w:t>磋商小组</w:t>
      </w:r>
      <w:r>
        <w:rPr>
          <w:rFonts w:hint="eastAsia" w:ascii="宋体" w:hAnsi="宋体" w:eastAsia="宋体" w:cs="宋体"/>
          <w:color w:val="000000"/>
          <w:szCs w:val="21"/>
          <w:highlight w:val="none"/>
        </w:rPr>
        <w:t>有关互联网浏览、查询历史一并归档。</w:t>
      </w:r>
    </w:p>
    <w:p w14:paraId="724CA88C">
      <w:pPr>
        <w:keepNext w:val="0"/>
        <w:keepLines w:val="0"/>
        <w:pageBreakBefore w:val="0"/>
        <w:widowControl w:val="0"/>
        <w:spacing w:line="360" w:lineRule="auto"/>
        <w:ind w:firstLine="42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16</w:t>
      </w:r>
      <w:r>
        <w:rPr>
          <w:rFonts w:hint="eastAsia" w:ascii="宋体" w:hAnsi="宋体" w:eastAsia="宋体" w:cs="宋体"/>
          <w:color w:val="000000"/>
          <w:szCs w:val="21"/>
          <w:highlight w:val="none"/>
          <w:lang w:val="zh-CN"/>
        </w:rPr>
        <w:t>.</w:t>
      </w:r>
      <w:r>
        <w:rPr>
          <w:rFonts w:hint="eastAsia" w:ascii="宋体" w:hAnsi="宋体" w:eastAsia="宋体" w:cs="宋体"/>
          <w:color w:val="000000"/>
          <w:szCs w:val="21"/>
          <w:highlight w:val="none"/>
        </w:rPr>
        <w:t>5</w:t>
      </w:r>
      <w:r>
        <w:rPr>
          <w:rFonts w:hint="eastAsia" w:ascii="宋体" w:hAnsi="宋体" w:eastAsia="宋体" w:cs="宋体"/>
          <w:color w:val="000000"/>
          <w:szCs w:val="21"/>
          <w:highlight w:val="none"/>
          <w:lang w:val="zh-CN"/>
        </w:rPr>
        <w:t xml:space="preserve"> 未通过资格审查或符合性审查的供应商，磋商小组将通过苏采云系统告知具体原因，评审结束后将不再接受有关询问。</w:t>
      </w:r>
    </w:p>
    <w:p w14:paraId="2D249CFA">
      <w:pPr>
        <w:keepNext w:val="0"/>
        <w:keepLines w:val="0"/>
        <w:pageBreakBefore w:val="0"/>
        <w:widowControl w:val="0"/>
        <w:spacing w:line="360" w:lineRule="auto"/>
        <w:ind w:firstLine="420"/>
        <w:rPr>
          <w:rFonts w:hint="eastAsia" w:ascii="宋体" w:hAnsi="宋体" w:eastAsia="宋体" w:cs="宋体"/>
          <w:bCs/>
          <w:color w:val="000000"/>
          <w:szCs w:val="21"/>
          <w:highlight w:val="none"/>
          <w:lang w:val="zh-CN"/>
        </w:rPr>
      </w:pPr>
      <w:r>
        <w:rPr>
          <w:rFonts w:hint="eastAsia" w:ascii="宋体" w:hAnsi="宋体" w:eastAsia="宋体" w:cs="宋体"/>
          <w:color w:val="000000"/>
          <w:szCs w:val="21"/>
          <w:highlight w:val="none"/>
          <w:lang w:val="zh-CN"/>
        </w:rPr>
        <w:t>1</w:t>
      </w:r>
      <w:r>
        <w:rPr>
          <w:rFonts w:hint="eastAsia" w:ascii="宋体" w:hAnsi="宋体" w:eastAsia="宋体" w:cs="宋体"/>
          <w:color w:val="000000"/>
          <w:szCs w:val="21"/>
          <w:highlight w:val="none"/>
        </w:rPr>
        <w:t>6</w:t>
      </w:r>
      <w:r>
        <w:rPr>
          <w:rFonts w:hint="eastAsia" w:ascii="宋体" w:hAnsi="宋体" w:eastAsia="宋体" w:cs="宋体"/>
          <w:color w:val="000000"/>
          <w:szCs w:val="21"/>
          <w:highlight w:val="none"/>
          <w:lang w:val="zh-CN"/>
        </w:rPr>
        <w:t>.</w:t>
      </w:r>
      <w:r>
        <w:rPr>
          <w:rFonts w:hint="eastAsia" w:ascii="宋体" w:hAnsi="宋体" w:eastAsia="宋体" w:cs="宋体"/>
          <w:color w:val="000000"/>
          <w:szCs w:val="21"/>
          <w:highlight w:val="none"/>
        </w:rPr>
        <w:t>6</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lang w:val="zh-CN"/>
        </w:rPr>
        <w:t>供应商在项目评审全过程中应保持通讯畅通，及时登录苏采云系统查阅、答复相关信息，并安排专人与采购代理机构及磋商小组联系。</w:t>
      </w:r>
    </w:p>
    <w:p w14:paraId="2CDE417F">
      <w:pPr>
        <w:keepNext w:val="0"/>
        <w:keepLines w:val="0"/>
        <w:pageBreakBefore w:val="0"/>
        <w:widowControl w:val="0"/>
        <w:spacing w:line="360" w:lineRule="auto"/>
        <w:ind w:firstLine="422"/>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rPr>
        <w:t>17</w:t>
      </w:r>
      <w:r>
        <w:rPr>
          <w:rFonts w:hint="eastAsia" w:ascii="宋体" w:hAnsi="宋体" w:eastAsia="宋体" w:cs="宋体"/>
          <w:b/>
          <w:color w:val="000000"/>
          <w:szCs w:val="21"/>
          <w:highlight w:val="none"/>
          <w:lang w:val="zh-CN"/>
        </w:rPr>
        <w:t>、磋商程序</w:t>
      </w:r>
    </w:p>
    <w:p w14:paraId="65A4B8ED">
      <w:pPr>
        <w:keepNext w:val="0"/>
        <w:keepLines w:val="0"/>
        <w:pageBreakBefore w:val="0"/>
        <w:widowControl w:val="0"/>
        <w:spacing w:line="360" w:lineRule="auto"/>
        <w:ind w:firstLine="42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17</w:t>
      </w:r>
      <w:r>
        <w:rPr>
          <w:rFonts w:hint="eastAsia" w:ascii="宋体" w:hAnsi="宋体" w:eastAsia="宋体" w:cs="宋体"/>
          <w:color w:val="000000"/>
          <w:szCs w:val="21"/>
          <w:highlight w:val="none"/>
          <w:lang w:val="zh-CN"/>
        </w:rPr>
        <w:t>.1 磋商小组将与通过资格审查和符合性审查的供应商分别进行磋商，所有参加磋商的供应商均有同等的磋商机会。磋商小组通过苏采云系统向供应商发出《磋商函》，供应商应当按照要求在苏采云系统提交《磋商响应函》并加盖电子公章。</w:t>
      </w:r>
    </w:p>
    <w:p w14:paraId="154B36B3">
      <w:pPr>
        <w:keepNext w:val="0"/>
        <w:keepLines w:val="0"/>
        <w:pageBreakBefore w:val="0"/>
        <w:widowControl w:val="0"/>
        <w:spacing w:line="360" w:lineRule="auto"/>
        <w:ind w:firstLine="42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5E34E097">
      <w:pPr>
        <w:keepNext w:val="0"/>
        <w:keepLines w:val="0"/>
        <w:pageBreakBefore w:val="0"/>
        <w:widowControl w:val="0"/>
        <w:spacing w:line="360" w:lineRule="auto"/>
        <w:ind w:firstLine="42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17</w:t>
      </w:r>
      <w:r>
        <w:rPr>
          <w:rFonts w:hint="eastAsia" w:ascii="宋体" w:hAnsi="宋体" w:eastAsia="宋体" w:cs="宋体"/>
          <w:color w:val="000000"/>
          <w:szCs w:val="21"/>
          <w:highlight w:val="none"/>
          <w:lang w:val="zh-CN"/>
        </w:rPr>
        <w:t>.</w:t>
      </w:r>
      <w:r>
        <w:rPr>
          <w:rFonts w:hint="eastAsia" w:ascii="宋体" w:hAnsi="宋体" w:eastAsia="宋体" w:cs="宋体"/>
          <w:color w:val="000000"/>
          <w:szCs w:val="21"/>
          <w:highlight w:val="none"/>
        </w:rPr>
        <w:t xml:space="preserve">2 </w:t>
      </w:r>
      <w:r>
        <w:rPr>
          <w:rFonts w:hint="eastAsia" w:ascii="宋体" w:hAnsi="宋体" w:eastAsia="宋体" w:cs="宋体"/>
          <w:color w:val="000000"/>
          <w:szCs w:val="21"/>
          <w:highlight w:val="none"/>
          <w:lang w:val="zh-CN"/>
        </w:rPr>
        <w:t>供应商未在磋商小组规定的时间内在苏采云系统中提交最后报价的视为放弃磋商，其响应文件按无效响应处理，最后报价格式表须加盖电子公章</w:t>
      </w:r>
      <w:r>
        <w:rPr>
          <w:rFonts w:hint="eastAsia" w:ascii="宋体" w:hAnsi="宋体" w:cs="宋体"/>
          <w:color w:val="000000"/>
          <w:szCs w:val="21"/>
          <w:highlight w:val="none"/>
          <w:lang w:val="zh-CN"/>
        </w:rPr>
        <w:t>，</w:t>
      </w:r>
      <w:r>
        <w:rPr>
          <w:rFonts w:hint="eastAsia" w:ascii="宋体" w:hAnsi="宋体" w:eastAsia="宋体" w:cs="宋体"/>
          <w:color w:val="000000"/>
          <w:szCs w:val="21"/>
          <w:highlight w:val="none"/>
          <w:lang w:val="zh-CN"/>
        </w:rPr>
        <w:t>否则视为未提交最后报价。已提交响应文件的供应商，在提交最后报价之前，可以根据磋商情况退出磋商，并在苏采云系统中提交加盖电子公章的《退出磋商函》。</w:t>
      </w:r>
    </w:p>
    <w:p w14:paraId="2A7D0476">
      <w:pPr>
        <w:keepNext w:val="0"/>
        <w:keepLines w:val="0"/>
        <w:pageBreakBefore w:val="0"/>
        <w:widowControl w:val="0"/>
        <w:spacing w:line="360" w:lineRule="auto"/>
        <w:ind w:firstLine="420"/>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val="zh-CN"/>
        </w:rPr>
        <w:t>1</w:t>
      </w:r>
      <w:r>
        <w:rPr>
          <w:rFonts w:hint="eastAsia" w:ascii="宋体" w:hAnsi="宋体" w:eastAsia="宋体" w:cs="宋体"/>
          <w:color w:val="000000"/>
          <w:szCs w:val="21"/>
          <w:highlight w:val="none"/>
        </w:rPr>
        <w:t>7</w:t>
      </w:r>
      <w:r>
        <w:rPr>
          <w:rFonts w:hint="eastAsia" w:ascii="宋体" w:hAnsi="宋体" w:eastAsia="宋体" w:cs="宋体"/>
          <w:color w:val="000000"/>
          <w:szCs w:val="21"/>
          <w:highlight w:val="none"/>
          <w:lang w:val="zh-CN"/>
        </w:rPr>
        <w:t>.</w:t>
      </w:r>
      <w:r>
        <w:rPr>
          <w:rFonts w:hint="eastAsia" w:ascii="宋体" w:hAnsi="宋体" w:eastAsia="宋体" w:cs="宋体"/>
          <w:color w:val="000000"/>
          <w:szCs w:val="21"/>
          <w:highlight w:val="none"/>
        </w:rPr>
        <w:t>3</w:t>
      </w: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highlight w:val="none"/>
        </w:rPr>
        <w:t>（一）根据《政府采购竞争性磋商采购方式管理暂行办法》（财库〔2014〕214号）第三十四条、第三十五条和《财政部关于政府采购竞争性磋商采购方式管理暂行办法有关问题的补充通知》，第一次公告后，</w:t>
      </w:r>
      <w:r>
        <w:rPr>
          <w:rFonts w:hint="eastAsia" w:ascii="宋体" w:hAnsi="宋体" w:eastAsia="宋体" w:cs="宋体"/>
          <w:b/>
          <w:bCs/>
          <w:color w:val="000000"/>
          <w:highlight w:val="none"/>
        </w:rPr>
        <w:t>磋商过程中出现下列情况之一的，按磋商失败处理</w:t>
      </w:r>
      <w:r>
        <w:rPr>
          <w:rFonts w:hint="eastAsia" w:ascii="宋体" w:hAnsi="宋体" w:eastAsia="宋体" w:cs="宋体"/>
          <w:b/>
          <w:bCs/>
          <w:color w:val="000000"/>
          <w:szCs w:val="21"/>
          <w:highlight w:val="none"/>
        </w:rPr>
        <w:t>：</w:t>
      </w:r>
    </w:p>
    <w:p w14:paraId="4E1695E5">
      <w:pPr>
        <w:keepNext w:val="0"/>
        <w:keepLines w:val="0"/>
        <w:pageBreakBefore w:val="0"/>
        <w:widowControl w:val="0"/>
        <w:spacing w:line="360" w:lineRule="auto"/>
        <w:ind w:firstLine="420"/>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（1）因情况变化，不再符合规定的竞争性磋商采购方式适用情形的；</w:t>
      </w:r>
    </w:p>
    <w:p w14:paraId="67FD5580">
      <w:pPr>
        <w:keepNext w:val="0"/>
        <w:keepLines w:val="0"/>
        <w:pageBreakBefore w:val="0"/>
        <w:widowControl w:val="0"/>
        <w:spacing w:line="360" w:lineRule="auto"/>
        <w:ind w:firstLine="420"/>
        <w:rPr>
          <w:rFonts w:hint="eastAsia" w:ascii="宋体" w:hAnsi="宋体" w:eastAsia="宋体" w:cs="宋体"/>
          <w:b/>
          <w:bCs/>
          <w:color w:val="000000"/>
          <w:szCs w:val="21"/>
          <w:highlight w:val="none"/>
          <w:lang w:val="zh-CN"/>
        </w:rPr>
      </w:pPr>
      <w:r>
        <w:rPr>
          <w:rFonts w:hint="eastAsia" w:ascii="宋体" w:hAnsi="宋体" w:eastAsia="宋体" w:cs="宋体"/>
          <w:bCs/>
          <w:color w:val="000000"/>
          <w:szCs w:val="21"/>
          <w:highlight w:val="none"/>
          <w:lang w:val="zh-CN"/>
        </w:rPr>
        <w:t>（2）</w:t>
      </w:r>
      <w:r>
        <w:rPr>
          <w:rFonts w:hint="eastAsia" w:ascii="宋体" w:hAnsi="宋体" w:eastAsia="宋体" w:cs="宋体"/>
          <w:b/>
          <w:bCs/>
          <w:color w:val="000000"/>
          <w:szCs w:val="21"/>
          <w:highlight w:val="none"/>
          <w:lang w:val="zh-CN"/>
        </w:rPr>
        <w:t>所有供应商的响应文件被磋商小组认定为无效的；</w:t>
      </w:r>
    </w:p>
    <w:p w14:paraId="46F795CF">
      <w:pPr>
        <w:keepNext w:val="0"/>
        <w:keepLines w:val="0"/>
        <w:pageBreakBefore w:val="0"/>
        <w:widowControl w:val="0"/>
        <w:spacing w:line="360" w:lineRule="auto"/>
        <w:ind w:firstLine="420"/>
        <w:rPr>
          <w:rFonts w:hint="eastAsia" w:ascii="宋体" w:hAnsi="宋体" w:eastAsia="宋体" w:cs="宋体"/>
          <w:b/>
          <w:bCs/>
          <w:color w:val="000000"/>
          <w:szCs w:val="21"/>
          <w:highlight w:val="none"/>
          <w:lang w:val="zh-CN"/>
        </w:rPr>
      </w:pPr>
      <w:r>
        <w:rPr>
          <w:rFonts w:hint="eastAsia" w:ascii="宋体" w:hAnsi="宋体" w:eastAsia="宋体" w:cs="宋体"/>
          <w:bCs/>
          <w:color w:val="000000"/>
          <w:szCs w:val="21"/>
          <w:highlight w:val="none"/>
          <w:lang w:val="zh-CN"/>
        </w:rPr>
        <w:t>（3）</w:t>
      </w:r>
      <w:r>
        <w:rPr>
          <w:rFonts w:hint="eastAsia" w:ascii="宋体" w:hAnsi="宋体" w:eastAsia="宋体" w:cs="宋体"/>
          <w:color w:val="000000"/>
          <w:szCs w:val="21"/>
          <w:highlight w:val="none"/>
          <w:lang w:val="zh-CN"/>
        </w:rPr>
        <w:t>出现影响采购公正的违法、违规行为的；</w:t>
      </w:r>
    </w:p>
    <w:p w14:paraId="59A2BB59">
      <w:pPr>
        <w:keepNext w:val="0"/>
        <w:keepLines w:val="0"/>
        <w:pageBreakBefore w:val="0"/>
        <w:widowControl w:val="0"/>
        <w:spacing w:line="360" w:lineRule="auto"/>
        <w:ind w:firstLine="420"/>
        <w:rPr>
          <w:rFonts w:hint="eastAsia" w:ascii="宋体" w:hAnsi="宋体" w:eastAsia="宋体" w:cs="宋体"/>
          <w:b/>
          <w:bCs/>
          <w:color w:val="000000"/>
          <w:szCs w:val="21"/>
          <w:highlight w:val="none"/>
          <w:lang w:val="zh-CN"/>
        </w:rPr>
      </w:pPr>
      <w:r>
        <w:rPr>
          <w:rFonts w:hint="eastAsia" w:ascii="宋体" w:hAnsi="宋体" w:eastAsia="宋体" w:cs="宋体"/>
          <w:bCs/>
          <w:color w:val="000000"/>
          <w:szCs w:val="21"/>
          <w:highlight w:val="none"/>
          <w:lang w:val="zh-CN"/>
        </w:rPr>
        <w:t>（4）</w:t>
      </w:r>
      <w:r>
        <w:rPr>
          <w:rFonts w:hint="eastAsia" w:ascii="宋体" w:hAnsi="宋体" w:eastAsia="宋体" w:cs="宋体"/>
          <w:b/>
          <w:bCs/>
          <w:color w:val="000000"/>
          <w:szCs w:val="21"/>
          <w:highlight w:val="none"/>
          <w:lang w:val="zh-CN"/>
        </w:rPr>
        <w:t>供应商的最终报价超过采购预算</w:t>
      </w:r>
      <w:r>
        <w:rPr>
          <w:rFonts w:hint="eastAsia" w:ascii="宋体" w:hAnsi="宋体" w:eastAsia="宋体" w:cs="宋体"/>
          <w:b/>
          <w:bCs/>
          <w:color w:val="000000"/>
          <w:szCs w:val="21"/>
          <w:highlight w:val="none"/>
        </w:rPr>
        <w:t>或者最高限价</w:t>
      </w:r>
      <w:r>
        <w:rPr>
          <w:rFonts w:hint="eastAsia" w:ascii="宋体" w:hAnsi="宋体" w:eastAsia="宋体" w:cs="宋体"/>
          <w:b/>
          <w:bCs/>
          <w:color w:val="000000"/>
          <w:szCs w:val="21"/>
          <w:highlight w:val="none"/>
          <w:lang w:val="zh-CN"/>
        </w:rPr>
        <w:t>的；</w:t>
      </w:r>
    </w:p>
    <w:p w14:paraId="7E29971B">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szCs w:val="21"/>
          <w:highlight w:val="none"/>
          <w:lang w:val="zh-CN"/>
        </w:rPr>
        <w:t>（</w:t>
      </w:r>
      <w:r>
        <w:rPr>
          <w:rFonts w:hint="eastAsia" w:ascii="宋体" w:hAnsi="宋体" w:eastAsia="宋体" w:cs="宋体"/>
          <w:color w:val="000000"/>
          <w:szCs w:val="21"/>
          <w:highlight w:val="none"/>
        </w:rPr>
        <w:t>5</w:t>
      </w:r>
      <w:r>
        <w:rPr>
          <w:rFonts w:hint="eastAsia" w:ascii="宋体" w:hAnsi="宋体" w:eastAsia="宋体" w:cs="宋体"/>
          <w:color w:val="000000"/>
          <w:szCs w:val="21"/>
          <w:highlight w:val="none"/>
          <w:lang w:val="zh-CN"/>
        </w:rPr>
        <w:t>）</w:t>
      </w:r>
      <w:r>
        <w:rPr>
          <w:rFonts w:hint="eastAsia" w:ascii="宋体" w:hAnsi="宋体" w:eastAsia="宋体" w:cs="宋体"/>
          <w:color w:val="000000"/>
          <w:highlight w:val="none"/>
        </w:rPr>
        <w:t>政府购买服务项目（含政府和社会资本合作项目）、市场竞争不充分的科研项目以及需要扶持的科技成果转化项目符合要求的服务商或者报价未超过采购预算的服务商不足2家的；其他项目符合要求的服务商或者报价未超过采购预算的服务商不足3家的；</w:t>
      </w:r>
    </w:p>
    <w:p w14:paraId="39479671">
      <w:pPr>
        <w:keepNext w:val="0"/>
        <w:keepLines w:val="0"/>
        <w:pageBreakBefore w:val="0"/>
        <w:widowControl w:val="0"/>
        <w:spacing w:line="360" w:lineRule="auto"/>
        <w:ind w:firstLine="42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w:t>
      </w:r>
      <w:r>
        <w:rPr>
          <w:rFonts w:hint="eastAsia" w:ascii="宋体" w:hAnsi="宋体" w:eastAsia="宋体" w:cs="宋体"/>
          <w:color w:val="000000"/>
          <w:szCs w:val="21"/>
          <w:highlight w:val="none"/>
        </w:rPr>
        <w:t>6</w:t>
      </w:r>
      <w:r>
        <w:rPr>
          <w:rFonts w:hint="eastAsia" w:ascii="宋体" w:hAnsi="宋体" w:eastAsia="宋体" w:cs="宋体"/>
          <w:color w:val="000000"/>
          <w:szCs w:val="21"/>
          <w:highlight w:val="none"/>
          <w:lang w:val="zh-CN"/>
        </w:rPr>
        <w:t>）因重大变故，采购任务取消的；</w:t>
      </w:r>
    </w:p>
    <w:p w14:paraId="2F3325DD">
      <w:pPr>
        <w:keepNext w:val="0"/>
        <w:keepLines w:val="0"/>
        <w:pageBreakBefore w:val="0"/>
        <w:widowControl w:val="0"/>
        <w:spacing w:line="360" w:lineRule="auto"/>
        <w:ind w:firstLine="42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w:t>
      </w:r>
      <w:r>
        <w:rPr>
          <w:rFonts w:hint="eastAsia" w:ascii="宋体" w:hAnsi="宋体" w:eastAsia="宋体" w:cs="宋体"/>
          <w:color w:val="000000"/>
          <w:szCs w:val="21"/>
          <w:highlight w:val="none"/>
        </w:rPr>
        <w:t>7</w:t>
      </w:r>
      <w:r>
        <w:rPr>
          <w:rFonts w:hint="eastAsia" w:ascii="宋体" w:hAnsi="宋体" w:eastAsia="宋体" w:cs="宋体"/>
          <w:color w:val="000000"/>
          <w:szCs w:val="21"/>
          <w:highlight w:val="none"/>
          <w:lang w:val="zh-CN"/>
        </w:rPr>
        <w:t>）采购人需求发生重大变化暂时不能确定或供应商提供的货物、服务和工程不能满足需求等。</w:t>
      </w:r>
    </w:p>
    <w:p w14:paraId="2C8115C5">
      <w:pPr>
        <w:keepNext w:val="0"/>
        <w:keepLines w:val="0"/>
        <w:pageBreakBefore w:val="0"/>
        <w:widowControl w:val="0"/>
        <w:spacing w:line="360" w:lineRule="auto"/>
        <w:ind w:firstLine="42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w:t>
      </w:r>
      <w:r>
        <w:rPr>
          <w:rFonts w:hint="eastAsia" w:ascii="宋体" w:hAnsi="宋体" w:eastAsia="宋体" w:cs="宋体"/>
          <w:color w:val="000000"/>
          <w:szCs w:val="21"/>
          <w:highlight w:val="none"/>
        </w:rPr>
        <w:t>二</w:t>
      </w:r>
      <w:r>
        <w:rPr>
          <w:rFonts w:hint="eastAsia" w:ascii="宋体" w:hAnsi="宋体" w:eastAsia="宋体" w:cs="宋体"/>
          <w:color w:val="000000"/>
          <w:szCs w:val="21"/>
          <w:highlight w:val="none"/>
          <w:lang w:val="zh-CN"/>
        </w:rPr>
        <w:t>）</w:t>
      </w:r>
      <w:r>
        <w:rPr>
          <w:rFonts w:hint="eastAsia" w:ascii="宋体" w:hAnsi="宋体" w:eastAsia="宋体" w:cs="宋体"/>
          <w:b/>
          <w:bCs/>
          <w:color w:val="000000"/>
          <w:szCs w:val="21"/>
          <w:highlight w:val="none"/>
          <w:lang w:val="zh-CN"/>
        </w:rPr>
        <w:t>在评标期间，出现符合专业条件的供应商或者对磋商文件做出实质响应的供应商不足三家情形的，此采购项目应予以废标。</w:t>
      </w:r>
      <w:r>
        <w:rPr>
          <w:rFonts w:hint="eastAsia" w:ascii="宋体" w:hAnsi="宋体" w:eastAsia="宋体" w:cs="宋体"/>
          <w:color w:val="000000"/>
          <w:szCs w:val="21"/>
          <w:highlight w:val="none"/>
          <w:lang w:val="zh-CN"/>
        </w:rPr>
        <w:t>废标后，除采购任务取消情形外，应当重新组织</w:t>
      </w:r>
      <w:r>
        <w:rPr>
          <w:rFonts w:hint="eastAsia" w:ascii="宋体" w:hAnsi="宋体" w:eastAsia="宋体" w:cs="宋体"/>
          <w:color w:val="000000"/>
          <w:szCs w:val="21"/>
          <w:highlight w:val="none"/>
        </w:rPr>
        <w:t>采购</w:t>
      </w:r>
      <w:r>
        <w:rPr>
          <w:rFonts w:hint="eastAsia" w:ascii="宋体" w:hAnsi="宋体" w:eastAsia="宋体" w:cs="宋体"/>
          <w:color w:val="000000"/>
          <w:szCs w:val="21"/>
          <w:highlight w:val="none"/>
          <w:lang w:val="zh-CN"/>
        </w:rPr>
        <w:t>；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w:t>
      </w:r>
      <w:r>
        <w:rPr>
          <w:rFonts w:hint="eastAsia" w:ascii="宋体" w:hAnsi="宋体" w:eastAsia="宋体" w:cs="宋体"/>
          <w:color w:val="000000"/>
          <w:szCs w:val="21"/>
          <w:highlight w:val="none"/>
        </w:rPr>
        <w:t>磋商小组</w:t>
      </w:r>
      <w:r>
        <w:rPr>
          <w:rFonts w:hint="eastAsia" w:ascii="宋体" w:hAnsi="宋体" w:eastAsia="宋体" w:cs="宋体"/>
          <w:color w:val="000000"/>
          <w:szCs w:val="21"/>
          <w:highlight w:val="none"/>
          <w:lang w:val="zh-CN"/>
        </w:rPr>
        <w:t>说明，未在规定时间内提交书面说明的视为接受采购方式的改变。</w:t>
      </w:r>
    </w:p>
    <w:p w14:paraId="1EBB74D5">
      <w:pPr>
        <w:pStyle w:val="219"/>
        <w:keepNext w:val="0"/>
        <w:keepLines w:val="0"/>
        <w:pageBreakBefore w:val="0"/>
        <w:widowControl w:val="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rPr>
        <w:t>（三）磋商文件未明确的其他事项，按《政府采购法》及其相关法律法规执行。</w:t>
      </w:r>
    </w:p>
    <w:p w14:paraId="5EFFB4ED">
      <w:pPr>
        <w:keepNext w:val="0"/>
        <w:keepLines w:val="0"/>
        <w:pageBreakBefore w:val="0"/>
        <w:widowControl w:val="0"/>
        <w:spacing w:line="360" w:lineRule="auto"/>
        <w:ind w:firstLine="422"/>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1</w:t>
      </w:r>
      <w:r>
        <w:rPr>
          <w:rFonts w:hint="eastAsia" w:ascii="宋体" w:hAnsi="宋体" w:eastAsia="宋体" w:cs="宋体"/>
          <w:b/>
          <w:color w:val="000000"/>
          <w:szCs w:val="21"/>
          <w:highlight w:val="none"/>
        </w:rPr>
        <w:t>8</w:t>
      </w:r>
      <w:r>
        <w:rPr>
          <w:rFonts w:hint="eastAsia" w:ascii="宋体" w:hAnsi="宋体" w:eastAsia="宋体" w:cs="宋体"/>
          <w:b/>
          <w:color w:val="000000"/>
          <w:szCs w:val="21"/>
          <w:highlight w:val="none"/>
          <w:lang w:val="zh-CN"/>
        </w:rPr>
        <w:t>、评定成交方法和标准</w:t>
      </w:r>
    </w:p>
    <w:p w14:paraId="3F1B5BCA">
      <w:pPr>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1</w:t>
      </w:r>
      <w:r>
        <w:rPr>
          <w:rFonts w:hint="eastAsia" w:ascii="宋体" w:hAnsi="宋体" w:eastAsia="宋体" w:cs="宋体"/>
          <w:color w:val="000000"/>
          <w:szCs w:val="21"/>
          <w:highlight w:val="none"/>
        </w:rPr>
        <w:t>8</w:t>
      </w:r>
      <w:r>
        <w:rPr>
          <w:rFonts w:hint="eastAsia" w:ascii="宋体" w:hAnsi="宋体" w:eastAsia="宋体" w:cs="宋体"/>
          <w:color w:val="000000"/>
          <w:szCs w:val="21"/>
          <w:highlight w:val="none"/>
          <w:lang w:val="zh-CN"/>
        </w:rPr>
        <w:t>.1 采用</w:t>
      </w:r>
      <w:r>
        <w:rPr>
          <w:rFonts w:hint="eastAsia" w:ascii="宋体" w:hAnsi="宋体" w:eastAsia="宋体" w:cs="宋体"/>
          <w:b/>
          <w:bCs/>
          <w:color w:val="000000"/>
          <w:szCs w:val="21"/>
          <w:highlight w:val="none"/>
          <w:lang w:val="zh-CN"/>
        </w:rPr>
        <w:t>综合评分法。</w:t>
      </w:r>
      <w:r>
        <w:rPr>
          <w:rFonts w:hint="eastAsia" w:ascii="宋体" w:hAnsi="宋体" w:eastAsia="宋体" w:cs="宋体"/>
          <w:color w:val="000000"/>
          <w:szCs w:val="21"/>
          <w:highlight w:val="none"/>
          <w:lang w:val="zh-CN"/>
        </w:rPr>
        <w:t>即在满足竞争性磋商文件</w:t>
      </w:r>
      <w:r>
        <w:rPr>
          <w:rFonts w:hint="eastAsia" w:ascii="宋体" w:hAnsi="宋体" w:cs="宋体"/>
          <w:color w:val="000000"/>
          <w:szCs w:val="21"/>
          <w:highlight w:val="none"/>
          <w:lang w:val="en-US" w:eastAsia="zh-CN"/>
        </w:rPr>
        <w:t>全部</w:t>
      </w:r>
      <w:r>
        <w:rPr>
          <w:rFonts w:hint="eastAsia" w:ascii="宋体" w:hAnsi="宋体" w:eastAsia="宋体" w:cs="宋体"/>
          <w:color w:val="000000"/>
          <w:szCs w:val="21"/>
          <w:highlight w:val="none"/>
          <w:lang w:val="zh-CN"/>
        </w:rPr>
        <w:t>实质性要求前提下，按照磋商文件中规定的各项因素进行综合评审后，以评审总得分最高的供应商作为</w:t>
      </w:r>
      <w:r>
        <w:rPr>
          <w:rFonts w:hint="eastAsia" w:ascii="宋体" w:hAnsi="宋体" w:eastAsia="宋体" w:cs="宋体"/>
          <w:color w:val="000000"/>
          <w:szCs w:val="21"/>
          <w:highlight w:val="none"/>
        </w:rPr>
        <w:t>第一</w:t>
      </w:r>
      <w:r>
        <w:rPr>
          <w:rFonts w:hint="eastAsia" w:ascii="宋体" w:hAnsi="宋体" w:eastAsia="宋体" w:cs="宋体"/>
          <w:color w:val="000000"/>
          <w:szCs w:val="21"/>
          <w:highlight w:val="none"/>
          <w:lang w:val="zh-CN"/>
        </w:rPr>
        <w:t>成交候选供应商。</w:t>
      </w:r>
    </w:p>
    <w:p w14:paraId="4CD84117">
      <w:pPr>
        <w:keepNext w:val="0"/>
        <w:keepLines w:val="0"/>
        <w:pageBreakBefore w:val="0"/>
        <w:widowControl w:val="0"/>
        <w:spacing w:line="360" w:lineRule="auto"/>
        <w:ind w:firstLine="42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1</w:t>
      </w:r>
      <w:r>
        <w:rPr>
          <w:rFonts w:hint="eastAsia" w:ascii="宋体" w:hAnsi="宋体" w:eastAsia="宋体" w:cs="宋体"/>
          <w:color w:val="000000"/>
          <w:szCs w:val="21"/>
          <w:highlight w:val="none"/>
        </w:rPr>
        <w:t>8</w:t>
      </w:r>
      <w:r>
        <w:rPr>
          <w:rFonts w:hint="eastAsia" w:ascii="宋体" w:hAnsi="宋体" w:eastAsia="宋体" w:cs="宋体"/>
          <w:color w:val="000000"/>
          <w:szCs w:val="21"/>
          <w:highlight w:val="none"/>
          <w:lang w:val="zh-CN"/>
        </w:rPr>
        <w:t>.2 综合评审的主要因素是：价格、技术、</w:t>
      </w:r>
      <w:r>
        <w:rPr>
          <w:rFonts w:hint="eastAsia" w:ascii="宋体" w:hAnsi="宋体" w:eastAsia="宋体" w:cs="宋体"/>
          <w:color w:val="000000"/>
          <w:szCs w:val="21"/>
          <w:highlight w:val="none"/>
        </w:rPr>
        <w:t>商务</w:t>
      </w:r>
      <w:r>
        <w:rPr>
          <w:rFonts w:hint="eastAsia" w:ascii="宋体" w:hAnsi="宋体" w:eastAsia="宋体" w:cs="宋体"/>
          <w:color w:val="000000"/>
          <w:szCs w:val="21"/>
          <w:highlight w:val="none"/>
          <w:lang w:val="zh-CN"/>
        </w:rPr>
        <w:t>、对竞争性磋商文件响应程度等。</w:t>
      </w:r>
    </w:p>
    <w:p w14:paraId="0C5AAD5F">
      <w:pPr>
        <w:keepNext w:val="0"/>
        <w:keepLines w:val="0"/>
        <w:pageBreakBefore w:val="0"/>
        <w:widowControl w:val="0"/>
        <w:spacing w:line="360" w:lineRule="auto"/>
        <w:ind w:firstLine="420"/>
        <w:rPr>
          <w:rFonts w:hint="eastAsia" w:ascii="宋体" w:hAnsi="宋体" w:eastAsia="宋体" w:cs="宋体"/>
          <w:color w:val="000000"/>
          <w:szCs w:val="21"/>
          <w:highlight w:val="none"/>
          <w:lang w:val="zh-CN"/>
        </w:rPr>
      </w:pPr>
      <w:r>
        <w:rPr>
          <w:rFonts w:hint="eastAsia" w:ascii="宋体" w:hAnsi="宋体" w:eastAsia="宋体" w:cs="宋体"/>
          <w:bCs/>
          <w:color w:val="000000"/>
          <w:szCs w:val="21"/>
          <w:highlight w:val="none"/>
          <w:lang w:val="zh-CN"/>
        </w:rPr>
        <w:t>1</w:t>
      </w:r>
      <w:r>
        <w:rPr>
          <w:rFonts w:hint="eastAsia" w:ascii="宋体" w:hAnsi="宋体" w:eastAsia="宋体" w:cs="宋体"/>
          <w:bCs/>
          <w:color w:val="000000"/>
          <w:szCs w:val="21"/>
          <w:highlight w:val="none"/>
        </w:rPr>
        <w:t>8</w:t>
      </w:r>
      <w:r>
        <w:rPr>
          <w:rFonts w:hint="eastAsia" w:ascii="宋体" w:hAnsi="宋体" w:eastAsia="宋体" w:cs="宋体"/>
          <w:bCs/>
          <w:color w:val="000000"/>
          <w:szCs w:val="21"/>
          <w:highlight w:val="none"/>
          <w:lang w:val="zh-CN"/>
        </w:rPr>
        <w:t>.</w:t>
      </w:r>
      <w:r>
        <w:rPr>
          <w:rFonts w:hint="eastAsia" w:ascii="宋体" w:hAnsi="宋体" w:cs="宋体"/>
          <w:bCs/>
          <w:color w:val="000000"/>
          <w:szCs w:val="21"/>
          <w:highlight w:val="none"/>
          <w:lang w:val="en-US" w:eastAsia="zh-CN"/>
        </w:rPr>
        <w:t>3</w:t>
      </w:r>
      <w:r>
        <w:rPr>
          <w:rFonts w:hint="eastAsia" w:ascii="宋体" w:hAnsi="宋体" w:eastAsia="宋体" w:cs="宋体"/>
          <w:color w:val="000000"/>
          <w:szCs w:val="21"/>
          <w:highlight w:val="none"/>
        </w:rPr>
        <w:t xml:space="preserve"> </w:t>
      </w:r>
      <w:r>
        <w:rPr>
          <w:rFonts w:hint="eastAsia" w:ascii="宋体" w:hAnsi="宋体" w:eastAsia="宋体" w:cs="宋体"/>
          <w:b/>
          <w:color w:val="000000"/>
          <w:szCs w:val="21"/>
          <w:highlight w:val="none"/>
        </w:rPr>
        <w:t>评审标准详见文件第三章。</w:t>
      </w:r>
    </w:p>
    <w:p w14:paraId="09A6355E">
      <w:pPr>
        <w:keepNext w:val="0"/>
        <w:keepLines w:val="0"/>
        <w:pageBreakBefore w:val="0"/>
        <w:widowControl w:val="0"/>
        <w:spacing w:line="360" w:lineRule="auto"/>
        <w:ind w:firstLine="422"/>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1</w:t>
      </w:r>
      <w:r>
        <w:rPr>
          <w:rFonts w:hint="eastAsia" w:ascii="宋体" w:hAnsi="宋体" w:eastAsia="宋体" w:cs="宋体"/>
          <w:b/>
          <w:bCs/>
          <w:color w:val="000000"/>
          <w:szCs w:val="21"/>
          <w:highlight w:val="none"/>
        </w:rPr>
        <w:t>9</w:t>
      </w:r>
      <w:r>
        <w:rPr>
          <w:rFonts w:hint="eastAsia" w:ascii="宋体" w:hAnsi="宋体" w:eastAsia="宋体" w:cs="宋体"/>
          <w:b/>
          <w:bCs/>
          <w:color w:val="000000"/>
          <w:szCs w:val="21"/>
          <w:highlight w:val="none"/>
          <w:lang w:val="zh-CN"/>
        </w:rPr>
        <w:t>、确定成交供应商</w:t>
      </w:r>
    </w:p>
    <w:p w14:paraId="39568D6B">
      <w:pPr>
        <w:keepNext w:val="0"/>
        <w:keepLines w:val="0"/>
        <w:pageBreakBefore w:val="0"/>
        <w:widowControl w:val="0"/>
        <w:spacing w:line="360" w:lineRule="auto"/>
        <w:ind w:firstLine="42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1</w:t>
      </w:r>
      <w:r>
        <w:rPr>
          <w:rFonts w:hint="eastAsia" w:ascii="宋体" w:hAnsi="宋体" w:eastAsia="宋体" w:cs="宋体"/>
          <w:color w:val="000000"/>
          <w:szCs w:val="21"/>
          <w:highlight w:val="none"/>
        </w:rPr>
        <w:t>9</w:t>
      </w:r>
      <w:r>
        <w:rPr>
          <w:rFonts w:hint="eastAsia" w:ascii="宋体" w:hAnsi="宋体" w:eastAsia="宋体" w:cs="宋体"/>
          <w:color w:val="000000"/>
          <w:szCs w:val="21"/>
          <w:highlight w:val="none"/>
          <w:lang w:val="zh-CN"/>
        </w:rPr>
        <w:t xml:space="preserve">.1 </w:t>
      </w:r>
      <w:r>
        <w:rPr>
          <w:rFonts w:hint="eastAsia" w:ascii="宋体" w:hAnsi="宋体" w:eastAsia="宋体" w:cs="宋体"/>
          <w:color w:val="000000"/>
          <w:highlight w:val="none"/>
          <w:lang w:val="zh-CN"/>
        </w:rPr>
        <w:t>在综合比较与评价后</w:t>
      </w:r>
      <w:r>
        <w:rPr>
          <w:rFonts w:hint="eastAsia" w:ascii="宋体" w:hAnsi="宋体" w:eastAsia="宋体" w:cs="宋体"/>
          <w:color w:val="000000"/>
          <w:szCs w:val="21"/>
          <w:highlight w:val="none"/>
          <w:lang w:val="zh-CN"/>
        </w:rPr>
        <w:t>按照得分高低顺序对供应商进行排列。</w:t>
      </w:r>
      <w:r>
        <w:rPr>
          <w:rFonts w:hint="eastAsia" w:ascii="宋体" w:hAnsi="宋体" w:eastAsia="宋体" w:cs="宋体"/>
          <w:color w:val="000000"/>
          <w:szCs w:val="21"/>
          <w:highlight w:val="none"/>
        </w:rPr>
        <w:t>得分相同的，按报价由低到高顺序排列。得分且报价相同的，按技术指标优劣顺序排列。</w:t>
      </w:r>
      <w:r>
        <w:rPr>
          <w:rFonts w:hint="eastAsia" w:ascii="宋体" w:hAnsi="宋体" w:eastAsia="宋体" w:cs="宋体"/>
          <w:color w:val="000000"/>
          <w:szCs w:val="21"/>
          <w:highlight w:val="none"/>
          <w:lang w:val="zh-CN"/>
        </w:rPr>
        <w:t>磋商小组将严格按照采购文件的要求和条件进行比较,根据评审办法直接确定成交供应商或推荐出成交候选供应商。</w:t>
      </w:r>
    </w:p>
    <w:p w14:paraId="1377965D">
      <w:pPr>
        <w:keepNext w:val="0"/>
        <w:keepLines w:val="0"/>
        <w:pageBreakBefore w:val="0"/>
        <w:widowControl w:val="0"/>
        <w:spacing w:line="360" w:lineRule="auto"/>
        <w:ind w:firstLine="420"/>
        <w:rPr>
          <w:rFonts w:hint="eastAsia" w:ascii="宋体" w:hAnsi="宋体" w:eastAsia="宋体" w:cs="宋体"/>
          <w:b/>
          <w:color w:val="000000"/>
          <w:szCs w:val="21"/>
          <w:highlight w:val="none"/>
        </w:rPr>
      </w:pPr>
      <w:r>
        <w:rPr>
          <w:rFonts w:hint="eastAsia" w:ascii="宋体" w:hAnsi="宋体" w:eastAsia="宋体" w:cs="宋体"/>
          <w:color w:val="000000"/>
          <w:szCs w:val="21"/>
          <w:highlight w:val="none"/>
          <w:lang w:val="zh-CN"/>
        </w:rPr>
        <w:t>1</w:t>
      </w:r>
      <w:r>
        <w:rPr>
          <w:rFonts w:hint="eastAsia" w:ascii="宋体" w:hAnsi="宋体" w:eastAsia="宋体" w:cs="宋体"/>
          <w:color w:val="000000"/>
          <w:szCs w:val="21"/>
          <w:highlight w:val="none"/>
        </w:rPr>
        <w:t>9</w:t>
      </w:r>
      <w:r>
        <w:rPr>
          <w:rFonts w:hint="eastAsia" w:ascii="宋体" w:hAnsi="宋体" w:eastAsia="宋体" w:cs="宋体"/>
          <w:color w:val="000000"/>
          <w:szCs w:val="21"/>
          <w:highlight w:val="none"/>
          <w:lang w:val="zh-CN"/>
        </w:rPr>
        <w:t>.2 成交供应商确定后，将</w:t>
      </w:r>
      <w:r>
        <w:rPr>
          <w:rFonts w:hint="eastAsia" w:ascii="宋体" w:hAnsi="宋体" w:eastAsia="宋体" w:cs="宋体"/>
          <w:color w:val="000000"/>
          <w:highlight w:val="none"/>
        </w:rPr>
        <w:t>在财政部门指定的政府采购信息发布媒体上公告</w:t>
      </w:r>
      <w:r>
        <w:rPr>
          <w:rFonts w:hint="eastAsia" w:ascii="宋体" w:hAnsi="宋体" w:eastAsia="宋体" w:cs="宋体"/>
          <w:color w:val="000000"/>
          <w:szCs w:val="21"/>
          <w:highlight w:val="none"/>
          <w:lang w:val="zh-CN"/>
        </w:rPr>
        <w:t>，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cs="宋体"/>
          <w:color w:val="000000"/>
          <w:szCs w:val="21"/>
          <w:highlight w:val="none"/>
          <w:lang w:val="zh-CN"/>
        </w:rPr>
        <w:t>。</w:t>
      </w:r>
    </w:p>
    <w:p w14:paraId="68EA407B">
      <w:pPr>
        <w:keepNext w:val="0"/>
        <w:keepLines w:val="0"/>
        <w:pageBreakBefore w:val="0"/>
        <w:widowControl w:val="0"/>
        <w:spacing w:line="360" w:lineRule="auto"/>
        <w:ind w:firstLine="42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1</w:t>
      </w:r>
      <w:r>
        <w:rPr>
          <w:rFonts w:hint="eastAsia" w:ascii="宋体" w:hAnsi="宋体" w:eastAsia="宋体" w:cs="宋体"/>
          <w:color w:val="000000"/>
          <w:szCs w:val="21"/>
          <w:highlight w:val="none"/>
        </w:rPr>
        <w:t>9</w:t>
      </w:r>
      <w:r>
        <w:rPr>
          <w:rFonts w:hint="eastAsia" w:ascii="宋体" w:hAnsi="宋体" w:eastAsia="宋体" w:cs="宋体"/>
          <w:color w:val="000000"/>
          <w:szCs w:val="21"/>
          <w:highlight w:val="none"/>
          <w:lang w:val="zh-CN"/>
        </w:rPr>
        <w:t>.3 成交通知书对采购人和成交供应商具有同等法律效力。</w:t>
      </w:r>
    </w:p>
    <w:p w14:paraId="238D0724">
      <w:pPr>
        <w:keepNext w:val="0"/>
        <w:keepLines w:val="0"/>
        <w:pageBreakBefore w:val="0"/>
        <w:widowControl w:val="0"/>
        <w:tabs>
          <w:tab w:val="left" w:pos="1260"/>
        </w:tabs>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19.4 采购代理机构对未成交的供应商不作未成交原因的解释。</w:t>
      </w:r>
    </w:p>
    <w:p w14:paraId="50647D22">
      <w:pPr>
        <w:keepNext w:val="0"/>
        <w:keepLines w:val="0"/>
        <w:pageBreakBefore w:val="0"/>
        <w:widowControl w:val="0"/>
        <w:spacing w:line="360" w:lineRule="auto"/>
        <w:ind w:firstLine="420"/>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19.5 所有响应文件都将作为档案保存，不论成交与否，采购代理机构均不退回。</w:t>
      </w:r>
    </w:p>
    <w:p w14:paraId="6CD5AD56">
      <w:pPr>
        <w:keepNext w:val="0"/>
        <w:keepLines w:val="0"/>
        <w:pageBreakBefore w:val="0"/>
        <w:widowControl w:val="0"/>
        <w:spacing w:line="360" w:lineRule="auto"/>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20</w:t>
      </w:r>
      <w:r>
        <w:rPr>
          <w:rFonts w:hint="eastAsia" w:ascii="宋体" w:hAnsi="宋体" w:eastAsia="宋体" w:cs="宋体"/>
          <w:b/>
          <w:bCs/>
          <w:color w:val="000000"/>
          <w:szCs w:val="21"/>
          <w:highlight w:val="none"/>
          <w:lang w:val="zh-CN"/>
        </w:rPr>
        <w:t>、</w:t>
      </w:r>
      <w:r>
        <w:rPr>
          <w:rFonts w:hint="eastAsia" w:ascii="宋体" w:hAnsi="宋体" w:eastAsia="宋体" w:cs="宋体"/>
          <w:b/>
          <w:color w:val="000000"/>
          <w:szCs w:val="21"/>
          <w:highlight w:val="none"/>
        </w:rPr>
        <w:t>编写评审报告</w:t>
      </w:r>
    </w:p>
    <w:p w14:paraId="0B5453CF">
      <w:pPr>
        <w:keepNext w:val="0"/>
        <w:keepLines w:val="0"/>
        <w:pageBreakBefore w:val="0"/>
        <w:widowControl w:val="0"/>
        <w:spacing w:line="360" w:lineRule="auto"/>
        <w:ind w:firstLine="420"/>
        <w:rPr>
          <w:rFonts w:ascii="宋体"/>
          <w:color w:val="000000"/>
          <w:szCs w:val="21"/>
          <w:highlight w:val="none"/>
        </w:rPr>
      </w:pPr>
      <w:r>
        <w:rPr>
          <w:rFonts w:hint="eastAsia" w:ascii="宋体" w:hAnsi="宋体" w:eastAsia="宋体" w:cs="宋体"/>
          <w:color w:val="000000"/>
          <w:szCs w:val="21"/>
          <w:highlight w:val="none"/>
        </w:rPr>
        <w:t>20.1 磋商小组根据磋商过程和结果编写评审报告。</w:t>
      </w:r>
    </w:p>
    <w:p w14:paraId="24529D67">
      <w:pPr>
        <w:pStyle w:val="182"/>
        <w:spacing w:before="0" w:after="160" w:line="360" w:lineRule="auto"/>
        <w:ind w:firstLine="422"/>
        <w:rPr>
          <w:rFonts w:ascii="宋体"/>
          <w:color w:val="000000"/>
          <w:sz w:val="21"/>
          <w:szCs w:val="21"/>
          <w:highlight w:val="none"/>
          <w:lang w:val="zh-CN"/>
        </w:rPr>
      </w:pPr>
      <w:bookmarkStart w:id="86" w:name="_Toc20803"/>
      <w:bookmarkStart w:id="87" w:name="_Toc5964"/>
      <w:bookmarkStart w:id="88" w:name="_Toc20431"/>
      <w:r>
        <w:rPr>
          <w:rFonts w:hint="eastAsia" w:ascii="宋体" w:eastAsia="宋体"/>
          <w:color w:val="000000"/>
          <w:sz w:val="21"/>
          <w:szCs w:val="21"/>
          <w:highlight w:val="none"/>
          <w:lang w:val="en-US" w:eastAsia="zh-CN"/>
        </w:rPr>
        <w:t>五</w:t>
      </w:r>
      <w:r>
        <w:rPr>
          <w:rFonts w:hint="eastAsia" w:ascii="宋体"/>
          <w:color w:val="000000"/>
          <w:sz w:val="21"/>
          <w:szCs w:val="21"/>
          <w:highlight w:val="none"/>
          <w:lang w:val="zh-CN"/>
        </w:rPr>
        <w:t>、签订合同</w:t>
      </w:r>
      <w:bookmarkEnd w:id="86"/>
      <w:bookmarkEnd w:id="87"/>
      <w:bookmarkEnd w:id="88"/>
    </w:p>
    <w:p w14:paraId="7BC345B3">
      <w:pPr>
        <w:keepNext w:val="0"/>
        <w:keepLines w:val="0"/>
        <w:pageBreakBefore w:val="0"/>
        <w:widowControl w:val="0"/>
        <w:spacing w:line="360" w:lineRule="auto"/>
        <w:ind w:firstLine="422"/>
        <w:rPr>
          <w:rFonts w:ascii="宋体"/>
          <w:b/>
          <w:bCs/>
          <w:color w:val="000000"/>
          <w:szCs w:val="21"/>
          <w:highlight w:val="none"/>
          <w:lang w:val="zh-CN"/>
        </w:rPr>
      </w:pPr>
      <w:r>
        <w:rPr>
          <w:rFonts w:hint="eastAsia" w:ascii="宋体"/>
          <w:b/>
          <w:color w:val="000000"/>
          <w:szCs w:val="21"/>
          <w:highlight w:val="none"/>
        </w:rPr>
        <w:t>21</w:t>
      </w:r>
      <w:r>
        <w:rPr>
          <w:rFonts w:hint="eastAsia" w:ascii="宋体"/>
          <w:b/>
          <w:color w:val="000000"/>
          <w:szCs w:val="21"/>
          <w:highlight w:val="none"/>
          <w:lang w:val="zh-CN"/>
        </w:rPr>
        <w:t>、</w:t>
      </w:r>
      <w:r>
        <w:rPr>
          <w:rFonts w:hint="eastAsia" w:ascii="宋体"/>
          <w:b/>
          <w:bCs/>
          <w:color w:val="000000"/>
          <w:szCs w:val="21"/>
          <w:highlight w:val="none"/>
          <w:lang w:val="zh-CN"/>
        </w:rPr>
        <w:t>签订合同</w:t>
      </w:r>
    </w:p>
    <w:p w14:paraId="3009AC79">
      <w:pPr>
        <w:keepNext w:val="0"/>
        <w:keepLines w:val="0"/>
        <w:pageBreakBefore w:val="0"/>
        <w:widowControl w:val="0"/>
        <w:spacing w:line="360" w:lineRule="auto"/>
        <w:ind w:firstLine="420"/>
        <w:rPr>
          <w:rFonts w:ascii="宋体"/>
          <w:color w:val="000000"/>
          <w:szCs w:val="21"/>
          <w:highlight w:val="none"/>
          <w:lang w:val="zh-CN"/>
        </w:rPr>
      </w:pPr>
      <w:r>
        <w:rPr>
          <w:rFonts w:hint="eastAsia" w:ascii="宋体"/>
          <w:color w:val="000000"/>
          <w:szCs w:val="21"/>
          <w:highlight w:val="none"/>
        </w:rPr>
        <w:t>21</w:t>
      </w:r>
      <w:r>
        <w:rPr>
          <w:rFonts w:hint="eastAsia" w:ascii="宋体"/>
          <w:color w:val="000000"/>
          <w:szCs w:val="21"/>
          <w:highlight w:val="none"/>
          <w:lang w:val="zh-CN"/>
        </w:rPr>
        <w:t>.</w:t>
      </w:r>
      <w:r>
        <w:rPr>
          <w:rFonts w:hint="eastAsia" w:ascii="宋体"/>
          <w:color w:val="000000"/>
          <w:szCs w:val="21"/>
          <w:highlight w:val="none"/>
        </w:rPr>
        <w:t>1 成交供应商应当</w:t>
      </w:r>
      <w:r>
        <w:rPr>
          <w:rFonts w:hint="eastAsia" w:ascii="宋体"/>
          <w:color w:val="000000"/>
          <w:szCs w:val="21"/>
          <w:highlight w:val="none"/>
          <w:lang w:val="zh-CN"/>
        </w:rPr>
        <w:t>自成交通知书发出之日起三十日内，</w:t>
      </w:r>
      <w:r>
        <w:rPr>
          <w:rFonts w:hint="eastAsia" w:ascii="宋体"/>
          <w:color w:val="000000"/>
          <w:szCs w:val="21"/>
          <w:highlight w:val="none"/>
        </w:rPr>
        <w:t>与采购人签订政府采购合同，所签订的合同不得对磋商文件和响应文件作实质性修改。</w:t>
      </w:r>
    </w:p>
    <w:p w14:paraId="31ED3061">
      <w:pPr>
        <w:keepNext w:val="0"/>
        <w:keepLines w:val="0"/>
        <w:pageBreakBefore w:val="0"/>
        <w:widowControl w:val="0"/>
        <w:spacing w:line="360" w:lineRule="auto"/>
        <w:ind w:firstLine="420"/>
        <w:rPr>
          <w:rFonts w:ascii="宋体"/>
          <w:color w:val="000000"/>
          <w:szCs w:val="21"/>
          <w:highlight w:val="none"/>
        </w:rPr>
      </w:pPr>
      <w:r>
        <w:rPr>
          <w:rFonts w:hint="eastAsia" w:ascii="宋体"/>
          <w:color w:val="000000"/>
          <w:szCs w:val="21"/>
          <w:highlight w:val="none"/>
        </w:rPr>
        <w:t>21</w:t>
      </w:r>
      <w:r>
        <w:rPr>
          <w:rFonts w:hint="eastAsia" w:ascii="宋体"/>
          <w:color w:val="000000"/>
          <w:szCs w:val="21"/>
          <w:highlight w:val="none"/>
          <w:lang w:val="zh-CN"/>
        </w:rPr>
        <w:t xml:space="preserve">.2 </w:t>
      </w:r>
      <w:r>
        <w:rPr>
          <w:rFonts w:hint="eastAsia" w:ascii="宋体"/>
          <w:color w:val="000000"/>
          <w:szCs w:val="21"/>
          <w:highlight w:val="none"/>
        </w:rPr>
        <w:t>采购人不得向成交供应商提出任何不合理的要求作为签订合同的条件，不得与成交供应商私下订立背离合同实质性内容的协议。</w:t>
      </w:r>
    </w:p>
    <w:p w14:paraId="1492C98C">
      <w:pPr>
        <w:keepNext w:val="0"/>
        <w:keepLines w:val="0"/>
        <w:pageBreakBefore w:val="0"/>
        <w:widowControl w:val="0"/>
        <w:spacing w:line="360" w:lineRule="auto"/>
        <w:ind w:firstLine="420"/>
        <w:rPr>
          <w:rFonts w:ascii="宋体"/>
          <w:color w:val="000000"/>
          <w:szCs w:val="21"/>
          <w:highlight w:val="none"/>
          <w:lang w:val="zh-CN"/>
        </w:rPr>
      </w:pPr>
      <w:r>
        <w:rPr>
          <w:rFonts w:hint="eastAsia" w:ascii="宋体"/>
          <w:color w:val="000000"/>
          <w:szCs w:val="21"/>
          <w:highlight w:val="none"/>
        </w:rPr>
        <w:t>21</w:t>
      </w:r>
      <w:r>
        <w:rPr>
          <w:rFonts w:hint="eastAsia" w:ascii="宋体"/>
          <w:color w:val="000000"/>
          <w:szCs w:val="21"/>
          <w:highlight w:val="none"/>
          <w:lang w:val="zh-CN"/>
        </w:rPr>
        <w:t>.3</w:t>
      </w:r>
      <w:r>
        <w:rPr>
          <w:rFonts w:hint="eastAsia" w:ascii="宋体"/>
          <w:color w:val="000000"/>
          <w:szCs w:val="21"/>
          <w:highlight w:val="none"/>
        </w:rPr>
        <w:t xml:space="preserve"> 除不可抗力等因素外，</w:t>
      </w:r>
      <w:r>
        <w:rPr>
          <w:rFonts w:hint="eastAsia" w:ascii="宋体"/>
          <w:color w:val="000000"/>
          <w:szCs w:val="21"/>
          <w:highlight w:val="none"/>
          <w:lang w:val="zh-CN"/>
        </w:rPr>
        <w:t>成交通知书发出后，采购人改变成交结果，或者成交供应商拒绝签订政府采购合同的，应当承担相应的法律责任。</w:t>
      </w:r>
    </w:p>
    <w:p w14:paraId="7787079E">
      <w:pPr>
        <w:keepNext w:val="0"/>
        <w:keepLines w:val="0"/>
        <w:pageBreakBefore w:val="0"/>
        <w:widowControl w:val="0"/>
        <w:spacing w:line="360" w:lineRule="auto"/>
        <w:ind w:firstLine="420"/>
        <w:rPr>
          <w:rFonts w:ascii="宋体"/>
          <w:b/>
          <w:color w:val="000000"/>
          <w:szCs w:val="21"/>
          <w:highlight w:val="none"/>
        </w:rPr>
      </w:pPr>
      <w:r>
        <w:rPr>
          <w:rFonts w:hint="eastAsia" w:ascii="宋体"/>
          <w:color w:val="000000"/>
          <w:szCs w:val="21"/>
          <w:highlight w:val="none"/>
        </w:rPr>
        <w:t>21</w:t>
      </w:r>
      <w:r>
        <w:rPr>
          <w:rFonts w:hint="eastAsia" w:ascii="宋体"/>
          <w:color w:val="000000"/>
          <w:szCs w:val="21"/>
          <w:highlight w:val="none"/>
          <w:lang w:val="zh-CN"/>
        </w:rPr>
        <w:t xml:space="preserve">.4 </w:t>
      </w:r>
      <w:r>
        <w:rPr>
          <w:rFonts w:hint="eastAsia" w:ascii="宋体"/>
          <w:b/>
          <w:color w:val="000000"/>
          <w:szCs w:val="21"/>
          <w:highlight w:val="none"/>
        </w:rPr>
        <w:t>成交供应商除发生法律规定的不能预见、不能避免并不能克服的客观情况外不得放弃或拒绝签订合同的。放弃或拒绝签订合同的，财政部门视情将其列入不良行为名单，在一至三年内不得参加采购人组织的政府采购活动。</w:t>
      </w:r>
    </w:p>
    <w:p w14:paraId="47CF3569">
      <w:pPr>
        <w:keepNext w:val="0"/>
        <w:keepLines w:val="0"/>
        <w:pageBreakBefore w:val="0"/>
        <w:widowControl w:val="0"/>
        <w:spacing w:line="360" w:lineRule="auto"/>
        <w:ind w:firstLine="420"/>
        <w:rPr>
          <w:rFonts w:ascii="宋体"/>
          <w:color w:val="000000"/>
          <w:szCs w:val="21"/>
          <w:highlight w:val="none"/>
          <w:lang w:val="zh-CN"/>
        </w:rPr>
      </w:pPr>
      <w:r>
        <w:rPr>
          <w:rFonts w:hint="eastAsia" w:ascii="宋体"/>
          <w:color w:val="000000"/>
          <w:szCs w:val="21"/>
          <w:highlight w:val="none"/>
        </w:rPr>
        <w:t>21</w:t>
      </w:r>
      <w:r>
        <w:rPr>
          <w:rFonts w:hint="eastAsia" w:ascii="宋体"/>
          <w:color w:val="000000"/>
          <w:szCs w:val="21"/>
          <w:highlight w:val="none"/>
          <w:lang w:val="zh-CN"/>
        </w:rPr>
        <w:t>.5</w:t>
      </w:r>
      <w:r>
        <w:rPr>
          <w:rFonts w:hint="eastAsia" w:ascii="宋体"/>
          <w:color w:val="000000"/>
          <w:szCs w:val="21"/>
          <w:highlight w:val="none"/>
          <w:lang w:val="en-US" w:eastAsia="zh-CN"/>
        </w:rPr>
        <w:t xml:space="preserve"> </w:t>
      </w:r>
      <w:r>
        <w:rPr>
          <w:rFonts w:hint="eastAsia" w:ascii="宋体"/>
          <w:color w:val="000000"/>
          <w:szCs w:val="21"/>
          <w:highlight w:val="none"/>
          <w:lang w:val="zh-CN"/>
        </w:rPr>
        <w:t>成交供应商拒绝签订政府采购合同的，</w:t>
      </w:r>
      <w:r>
        <w:rPr>
          <w:rFonts w:hint="eastAsia"/>
          <w:color w:val="000000"/>
          <w:highlight w:val="none"/>
        </w:rPr>
        <w:t>或因不可抗力或者自身原因不能履行政府采购合同的，</w:t>
      </w:r>
      <w:r>
        <w:rPr>
          <w:rFonts w:hint="eastAsia" w:ascii="宋体"/>
          <w:color w:val="000000"/>
          <w:szCs w:val="21"/>
          <w:highlight w:val="none"/>
          <w:lang w:val="zh-CN"/>
        </w:rPr>
        <w:t>采购人可以视情与排位在成交供应商之后第一位的成交候选供应商签订政府采购合同，也可以重新开展采购活动。</w:t>
      </w:r>
    </w:p>
    <w:p w14:paraId="531EC4D2">
      <w:pPr>
        <w:keepNext w:val="0"/>
        <w:keepLines w:val="0"/>
        <w:pageBreakBefore w:val="0"/>
        <w:widowControl w:val="0"/>
        <w:spacing w:line="360" w:lineRule="auto"/>
        <w:ind w:firstLine="420"/>
        <w:rPr>
          <w:rFonts w:ascii="宋体"/>
          <w:color w:val="000000"/>
          <w:szCs w:val="21"/>
          <w:highlight w:val="none"/>
          <w:lang w:val="zh-CN"/>
        </w:rPr>
      </w:pPr>
      <w:r>
        <w:rPr>
          <w:rFonts w:hint="eastAsia" w:ascii="宋体"/>
          <w:color w:val="000000"/>
          <w:szCs w:val="21"/>
          <w:highlight w:val="none"/>
        </w:rPr>
        <w:t>21</w:t>
      </w:r>
      <w:r>
        <w:rPr>
          <w:rFonts w:hint="eastAsia" w:ascii="宋体"/>
          <w:color w:val="000000"/>
          <w:szCs w:val="21"/>
          <w:highlight w:val="none"/>
          <w:lang w:val="zh-CN"/>
        </w:rPr>
        <w:t>.6 政府采购合同履行中，采购人需追加与合同标的相同的服务的，在不改变合同其他条款的前提下，可以与供应商协商签订补充合同，但所有补充合同的采购金额不得超过原合同采购金额的百分之十。</w:t>
      </w:r>
    </w:p>
    <w:p w14:paraId="13741660">
      <w:pPr>
        <w:pStyle w:val="182"/>
        <w:spacing w:before="0" w:after="160" w:line="360" w:lineRule="auto"/>
        <w:ind w:firstLine="422"/>
        <w:rPr>
          <w:rFonts w:ascii="宋体"/>
          <w:color w:val="000000"/>
          <w:sz w:val="21"/>
          <w:szCs w:val="21"/>
          <w:highlight w:val="none"/>
          <w:lang w:val="zh-CN"/>
        </w:rPr>
      </w:pPr>
      <w:bookmarkStart w:id="89" w:name="_Toc31502"/>
      <w:bookmarkStart w:id="90" w:name="_Toc5011"/>
      <w:bookmarkStart w:id="91" w:name="_Toc1286"/>
      <w:r>
        <w:rPr>
          <w:rFonts w:hint="eastAsia" w:ascii="宋体" w:eastAsia="宋体"/>
          <w:color w:val="000000"/>
          <w:sz w:val="21"/>
          <w:szCs w:val="21"/>
          <w:highlight w:val="none"/>
          <w:lang w:val="en-US" w:eastAsia="zh-CN"/>
        </w:rPr>
        <w:t>六</w:t>
      </w:r>
      <w:r>
        <w:rPr>
          <w:rFonts w:hint="eastAsia" w:ascii="宋体"/>
          <w:color w:val="000000"/>
          <w:sz w:val="21"/>
          <w:szCs w:val="21"/>
          <w:highlight w:val="none"/>
          <w:lang w:val="zh-CN"/>
        </w:rPr>
        <w:t>、询问、质疑、投诉和诚实信用</w:t>
      </w:r>
      <w:bookmarkEnd w:id="89"/>
      <w:bookmarkEnd w:id="90"/>
      <w:bookmarkEnd w:id="91"/>
    </w:p>
    <w:p w14:paraId="28719B6A">
      <w:pPr>
        <w:keepNext w:val="0"/>
        <w:keepLines w:val="0"/>
        <w:pageBreakBefore w:val="0"/>
        <w:widowControl w:val="0"/>
        <w:spacing w:line="360" w:lineRule="auto"/>
        <w:ind w:firstLine="422"/>
        <w:rPr>
          <w:rFonts w:ascii="宋体"/>
          <w:b/>
          <w:bCs/>
          <w:color w:val="000000"/>
          <w:szCs w:val="21"/>
          <w:highlight w:val="none"/>
          <w:lang w:val="zh-CN"/>
        </w:rPr>
      </w:pPr>
      <w:r>
        <w:rPr>
          <w:rFonts w:hint="eastAsia" w:ascii="宋体"/>
          <w:b/>
          <w:bCs/>
          <w:color w:val="000000"/>
          <w:szCs w:val="21"/>
          <w:highlight w:val="none"/>
        </w:rPr>
        <w:t>22</w:t>
      </w:r>
      <w:r>
        <w:rPr>
          <w:rFonts w:hint="eastAsia" w:ascii="宋体"/>
          <w:b/>
          <w:bCs/>
          <w:color w:val="000000"/>
          <w:szCs w:val="21"/>
          <w:highlight w:val="none"/>
          <w:lang w:val="zh-CN"/>
        </w:rPr>
        <w:t>、询问</w:t>
      </w:r>
    </w:p>
    <w:p w14:paraId="3C79D40A">
      <w:pPr>
        <w:keepNext w:val="0"/>
        <w:keepLines w:val="0"/>
        <w:pageBreakBefore w:val="0"/>
        <w:widowControl w:val="0"/>
        <w:spacing w:line="360" w:lineRule="auto"/>
        <w:ind w:firstLine="420"/>
        <w:rPr>
          <w:rFonts w:ascii="宋体"/>
          <w:b/>
          <w:color w:val="000000"/>
          <w:szCs w:val="21"/>
          <w:highlight w:val="none"/>
          <w:lang w:val="zh-CN"/>
        </w:rPr>
      </w:pPr>
      <w:r>
        <w:rPr>
          <w:rFonts w:hint="eastAsia" w:ascii="宋体"/>
          <w:color w:val="000000"/>
          <w:szCs w:val="21"/>
          <w:highlight w:val="none"/>
        </w:rPr>
        <w:t>22</w:t>
      </w:r>
      <w:r>
        <w:rPr>
          <w:rFonts w:hint="eastAsia" w:ascii="宋体"/>
          <w:color w:val="000000"/>
          <w:szCs w:val="21"/>
          <w:highlight w:val="none"/>
          <w:lang w:val="zh-CN"/>
        </w:rPr>
        <w:t>.1 供应商对采购活动事项有疑问的，可以向</w:t>
      </w:r>
      <w:r>
        <w:rPr>
          <w:rFonts w:hint="eastAsia" w:ascii="宋体"/>
          <w:color w:val="000000"/>
          <w:szCs w:val="21"/>
          <w:highlight w:val="none"/>
        </w:rPr>
        <w:t>采购代理机构</w:t>
      </w:r>
      <w:r>
        <w:rPr>
          <w:rFonts w:hint="eastAsia" w:ascii="宋体"/>
          <w:color w:val="000000"/>
          <w:szCs w:val="21"/>
          <w:highlight w:val="none"/>
          <w:lang w:val="zh-CN"/>
        </w:rPr>
        <w:t>提出询问，</w:t>
      </w:r>
      <w:r>
        <w:rPr>
          <w:rFonts w:hint="eastAsia" w:ascii="宋体"/>
          <w:color w:val="000000"/>
          <w:szCs w:val="21"/>
          <w:highlight w:val="none"/>
        </w:rPr>
        <w:t>采购代理机构</w:t>
      </w:r>
      <w:r>
        <w:rPr>
          <w:rFonts w:hint="eastAsia" w:ascii="宋体"/>
          <w:color w:val="000000"/>
          <w:szCs w:val="21"/>
          <w:highlight w:val="none"/>
          <w:lang w:val="zh-CN"/>
        </w:rPr>
        <w:t>将在两个工作日内作出答复，但答复的内容不涉及商业秘密</w:t>
      </w:r>
      <w:r>
        <w:rPr>
          <w:rFonts w:hint="eastAsia" w:ascii="宋体"/>
          <w:b/>
          <w:color w:val="000000"/>
          <w:szCs w:val="21"/>
          <w:highlight w:val="none"/>
          <w:lang w:val="zh-CN"/>
        </w:rPr>
        <w:t>。</w:t>
      </w:r>
    </w:p>
    <w:p w14:paraId="699606C0">
      <w:pPr>
        <w:keepNext w:val="0"/>
        <w:keepLines w:val="0"/>
        <w:pageBreakBefore w:val="0"/>
        <w:widowControl w:val="0"/>
        <w:spacing w:line="360" w:lineRule="auto"/>
        <w:ind w:firstLine="422"/>
        <w:rPr>
          <w:rFonts w:ascii="宋体"/>
          <w:b/>
          <w:color w:val="000000"/>
          <w:szCs w:val="21"/>
          <w:highlight w:val="none"/>
          <w:lang w:val="zh-CN"/>
        </w:rPr>
      </w:pPr>
      <w:r>
        <w:rPr>
          <w:rFonts w:hint="eastAsia" w:ascii="宋体"/>
          <w:b/>
          <w:color w:val="000000"/>
          <w:szCs w:val="21"/>
          <w:highlight w:val="none"/>
        </w:rPr>
        <w:t>23</w:t>
      </w:r>
      <w:r>
        <w:rPr>
          <w:rFonts w:hint="eastAsia" w:ascii="宋体"/>
          <w:b/>
          <w:color w:val="000000"/>
          <w:szCs w:val="21"/>
          <w:highlight w:val="none"/>
          <w:lang w:val="zh-CN"/>
        </w:rPr>
        <w:t>、质疑</w:t>
      </w:r>
    </w:p>
    <w:p w14:paraId="644DB30F">
      <w:pPr>
        <w:keepNext w:val="0"/>
        <w:keepLines w:val="0"/>
        <w:pageBreakBefore w:val="0"/>
        <w:widowControl w:val="0"/>
        <w:spacing w:line="360" w:lineRule="auto"/>
        <w:ind w:firstLine="420"/>
        <w:rPr>
          <w:rFonts w:ascii="宋体" w:hAnsi="宋体"/>
          <w:b/>
          <w:color w:val="000000"/>
          <w:szCs w:val="21"/>
          <w:highlight w:val="none"/>
          <w:lang w:val="zh-CN"/>
        </w:rPr>
      </w:pPr>
      <w:r>
        <w:rPr>
          <w:rFonts w:hint="eastAsia" w:ascii="宋体" w:hAnsi="宋体"/>
          <w:color w:val="000000"/>
          <w:szCs w:val="21"/>
          <w:highlight w:val="none"/>
        </w:rPr>
        <w:t>23</w:t>
      </w:r>
      <w:r>
        <w:rPr>
          <w:rFonts w:hint="eastAsia" w:ascii="宋体" w:hAnsi="宋体"/>
          <w:color w:val="000000"/>
          <w:szCs w:val="21"/>
          <w:highlight w:val="none"/>
          <w:lang w:val="zh-CN"/>
        </w:rPr>
        <w:t>.1 供应商对</w:t>
      </w:r>
      <w:r>
        <w:rPr>
          <w:rFonts w:hint="eastAsia" w:ascii="宋体" w:hAnsi="宋体"/>
          <w:color w:val="000000"/>
          <w:szCs w:val="21"/>
          <w:highlight w:val="none"/>
        </w:rPr>
        <w:t>采购</w:t>
      </w:r>
      <w:r>
        <w:rPr>
          <w:rFonts w:hint="eastAsia" w:ascii="宋体" w:hAnsi="宋体"/>
          <w:color w:val="000000"/>
          <w:szCs w:val="21"/>
          <w:highlight w:val="none"/>
          <w:lang w:val="zh-CN"/>
        </w:rPr>
        <w:t>活动事项有疑问的，可以向代理机构提出询问，代理机构将依法作出答复，但答复的内容不涉及商业秘密</w:t>
      </w:r>
      <w:r>
        <w:rPr>
          <w:rFonts w:hint="eastAsia" w:ascii="宋体" w:hAnsi="宋体"/>
          <w:b/>
          <w:color w:val="000000"/>
          <w:szCs w:val="21"/>
          <w:highlight w:val="none"/>
          <w:lang w:val="zh-CN"/>
        </w:rPr>
        <w:t>。</w:t>
      </w:r>
    </w:p>
    <w:p w14:paraId="447348A0">
      <w:pPr>
        <w:keepNext w:val="0"/>
        <w:keepLines w:val="0"/>
        <w:pageBreakBefore w:val="0"/>
        <w:widowControl w:val="0"/>
        <w:spacing w:line="360" w:lineRule="auto"/>
        <w:ind w:firstLine="420"/>
        <w:rPr>
          <w:rFonts w:ascii="宋体" w:hAnsi="宋体"/>
          <w:color w:val="000000"/>
          <w:szCs w:val="21"/>
          <w:highlight w:val="none"/>
          <w:lang w:val="zh-CN"/>
        </w:rPr>
      </w:pPr>
      <w:r>
        <w:rPr>
          <w:rFonts w:hint="eastAsia" w:ascii="宋体" w:hAnsi="宋体"/>
          <w:color w:val="000000"/>
          <w:szCs w:val="21"/>
          <w:highlight w:val="none"/>
        </w:rPr>
        <w:t>23</w:t>
      </w:r>
      <w:r>
        <w:rPr>
          <w:rFonts w:hint="eastAsia" w:ascii="宋体" w:hAnsi="宋体"/>
          <w:color w:val="000000"/>
          <w:szCs w:val="21"/>
          <w:highlight w:val="none"/>
          <w:lang w:val="zh-CN"/>
        </w:rPr>
        <w:t>.2 供应商认为采购文件、采购过程和</w:t>
      </w:r>
      <w:r>
        <w:rPr>
          <w:rFonts w:hint="eastAsia" w:ascii="宋体" w:hAnsi="宋体"/>
          <w:color w:val="000000"/>
          <w:szCs w:val="21"/>
          <w:highlight w:val="none"/>
        </w:rPr>
        <w:t>成交</w:t>
      </w:r>
      <w:r>
        <w:rPr>
          <w:rFonts w:hint="eastAsia" w:ascii="宋体" w:hAnsi="宋体"/>
          <w:color w:val="000000"/>
          <w:szCs w:val="21"/>
          <w:highlight w:val="none"/>
          <w:lang w:val="zh-CN"/>
        </w:rPr>
        <w:t>结果使自己的合法权益受到损害的，可以在知道或者应当知道其权益受到损害之日起七个工作日内，</w:t>
      </w:r>
      <w:r>
        <w:rPr>
          <w:rFonts w:hint="eastAsia" w:ascii="宋体" w:hAnsi="宋体"/>
          <w:color w:val="000000"/>
          <w:szCs w:val="21"/>
          <w:highlight w:val="none"/>
        </w:rPr>
        <w:t>一次性针对同一采购程序环节提出</w:t>
      </w:r>
      <w:r>
        <w:rPr>
          <w:rFonts w:hint="eastAsia" w:ascii="宋体" w:hAnsi="宋体"/>
          <w:color w:val="000000"/>
          <w:szCs w:val="21"/>
          <w:highlight w:val="none"/>
          <w:lang w:val="zh-CN"/>
        </w:rPr>
        <w:t>质疑，</w:t>
      </w:r>
      <w:r>
        <w:rPr>
          <w:rFonts w:hint="eastAsia" w:ascii="宋体" w:hAnsi="宋体"/>
          <w:color w:val="000000"/>
          <w:szCs w:val="21"/>
          <w:highlight w:val="none"/>
        </w:rPr>
        <w:t>并将质疑</w:t>
      </w:r>
      <w:r>
        <w:rPr>
          <w:rFonts w:hint="eastAsia" w:ascii="宋体" w:hAnsi="宋体"/>
          <w:color w:val="000000"/>
          <w:szCs w:val="21"/>
          <w:highlight w:val="none"/>
          <w:lang w:val="zh-CN"/>
        </w:rPr>
        <w:t>文件原件送达代理机构，对同一采购程序环节提出多次质疑的，只对第一次质疑作出答复。</w:t>
      </w:r>
    </w:p>
    <w:p w14:paraId="7E6B2C60">
      <w:pPr>
        <w:keepNext w:val="0"/>
        <w:keepLines w:val="0"/>
        <w:pageBreakBefore w:val="0"/>
        <w:widowControl w:val="0"/>
        <w:spacing w:line="360" w:lineRule="auto"/>
        <w:ind w:firstLine="420"/>
        <w:rPr>
          <w:rFonts w:ascii="宋体" w:hAnsi="宋体"/>
          <w:color w:val="000000"/>
          <w:szCs w:val="21"/>
          <w:highlight w:val="none"/>
        </w:rPr>
      </w:pPr>
      <w:r>
        <w:rPr>
          <w:rFonts w:hint="eastAsia" w:ascii="宋体" w:hAnsi="宋体"/>
          <w:color w:val="000000"/>
          <w:szCs w:val="21"/>
          <w:highlight w:val="none"/>
        </w:rPr>
        <w:t>23</w:t>
      </w:r>
      <w:r>
        <w:rPr>
          <w:rFonts w:hint="eastAsia" w:ascii="宋体" w:hAnsi="宋体"/>
          <w:color w:val="000000"/>
          <w:szCs w:val="21"/>
          <w:highlight w:val="none"/>
          <w:lang w:val="zh-CN"/>
        </w:rPr>
        <w:t>.3 质疑文件应包括以下主要内容，并</w:t>
      </w:r>
      <w:r>
        <w:rPr>
          <w:rFonts w:hint="eastAsia" w:ascii="宋体" w:hAnsi="宋体"/>
          <w:color w:val="000000"/>
          <w:szCs w:val="21"/>
          <w:highlight w:val="none"/>
        </w:rPr>
        <w:t>按照“谁主张、谁举证”的原则，附上相关证明材料。否则，代理机构不予受理：</w:t>
      </w:r>
    </w:p>
    <w:p w14:paraId="174AC5F0">
      <w:pPr>
        <w:keepNext w:val="0"/>
        <w:keepLines w:val="0"/>
        <w:pageBreakBefore w:val="0"/>
        <w:widowControl w:val="0"/>
        <w:spacing w:line="360" w:lineRule="auto"/>
        <w:ind w:firstLine="420"/>
        <w:rPr>
          <w:rFonts w:ascii="宋体" w:hAnsi="宋体"/>
          <w:color w:val="000000"/>
          <w:szCs w:val="21"/>
          <w:highlight w:val="none"/>
          <w:lang w:val="zh-CN"/>
        </w:rPr>
      </w:pPr>
      <w:r>
        <w:rPr>
          <w:rFonts w:hint="eastAsia" w:ascii="宋体" w:hAnsi="宋体"/>
          <w:color w:val="000000"/>
          <w:szCs w:val="21"/>
          <w:highlight w:val="none"/>
        </w:rPr>
        <w:t>（1）质疑项目名称、项目编号、包号、竞争性磋商公告发布时间、磋商时间；</w:t>
      </w:r>
    </w:p>
    <w:p w14:paraId="3B7833CA">
      <w:pPr>
        <w:keepNext w:val="0"/>
        <w:keepLines w:val="0"/>
        <w:pageBreakBefore w:val="0"/>
        <w:widowControl w:val="0"/>
        <w:spacing w:line="360" w:lineRule="auto"/>
        <w:ind w:firstLine="420"/>
        <w:rPr>
          <w:rFonts w:ascii="宋体" w:hAnsi="宋体"/>
          <w:color w:val="000000"/>
          <w:szCs w:val="21"/>
          <w:highlight w:val="none"/>
          <w:lang w:val="zh-CN"/>
        </w:rPr>
      </w:pPr>
      <w:r>
        <w:rPr>
          <w:rFonts w:hint="eastAsia" w:ascii="宋体" w:hAnsi="宋体"/>
          <w:color w:val="000000"/>
          <w:szCs w:val="21"/>
          <w:highlight w:val="none"/>
          <w:lang w:val="zh-CN"/>
        </w:rPr>
        <w:t>（2）具体的质疑事项及法律依据（具体条款）；</w:t>
      </w:r>
    </w:p>
    <w:p w14:paraId="6A2CBD72">
      <w:pPr>
        <w:keepNext w:val="0"/>
        <w:keepLines w:val="0"/>
        <w:pageBreakBefore w:val="0"/>
        <w:widowControl w:val="0"/>
        <w:spacing w:line="360" w:lineRule="auto"/>
        <w:ind w:firstLine="420"/>
        <w:rPr>
          <w:rFonts w:ascii="宋体" w:hAnsi="宋体"/>
          <w:color w:val="000000"/>
          <w:szCs w:val="21"/>
          <w:highlight w:val="none"/>
          <w:lang w:val="zh-CN"/>
        </w:rPr>
      </w:pPr>
      <w:r>
        <w:rPr>
          <w:rFonts w:hint="eastAsia" w:ascii="宋体" w:hAnsi="宋体"/>
          <w:color w:val="000000"/>
          <w:szCs w:val="21"/>
          <w:highlight w:val="none"/>
          <w:lang w:val="zh-CN"/>
        </w:rPr>
        <w:t>（3）质疑相关证明文件或证明材料，如果涉及到产品功能或技术指标的，应出具相关制造商的证明文件（友情提示：</w:t>
      </w:r>
      <w:r>
        <w:rPr>
          <w:rFonts w:hint="eastAsia" w:ascii="宋体" w:hAnsi="宋体"/>
          <w:color w:val="000000"/>
          <w:highlight w:val="none"/>
        </w:rPr>
        <w:t>供应商全部产品线中没有满足技术需求要求的产品才可以对采购产品提出质疑，并提出</w:t>
      </w:r>
      <w:r>
        <w:rPr>
          <w:rFonts w:hint="eastAsia" w:ascii="宋体" w:hAnsi="宋体"/>
          <w:b/>
          <w:bCs/>
          <w:color w:val="000000"/>
          <w:highlight w:val="none"/>
        </w:rPr>
        <w:t>修改理由</w:t>
      </w:r>
      <w:r>
        <w:rPr>
          <w:rFonts w:hint="eastAsia" w:ascii="宋体" w:hAnsi="宋体"/>
          <w:color w:val="000000"/>
          <w:highlight w:val="none"/>
        </w:rPr>
        <w:t>和</w:t>
      </w:r>
      <w:r>
        <w:rPr>
          <w:rFonts w:hint="eastAsia" w:ascii="宋体" w:hAnsi="宋体"/>
          <w:b/>
          <w:bCs/>
          <w:color w:val="000000"/>
          <w:highlight w:val="none"/>
        </w:rPr>
        <w:t>修改建议</w:t>
      </w:r>
      <w:r>
        <w:rPr>
          <w:rFonts w:hint="eastAsia" w:ascii="宋体" w:hAnsi="宋体"/>
          <w:color w:val="000000"/>
          <w:szCs w:val="21"/>
          <w:highlight w:val="none"/>
          <w:lang w:val="zh-CN"/>
        </w:rPr>
        <w:t>）；</w:t>
      </w:r>
    </w:p>
    <w:p w14:paraId="1F1F3CA2">
      <w:pPr>
        <w:keepNext w:val="0"/>
        <w:keepLines w:val="0"/>
        <w:pageBreakBefore w:val="0"/>
        <w:widowControl w:val="0"/>
        <w:spacing w:line="360" w:lineRule="auto"/>
        <w:ind w:firstLine="420"/>
        <w:rPr>
          <w:rFonts w:ascii="宋体" w:hAnsi="宋体"/>
          <w:color w:val="000000"/>
          <w:szCs w:val="21"/>
          <w:highlight w:val="none"/>
          <w:lang w:val="zh-CN"/>
        </w:rPr>
      </w:pPr>
      <w:r>
        <w:rPr>
          <w:rFonts w:hint="eastAsia" w:ascii="宋体" w:hAnsi="宋体"/>
          <w:color w:val="000000"/>
          <w:szCs w:val="21"/>
          <w:highlight w:val="none"/>
          <w:lang w:val="zh-CN"/>
        </w:rPr>
        <w:t>（4）质疑供应商名称、地址、联系方式</w:t>
      </w:r>
      <w:r>
        <w:rPr>
          <w:rFonts w:hint="eastAsia" w:ascii="宋体" w:hAnsi="宋体"/>
          <w:color w:val="000000"/>
          <w:szCs w:val="21"/>
          <w:highlight w:val="none"/>
        </w:rPr>
        <w:t>（包括手机、传真号码）</w:t>
      </w:r>
      <w:r>
        <w:rPr>
          <w:rFonts w:hint="eastAsia" w:ascii="宋体" w:hAnsi="宋体"/>
          <w:color w:val="000000"/>
          <w:szCs w:val="21"/>
          <w:highlight w:val="none"/>
          <w:lang w:val="zh-CN"/>
        </w:rPr>
        <w:t>；</w:t>
      </w:r>
    </w:p>
    <w:p w14:paraId="5D51B960">
      <w:pPr>
        <w:keepNext w:val="0"/>
        <w:keepLines w:val="0"/>
        <w:pageBreakBefore w:val="0"/>
        <w:widowControl w:val="0"/>
        <w:spacing w:line="360" w:lineRule="auto"/>
        <w:ind w:firstLine="420"/>
        <w:rPr>
          <w:rFonts w:ascii="宋体" w:hAnsi="宋体"/>
          <w:color w:val="000000"/>
          <w:szCs w:val="21"/>
          <w:highlight w:val="none"/>
          <w:lang w:val="zh-CN"/>
        </w:rPr>
      </w:pPr>
      <w:r>
        <w:rPr>
          <w:rFonts w:hint="eastAsia" w:ascii="宋体" w:hAnsi="宋体"/>
          <w:color w:val="000000"/>
          <w:szCs w:val="21"/>
          <w:highlight w:val="none"/>
          <w:lang w:val="zh-CN"/>
        </w:rPr>
        <w:t>（5）法定代表人</w:t>
      </w:r>
      <w:r>
        <w:rPr>
          <w:rFonts w:hint="eastAsia" w:ascii="宋体" w:hAnsi="宋体"/>
          <w:color w:val="000000"/>
          <w:szCs w:val="21"/>
          <w:highlight w:val="none"/>
        </w:rPr>
        <w:t>签署本人姓名或印盖本人姓名章并加盖单位公章，</w:t>
      </w:r>
      <w:r>
        <w:rPr>
          <w:rFonts w:hint="eastAsia" w:ascii="宋体" w:hAnsi="宋体"/>
          <w:color w:val="000000"/>
          <w:szCs w:val="21"/>
          <w:highlight w:val="none"/>
          <w:lang w:val="zh-CN"/>
        </w:rPr>
        <w:t>或</w:t>
      </w:r>
      <w:r>
        <w:rPr>
          <w:rFonts w:hint="eastAsia" w:ascii="宋体" w:hAnsi="宋体"/>
          <w:color w:val="000000"/>
          <w:szCs w:val="21"/>
          <w:highlight w:val="none"/>
        </w:rPr>
        <w:t>法定代表人授权</w:t>
      </w:r>
      <w:r>
        <w:rPr>
          <w:rFonts w:hint="eastAsia" w:ascii="宋体" w:hAnsi="宋体"/>
          <w:color w:val="000000"/>
          <w:szCs w:val="21"/>
          <w:highlight w:val="none"/>
          <w:lang w:val="zh-CN"/>
        </w:rPr>
        <w:t>委托代理人</w:t>
      </w:r>
      <w:r>
        <w:rPr>
          <w:rFonts w:hint="eastAsia" w:ascii="宋体" w:hAnsi="宋体"/>
          <w:color w:val="000000"/>
          <w:szCs w:val="21"/>
          <w:highlight w:val="none"/>
        </w:rPr>
        <w:t>加盖单位公章，并由参加采购项目的</w:t>
      </w:r>
      <w:r>
        <w:rPr>
          <w:rFonts w:hint="eastAsia" w:ascii="宋体" w:hAnsi="宋体"/>
          <w:color w:val="000000"/>
          <w:szCs w:val="21"/>
          <w:highlight w:val="none"/>
          <w:lang w:val="zh-CN"/>
        </w:rPr>
        <w:t>授权委托代理人</w:t>
      </w:r>
      <w:r>
        <w:rPr>
          <w:rFonts w:hint="eastAsia" w:ascii="宋体" w:hAnsi="宋体"/>
          <w:color w:val="000000"/>
          <w:szCs w:val="21"/>
          <w:highlight w:val="none"/>
        </w:rPr>
        <w:t>签署本人姓名或印盖本人姓名章</w:t>
      </w:r>
      <w:r>
        <w:rPr>
          <w:rFonts w:hint="eastAsia" w:ascii="宋体" w:hAnsi="宋体"/>
          <w:color w:val="000000"/>
          <w:szCs w:val="21"/>
          <w:highlight w:val="none"/>
          <w:lang w:val="zh-CN"/>
        </w:rPr>
        <w:t>等。</w:t>
      </w:r>
    </w:p>
    <w:p w14:paraId="411260A8">
      <w:pPr>
        <w:keepNext w:val="0"/>
        <w:keepLines w:val="0"/>
        <w:pageBreakBefore w:val="0"/>
        <w:widowControl w:val="0"/>
        <w:spacing w:line="360" w:lineRule="auto"/>
        <w:ind w:firstLine="420"/>
        <w:rPr>
          <w:rFonts w:ascii="宋体" w:hAnsi="宋体"/>
          <w:color w:val="000000"/>
          <w:highlight w:val="none"/>
        </w:rPr>
      </w:pPr>
      <w:r>
        <w:rPr>
          <w:rFonts w:hint="eastAsia" w:ascii="宋体" w:hAnsi="宋体"/>
          <w:color w:val="000000"/>
          <w:szCs w:val="21"/>
          <w:highlight w:val="none"/>
        </w:rPr>
        <w:t>23</w:t>
      </w:r>
      <w:r>
        <w:rPr>
          <w:rFonts w:hint="eastAsia" w:ascii="宋体" w:hAnsi="宋体"/>
          <w:color w:val="000000"/>
          <w:szCs w:val="21"/>
          <w:highlight w:val="none"/>
          <w:lang w:val="zh-CN"/>
        </w:rPr>
        <w:t>.4</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zh-CN"/>
        </w:rPr>
        <w:t>质疑</w:t>
      </w:r>
      <w:r>
        <w:rPr>
          <w:rFonts w:hint="eastAsia" w:ascii="宋体" w:hAnsi="宋体"/>
          <w:color w:val="000000"/>
          <w:highlight w:val="none"/>
        </w:rPr>
        <w:t>供应商是指直接参加本项目采购活动的供应商；对采购文件提出质疑的，应自供应商获得采购文件之日起计算，且应当在递交响应文件截止时间前提出；对采购过程提出质疑的，自采购程序环节结束之日起计算；对成交结果提出质疑的，自成交结果公告之日起计算。</w:t>
      </w:r>
    </w:p>
    <w:p w14:paraId="435B5B0F">
      <w:pPr>
        <w:keepNext w:val="0"/>
        <w:keepLines w:val="0"/>
        <w:pageBreakBefore w:val="0"/>
        <w:widowControl w:val="0"/>
        <w:spacing w:line="360" w:lineRule="auto"/>
        <w:ind w:firstLine="420"/>
        <w:rPr>
          <w:rFonts w:ascii="宋体" w:hAnsi="宋体"/>
          <w:color w:val="000000"/>
          <w:szCs w:val="21"/>
          <w:highlight w:val="none"/>
          <w:lang w:val="zh-CN"/>
        </w:rPr>
      </w:pPr>
      <w:r>
        <w:rPr>
          <w:rFonts w:hint="eastAsia" w:ascii="宋体" w:hAnsi="宋体"/>
          <w:color w:val="000000"/>
          <w:szCs w:val="21"/>
          <w:highlight w:val="none"/>
        </w:rPr>
        <w:t>23.5 代理机构在收到供应商的书面质疑后将及时组织调查核实，在</w:t>
      </w:r>
      <w:r>
        <w:rPr>
          <w:rFonts w:hint="eastAsia" w:ascii="宋体" w:hAnsi="宋体"/>
          <w:b/>
          <w:bCs/>
          <w:color w:val="000000"/>
          <w:szCs w:val="21"/>
          <w:highlight w:val="none"/>
          <w:lang w:val="zh-CN"/>
        </w:rPr>
        <w:t>七个工作日内</w:t>
      </w:r>
      <w:r>
        <w:rPr>
          <w:rFonts w:hint="eastAsia" w:ascii="宋体" w:hAnsi="宋体"/>
          <w:color w:val="000000"/>
          <w:szCs w:val="21"/>
          <w:highlight w:val="none"/>
          <w:lang w:val="zh-CN"/>
        </w:rPr>
        <w:t>作出答复，并以书面或在网站公告形式通知质疑供应商和其他有关供应商，答复的内容不涉及商业秘密。</w:t>
      </w:r>
      <w:r>
        <w:rPr>
          <w:rFonts w:hint="eastAsia" w:ascii="宋体" w:hAnsi="宋体"/>
          <w:color w:val="000000"/>
          <w:szCs w:val="21"/>
          <w:highlight w:val="none"/>
        </w:rPr>
        <w:t>代理机构遵循“谁过错谁负担”的原则，有过错的一方承担调查论证费用。</w:t>
      </w:r>
    </w:p>
    <w:p w14:paraId="7310F9B9">
      <w:pPr>
        <w:keepNext w:val="0"/>
        <w:keepLines w:val="0"/>
        <w:pageBreakBefore w:val="0"/>
        <w:widowControl w:val="0"/>
        <w:spacing w:line="360" w:lineRule="auto"/>
        <w:ind w:firstLine="422"/>
        <w:rPr>
          <w:rFonts w:ascii="宋体" w:hAnsi="宋体"/>
          <w:color w:val="000000"/>
          <w:szCs w:val="21"/>
          <w:highlight w:val="none"/>
          <w:lang w:val="zh-CN"/>
        </w:rPr>
      </w:pPr>
      <w:r>
        <w:rPr>
          <w:rFonts w:hint="eastAsia" w:ascii="宋体" w:hAnsi="宋体"/>
          <w:b/>
          <w:bCs/>
          <w:color w:val="000000"/>
          <w:szCs w:val="21"/>
          <w:highlight w:val="none"/>
        </w:rPr>
        <w:t>24</w:t>
      </w:r>
      <w:r>
        <w:rPr>
          <w:rFonts w:hint="eastAsia" w:ascii="宋体" w:hAnsi="宋体"/>
          <w:b/>
          <w:bCs/>
          <w:color w:val="000000"/>
          <w:szCs w:val="21"/>
          <w:highlight w:val="none"/>
          <w:lang w:val="zh-CN"/>
        </w:rPr>
        <w:t>、投诉</w:t>
      </w:r>
    </w:p>
    <w:p w14:paraId="124AF765">
      <w:pPr>
        <w:keepNext w:val="0"/>
        <w:keepLines w:val="0"/>
        <w:pageBreakBefore w:val="0"/>
        <w:widowControl w:val="0"/>
        <w:spacing w:line="360" w:lineRule="auto"/>
        <w:ind w:firstLine="420"/>
        <w:rPr>
          <w:rFonts w:ascii="宋体" w:hAnsi="宋体"/>
          <w:color w:val="000000"/>
          <w:szCs w:val="21"/>
          <w:highlight w:val="none"/>
          <w:lang w:val="zh-CN"/>
        </w:rPr>
      </w:pPr>
      <w:r>
        <w:rPr>
          <w:rFonts w:hint="eastAsia" w:ascii="宋体" w:hAnsi="宋体"/>
          <w:color w:val="000000"/>
          <w:szCs w:val="21"/>
          <w:highlight w:val="none"/>
        </w:rPr>
        <w:t>24</w:t>
      </w:r>
      <w:r>
        <w:rPr>
          <w:rFonts w:hint="eastAsia" w:ascii="宋体" w:hAnsi="宋体"/>
          <w:color w:val="000000"/>
          <w:szCs w:val="21"/>
          <w:highlight w:val="none"/>
          <w:lang w:val="zh-CN"/>
        </w:rPr>
        <w:t>.1 质疑供应商对代理机构的答复不满意，或代理机构未在规定的时间内作出答复的，可以在答复期满后</w:t>
      </w:r>
      <w:r>
        <w:rPr>
          <w:rFonts w:hint="eastAsia" w:ascii="宋体" w:hAnsi="宋体"/>
          <w:b/>
          <w:bCs/>
          <w:color w:val="000000"/>
          <w:szCs w:val="21"/>
          <w:highlight w:val="none"/>
          <w:lang w:val="zh-CN"/>
        </w:rPr>
        <w:t>十五个工作日内</w:t>
      </w:r>
      <w:r>
        <w:rPr>
          <w:rFonts w:hint="eastAsia" w:ascii="宋体" w:hAnsi="宋体"/>
          <w:color w:val="000000"/>
          <w:szCs w:val="21"/>
          <w:highlight w:val="none"/>
          <w:lang w:val="zh-CN"/>
        </w:rPr>
        <w:t>向采购项目同级财政部门投诉。</w:t>
      </w:r>
    </w:p>
    <w:p w14:paraId="5D3E4761">
      <w:pPr>
        <w:keepNext w:val="0"/>
        <w:keepLines w:val="0"/>
        <w:pageBreakBefore w:val="0"/>
        <w:widowControl w:val="0"/>
        <w:spacing w:line="360" w:lineRule="auto"/>
        <w:ind w:firstLine="422"/>
        <w:rPr>
          <w:rFonts w:ascii="宋体" w:hAnsi="宋体"/>
          <w:b/>
          <w:bCs/>
          <w:color w:val="000000"/>
          <w:szCs w:val="21"/>
          <w:highlight w:val="none"/>
          <w:lang w:val="zh-CN"/>
        </w:rPr>
      </w:pPr>
      <w:r>
        <w:rPr>
          <w:rFonts w:hint="eastAsia" w:ascii="宋体" w:hAnsi="宋体"/>
          <w:b/>
          <w:bCs/>
          <w:color w:val="000000"/>
          <w:szCs w:val="21"/>
          <w:highlight w:val="none"/>
        </w:rPr>
        <w:t>25</w:t>
      </w:r>
      <w:r>
        <w:rPr>
          <w:rFonts w:hint="eastAsia" w:ascii="宋体" w:hAnsi="宋体"/>
          <w:b/>
          <w:bCs/>
          <w:color w:val="000000"/>
          <w:szCs w:val="21"/>
          <w:highlight w:val="none"/>
          <w:lang w:val="zh-CN"/>
        </w:rPr>
        <w:t>、诚实信用</w:t>
      </w:r>
    </w:p>
    <w:p w14:paraId="48B6773C">
      <w:pPr>
        <w:keepNext w:val="0"/>
        <w:keepLines w:val="0"/>
        <w:pageBreakBefore w:val="0"/>
        <w:widowControl w:val="0"/>
        <w:spacing w:line="360" w:lineRule="auto"/>
        <w:ind w:firstLine="420"/>
        <w:rPr>
          <w:rFonts w:ascii="宋体" w:hAnsi="宋体"/>
          <w:color w:val="000000"/>
          <w:szCs w:val="21"/>
          <w:highlight w:val="none"/>
          <w:lang w:val="zh-CN"/>
        </w:rPr>
      </w:pPr>
      <w:r>
        <w:rPr>
          <w:rFonts w:hint="eastAsia" w:ascii="宋体" w:hAnsi="宋体"/>
          <w:color w:val="000000"/>
          <w:szCs w:val="21"/>
          <w:highlight w:val="none"/>
        </w:rPr>
        <w:t>25</w:t>
      </w:r>
      <w:r>
        <w:rPr>
          <w:rFonts w:hint="eastAsia" w:ascii="宋体" w:hAnsi="宋体"/>
          <w:color w:val="000000"/>
          <w:szCs w:val="21"/>
          <w:highlight w:val="none"/>
          <w:lang w:val="zh-CN"/>
        </w:rPr>
        <w:t>.1 供应商之间不得相互串通磋商报价，不得妨碍其他供应商的公平竞争，不得损害采购人和其他供应商的合法权益。</w:t>
      </w:r>
    </w:p>
    <w:p w14:paraId="4E3D99ED">
      <w:pPr>
        <w:keepNext w:val="0"/>
        <w:keepLines w:val="0"/>
        <w:pageBreakBefore w:val="0"/>
        <w:widowControl w:val="0"/>
        <w:spacing w:line="360" w:lineRule="auto"/>
        <w:ind w:firstLine="420"/>
        <w:rPr>
          <w:rFonts w:ascii="宋体" w:hAnsi="宋体"/>
          <w:color w:val="000000"/>
          <w:szCs w:val="21"/>
          <w:highlight w:val="none"/>
          <w:lang w:val="zh-CN"/>
        </w:rPr>
      </w:pPr>
      <w:r>
        <w:rPr>
          <w:rFonts w:hint="eastAsia" w:ascii="宋体" w:hAnsi="宋体"/>
          <w:color w:val="000000"/>
          <w:szCs w:val="21"/>
          <w:highlight w:val="none"/>
        </w:rPr>
        <w:t>25</w:t>
      </w:r>
      <w:r>
        <w:rPr>
          <w:rFonts w:hint="eastAsia" w:ascii="宋体" w:hAnsi="宋体"/>
          <w:color w:val="000000"/>
          <w:szCs w:val="21"/>
          <w:highlight w:val="none"/>
          <w:lang w:val="zh-CN"/>
        </w:rPr>
        <w:t>.2 供应商不得以向代理机构工作人员、磋商小组成员行贿或者采取其他不正当手段谋取中标。经查实供应商有此行为的，</w:t>
      </w:r>
      <w:r>
        <w:rPr>
          <w:rFonts w:hint="eastAsia" w:ascii="宋体" w:hAnsi="宋体"/>
          <w:color w:val="000000"/>
          <w:highlight w:val="none"/>
        </w:rPr>
        <w:t>将在</w:t>
      </w:r>
      <w:r>
        <w:rPr>
          <w:rFonts w:hint="eastAsia" w:ascii="宋体" w:hAnsi="宋体"/>
          <w:color w:val="000000"/>
          <w:highlight w:val="none"/>
          <w:u w:val="single"/>
        </w:rPr>
        <w:t>相关</w:t>
      </w:r>
      <w:r>
        <w:rPr>
          <w:rFonts w:hint="eastAsia" w:ascii="宋体" w:hAnsi="宋体"/>
          <w:color w:val="000000"/>
          <w:highlight w:val="none"/>
        </w:rPr>
        <w:t>网站公告，政府采购管理部门将供应商列入不良行为记录名单，按照《政府采购法》有关规定处理。</w:t>
      </w:r>
    </w:p>
    <w:p w14:paraId="76FF4EFD">
      <w:pPr>
        <w:keepNext w:val="0"/>
        <w:keepLines w:val="0"/>
        <w:pageBreakBefore w:val="0"/>
        <w:widowControl w:val="0"/>
        <w:spacing w:line="360" w:lineRule="auto"/>
        <w:ind w:firstLine="420"/>
        <w:rPr>
          <w:rFonts w:ascii="宋体" w:hAnsi="宋体"/>
          <w:color w:val="000000"/>
          <w:szCs w:val="21"/>
          <w:highlight w:val="none"/>
        </w:rPr>
      </w:pPr>
      <w:r>
        <w:rPr>
          <w:rFonts w:hint="eastAsia" w:ascii="宋体" w:hAnsi="宋体"/>
          <w:color w:val="000000"/>
          <w:szCs w:val="21"/>
          <w:highlight w:val="none"/>
        </w:rPr>
        <w:t>25</w:t>
      </w:r>
      <w:r>
        <w:rPr>
          <w:rFonts w:hint="eastAsia" w:ascii="宋体" w:hAnsi="宋体"/>
          <w:color w:val="000000"/>
          <w:szCs w:val="21"/>
          <w:highlight w:val="none"/>
          <w:lang w:val="zh-CN"/>
        </w:rPr>
        <w:t>.3 供应商不得虚假质疑和恶意质疑，并对质疑内容的真实性承担责任。</w:t>
      </w:r>
      <w:r>
        <w:rPr>
          <w:rFonts w:hint="eastAsia" w:ascii="宋体" w:hAnsi="宋体"/>
          <w:color w:val="000000"/>
          <w:szCs w:val="21"/>
          <w:highlight w:val="none"/>
        </w:rPr>
        <w:t>供应商或者其他利害关系人通过捏造事实、伪造证明材料等方式提出异议或投诉，阻碍采购活动正常进行的，属于严重不良行为，代理机构将提请财政部门将其列入不良行为记录名单，并依法予以处罚。</w:t>
      </w:r>
    </w:p>
    <w:p w14:paraId="51C67BDE">
      <w:pPr>
        <w:keepNext w:val="0"/>
        <w:keepLines w:val="0"/>
        <w:pageBreakBefore w:val="0"/>
        <w:widowControl w:val="0"/>
        <w:spacing w:line="360" w:lineRule="auto"/>
        <w:ind w:firstLine="420"/>
        <w:rPr>
          <w:rFonts w:hint="eastAsia" w:ascii="仿宋" w:hAnsi="仿宋" w:eastAsia="仿宋" w:cs="仿宋"/>
          <w:b/>
          <w:bCs/>
          <w:iCs/>
          <w:color w:val="000000"/>
          <w:sz w:val="24"/>
          <w:highlight w:val="none"/>
        </w:rPr>
      </w:pPr>
      <w:r>
        <w:rPr>
          <w:rFonts w:hint="eastAsia" w:ascii="宋体" w:hAnsi="宋体"/>
          <w:color w:val="000000"/>
          <w:szCs w:val="21"/>
          <w:highlight w:val="none"/>
        </w:rPr>
        <w:t>25</w:t>
      </w:r>
      <w:r>
        <w:rPr>
          <w:rFonts w:hint="eastAsia" w:ascii="宋体" w:hAnsi="宋体"/>
          <w:color w:val="000000"/>
          <w:szCs w:val="21"/>
          <w:highlight w:val="none"/>
          <w:lang w:val="zh-CN"/>
        </w:rPr>
        <w:t>.4 供应商不得虚假承诺，否则，按照提供虚假材料谋取中标成交处理。</w:t>
      </w:r>
    </w:p>
    <w:bookmarkEnd w:id="63"/>
    <w:bookmarkEnd w:id="64"/>
    <w:bookmarkEnd w:id="65"/>
    <w:bookmarkEnd w:id="66"/>
    <w:bookmarkEnd w:id="67"/>
    <w:bookmarkEnd w:id="68"/>
    <w:p w14:paraId="50BE5DBF">
      <w:pPr>
        <w:pStyle w:val="228"/>
        <w:pageBreakBefore/>
        <w:numPr>
          <w:ilvl w:val="0"/>
          <w:numId w:val="8"/>
        </w:numPr>
        <w:spacing w:line="360" w:lineRule="auto"/>
        <w:rPr>
          <w:rFonts w:hint="eastAsia" w:ascii="仿宋" w:hAnsi="仿宋" w:eastAsia="仿宋" w:cs="仿宋"/>
          <w:color w:val="000000"/>
          <w:sz w:val="40"/>
          <w:highlight w:val="none"/>
        </w:rPr>
      </w:pPr>
      <w:bookmarkStart w:id="92" w:name="_Toc20109"/>
      <w:bookmarkStart w:id="93" w:name="_Toc31156"/>
      <w:bookmarkStart w:id="94" w:name="_Toc26230"/>
      <w:bookmarkStart w:id="95" w:name="_Toc24947"/>
      <w:r>
        <w:rPr>
          <w:rFonts w:hint="eastAsia" w:ascii="仿宋" w:hAnsi="仿宋" w:eastAsia="仿宋" w:cs="仿宋"/>
          <w:color w:val="000000"/>
          <w:sz w:val="40"/>
          <w:highlight w:val="none"/>
          <w:lang w:val="en-US" w:eastAsia="zh-CN"/>
        </w:rPr>
        <w:t xml:space="preserve"> </w:t>
      </w:r>
      <w:r>
        <w:rPr>
          <w:rFonts w:hint="eastAsia" w:ascii="仿宋" w:hAnsi="仿宋" w:eastAsia="仿宋" w:cs="仿宋"/>
          <w:color w:val="000000"/>
          <w:sz w:val="40"/>
          <w:highlight w:val="none"/>
        </w:rPr>
        <w:t xml:space="preserve"> </w:t>
      </w:r>
      <w:bookmarkStart w:id="96" w:name="_Toc25980"/>
      <w:bookmarkStart w:id="97" w:name="_Toc10741"/>
      <w:r>
        <w:rPr>
          <w:rFonts w:hint="eastAsia" w:ascii="仿宋" w:hAnsi="仿宋" w:eastAsia="仿宋" w:cs="仿宋"/>
          <w:color w:val="000000"/>
          <w:sz w:val="40"/>
          <w:highlight w:val="none"/>
        </w:rPr>
        <w:t>合同条款及格式</w:t>
      </w:r>
      <w:bookmarkEnd w:id="92"/>
      <w:bookmarkEnd w:id="93"/>
      <w:bookmarkEnd w:id="94"/>
      <w:bookmarkEnd w:id="95"/>
      <w:bookmarkEnd w:id="96"/>
      <w:bookmarkEnd w:id="97"/>
    </w:p>
    <w:p w14:paraId="3D6AFB01">
      <w:pPr>
        <w:spacing w:line="360" w:lineRule="auto"/>
        <w:ind w:firstLine="360"/>
        <w:rPr>
          <w:rFonts w:hint="eastAsia" w:ascii="仿宋" w:hAnsi="仿宋" w:eastAsia="仿宋" w:cs="仿宋"/>
          <w:color w:val="000000"/>
          <w:sz w:val="24"/>
          <w:szCs w:val="24"/>
          <w:highlight w:val="none"/>
        </w:rPr>
      </w:pPr>
    </w:p>
    <w:p w14:paraId="2FC1C4E6">
      <w:pPr>
        <w:spacing w:line="360" w:lineRule="auto"/>
        <w:ind w:firstLine="360"/>
        <w:outlineLvl w:val="9"/>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参考格式，本合同内容条款在正式签署前可具体补充细化，仅作参考，最终合同以采购人审查通过的版本为准</w:t>
      </w:r>
      <w:r>
        <w:rPr>
          <w:rFonts w:hint="eastAsia" w:ascii="仿宋" w:hAnsi="仿宋" w:eastAsia="仿宋" w:cs="仿宋"/>
          <w:color w:val="000000"/>
          <w:sz w:val="24"/>
          <w:szCs w:val="24"/>
          <w:highlight w:val="none"/>
          <w:lang w:eastAsia="zh-CN"/>
        </w:rPr>
        <w:t>）</w:t>
      </w:r>
    </w:p>
    <w:p w14:paraId="67A80AE7">
      <w:pPr>
        <w:spacing w:line="360" w:lineRule="auto"/>
        <w:ind w:firstLine="422"/>
        <w:rPr>
          <w:rFonts w:ascii="宋体" w:hAnsi="宋体" w:eastAsia="宋体"/>
          <w:b/>
          <w:color w:val="000000"/>
          <w:szCs w:val="21"/>
          <w:highlight w:val="none"/>
        </w:rPr>
      </w:pPr>
      <w:r>
        <w:rPr>
          <w:rFonts w:hint="eastAsia" w:ascii="宋体" w:hAnsi="宋体" w:eastAsia="宋体"/>
          <w:b/>
          <w:color w:val="000000"/>
          <w:szCs w:val="21"/>
          <w:highlight w:val="none"/>
        </w:rPr>
        <w:t>本章合同格式文本仅供参考，部分细节内容可由甲乙双方在实际签订时另行约定，但必须经甲方审核同意后方可签署。</w:t>
      </w:r>
    </w:p>
    <w:p w14:paraId="14B39A63">
      <w:pPr>
        <w:spacing w:line="360" w:lineRule="auto"/>
        <w:ind w:firstLine="420"/>
        <w:rPr>
          <w:rFonts w:hint="eastAsia" w:ascii="宋体" w:hAnsi="宋体" w:eastAsia="等线"/>
          <w:color w:val="000000"/>
          <w:sz w:val="24"/>
          <w:highlight w:val="none"/>
        </w:rPr>
      </w:pPr>
    </w:p>
    <w:p w14:paraId="0469149F">
      <w:pPr>
        <w:pStyle w:val="238"/>
        <w:framePr w:wrap="auto"/>
        <w:jc w:val="center"/>
        <w:rPr>
          <w:rFonts w:hint="eastAsia" w:ascii="宋体" w:hAnsi="宋体" w:eastAsia="宋体" w:cs="宋体"/>
          <w:b/>
          <w:bCs/>
          <w:color w:val="000000"/>
          <w:sz w:val="52"/>
          <w:szCs w:val="52"/>
          <w:highlight w:val="none"/>
          <w:lang w:val="zh-TW"/>
        </w:rPr>
      </w:pPr>
      <w:r>
        <w:rPr>
          <w:rFonts w:hint="eastAsia" w:ascii="宋体" w:hAnsi="宋体" w:eastAsia="宋体" w:cs="宋体"/>
          <w:b/>
          <w:bCs/>
          <w:color w:val="000000"/>
          <w:sz w:val="52"/>
          <w:szCs w:val="52"/>
          <w:highlight w:val="none"/>
          <w:lang w:val="zh-TW"/>
        </w:rPr>
        <w:t>采购合同</w:t>
      </w:r>
    </w:p>
    <w:p w14:paraId="1D77D434">
      <w:pPr>
        <w:pStyle w:val="238"/>
        <w:framePr w:wrap="auto"/>
        <w:ind w:firstLine="315"/>
        <w:rPr>
          <w:rFonts w:hint="eastAsia" w:ascii="宋体" w:hAnsi="宋体" w:eastAsia="宋体" w:cs="宋体"/>
          <w:b/>
          <w:bCs/>
          <w:color w:val="000000"/>
          <w:sz w:val="28"/>
          <w:szCs w:val="28"/>
          <w:highlight w:val="none"/>
        </w:rPr>
      </w:pPr>
      <w:r>
        <w:rPr>
          <w:rFonts w:hint="eastAsia" w:ascii="宋体" w:hAnsi="宋体" w:eastAsia="宋体" w:cs="宋体"/>
          <w:b/>
          <w:bCs/>
          <w:color w:val="000000"/>
          <w:sz w:val="32"/>
          <w:szCs w:val="32"/>
          <w:highlight w:val="none"/>
        </w:rPr>
        <w:t xml:space="preserve">       </w:t>
      </w:r>
      <w:r>
        <w:rPr>
          <w:rFonts w:hint="eastAsia" w:ascii="宋体" w:hAnsi="宋体" w:eastAsia="宋体" w:cs="宋体"/>
          <w:b/>
          <w:bCs/>
          <w:color w:val="000000"/>
          <w:highlight w:val="none"/>
        </w:rPr>
        <w:t xml:space="preserve">     </w:t>
      </w:r>
      <w:r>
        <w:rPr>
          <w:rFonts w:hint="eastAsia" w:ascii="宋体" w:hAnsi="宋体" w:eastAsia="宋体" w:cs="宋体"/>
          <w:color w:val="000000"/>
          <w:highlight w:val="none"/>
        </w:rPr>
        <w:t xml:space="preserve">  </w:t>
      </w:r>
    </w:p>
    <w:p w14:paraId="461872B2">
      <w:pPr>
        <w:pStyle w:val="238"/>
        <w:framePr w:wrap="auto"/>
        <w:ind w:firstLine="1807"/>
        <w:rPr>
          <w:rFonts w:hint="eastAsia" w:ascii="宋体" w:hAnsi="宋体" w:eastAsia="宋体" w:cs="宋体"/>
          <w:b/>
          <w:bCs/>
          <w:color w:val="000000"/>
          <w:sz w:val="28"/>
          <w:szCs w:val="28"/>
          <w:highlight w:val="none"/>
        </w:rPr>
      </w:pPr>
    </w:p>
    <w:p w14:paraId="5713E1D0">
      <w:pPr>
        <w:pStyle w:val="238"/>
        <w:framePr w:wrap="auto"/>
        <w:ind w:firstLine="1807"/>
        <w:rPr>
          <w:rFonts w:hint="eastAsia" w:ascii="宋体" w:hAnsi="宋体" w:eastAsia="宋体" w:cs="宋体"/>
          <w:b/>
          <w:bCs/>
          <w:color w:val="000000"/>
          <w:highlight w:val="none"/>
        </w:rPr>
      </w:pPr>
    </w:p>
    <w:p w14:paraId="435DFD6C">
      <w:pPr>
        <w:pStyle w:val="238"/>
        <w:framePr w:wrap="auto"/>
        <w:ind w:firstLine="1918"/>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lang w:val="zh-TW"/>
        </w:rPr>
        <w:t>合同编号</w:t>
      </w:r>
      <w:r>
        <w:rPr>
          <w:rFonts w:hint="eastAsia" w:ascii="宋体" w:hAnsi="宋体" w:eastAsia="宋体" w:cs="宋体"/>
          <w:b/>
          <w:bCs/>
          <w:color w:val="000000"/>
          <w:sz w:val="36"/>
          <w:szCs w:val="36"/>
          <w:highlight w:val="none"/>
        </w:rPr>
        <w:t xml:space="preserve"> </w:t>
      </w:r>
      <w:r>
        <w:rPr>
          <w:rFonts w:hint="eastAsia" w:ascii="宋体" w:hAnsi="宋体" w:eastAsia="宋体" w:cs="宋体"/>
          <w:b/>
          <w:bCs/>
          <w:color w:val="000000"/>
          <w:sz w:val="36"/>
          <w:szCs w:val="36"/>
          <w:highlight w:val="none"/>
          <w:lang w:val="zh-TW"/>
        </w:rPr>
        <w:t>：</w:t>
      </w:r>
      <w:r>
        <w:rPr>
          <w:rFonts w:hint="eastAsia" w:ascii="宋体" w:hAnsi="宋体" w:eastAsia="宋体" w:cs="宋体"/>
          <w:b/>
          <w:bCs/>
          <w:color w:val="000000"/>
          <w:sz w:val="36"/>
          <w:szCs w:val="36"/>
          <w:highlight w:val="none"/>
          <w:u w:val="single"/>
        </w:rPr>
        <w:t xml:space="preserve">                    </w:t>
      </w:r>
    </w:p>
    <w:p w14:paraId="6F285238">
      <w:pPr>
        <w:pStyle w:val="238"/>
        <w:framePr w:wrap="auto"/>
        <w:ind w:firstLine="1918"/>
        <w:rPr>
          <w:rFonts w:hint="eastAsia" w:ascii="宋体" w:hAnsi="宋体" w:eastAsia="宋体" w:cs="宋体"/>
          <w:b/>
          <w:bCs/>
          <w:color w:val="000000"/>
          <w:sz w:val="36"/>
          <w:szCs w:val="36"/>
          <w:highlight w:val="none"/>
          <w:u w:val="single"/>
        </w:rPr>
      </w:pPr>
      <w:r>
        <w:rPr>
          <w:rFonts w:hint="eastAsia" w:ascii="宋体" w:hAnsi="宋体" w:eastAsia="宋体" w:cs="宋体"/>
          <w:b/>
          <w:bCs/>
          <w:color w:val="000000"/>
          <w:sz w:val="36"/>
          <w:szCs w:val="36"/>
          <w:highlight w:val="none"/>
          <w:lang w:val="zh-TW"/>
        </w:rPr>
        <w:t>项目名称</w:t>
      </w:r>
      <w:r>
        <w:rPr>
          <w:rFonts w:hint="eastAsia" w:ascii="宋体" w:hAnsi="宋体" w:eastAsia="宋体" w:cs="宋体"/>
          <w:b/>
          <w:bCs/>
          <w:color w:val="000000"/>
          <w:sz w:val="36"/>
          <w:szCs w:val="36"/>
          <w:highlight w:val="none"/>
        </w:rPr>
        <w:t xml:space="preserve"> </w:t>
      </w:r>
      <w:r>
        <w:rPr>
          <w:rFonts w:hint="eastAsia" w:ascii="宋体" w:hAnsi="宋体" w:eastAsia="宋体" w:cs="宋体"/>
          <w:b/>
          <w:bCs/>
          <w:color w:val="000000"/>
          <w:sz w:val="36"/>
          <w:szCs w:val="36"/>
          <w:highlight w:val="none"/>
          <w:lang w:val="zh-TW"/>
        </w:rPr>
        <w:t>：</w:t>
      </w:r>
      <w:r>
        <w:rPr>
          <w:rFonts w:hint="eastAsia" w:ascii="宋体" w:hAnsi="宋体" w:eastAsia="宋体" w:cs="宋体"/>
          <w:b/>
          <w:bCs/>
          <w:color w:val="000000"/>
          <w:sz w:val="36"/>
          <w:szCs w:val="36"/>
          <w:highlight w:val="none"/>
          <w:u w:val="single"/>
        </w:rPr>
        <w:t xml:space="preserve">                    </w:t>
      </w:r>
    </w:p>
    <w:p w14:paraId="6EF7A7D4">
      <w:pPr>
        <w:pStyle w:val="238"/>
        <w:framePr w:wrap="auto"/>
        <w:ind w:firstLine="1918"/>
        <w:rPr>
          <w:rFonts w:hint="eastAsia" w:ascii="宋体" w:hAnsi="宋体" w:eastAsia="宋体" w:cs="宋体"/>
          <w:b/>
          <w:bCs/>
          <w:color w:val="000000"/>
          <w:sz w:val="36"/>
          <w:szCs w:val="36"/>
          <w:highlight w:val="none"/>
          <w:u w:val="single"/>
        </w:rPr>
      </w:pPr>
      <w:r>
        <w:rPr>
          <w:rFonts w:hint="eastAsia" w:ascii="宋体" w:hAnsi="宋体" w:eastAsia="宋体" w:cs="宋体"/>
          <w:b/>
          <w:bCs/>
          <w:color w:val="000000"/>
          <w:sz w:val="36"/>
          <w:szCs w:val="36"/>
          <w:highlight w:val="none"/>
          <w:lang w:val="zh-TW"/>
        </w:rPr>
        <w:t>使用单位</w:t>
      </w:r>
      <w:r>
        <w:rPr>
          <w:rFonts w:hint="eastAsia" w:ascii="宋体" w:hAnsi="宋体" w:eastAsia="宋体" w:cs="宋体"/>
          <w:b/>
          <w:bCs/>
          <w:color w:val="000000"/>
          <w:sz w:val="36"/>
          <w:szCs w:val="36"/>
          <w:highlight w:val="none"/>
        </w:rPr>
        <w:t xml:space="preserve"> </w:t>
      </w:r>
      <w:r>
        <w:rPr>
          <w:rFonts w:hint="eastAsia" w:ascii="宋体" w:hAnsi="宋体" w:eastAsia="宋体" w:cs="宋体"/>
          <w:b/>
          <w:bCs/>
          <w:color w:val="000000"/>
          <w:sz w:val="36"/>
          <w:szCs w:val="36"/>
          <w:highlight w:val="none"/>
          <w:lang w:val="zh-TW"/>
        </w:rPr>
        <w:t>：</w:t>
      </w:r>
      <w:r>
        <w:rPr>
          <w:rFonts w:hint="eastAsia" w:ascii="宋体" w:hAnsi="宋体" w:eastAsia="宋体" w:cs="宋体"/>
          <w:b/>
          <w:bCs/>
          <w:color w:val="000000"/>
          <w:sz w:val="36"/>
          <w:szCs w:val="36"/>
          <w:highlight w:val="none"/>
          <w:u w:val="single"/>
        </w:rPr>
        <w:t xml:space="preserve">                    </w:t>
      </w:r>
    </w:p>
    <w:p w14:paraId="1210E0D1">
      <w:pPr>
        <w:pStyle w:val="238"/>
        <w:framePr w:wrap="auto"/>
        <w:ind w:firstLine="1916"/>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lang w:val="zh-TW"/>
        </w:rPr>
        <w:t>供货单位</w:t>
      </w:r>
      <w:r>
        <w:rPr>
          <w:rFonts w:hint="eastAsia" w:ascii="宋体" w:hAnsi="宋体" w:eastAsia="宋体" w:cs="宋体"/>
          <w:b/>
          <w:bCs/>
          <w:color w:val="000000"/>
          <w:sz w:val="36"/>
          <w:szCs w:val="36"/>
          <w:highlight w:val="none"/>
        </w:rPr>
        <w:t xml:space="preserve"> </w:t>
      </w:r>
      <w:r>
        <w:rPr>
          <w:rFonts w:hint="eastAsia" w:ascii="宋体" w:hAnsi="宋体" w:eastAsia="宋体" w:cs="宋体"/>
          <w:b/>
          <w:bCs/>
          <w:color w:val="000000"/>
          <w:sz w:val="36"/>
          <w:szCs w:val="36"/>
          <w:highlight w:val="none"/>
          <w:lang w:val="zh-TW"/>
        </w:rPr>
        <w:t>：</w:t>
      </w:r>
      <w:r>
        <w:rPr>
          <w:rFonts w:hint="eastAsia" w:ascii="宋体" w:hAnsi="宋体" w:eastAsia="宋体" w:cs="宋体"/>
          <w:b/>
          <w:bCs/>
          <w:color w:val="000000"/>
          <w:sz w:val="36"/>
          <w:szCs w:val="36"/>
          <w:highlight w:val="none"/>
          <w:u w:val="single"/>
        </w:rPr>
        <w:t xml:space="preserve">                    </w:t>
      </w:r>
    </w:p>
    <w:p w14:paraId="5893D62E">
      <w:pPr>
        <w:pStyle w:val="238"/>
        <w:framePr w:wrap="auto"/>
        <w:ind w:firstLine="1916"/>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lang w:val="zh-TW"/>
        </w:rPr>
        <w:t>签订日期</w:t>
      </w:r>
      <w:r>
        <w:rPr>
          <w:rFonts w:hint="eastAsia" w:ascii="宋体" w:hAnsi="宋体" w:eastAsia="宋体" w:cs="宋体"/>
          <w:b/>
          <w:bCs/>
          <w:color w:val="000000"/>
          <w:sz w:val="36"/>
          <w:szCs w:val="36"/>
          <w:highlight w:val="none"/>
        </w:rPr>
        <w:t xml:space="preserve"> </w:t>
      </w:r>
      <w:r>
        <w:rPr>
          <w:rFonts w:hint="eastAsia" w:ascii="宋体" w:hAnsi="宋体" w:eastAsia="宋体" w:cs="宋体"/>
          <w:b/>
          <w:bCs/>
          <w:color w:val="000000"/>
          <w:sz w:val="36"/>
          <w:szCs w:val="36"/>
          <w:highlight w:val="none"/>
          <w:lang w:val="zh-TW"/>
        </w:rPr>
        <w:t>：</w:t>
      </w:r>
      <w:r>
        <w:rPr>
          <w:rFonts w:hint="eastAsia" w:ascii="宋体" w:hAnsi="宋体" w:eastAsia="宋体" w:cs="宋体"/>
          <w:b/>
          <w:bCs/>
          <w:color w:val="000000"/>
          <w:sz w:val="36"/>
          <w:szCs w:val="36"/>
          <w:highlight w:val="none"/>
          <w:u w:val="single"/>
        </w:rPr>
        <w:t xml:space="preserve">                    </w:t>
      </w:r>
    </w:p>
    <w:p w14:paraId="4C1A758A">
      <w:pPr>
        <w:pStyle w:val="238"/>
        <w:framePr w:wrap="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       </w:t>
      </w:r>
    </w:p>
    <w:p w14:paraId="090989CB">
      <w:pPr>
        <w:pStyle w:val="238"/>
        <w:framePr w:wrap="auto"/>
        <w:rPr>
          <w:rFonts w:hint="eastAsia" w:ascii="宋体" w:hAnsi="宋体" w:eastAsia="宋体" w:cs="宋体"/>
          <w:color w:val="000000"/>
          <w:sz w:val="36"/>
          <w:szCs w:val="36"/>
          <w:highlight w:val="none"/>
        </w:rPr>
      </w:pPr>
    </w:p>
    <w:p w14:paraId="6E33BC85">
      <w:pPr>
        <w:pStyle w:val="238"/>
        <w:framePr w:wrap="auto"/>
        <w:rPr>
          <w:rFonts w:hint="eastAsia" w:ascii="宋体" w:hAnsi="宋体" w:eastAsia="宋体" w:cs="宋体"/>
          <w:color w:val="000000"/>
          <w:sz w:val="36"/>
          <w:szCs w:val="36"/>
          <w:highlight w:val="none"/>
        </w:rPr>
      </w:pPr>
    </w:p>
    <w:p w14:paraId="603F3F39">
      <w:pPr>
        <w:pStyle w:val="238"/>
        <w:framePr w:wrap="auto"/>
        <w:rPr>
          <w:rFonts w:hint="eastAsia" w:ascii="宋体" w:hAnsi="宋体" w:eastAsia="宋体" w:cs="宋体"/>
          <w:color w:val="000000"/>
          <w:highlight w:val="none"/>
        </w:rPr>
      </w:pPr>
    </w:p>
    <w:p w14:paraId="79BCF162">
      <w:pPr>
        <w:pStyle w:val="238"/>
        <w:framePr w:wrap="auto"/>
        <w:rPr>
          <w:rFonts w:hint="eastAsia" w:ascii="宋体" w:hAnsi="宋体" w:eastAsia="宋体" w:cs="宋体"/>
          <w:color w:val="000000"/>
          <w:highlight w:val="none"/>
        </w:rPr>
      </w:pPr>
    </w:p>
    <w:p w14:paraId="1F43798A">
      <w:pPr>
        <w:pStyle w:val="238"/>
        <w:framePr w:wrap="auto"/>
        <w:rPr>
          <w:rFonts w:hint="eastAsia" w:ascii="宋体" w:hAnsi="宋体" w:eastAsia="宋体" w:cs="宋体"/>
          <w:color w:val="000000"/>
          <w:sz w:val="36"/>
          <w:szCs w:val="36"/>
          <w:highlight w:val="none"/>
        </w:rPr>
      </w:pPr>
    </w:p>
    <w:p w14:paraId="37C7141E">
      <w:pPr>
        <w:pStyle w:val="238"/>
        <w:framePr w:wrap="auto"/>
        <w:jc w:val="center"/>
        <w:rPr>
          <w:rFonts w:hint="eastAsia" w:ascii="宋体" w:hAnsi="宋体" w:eastAsia="宋体" w:cs="宋体"/>
          <w:b/>
          <w:bCs/>
          <w:color w:val="000000"/>
          <w:sz w:val="36"/>
          <w:szCs w:val="36"/>
          <w:highlight w:val="none"/>
        </w:rPr>
      </w:pPr>
    </w:p>
    <w:p w14:paraId="20372427">
      <w:pPr>
        <w:pStyle w:val="238"/>
        <w:framePr w:wrap="auto"/>
        <w:spacing w:line="348" w:lineRule="auto"/>
        <w:rPr>
          <w:rFonts w:hint="eastAsia" w:ascii="宋体" w:hAnsi="宋体" w:eastAsia="宋体" w:cs="宋体"/>
          <w:color w:val="000000"/>
          <w:highlight w:val="none"/>
          <w:lang w:val="zh-TW"/>
        </w:rPr>
      </w:pPr>
      <w:r>
        <w:rPr>
          <w:rFonts w:hint="eastAsia" w:ascii="宋体" w:hAnsi="宋体" w:eastAsia="宋体" w:cs="宋体"/>
          <w:b/>
          <w:bCs/>
          <w:color w:val="000000"/>
          <w:sz w:val="36"/>
          <w:szCs w:val="36"/>
          <w:highlight w:val="none"/>
        </w:rPr>
        <w:br w:type="page" w:clear="all"/>
      </w:r>
      <w:r>
        <w:rPr>
          <w:rFonts w:hint="eastAsia" w:ascii="宋体" w:hAnsi="宋体" w:eastAsia="宋体" w:cs="宋体"/>
          <w:color w:val="000000"/>
          <w:highlight w:val="none"/>
          <w:lang w:val="zh-TW"/>
        </w:rPr>
        <w:t>合同编号：</w:t>
      </w:r>
      <w:r>
        <w:rPr>
          <w:rFonts w:hint="eastAsia" w:ascii="宋体" w:hAnsi="宋体" w:eastAsia="宋体" w:cs="宋体"/>
          <w:b/>
          <w:bCs/>
          <w:color w:val="000000"/>
          <w:highlight w:val="none"/>
          <w:lang w:val="zh-TW"/>
        </w:rPr>
        <w:t>xxxxxxxx</w:t>
      </w:r>
    </w:p>
    <w:p w14:paraId="1670FD2C">
      <w:pPr>
        <w:pStyle w:val="238"/>
        <w:framePr w:wrap="auto"/>
        <w:spacing w:line="348" w:lineRule="auto"/>
        <w:rPr>
          <w:rFonts w:hint="eastAsia" w:ascii="宋体" w:hAnsi="宋体" w:eastAsia="宋体" w:cs="宋体"/>
          <w:color w:val="000000"/>
          <w:highlight w:val="none"/>
          <w:lang w:val="zh-TW"/>
        </w:rPr>
      </w:pPr>
    </w:p>
    <w:tbl>
      <w:tblPr>
        <w:tblStyle w:val="28"/>
        <w:tblW w:w="0" w:type="auto"/>
        <w:tblInd w:w="-52"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80" w:type="dxa"/>
          <w:left w:w="80" w:type="dxa"/>
          <w:bottom w:w="80" w:type="dxa"/>
          <w:right w:w="80" w:type="dxa"/>
        </w:tblCellMar>
      </w:tblPr>
      <w:tblGrid>
        <w:gridCol w:w="4643"/>
        <w:gridCol w:w="4643"/>
      </w:tblGrid>
      <w:tr w14:paraId="4EC6540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0" w:type="dxa"/>
            <w:left w:w="80" w:type="dxa"/>
            <w:bottom w:w="80" w:type="dxa"/>
            <w:right w:w="80" w:type="dxa"/>
          </w:tblCellMar>
        </w:tblPrEx>
        <w:trPr>
          <w:trHeight w:val="320" w:hRule="atLeast"/>
        </w:trPr>
        <w:tc>
          <w:tcPr>
            <w:tcW w:w="4643" w:type="dxa"/>
            <w:shd w:val="clear" w:color="auto" w:fill="CED7E7"/>
            <w:noWrap w:val="0"/>
            <w:tcMar>
              <w:top w:w="80" w:type="dxa"/>
              <w:left w:w="80" w:type="dxa"/>
              <w:bottom w:w="80" w:type="dxa"/>
              <w:right w:w="80" w:type="dxa"/>
            </w:tcMar>
            <w:vAlign w:val="top"/>
          </w:tcPr>
          <w:p w14:paraId="518DE064">
            <w:pPr>
              <w:pStyle w:val="238"/>
              <w:framePr w:wrap="auto"/>
              <w:spacing w:line="348" w:lineRule="auto"/>
              <w:jc w:val="left"/>
              <w:rPr>
                <w:rFonts w:hint="eastAsia" w:ascii="宋体" w:hAnsi="宋体" w:eastAsia="宋体" w:cs="宋体"/>
                <w:color w:val="000000"/>
                <w:highlight w:val="none"/>
              </w:rPr>
            </w:pPr>
            <w:r>
              <w:rPr>
                <w:rFonts w:hint="eastAsia" w:ascii="宋体" w:hAnsi="宋体" w:eastAsia="宋体" w:cs="宋体"/>
                <w:color w:val="000000"/>
                <w:highlight w:val="none"/>
                <w:lang w:val="zh-TW"/>
              </w:rPr>
              <w:t>采购人（以下称甲方）</w:t>
            </w:r>
          </w:p>
        </w:tc>
        <w:tc>
          <w:tcPr>
            <w:tcW w:w="4643" w:type="dxa"/>
            <w:shd w:val="clear" w:color="auto" w:fill="CED7E7"/>
            <w:noWrap w:val="0"/>
            <w:tcMar>
              <w:top w:w="80" w:type="dxa"/>
              <w:left w:w="80" w:type="dxa"/>
              <w:bottom w:w="80" w:type="dxa"/>
              <w:right w:w="80" w:type="dxa"/>
            </w:tcMar>
            <w:vAlign w:val="top"/>
          </w:tcPr>
          <w:p w14:paraId="50875AB2">
            <w:pPr>
              <w:pStyle w:val="238"/>
              <w:framePr w:wrap="auto"/>
              <w:spacing w:line="348" w:lineRule="auto"/>
              <w:jc w:val="left"/>
              <w:rPr>
                <w:rFonts w:hint="eastAsia" w:ascii="宋体" w:hAnsi="宋体" w:eastAsia="宋体" w:cs="宋体"/>
                <w:color w:val="000000"/>
                <w:highlight w:val="none"/>
              </w:rPr>
            </w:pPr>
            <w:r>
              <w:rPr>
                <w:rFonts w:hint="eastAsia" w:ascii="宋体" w:hAnsi="宋体" w:eastAsia="宋体" w:cs="宋体"/>
                <w:color w:val="000000"/>
                <w:highlight w:val="none"/>
                <w:lang w:val="zh-TW"/>
              </w:rPr>
              <w:t>供应商：（以下称乙方）</w:t>
            </w:r>
          </w:p>
        </w:tc>
      </w:tr>
      <w:tr w14:paraId="084820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0" w:type="dxa"/>
            <w:left w:w="80" w:type="dxa"/>
            <w:bottom w:w="80" w:type="dxa"/>
            <w:right w:w="80" w:type="dxa"/>
          </w:tblCellMar>
        </w:tblPrEx>
        <w:trPr>
          <w:trHeight w:val="320" w:hRule="atLeast"/>
        </w:trPr>
        <w:tc>
          <w:tcPr>
            <w:tcW w:w="4643" w:type="dxa"/>
            <w:shd w:val="clear" w:color="auto" w:fill="CED7E7"/>
            <w:noWrap w:val="0"/>
            <w:tcMar>
              <w:top w:w="80" w:type="dxa"/>
              <w:left w:w="80" w:type="dxa"/>
              <w:bottom w:w="80" w:type="dxa"/>
              <w:right w:w="80" w:type="dxa"/>
            </w:tcMar>
            <w:vAlign w:val="top"/>
          </w:tcPr>
          <w:p w14:paraId="54E3C2D8">
            <w:pPr>
              <w:pStyle w:val="238"/>
              <w:framePr w:wrap="auto"/>
              <w:spacing w:line="348" w:lineRule="auto"/>
              <w:jc w:val="left"/>
              <w:rPr>
                <w:rFonts w:hint="eastAsia" w:ascii="宋体" w:hAnsi="宋体" w:eastAsia="宋体" w:cs="宋体"/>
                <w:color w:val="000000"/>
                <w:highlight w:val="none"/>
              </w:rPr>
            </w:pPr>
            <w:r>
              <w:rPr>
                <w:rFonts w:hint="eastAsia" w:ascii="宋体" w:hAnsi="宋体" w:eastAsia="宋体" w:cs="宋体"/>
                <w:color w:val="000000"/>
                <w:highlight w:val="none"/>
                <w:lang w:val="zh-TW" w:eastAsia="zh-TW"/>
              </w:rPr>
              <w:t>住所地：</w:t>
            </w:r>
          </w:p>
        </w:tc>
        <w:tc>
          <w:tcPr>
            <w:tcW w:w="4643" w:type="dxa"/>
            <w:shd w:val="clear" w:color="auto" w:fill="CED7E7"/>
            <w:noWrap w:val="0"/>
            <w:tcMar>
              <w:top w:w="80" w:type="dxa"/>
              <w:left w:w="80" w:type="dxa"/>
              <w:bottom w:w="80" w:type="dxa"/>
              <w:right w:w="80" w:type="dxa"/>
            </w:tcMar>
            <w:vAlign w:val="top"/>
          </w:tcPr>
          <w:p w14:paraId="235A3D13">
            <w:pPr>
              <w:pStyle w:val="238"/>
              <w:framePr w:wrap="auto"/>
              <w:spacing w:line="348" w:lineRule="auto"/>
              <w:jc w:val="left"/>
              <w:rPr>
                <w:rFonts w:hint="eastAsia" w:ascii="宋体" w:hAnsi="宋体" w:eastAsia="宋体" w:cs="宋体"/>
                <w:color w:val="000000"/>
                <w:highlight w:val="none"/>
              </w:rPr>
            </w:pPr>
            <w:r>
              <w:rPr>
                <w:rFonts w:hint="eastAsia" w:ascii="宋体" w:hAnsi="宋体" w:eastAsia="宋体" w:cs="宋体"/>
                <w:color w:val="000000"/>
                <w:highlight w:val="none"/>
                <w:lang w:val="zh-TW" w:eastAsia="zh-TW"/>
              </w:rPr>
              <w:t>住所地</w:t>
            </w:r>
          </w:p>
        </w:tc>
      </w:tr>
    </w:tbl>
    <w:p w14:paraId="3EFD65DA">
      <w:pPr>
        <w:pStyle w:val="238"/>
        <w:framePr w:wrap="auto"/>
        <w:spacing w:line="348" w:lineRule="auto"/>
        <w:rPr>
          <w:rFonts w:hint="eastAsia" w:ascii="宋体" w:hAnsi="宋体" w:eastAsia="宋体" w:cs="宋体"/>
          <w:color w:val="000000"/>
          <w:highlight w:val="none"/>
          <w:lang w:val="zh-TW" w:eastAsia="zh-TW"/>
        </w:rPr>
      </w:pPr>
    </w:p>
    <w:p w14:paraId="7396B3B8">
      <w:pPr>
        <w:pStyle w:val="238"/>
        <w:framePr w:wrap="auto"/>
        <w:spacing w:line="360" w:lineRule="auto"/>
        <w:ind w:firstLine="420"/>
        <w:jc w:val="left"/>
        <w:rPr>
          <w:rFonts w:hint="eastAsia" w:ascii="宋体" w:hAnsi="宋体" w:eastAsia="宋体" w:cs="宋体"/>
          <w:color w:val="000000"/>
          <w:highlight w:val="none"/>
          <w:lang w:val="zh-TW"/>
        </w:rPr>
      </w:pPr>
      <w:r>
        <w:rPr>
          <w:rFonts w:hint="eastAsia" w:ascii="宋体" w:hAnsi="宋体" w:eastAsia="宋体" w:cs="宋体"/>
          <w:color w:val="000000"/>
          <w:highlight w:val="none"/>
          <w:lang w:val="zh-TW"/>
        </w:rPr>
        <w:t>根据《中华人民共和国政府采购法》、《中华人民共和国民法典》等法律法规的规定，甲乙双方按照采购代理机构的</w:t>
      </w:r>
      <w:r>
        <w:rPr>
          <w:rFonts w:hint="eastAsia" w:ascii="宋体" w:hAnsi="宋体" w:eastAsia="宋体" w:cs="宋体"/>
          <w:color w:val="000000"/>
          <w:highlight w:val="none"/>
        </w:rPr>
        <w:t>采购</w:t>
      </w:r>
      <w:r>
        <w:rPr>
          <w:rFonts w:hint="eastAsia" w:ascii="宋体" w:hAnsi="宋体" w:eastAsia="宋体" w:cs="宋体"/>
          <w:color w:val="000000"/>
          <w:highlight w:val="none"/>
          <w:lang w:val="zh-TW"/>
        </w:rPr>
        <w:t>结果签订本合同。</w:t>
      </w:r>
    </w:p>
    <w:p w14:paraId="25178B9F">
      <w:pPr>
        <w:pStyle w:val="238"/>
        <w:framePr w:wrap="auto"/>
        <w:spacing w:line="360" w:lineRule="auto"/>
        <w:ind w:firstLine="422"/>
        <w:rPr>
          <w:rFonts w:hint="eastAsia" w:ascii="宋体" w:hAnsi="宋体" w:eastAsia="宋体" w:cs="宋体"/>
          <w:color w:val="000000"/>
          <w:highlight w:val="none"/>
          <w:lang w:val="zh-TW"/>
        </w:rPr>
      </w:pPr>
      <w:r>
        <w:rPr>
          <w:rFonts w:hint="eastAsia" w:ascii="宋体" w:hAnsi="宋体" w:eastAsia="宋体" w:cs="宋体"/>
          <w:b/>
          <w:bCs/>
          <w:color w:val="000000"/>
          <w:highlight w:val="none"/>
          <w:lang w:val="zh-TW"/>
        </w:rPr>
        <w:t>第一条 合同标的</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TW"/>
        </w:rPr>
        <w:t>乙方根据甲方需求提供下列服务：</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375"/>
        <w:gridCol w:w="2375"/>
        <w:gridCol w:w="2375"/>
        <w:gridCol w:w="2377"/>
      </w:tblGrid>
      <w:tr w14:paraId="0FA88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49" w:type="dxa"/>
            <w:noWrap w:val="0"/>
            <w:vAlign w:val="top"/>
          </w:tcPr>
          <w:p w14:paraId="2CA8C42C">
            <w:pPr>
              <w:pStyle w:val="238"/>
              <w:framePr w:wrap="auto"/>
              <w:spacing w:line="348" w:lineRule="auto"/>
              <w:jc w:val="center"/>
              <w:rPr>
                <w:rFonts w:hint="eastAsia" w:ascii="宋体" w:hAnsi="宋体" w:eastAsia="宋体" w:cs="宋体"/>
                <w:color w:val="000000"/>
                <w:highlight w:val="none"/>
              </w:rPr>
            </w:pPr>
            <w:r>
              <w:rPr>
                <w:rFonts w:hint="eastAsia" w:ascii="宋体" w:hAnsi="宋体" w:eastAsia="宋体" w:cs="宋体"/>
                <w:color w:val="000000"/>
                <w:highlight w:val="none"/>
              </w:rPr>
              <w:t>序号</w:t>
            </w:r>
          </w:p>
        </w:tc>
        <w:tc>
          <w:tcPr>
            <w:tcW w:w="2449" w:type="dxa"/>
            <w:noWrap w:val="0"/>
            <w:vAlign w:val="top"/>
          </w:tcPr>
          <w:p w14:paraId="126086C7">
            <w:pPr>
              <w:pStyle w:val="238"/>
              <w:framePr w:wrap="auto"/>
              <w:spacing w:line="348" w:lineRule="auto"/>
              <w:jc w:val="center"/>
              <w:rPr>
                <w:rFonts w:hint="eastAsia" w:ascii="宋体" w:hAnsi="宋体" w:eastAsia="宋体" w:cs="宋体"/>
                <w:color w:val="000000"/>
                <w:highlight w:val="none"/>
              </w:rPr>
            </w:pPr>
            <w:r>
              <w:rPr>
                <w:rFonts w:hint="eastAsia" w:ascii="宋体" w:hAnsi="宋体" w:eastAsia="宋体" w:cs="宋体"/>
                <w:color w:val="000000"/>
                <w:highlight w:val="none"/>
              </w:rPr>
              <w:t>服务内容</w:t>
            </w:r>
          </w:p>
        </w:tc>
        <w:tc>
          <w:tcPr>
            <w:tcW w:w="2449" w:type="dxa"/>
            <w:noWrap w:val="0"/>
            <w:vAlign w:val="top"/>
          </w:tcPr>
          <w:p w14:paraId="34D3F29E">
            <w:pPr>
              <w:pStyle w:val="238"/>
              <w:framePr w:wrap="auto"/>
              <w:spacing w:line="348" w:lineRule="auto"/>
              <w:jc w:val="center"/>
              <w:rPr>
                <w:rFonts w:hint="eastAsia" w:ascii="宋体" w:hAnsi="宋体" w:eastAsia="宋体" w:cs="宋体"/>
                <w:color w:val="000000"/>
                <w:highlight w:val="none"/>
              </w:rPr>
            </w:pPr>
            <w:r>
              <w:rPr>
                <w:rFonts w:hint="eastAsia" w:ascii="宋体" w:hAnsi="宋体" w:eastAsia="宋体" w:cs="宋体"/>
                <w:color w:val="000000"/>
                <w:highlight w:val="none"/>
              </w:rPr>
              <w:t>数量</w:t>
            </w:r>
          </w:p>
        </w:tc>
        <w:tc>
          <w:tcPr>
            <w:tcW w:w="2450" w:type="dxa"/>
            <w:noWrap w:val="0"/>
            <w:vAlign w:val="top"/>
          </w:tcPr>
          <w:p w14:paraId="7A1B8FDA">
            <w:pPr>
              <w:pStyle w:val="238"/>
              <w:framePr w:wrap="auto"/>
              <w:spacing w:line="348" w:lineRule="auto"/>
              <w:jc w:val="center"/>
              <w:rPr>
                <w:rFonts w:hint="eastAsia" w:ascii="宋体" w:hAnsi="宋体" w:eastAsia="宋体" w:cs="宋体"/>
                <w:color w:val="000000"/>
                <w:highlight w:val="none"/>
              </w:rPr>
            </w:pPr>
            <w:r>
              <w:rPr>
                <w:rFonts w:hint="eastAsia" w:ascii="宋体" w:hAnsi="宋体" w:eastAsia="宋体" w:cs="宋体"/>
                <w:color w:val="000000"/>
                <w:highlight w:val="none"/>
              </w:rPr>
              <w:t>单位</w:t>
            </w:r>
          </w:p>
        </w:tc>
      </w:tr>
      <w:tr w14:paraId="581EF6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49" w:type="dxa"/>
            <w:noWrap w:val="0"/>
            <w:vAlign w:val="top"/>
          </w:tcPr>
          <w:p w14:paraId="58E36105">
            <w:pPr>
              <w:pStyle w:val="238"/>
              <w:framePr w:wrap="auto"/>
              <w:spacing w:line="348" w:lineRule="auto"/>
              <w:jc w:val="center"/>
              <w:rPr>
                <w:rFonts w:hint="eastAsia" w:ascii="宋体" w:hAnsi="宋体" w:eastAsia="宋体" w:cs="宋体"/>
                <w:color w:val="000000"/>
                <w:highlight w:val="none"/>
              </w:rPr>
            </w:pPr>
          </w:p>
        </w:tc>
        <w:tc>
          <w:tcPr>
            <w:tcW w:w="2449" w:type="dxa"/>
            <w:noWrap w:val="0"/>
            <w:vAlign w:val="top"/>
          </w:tcPr>
          <w:p w14:paraId="78569E8D">
            <w:pPr>
              <w:pStyle w:val="238"/>
              <w:framePr w:wrap="auto"/>
              <w:spacing w:line="348" w:lineRule="auto"/>
              <w:jc w:val="center"/>
              <w:rPr>
                <w:rFonts w:hint="eastAsia" w:ascii="宋体" w:hAnsi="宋体" w:eastAsia="宋体" w:cs="宋体"/>
                <w:color w:val="000000"/>
                <w:highlight w:val="none"/>
                <w:lang w:val="zh-TW" w:eastAsia="zh-TW"/>
              </w:rPr>
            </w:pPr>
          </w:p>
        </w:tc>
        <w:tc>
          <w:tcPr>
            <w:tcW w:w="2449" w:type="dxa"/>
            <w:noWrap w:val="0"/>
            <w:vAlign w:val="top"/>
          </w:tcPr>
          <w:p w14:paraId="78516694">
            <w:pPr>
              <w:pStyle w:val="238"/>
              <w:framePr w:wrap="auto"/>
              <w:spacing w:line="348" w:lineRule="auto"/>
              <w:jc w:val="center"/>
              <w:rPr>
                <w:rFonts w:hint="eastAsia" w:ascii="宋体" w:hAnsi="宋体" w:eastAsia="宋体" w:cs="宋体"/>
                <w:color w:val="000000"/>
                <w:highlight w:val="none"/>
                <w:lang w:val="zh-TW" w:eastAsia="zh-TW"/>
              </w:rPr>
            </w:pPr>
          </w:p>
        </w:tc>
        <w:tc>
          <w:tcPr>
            <w:tcW w:w="2450" w:type="dxa"/>
            <w:noWrap w:val="0"/>
            <w:vAlign w:val="top"/>
          </w:tcPr>
          <w:p w14:paraId="6DEAA1D5">
            <w:pPr>
              <w:pStyle w:val="238"/>
              <w:framePr w:wrap="auto"/>
              <w:spacing w:line="348" w:lineRule="auto"/>
              <w:jc w:val="center"/>
              <w:rPr>
                <w:rFonts w:hint="eastAsia" w:ascii="宋体" w:hAnsi="宋体" w:eastAsia="宋体" w:cs="宋体"/>
                <w:color w:val="000000"/>
                <w:highlight w:val="none"/>
                <w:lang w:val="zh-TW" w:eastAsia="zh-TW"/>
              </w:rPr>
            </w:pPr>
          </w:p>
        </w:tc>
      </w:tr>
    </w:tbl>
    <w:p w14:paraId="74F57367">
      <w:pPr>
        <w:pStyle w:val="238"/>
        <w:framePr w:wrap="auto"/>
        <w:spacing w:line="360" w:lineRule="auto"/>
        <w:ind w:firstLine="420"/>
        <w:jc w:val="left"/>
        <w:rPr>
          <w:rFonts w:hint="eastAsia" w:ascii="宋体" w:hAnsi="宋体" w:eastAsia="宋体" w:cs="宋体"/>
          <w:b/>
          <w:bCs/>
          <w:color w:val="000000"/>
          <w:highlight w:val="none"/>
          <w:lang w:val="zh-TW"/>
        </w:rPr>
      </w:pPr>
      <w:r>
        <w:rPr>
          <w:rFonts w:hint="eastAsia" w:ascii="宋体" w:hAnsi="宋体" w:eastAsia="宋体" w:cs="宋体"/>
          <w:color w:val="000000"/>
          <w:highlight w:val="none"/>
          <w:lang w:val="zh-CN"/>
        </w:rPr>
        <w:t>服务内容详见乙方响应文件。</w:t>
      </w:r>
    </w:p>
    <w:p w14:paraId="6A3A0845">
      <w:pPr>
        <w:pStyle w:val="238"/>
        <w:framePr w:wrap="auto"/>
        <w:spacing w:line="360" w:lineRule="auto"/>
        <w:ind w:firstLine="422"/>
        <w:jc w:val="left"/>
        <w:rPr>
          <w:rFonts w:hint="eastAsia" w:ascii="宋体" w:hAnsi="宋体" w:eastAsia="宋体" w:cs="宋体"/>
          <w:color w:val="000000"/>
          <w:highlight w:val="none"/>
          <w:lang w:val="zh-TW"/>
        </w:rPr>
      </w:pPr>
      <w:r>
        <w:rPr>
          <w:rFonts w:hint="eastAsia" w:ascii="宋体" w:hAnsi="宋体" w:eastAsia="宋体" w:cs="宋体"/>
          <w:b/>
          <w:bCs/>
          <w:color w:val="000000"/>
          <w:highlight w:val="none"/>
          <w:lang w:val="zh-TW"/>
        </w:rPr>
        <w:t>第二条 合同总价款</w:t>
      </w:r>
      <w:r>
        <w:rPr>
          <w:rFonts w:hint="eastAsia" w:ascii="宋体" w:hAnsi="宋体" w:eastAsia="宋体" w:cs="宋体"/>
          <w:color w:val="000000"/>
          <w:highlight w:val="none"/>
          <w:lang w:val="zh-TW"/>
        </w:rPr>
        <w:t xml:space="preserve">  本合同项下总价款为___________（大写）人民币，分项价款详见 《报价表》。</w:t>
      </w:r>
    </w:p>
    <w:p w14:paraId="76BF1B6D">
      <w:pPr>
        <w:pStyle w:val="238"/>
        <w:framePr w:wrap="auto"/>
        <w:spacing w:line="360" w:lineRule="auto"/>
        <w:ind w:firstLine="420"/>
        <w:rPr>
          <w:rFonts w:hint="eastAsia" w:ascii="宋体" w:hAnsi="宋体" w:eastAsia="宋体" w:cs="宋体"/>
          <w:color w:val="000000"/>
          <w:highlight w:val="none"/>
          <w:lang w:val="zh-TW"/>
        </w:rPr>
      </w:pPr>
      <w:r>
        <w:rPr>
          <w:rFonts w:hint="eastAsia" w:ascii="宋体" w:hAnsi="宋体" w:eastAsia="宋体" w:cs="宋体"/>
          <w:color w:val="000000"/>
          <w:highlight w:val="none"/>
          <w:lang w:val="zh-TW"/>
        </w:rPr>
        <w:t>本合同总价款包含以下内容：</w:t>
      </w:r>
    </w:p>
    <w:p w14:paraId="2201BAAF">
      <w:pPr>
        <w:pStyle w:val="238"/>
        <w:framePr w:wrap="auto"/>
        <w:spacing w:line="360" w:lineRule="auto"/>
        <w:ind w:firstLine="420"/>
        <w:rPr>
          <w:rFonts w:hint="eastAsia" w:ascii="宋体" w:hAnsi="宋体" w:eastAsia="宋体" w:cs="宋体"/>
          <w:color w:val="000000"/>
          <w:highlight w:val="none"/>
          <w:lang w:val="zh-TW"/>
        </w:rPr>
      </w:pPr>
      <w:r>
        <w:rPr>
          <w:rFonts w:hint="eastAsia" w:ascii="宋体" w:hAnsi="宋体" w:eastAsia="宋体" w:cs="宋体"/>
          <w:color w:val="000000"/>
          <w:highlight w:val="none"/>
          <w:lang w:val="zh-TW"/>
        </w:rPr>
        <w:t>（1）完成本服务项目发生的所有含税费用；</w:t>
      </w:r>
    </w:p>
    <w:p w14:paraId="78F3FA87">
      <w:pPr>
        <w:pStyle w:val="238"/>
        <w:framePr w:wrap="auto"/>
        <w:spacing w:line="360" w:lineRule="auto"/>
        <w:ind w:firstLine="420"/>
        <w:rPr>
          <w:rFonts w:hint="eastAsia" w:ascii="宋体" w:hAnsi="宋体" w:eastAsia="宋体" w:cs="宋体"/>
          <w:color w:val="000000"/>
          <w:highlight w:val="none"/>
          <w:lang w:val="zh-TW"/>
        </w:rPr>
      </w:pPr>
      <w:r>
        <w:rPr>
          <w:rFonts w:hint="eastAsia" w:ascii="宋体" w:hAnsi="宋体" w:eastAsia="宋体" w:cs="宋体"/>
          <w:color w:val="000000"/>
          <w:highlight w:val="none"/>
          <w:lang w:val="zh-TW"/>
        </w:rPr>
        <w:t>（2）支付给员工的工资和国家强制缴纳的各种社会保障资金；</w:t>
      </w:r>
    </w:p>
    <w:p w14:paraId="6B5F6E25">
      <w:pPr>
        <w:pStyle w:val="238"/>
        <w:framePr w:wrap="auto"/>
        <w:spacing w:line="360" w:lineRule="auto"/>
        <w:ind w:firstLine="420"/>
        <w:rPr>
          <w:rFonts w:hint="eastAsia" w:ascii="宋体" w:hAnsi="宋体" w:eastAsia="宋体" w:cs="宋体"/>
          <w:color w:val="000000"/>
          <w:highlight w:val="none"/>
          <w:lang w:val="zh-TW"/>
        </w:rPr>
      </w:pPr>
      <w:r>
        <w:rPr>
          <w:rFonts w:hint="eastAsia" w:ascii="宋体" w:hAnsi="宋体" w:eastAsia="宋体" w:cs="宋体"/>
          <w:color w:val="000000"/>
          <w:highlight w:val="none"/>
          <w:lang w:val="zh-TW"/>
        </w:rPr>
        <w:t>（3）乙方应当提供的伴随服务/售后服务费用；</w:t>
      </w:r>
    </w:p>
    <w:p w14:paraId="07883D03">
      <w:pPr>
        <w:pStyle w:val="238"/>
        <w:framePr w:wrap="auto"/>
        <w:spacing w:line="360" w:lineRule="auto"/>
        <w:ind w:firstLine="420"/>
        <w:rPr>
          <w:rFonts w:hint="eastAsia" w:ascii="宋体" w:hAnsi="宋体" w:eastAsia="宋体" w:cs="宋体"/>
          <w:color w:val="000000"/>
          <w:highlight w:val="none"/>
          <w:lang w:val="zh-TW"/>
        </w:rPr>
      </w:pPr>
      <w:r>
        <w:rPr>
          <w:rFonts w:hint="eastAsia" w:ascii="宋体" w:hAnsi="宋体" w:eastAsia="宋体" w:cs="宋体"/>
          <w:color w:val="000000"/>
          <w:highlight w:val="none"/>
          <w:lang w:val="zh-TW"/>
        </w:rPr>
        <w:t>（4）供应商认为需要的其他费用。</w:t>
      </w:r>
    </w:p>
    <w:p w14:paraId="2D708A2F">
      <w:pPr>
        <w:pStyle w:val="238"/>
        <w:framePr w:wrap="auto"/>
        <w:spacing w:line="360" w:lineRule="auto"/>
        <w:ind w:firstLine="420"/>
        <w:rPr>
          <w:rFonts w:hint="eastAsia" w:ascii="宋体" w:hAnsi="宋体" w:eastAsia="宋体" w:cs="宋体"/>
          <w:color w:val="000000"/>
          <w:highlight w:val="none"/>
          <w:lang w:val="zh-TW"/>
        </w:rPr>
      </w:pPr>
      <w:r>
        <w:rPr>
          <w:rFonts w:hint="eastAsia" w:ascii="宋体" w:hAnsi="宋体" w:eastAsia="宋体" w:cs="宋体"/>
          <w:color w:val="000000"/>
          <w:highlight w:val="none"/>
          <w:lang w:val="zh-TW"/>
        </w:rPr>
        <w:t>甲方除此费用外不再向乙方支付其他任何费用。</w:t>
      </w:r>
    </w:p>
    <w:p w14:paraId="75EFBA97">
      <w:pPr>
        <w:pStyle w:val="238"/>
        <w:framePr w:wrap="auto"/>
        <w:spacing w:line="360" w:lineRule="auto"/>
        <w:ind w:firstLine="422"/>
        <w:rPr>
          <w:rFonts w:hint="eastAsia" w:ascii="宋体" w:hAnsi="宋体" w:eastAsia="宋体" w:cs="宋体"/>
          <w:color w:val="000000"/>
          <w:highlight w:val="none"/>
        </w:rPr>
      </w:pPr>
      <w:r>
        <w:rPr>
          <w:rFonts w:hint="eastAsia" w:ascii="宋体" w:hAnsi="宋体" w:eastAsia="宋体" w:cs="宋体"/>
          <w:b/>
          <w:bCs/>
          <w:color w:val="000000"/>
          <w:highlight w:val="none"/>
          <w:lang w:val="zh-TW"/>
        </w:rPr>
        <w:t>第三条 合同期限</w:t>
      </w:r>
      <w:r>
        <w:rPr>
          <w:rFonts w:hint="eastAsia" w:ascii="宋体" w:hAnsi="宋体" w:eastAsia="宋体" w:cs="宋体"/>
          <w:b/>
          <w:bCs/>
          <w:color w:val="000000"/>
          <w:highlight w:val="none"/>
        </w:rPr>
        <w:t xml:space="preserve">  </w:t>
      </w:r>
      <w:r>
        <w:rPr>
          <w:rFonts w:hint="eastAsia" w:ascii="宋体" w:hAnsi="宋体" w:eastAsia="宋体" w:cs="宋体"/>
          <w:color w:val="000000"/>
          <w:highlight w:val="none"/>
        </w:rPr>
        <w:t>自本合同生效之日起，至乙方所承诺的服务期届满之日。</w:t>
      </w:r>
    </w:p>
    <w:p w14:paraId="6DB9353E">
      <w:pPr>
        <w:pStyle w:val="238"/>
        <w:framePr w:wrap="auto"/>
        <w:spacing w:line="360" w:lineRule="auto"/>
        <w:ind w:firstLine="422"/>
        <w:rPr>
          <w:rFonts w:hint="eastAsia" w:ascii="宋体" w:hAnsi="宋体" w:eastAsia="宋体" w:cs="宋体"/>
          <w:color w:val="000000"/>
          <w:highlight w:val="none"/>
        </w:rPr>
      </w:pPr>
      <w:r>
        <w:rPr>
          <w:rFonts w:hint="eastAsia" w:ascii="宋体" w:hAnsi="宋体" w:eastAsia="宋体" w:cs="宋体"/>
          <w:b/>
          <w:bCs/>
          <w:color w:val="000000"/>
          <w:highlight w:val="none"/>
          <w:lang w:val="zh-TW"/>
        </w:rPr>
        <w:t>第</w:t>
      </w:r>
      <w:r>
        <w:rPr>
          <w:rFonts w:hint="eastAsia" w:ascii="宋体" w:hAnsi="宋体" w:eastAsia="宋体" w:cs="宋体"/>
          <w:b/>
          <w:bCs/>
          <w:color w:val="000000"/>
          <w:highlight w:val="none"/>
        </w:rPr>
        <w:t>四</w:t>
      </w:r>
      <w:r>
        <w:rPr>
          <w:rFonts w:hint="eastAsia" w:ascii="宋体" w:hAnsi="宋体" w:eastAsia="宋体" w:cs="宋体"/>
          <w:b/>
          <w:bCs/>
          <w:color w:val="000000"/>
          <w:highlight w:val="none"/>
          <w:lang w:val="zh-TW"/>
        </w:rPr>
        <w:t>条 组成本合同的有关文件</w:t>
      </w:r>
      <w:r>
        <w:rPr>
          <w:rFonts w:hint="eastAsia" w:ascii="宋体" w:hAnsi="宋体" w:eastAsia="宋体" w:cs="宋体"/>
          <w:color w:val="000000"/>
          <w:highlight w:val="none"/>
          <w:lang w:val="zh-TW"/>
        </w:rPr>
        <w:t xml:space="preserve">  招标（采购）文件、投标（响应）文件，以及与本次采购活动相关的文件及有关附件是本合同不可分割的组成部分，与本合同具有同等法律效力，这些文件包括但不限于：</w:t>
      </w:r>
    </w:p>
    <w:p w14:paraId="4DA74ECE">
      <w:pPr>
        <w:pStyle w:val="238"/>
        <w:framePr w:wrap="auto"/>
        <w:spacing w:line="360" w:lineRule="auto"/>
        <w:ind w:firstLine="420"/>
        <w:jc w:val="left"/>
        <w:rPr>
          <w:rFonts w:hint="eastAsia" w:ascii="宋体" w:hAnsi="宋体" w:eastAsia="宋体" w:cs="宋体"/>
          <w:color w:val="000000"/>
          <w:highlight w:val="none"/>
          <w:lang w:val="zh-TW"/>
        </w:rPr>
      </w:pPr>
      <w:r>
        <w:rPr>
          <w:rFonts w:hint="eastAsia" w:ascii="宋体" w:hAnsi="宋体" w:eastAsia="宋体" w:cs="宋体"/>
          <w:color w:val="000000"/>
          <w:highlight w:val="none"/>
          <w:lang w:val="zh-TW"/>
        </w:rPr>
        <w:t>（1）投标（响应）文件和报价表；</w:t>
      </w:r>
    </w:p>
    <w:p w14:paraId="7E859AEF">
      <w:pPr>
        <w:pStyle w:val="238"/>
        <w:framePr w:wrap="auto"/>
        <w:spacing w:line="360" w:lineRule="auto"/>
        <w:ind w:firstLine="420"/>
        <w:jc w:val="left"/>
        <w:rPr>
          <w:rFonts w:hint="eastAsia" w:ascii="宋体" w:hAnsi="宋体" w:eastAsia="宋体" w:cs="宋体"/>
          <w:color w:val="000000"/>
          <w:highlight w:val="none"/>
          <w:lang w:val="zh-TW"/>
        </w:rPr>
      </w:pPr>
      <w:r>
        <w:rPr>
          <w:rFonts w:hint="eastAsia" w:ascii="宋体" w:hAnsi="宋体" w:eastAsia="宋体" w:cs="宋体"/>
          <w:color w:val="000000"/>
          <w:highlight w:val="none"/>
          <w:lang w:val="zh-TW"/>
        </w:rPr>
        <w:t>（2）服务一览表；</w:t>
      </w:r>
    </w:p>
    <w:p w14:paraId="0695713C">
      <w:pPr>
        <w:pStyle w:val="238"/>
        <w:framePr w:wrap="auto"/>
        <w:spacing w:line="360" w:lineRule="auto"/>
        <w:ind w:firstLine="420"/>
        <w:jc w:val="left"/>
        <w:rPr>
          <w:rFonts w:hint="eastAsia" w:ascii="宋体" w:hAnsi="宋体" w:eastAsia="宋体" w:cs="宋体"/>
          <w:color w:val="000000"/>
          <w:highlight w:val="none"/>
          <w:lang w:val="zh-TW"/>
        </w:rPr>
      </w:pPr>
      <w:r>
        <w:rPr>
          <w:rFonts w:hint="eastAsia" w:ascii="宋体" w:hAnsi="宋体" w:eastAsia="宋体" w:cs="宋体"/>
          <w:color w:val="000000"/>
          <w:highlight w:val="none"/>
          <w:lang w:val="zh-TW"/>
        </w:rPr>
        <w:t>（3）交付一览表；</w:t>
      </w:r>
    </w:p>
    <w:p w14:paraId="1D16BDAE">
      <w:pPr>
        <w:pStyle w:val="238"/>
        <w:framePr w:wrap="auto"/>
        <w:spacing w:line="360" w:lineRule="auto"/>
        <w:ind w:firstLine="420"/>
        <w:jc w:val="left"/>
        <w:rPr>
          <w:rFonts w:hint="eastAsia" w:ascii="宋体" w:hAnsi="宋体" w:eastAsia="宋体" w:cs="宋体"/>
          <w:color w:val="000000"/>
          <w:highlight w:val="none"/>
          <w:lang w:val="zh-TW"/>
        </w:rPr>
      </w:pPr>
      <w:r>
        <w:rPr>
          <w:rFonts w:hint="eastAsia" w:ascii="宋体" w:hAnsi="宋体" w:eastAsia="宋体" w:cs="宋体"/>
          <w:color w:val="000000"/>
          <w:highlight w:val="none"/>
          <w:lang w:val="zh-TW"/>
        </w:rPr>
        <w:t>（4）技术规格响应表；</w:t>
      </w:r>
    </w:p>
    <w:p w14:paraId="161E99FA">
      <w:pPr>
        <w:pStyle w:val="238"/>
        <w:framePr w:wrap="auto"/>
        <w:spacing w:line="360" w:lineRule="auto"/>
        <w:ind w:firstLine="420"/>
        <w:jc w:val="left"/>
        <w:rPr>
          <w:rFonts w:hint="eastAsia" w:ascii="宋体" w:hAnsi="宋体" w:eastAsia="宋体" w:cs="宋体"/>
          <w:color w:val="000000"/>
          <w:highlight w:val="none"/>
          <w:lang w:val="zh-TW"/>
        </w:rPr>
      </w:pPr>
      <w:r>
        <w:rPr>
          <w:rFonts w:hint="eastAsia" w:ascii="宋体" w:hAnsi="宋体" w:eastAsia="宋体" w:cs="宋体"/>
          <w:color w:val="000000"/>
          <w:highlight w:val="none"/>
          <w:lang w:val="zh-TW"/>
        </w:rPr>
        <w:t>（5）投标（响应）承诺；</w:t>
      </w:r>
    </w:p>
    <w:p w14:paraId="3D8BBC1E">
      <w:pPr>
        <w:pStyle w:val="238"/>
        <w:framePr w:wrap="auto"/>
        <w:spacing w:line="360" w:lineRule="auto"/>
        <w:ind w:firstLine="420"/>
        <w:jc w:val="left"/>
        <w:rPr>
          <w:rFonts w:hint="eastAsia" w:ascii="宋体" w:hAnsi="宋体" w:eastAsia="宋体" w:cs="宋体"/>
          <w:color w:val="000000"/>
          <w:highlight w:val="none"/>
          <w:lang w:val="zh-TW"/>
        </w:rPr>
      </w:pPr>
      <w:r>
        <w:rPr>
          <w:rFonts w:hint="eastAsia" w:ascii="宋体" w:hAnsi="宋体" w:eastAsia="宋体" w:cs="宋体"/>
          <w:color w:val="000000"/>
          <w:highlight w:val="none"/>
          <w:lang w:val="zh-TW"/>
        </w:rPr>
        <w:t>（6）服务承诺；</w:t>
      </w:r>
    </w:p>
    <w:p w14:paraId="7FBB803A">
      <w:pPr>
        <w:pStyle w:val="238"/>
        <w:framePr w:wrap="auto"/>
        <w:spacing w:line="360" w:lineRule="auto"/>
        <w:ind w:firstLine="420"/>
        <w:jc w:val="left"/>
        <w:rPr>
          <w:rFonts w:hint="eastAsia" w:ascii="宋体" w:hAnsi="宋体" w:eastAsia="宋体" w:cs="宋体"/>
          <w:color w:val="000000"/>
          <w:highlight w:val="none"/>
          <w:lang w:val="zh-TW"/>
        </w:rPr>
      </w:pPr>
      <w:r>
        <w:rPr>
          <w:rFonts w:hint="eastAsia" w:ascii="宋体" w:hAnsi="宋体" w:eastAsia="宋体" w:cs="宋体"/>
          <w:color w:val="000000"/>
          <w:highlight w:val="none"/>
          <w:lang w:val="zh-TW"/>
        </w:rPr>
        <w:t>（7）中标（成交）通知书；</w:t>
      </w:r>
    </w:p>
    <w:p w14:paraId="06BDC589">
      <w:pPr>
        <w:pStyle w:val="238"/>
        <w:framePr w:wrap="auto"/>
        <w:spacing w:line="360" w:lineRule="auto"/>
        <w:ind w:firstLine="420"/>
        <w:jc w:val="left"/>
        <w:rPr>
          <w:rFonts w:hint="eastAsia" w:ascii="宋体" w:hAnsi="宋体" w:eastAsia="宋体" w:cs="宋体"/>
          <w:color w:val="000000"/>
          <w:highlight w:val="none"/>
          <w:lang w:val="zh-TW"/>
        </w:rPr>
      </w:pPr>
      <w:r>
        <w:rPr>
          <w:rFonts w:hint="eastAsia" w:ascii="宋体" w:hAnsi="宋体" w:eastAsia="宋体" w:cs="宋体"/>
          <w:color w:val="000000"/>
          <w:highlight w:val="none"/>
          <w:lang w:val="zh-TW"/>
        </w:rPr>
        <w:t>（8）甲乙双方商定的其它文件。</w:t>
      </w:r>
    </w:p>
    <w:p w14:paraId="0F4C8490">
      <w:pPr>
        <w:pStyle w:val="238"/>
        <w:framePr w:wrap="auto"/>
        <w:spacing w:line="360" w:lineRule="auto"/>
        <w:ind w:firstLine="422"/>
        <w:jc w:val="left"/>
        <w:rPr>
          <w:rFonts w:hint="eastAsia" w:ascii="宋体" w:hAnsi="宋体" w:eastAsia="宋体" w:cs="宋体"/>
          <w:b/>
          <w:bCs/>
          <w:color w:val="000000"/>
          <w:highlight w:val="none"/>
          <w:lang w:val="zh-TW"/>
        </w:rPr>
      </w:pPr>
      <w:r>
        <w:rPr>
          <w:rFonts w:hint="eastAsia" w:ascii="宋体" w:hAnsi="宋体" w:eastAsia="宋体" w:cs="宋体"/>
          <w:b/>
          <w:bCs/>
          <w:color w:val="000000"/>
          <w:highlight w:val="none"/>
          <w:lang w:val="zh-TW"/>
        </w:rPr>
        <w:t>第</w:t>
      </w:r>
      <w:r>
        <w:rPr>
          <w:rFonts w:hint="eastAsia" w:ascii="宋体" w:hAnsi="宋体" w:eastAsia="宋体" w:cs="宋体"/>
          <w:b/>
          <w:bCs/>
          <w:color w:val="000000"/>
          <w:highlight w:val="none"/>
        </w:rPr>
        <w:t>五</w:t>
      </w:r>
      <w:r>
        <w:rPr>
          <w:rFonts w:hint="eastAsia" w:ascii="宋体" w:hAnsi="宋体" w:eastAsia="宋体" w:cs="宋体"/>
          <w:b/>
          <w:bCs/>
          <w:color w:val="000000"/>
          <w:highlight w:val="none"/>
          <w:lang w:val="zh-TW"/>
        </w:rPr>
        <w:t>条 权利保证</w:t>
      </w:r>
    </w:p>
    <w:p w14:paraId="590C95F3">
      <w:pPr>
        <w:pStyle w:val="238"/>
        <w:framePr w:wrap="auto"/>
        <w:spacing w:line="360" w:lineRule="auto"/>
        <w:ind w:firstLine="420"/>
        <w:jc w:val="left"/>
        <w:rPr>
          <w:rFonts w:hint="eastAsia" w:ascii="宋体" w:hAnsi="宋体" w:eastAsia="宋体" w:cs="宋体"/>
          <w:color w:val="000000"/>
          <w:highlight w:val="none"/>
          <w:lang w:val="zh-TW"/>
        </w:rPr>
      </w:pPr>
      <w:r>
        <w:rPr>
          <w:rFonts w:hint="eastAsia" w:ascii="宋体" w:hAnsi="宋体" w:eastAsia="宋体" w:cs="宋体"/>
          <w:color w:val="000000"/>
          <w:highlight w:val="none"/>
          <w:lang w:val="zh-TW"/>
        </w:rPr>
        <w:t>乙方应保证向甲方提供的本合同项下服务任何一部分时不受第三方提出侵犯其专利权、版权、商标权或其他权利的起诉。一旦出现侵权，乙方应承担全部责任。</w:t>
      </w:r>
    </w:p>
    <w:p w14:paraId="12C5D7E9">
      <w:pPr>
        <w:pStyle w:val="238"/>
        <w:framePr w:wrap="auto"/>
        <w:spacing w:line="360" w:lineRule="auto"/>
        <w:ind w:firstLine="422"/>
        <w:jc w:val="left"/>
        <w:rPr>
          <w:rFonts w:hint="eastAsia" w:ascii="宋体" w:hAnsi="宋体" w:eastAsia="宋体" w:cs="宋体"/>
          <w:b/>
          <w:bCs/>
          <w:color w:val="000000"/>
          <w:highlight w:val="none"/>
          <w:lang w:val="zh-TW"/>
        </w:rPr>
      </w:pPr>
      <w:r>
        <w:rPr>
          <w:rFonts w:hint="eastAsia" w:ascii="宋体" w:hAnsi="宋体" w:eastAsia="宋体" w:cs="宋体"/>
          <w:b/>
          <w:bCs/>
          <w:color w:val="000000"/>
          <w:highlight w:val="none"/>
          <w:lang w:val="zh-TW"/>
        </w:rPr>
        <w:t>第</w:t>
      </w:r>
      <w:r>
        <w:rPr>
          <w:rFonts w:hint="eastAsia" w:ascii="宋体" w:hAnsi="宋体" w:eastAsia="宋体" w:cs="宋体"/>
          <w:b/>
          <w:bCs/>
          <w:color w:val="000000"/>
          <w:highlight w:val="none"/>
        </w:rPr>
        <w:t>六</w:t>
      </w:r>
      <w:r>
        <w:rPr>
          <w:rFonts w:hint="eastAsia" w:ascii="宋体" w:hAnsi="宋体" w:eastAsia="宋体" w:cs="宋体"/>
          <w:b/>
          <w:bCs/>
          <w:color w:val="000000"/>
          <w:highlight w:val="none"/>
          <w:lang w:val="zh-TW"/>
        </w:rPr>
        <w:t>条 质量保证</w:t>
      </w:r>
    </w:p>
    <w:p w14:paraId="27641ADD">
      <w:pPr>
        <w:pStyle w:val="238"/>
        <w:framePr w:wrap="auto"/>
        <w:spacing w:line="360" w:lineRule="auto"/>
        <w:ind w:firstLine="420"/>
        <w:jc w:val="left"/>
        <w:rPr>
          <w:rFonts w:hint="eastAsia" w:ascii="宋体" w:hAnsi="宋体" w:eastAsia="宋体" w:cs="宋体"/>
          <w:color w:val="000000"/>
          <w:highlight w:val="none"/>
          <w:lang w:val="zh-TW"/>
        </w:rPr>
      </w:pPr>
      <w:r>
        <w:rPr>
          <w:rFonts w:hint="eastAsia" w:ascii="宋体" w:hAnsi="宋体" w:eastAsia="宋体" w:cs="宋体"/>
          <w:color w:val="000000"/>
          <w:highlight w:val="none"/>
          <w:lang w:val="zh-TW"/>
        </w:rPr>
        <w:t>乙方所提供的服务的技术规格应与招标（采购）文件规定的技术规格及所附的“技术规格响应表”相一致；若技术性能无特殊说明，则按国家有关部门最新颁布的标准及规范及甲方需求为准。</w:t>
      </w:r>
    </w:p>
    <w:p w14:paraId="0A9B01F6">
      <w:pPr>
        <w:pStyle w:val="238"/>
        <w:framePr w:wrap="auto"/>
        <w:spacing w:line="360" w:lineRule="auto"/>
        <w:ind w:firstLine="422"/>
        <w:jc w:val="left"/>
        <w:rPr>
          <w:rFonts w:hint="eastAsia" w:ascii="宋体" w:hAnsi="宋体" w:eastAsia="宋体" w:cs="宋体"/>
          <w:b/>
          <w:bCs/>
          <w:color w:val="000000"/>
          <w:highlight w:val="none"/>
        </w:rPr>
      </w:pPr>
      <w:r>
        <w:rPr>
          <w:rFonts w:hint="eastAsia" w:ascii="宋体" w:hAnsi="宋体" w:eastAsia="宋体" w:cs="宋体"/>
          <w:b/>
          <w:bCs/>
          <w:color w:val="000000"/>
          <w:highlight w:val="none"/>
          <w:lang w:val="zh-TW"/>
        </w:rPr>
        <w:t>第</w:t>
      </w:r>
      <w:r>
        <w:rPr>
          <w:rFonts w:hint="eastAsia" w:ascii="宋体" w:hAnsi="宋体" w:eastAsia="宋体" w:cs="宋体"/>
          <w:b/>
          <w:bCs/>
          <w:color w:val="000000"/>
          <w:highlight w:val="none"/>
        </w:rPr>
        <w:t>七</w:t>
      </w:r>
      <w:r>
        <w:rPr>
          <w:rFonts w:hint="eastAsia" w:ascii="宋体" w:hAnsi="宋体" w:eastAsia="宋体" w:cs="宋体"/>
          <w:b/>
          <w:bCs/>
          <w:color w:val="000000"/>
          <w:highlight w:val="none"/>
          <w:lang w:val="zh-TW"/>
        </w:rPr>
        <w:t xml:space="preserve">条 </w:t>
      </w:r>
      <w:r>
        <w:rPr>
          <w:rFonts w:hint="eastAsia" w:ascii="宋体" w:hAnsi="宋体" w:eastAsia="宋体" w:cs="宋体"/>
          <w:b/>
          <w:bCs/>
          <w:color w:val="000000"/>
          <w:highlight w:val="none"/>
        </w:rPr>
        <w:t>服务期限</w:t>
      </w:r>
    </w:p>
    <w:p w14:paraId="78BF0EE5">
      <w:pPr>
        <w:pStyle w:val="238"/>
        <w:framePr w:wrap="auto"/>
        <w:spacing w:line="360" w:lineRule="auto"/>
        <w:ind w:firstLine="420"/>
        <w:jc w:val="left"/>
        <w:rPr>
          <w:rFonts w:hint="eastAsia" w:ascii="宋体" w:hAnsi="宋体" w:eastAsia="宋体" w:cs="宋体"/>
          <w:color w:val="000000"/>
          <w:highlight w:val="none"/>
          <w:lang w:val="zh-TW"/>
        </w:rPr>
      </w:pPr>
      <w:r>
        <w:rPr>
          <w:rFonts w:hint="eastAsia" w:ascii="宋体" w:hAnsi="宋体" w:eastAsia="宋体" w:cs="宋体"/>
          <w:color w:val="000000"/>
          <w:highlight w:val="none"/>
        </w:rPr>
        <w:t>1.</w:t>
      </w:r>
      <w:r>
        <w:rPr>
          <w:rFonts w:hint="eastAsia" w:ascii="宋体" w:hAnsi="宋体" w:eastAsia="宋体" w:cs="宋体"/>
          <w:color w:val="000000"/>
          <w:highlight w:val="none"/>
          <w:lang w:val="zh-TW"/>
        </w:rPr>
        <w:t>本项目服务期为</w:t>
      </w:r>
      <w:r>
        <w:rPr>
          <w:rFonts w:hint="eastAsia" w:ascii="宋体" w:hAnsi="宋体" w:eastAsia="宋体" w:cs="宋体"/>
          <w:color w:val="000000"/>
          <w:highlight w:val="none"/>
        </w:rPr>
        <w:t>1</w:t>
      </w:r>
      <w:r>
        <w:rPr>
          <w:rFonts w:hint="eastAsia" w:ascii="宋体" w:hAnsi="宋体" w:eastAsia="宋体" w:cs="宋体"/>
          <w:color w:val="000000"/>
          <w:highlight w:val="none"/>
          <w:lang w:val="zh-TW"/>
        </w:rPr>
        <w:t>年。</w:t>
      </w:r>
      <w:r>
        <w:rPr>
          <w:rFonts w:hint="eastAsia" w:ascii="宋体" w:hAnsi="宋体" w:eastAsia="宋体" w:cs="宋体"/>
          <w:color w:val="000000"/>
          <w:highlight w:val="none"/>
        </w:rPr>
        <w:t>甲方</w:t>
      </w:r>
      <w:r>
        <w:rPr>
          <w:rFonts w:hint="eastAsia" w:ascii="宋体" w:hAnsi="宋体" w:eastAsia="宋体" w:cs="宋体"/>
          <w:color w:val="000000"/>
          <w:highlight w:val="none"/>
          <w:lang w:val="zh-TW"/>
        </w:rPr>
        <w:t>严格按照投标（响应）文件与招标（采购）文件对比验收，保留邀请第三方质检部门验收的权利。</w:t>
      </w:r>
    </w:p>
    <w:p w14:paraId="096FD78F">
      <w:pPr>
        <w:pStyle w:val="238"/>
        <w:framePr w:wrap="auto"/>
        <w:spacing w:line="360" w:lineRule="auto"/>
        <w:ind w:firstLine="420"/>
        <w:jc w:val="left"/>
        <w:rPr>
          <w:rFonts w:hint="eastAsia" w:ascii="宋体" w:hAnsi="宋体" w:eastAsia="宋体" w:cs="宋体"/>
          <w:color w:val="000000"/>
          <w:highlight w:val="none"/>
          <w:lang w:val="zh-TW"/>
        </w:rPr>
      </w:pPr>
      <w:r>
        <w:rPr>
          <w:rFonts w:hint="eastAsia" w:ascii="宋体" w:hAnsi="宋体" w:eastAsia="宋体" w:cs="宋体"/>
          <w:color w:val="000000"/>
          <w:highlight w:val="none"/>
          <w:lang w:val="zh-TW"/>
        </w:rPr>
        <w:t>2</w:t>
      </w:r>
      <w:r>
        <w:rPr>
          <w:rFonts w:hint="eastAsia" w:ascii="宋体" w:hAnsi="宋体" w:eastAsia="宋体" w:cs="宋体"/>
          <w:color w:val="000000"/>
          <w:highlight w:val="none"/>
        </w:rPr>
        <w:t>.</w:t>
      </w:r>
      <w:r>
        <w:rPr>
          <w:rFonts w:hint="eastAsia" w:ascii="宋体" w:hAnsi="宋体" w:eastAsia="宋体" w:cs="宋体"/>
          <w:color w:val="000000"/>
          <w:highlight w:val="none"/>
          <w:lang w:val="zh-TW"/>
        </w:rPr>
        <w:t>验收标准：按行业通行标准、招标（采购）文件、甲方认可的设计制作方案和乙方投标（响应）文件的承诺（详见合同附件载明的标准，并不低于国家相关标准）。</w:t>
      </w:r>
    </w:p>
    <w:p w14:paraId="41588738">
      <w:pPr>
        <w:pStyle w:val="238"/>
        <w:framePr w:wrap="auto"/>
        <w:spacing w:line="360" w:lineRule="auto"/>
        <w:ind w:firstLine="422"/>
        <w:jc w:val="left"/>
        <w:rPr>
          <w:rFonts w:hint="eastAsia" w:ascii="宋体" w:hAnsi="宋体" w:eastAsia="宋体" w:cs="宋体"/>
          <w:b/>
          <w:bCs/>
          <w:color w:val="000000"/>
          <w:highlight w:val="none"/>
          <w:lang w:val="zh-TW"/>
        </w:rPr>
      </w:pPr>
      <w:r>
        <w:rPr>
          <w:rFonts w:hint="eastAsia" w:ascii="宋体" w:hAnsi="宋体" w:eastAsia="宋体" w:cs="宋体"/>
          <w:b/>
          <w:bCs/>
          <w:color w:val="000000"/>
          <w:highlight w:val="none"/>
          <w:lang w:val="zh-TW"/>
        </w:rPr>
        <w:t>第</w:t>
      </w:r>
      <w:r>
        <w:rPr>
          <w:rFonts w:hint="eastAsia" w:ascii="宋体" w:hAnsi="宋体" w:eastAsia="宋体" w:cs="宋体"/>
          <w:b/>
          <w:bCs/>
          <w:color w:val="000000"/>
          <w:highlight w:val="none"/>
        </w:rPr>
        <w:t>八</w:t>
      </w:r>
      <w:r>
        <w:rPr>
          <w:rFonts w:hint="eastAsia" w:ascii="宋体" w:hAnsi="宋体" w:eastAsia="宋体" w:cs="宋体"/>
          <w:b/>
          <w:bCs/>
          <w:color w:val="000000"/>
          <w:highlight w:val="none"/>
          <w:lang w:val="zh-TW"/>
        </w:rPr>
        <w:t>条 履约保证金</w:t>
      </w:r>
    </w:p>
    <w:p w14:paraId="003EE191">
      <w:pPr>
        <w:pStyle w:val="238"/>
        <w:framePr w:wrap="auto"/>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1.乙方应按以下第（</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）方式向甲方缴纳履约保证金：</w:t>
      </w:r>
    </w:p>
    <w:p w14:paraId="1AD6C831">
      <w:pPr>
        <w:pStyle w:val="238"/>
        <w:framePr w:wrap="auto"/>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（1）无需缴纳履约保证金；</w:t>
      </w:r>
    </w:p>
    <w:p w14:paraId="22B0DFBC">
      <w:pPr>
        <w:pStyle w:val="238"/>
        <w:framePr w:wrap="auto"/>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（2）以支票、汇票、本票或者金融机构、担保机构出具的保函等非现金形式缴纳履约保证金，金额为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万元。</w:t>
      </w:r>
    </w:p>
    <w:p w14:paraId="324C2DF8">
      <w:pPr>
        <w:pStyle w:val="238"/>
        <w:framePr w:wrap="auto"/>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2.履约保证金的有效期至</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时止。</w:t>
      </w:r>
    </w:p>
    <w:p w14:paraId="5DC718C1">
      <w:pPr>
        <w:pStyle w:val="238"/>
        <w:framePr w:wrap="auto"/>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3.如乙方未能履行合同规定的义务，甲方有权从履约保证金中取得补偿。</w:t>
      </w:r>
    </w:p>
    <w:p w14:paraId="0CF7998B">
      <w:pPr>
        <w:pStyle w:val="238"/>
        <w:framePr w:wrap="auto"/>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4.履约保证金扣除甲方应得的补偿后的余额，在有效期满后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个工作日内无息退还给乙方。</w:t>
      </w:r>
    </w:p>
    <w:p w14:paraId="509E7AB4">
      <w:pPr>
        <w:pStyle w:val="238"/>
        <w:framePr w:wrap="auto"/>
        <w:spacing w:line="360" w:lineRule="auto"/>
        <w:ind w:firstLine="422"/>
        <w:jc w:val="left"/>
        <w:rPr>
          <w:rFonts w:hint="eastAsia" w:ascii="宋体" w:hAnsi="宋体" w:eastAsia="宋体" w:cs="宋体"/>
          <w:b/>
          <w:bCs/>
          <w:i/>
          <w:iCs/>
          <w:color w:val="000000"/>
          <w:highlight w:val="none"/>
          <w:lang w:val="zh-TW"/>
        </w:rPr>
      </w:pPr>
      <w:r>
        <w:rPr>
          <w:rFonts w:hint="eastAsia" w:ascii="宋体" w:hAnsi="宋体" w:eastAsia="宋体" w:cs="宋体"/>
          <w:b/>
          <w:bCs/>
          <w:color w:val="000000"/>
          <w:highlight w:val="none"/>
          <w:lang w:val="zh-TW"/>
        </w:rPr>
        <w:t>第</w:t>
      </w:r>
      <w:r>
        <w:rPr>
          <w:rFonts w:hint="eastAsia" w:ascii="宋体" w:hAnsi="宋体" w:eastAsia="宋体" w:cs="宋体"/>
          <w:b/>
          <w:bCs/>
          <w:color w:val="000000"/>
          <w:highlight w:val="none"/>
        </w:rPr>
        <w:t>九</w:t>
      </w:r>
      <w:r>
        <w:rPr>
          <w:rFonts w:hint="eastAsia" w:ascii="宋体" w:hAnsi="宋体" w:eastAsia="宋体" w:cs="宋体"/>
          <w:b/>
          <w:bCs/>
          <w:color w:val="000000"/>
          <w:highlight w:val="none"/>
          <w:lang w:val="zh-TW"/>
        </w:rPr>
        <w:t>条 合同款支付</w:t>
      </w:r>
    </w:p>
    <w:p w14:paraId="31919822">
      <w:pPr>
        <w:pStyle w:val="238"/>
        <w:framePr w:wrap="auto"/>
        <w:spacing w:line="360" w:lineRule="auto"/>
        <w:ind w:firstLine="420"/>
        <w:jc w:val="left"/>
        <w:rPr>
          <w:rFonts w:hint="eastAsia" w:ascii="宋体" w:hAnsi="宋体" w:eastAsia="宋体" w:cs="宋体"/>
          <w:color w:val="000000"/>
          <w:highlight w:val="none"/>
          <w:lang w:val="zh-TW"/>
        </w:rPr>
      </w:pPr>
      <w:r>
        <w:rPr>
          <w:rFonts w:hint="eastAsia" w:ascii="宋体" w:hAnsi="宋体" w:eastAsia="宋体" w:cs="宋体"/>
          <w:color w:val="000000"/>
          <w:highlight w:val="none"/>
          <w:lang w:val="zh-TW"/>
        </w:rPr>
        <w:t>1.本合同项下所有款项均以人民币支付。</w:t>
      </w:r>
    </w:p>
    <w:p w14:paraId="0049F204">
      <w:pPr>
        <w:pStyle w:val="238"/>
        <w:framePr w:wrap="auto"/>
        <w:spacing w:line="360" w:lineRule="auto"/>
        <w:ind w:firstLine="420"/>
        <w:jc w:val="left"/>
        <w:rPr>
          <w:rFonts w:hint="eastAsia" w:ascii="宋体" w:hAnsi="宋体" w:eastAsia="宋体" w:cs="宋体"/>
          <w:color w:val="000000"/>
          <w:highlight w:val="none"/>
          <w:lang w:val="zh-TW"/>
        </w:rPr>
      </w:pPr>
      <w:r>
        <w:rPr>
          <w:rFonts w:hint="eastAsia" w:ascii="宋体" w:hAnsi="宋体" w:eastAsia="宋体" w:cs="宋体"/>
          <w:color w:val="000000"/>
          <w:highlight w:val="none"/>
          <w:lang w:val="zh-TW"/>
        </w:rPr>
        <w:t>2.本合同项下的采购资金由甲方自行支付，乙方向甲方开具发票。</w:t>
      </w:r>
    </w:p>
    <w:p w14:paraId="0CAB811A">
      <w:pPr>
        <w:pStyle w:val="238"/>
        <w:framePr w:wrap="auto"/>
        <w:spacing w:line="360" w:lineRule="auto"/>
        <w:ind w:firstLine="422"/>
        <w:jc w:val="left"/>
        <w:rPr>
          <w:rFonts w:hint="eastAsia" w:ascii="宋体" w:hAnsi="宋体" w:eastAsia="宋体" w:cs="宋体"/>
          <w:b/>
          <w:bCs/>
          <w:color w:val="000000"/>
          <w:highlight w:val="none"/>
          <w:lang w:val="zh-TW"/>
        </w:rPr>
      </w:pPr>
      <w:r>
        <w:rPr>
          <w:rFonts w:hint="eastAsia" w:ascii="宋体" w:hAnsi="宋体" w:eastAsia="宋体" w:cs="宋体"/>
          <w:b/>
          <w:bCs/>
          <w:color w:val="000000"/>
          <w:highlight w:val="none"/>
        </w:rPr>
        <w:t>3</w:t>
      </w:r>
      <w:r>
        <w:rPr>
          <w:rFonts w:hint="eastAsia" w:ascii="宋体" w:hAnsi="宋体" w:eastAsia="宋体" w:cs="宋体"/>
          <w:b/>
          <w:bCs/>
          <w:color w:val="000000"/>
          <w:highlight w:val="none"/>
          <w:lang w:val="zh-TW"/>
        </w:rPr>
        <w:t>.付款</w:t>
      </w:r>
      <w:r>
        <w:rPr>
          <w:rFonts w:hint="eastAsia" w:ascii="宋体" w:hAnsi="宋体" w:eastAsia="宋体" w:cs="宋体"/>
          <w:b/>
          <w:bCs/>
          <w:color w:val="000000"/>
          <w:highlight w:val="none"/>
        </w:rPr>
        <w:t>方式</w:t>
      </w:r>
      <w:r>
        <w:rPr>
          <w:rFonts w:hint="eastAsia" w:ascii="宋体" w:hAnsi="宋体" w:eastAsia="宋体" w:cs="宋体"/>
          <w:b/>
          <w:bCs/>
          <w:color w:val="000000"/>
          <w:highlight w:val="none"/>
          <w:lang w:val="zh-TW"/>
        </w:rPr>
        <w:t>：详见采购文件</w:t>
      </w:r>
    </w:p>
    <w:p w14:paraId="590B4B02">
      <w:pPr>
        <w:pStyle w:val="238"/>
        <w:framePr w:wrap="auto"/>
        <w:spacing w:line="360" w:lineRule="auto"/>
        <w:ind w:firstLine="422"/>
        <w:jc w:val="left"/>
        <w:rPr>
          <w:rFonts w:hint="eastAsia" w:ascii="宋体" w:hAnsi="宋体" w:eastAsia="宋体" w:cs="宋体"/>
          <w:b/>
          <w:bCs/>
          <w:color w:val="000000"/>
          <w:highlight w:val="none"/>
          <w:lang w:val="zh-TW"/>
        </w:rPr>
      </w:pPr>
      <w:r>
        <w:rPr>
          <w:rFonts w:hint="eastAsia" w:ascii="宋体" w:hAnsi="宋体" w:eastAsia="宋体" w:cs="宋体"/>
          <w:b/>
          <w:bCs/>
          <w:color w:val="000000"/>
          <w:highlight w:val="none"/>
          <w:lang w:val="zh-TW"/>
        </w:rPr>
        <w:t>第</w:t>
      </w:r>
      <w:r>
        <w:rPr>
          <w:rFonts w:hint="eastAsia" w:ascii="宋体" w:hAnsi="宋体" w:eastAsia="宋体" w:cs="宋体"/>
          <w:b/>
          <w:bCs/>
          <w:color w:val="000000"/>
          <w:highlight w:val="none"/>
        </w:rPr>
        <w:t>十</w:t>
      </w:r>
      <w:r>
        <w:rPr>
          <w:rFonts w:hint="eastAsia" w:ascii="宋体" w:hAnsi="宋体" w:eastAsia="宋体" w:cs="宋体"/>
          <w:b/>
          <w:bCs/>
          <w:color w:val="000000"/>
          <w:highlight w:val="none"/>
          <w:lang w:val="zh-TW"/>
        </w:rPr>
        <w:t>条 违约责任</w:t>
      </w:r>
    </w:p>
    <w:p w14:paraId="7B75840C">
      <w:pPr>
        <w:pStyle w:val="238"/>
        <w:framePr w:wrap="auto"/>
        <w:widowControl/>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1.甲方无正当理由拒收服务、拒付服务款的，甲方向乙方偿付合同总价的5%违约金。</w:t>
      </w:r>
    </w:p>
    <w:p w14:paraId="0FB6363C">
      <w:pPr>
        <w:pStyle w:val="238"/>
        <w:framePr w:wrap="auto"/>
        <w:widowControl/>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2.甲方未按合同规定的期限向乙方支付服务款的，每逾期1天甲方向乙方偿付欠款总额的5‰滞纳金，但累计滞纳金总额不超过欠款总额的5%。</w:t>
      </w:r>
    </w:p>
    <w:p w14:paraId="326B9F26">
      <w:pPr>
        <w:pStyle w:val="238"/>
        <w:framePr w:wrap="auto"/>
        <w:widowControl/>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3.如乙方不能如期交付服务的；乙方应向甲方支付合同总价5%的违约金并赔偿因此给甲方造成的损失。</w:t>
      </w:r>
    </w:p>
    <w:p w14:paraId="699C504E">
      <w:pPr>
        <w:pStyle w:val="238"/>
        <w:framePr w:wrap="auto"/>
        <w:widowControl/>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4.乙方逾期通过甲方验收并交付甲方使用的，每逾期1天，乙方向甲方偿付合同总额的5‰的滞纳金。如乙方逾期交付达10天，甲方有权解除合同，解除合同的通知自到达乙方时生效。</w:t>
      </w:r>
    </w:p>
    <w:p w14:paraId="4E28AA14">
      <w:pPr>
        <w:pStyle w:val="238"/>
        <w:framePr w:wrap="auto"/>
        <w:widowControl/>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5.在乙方承诺的服务期内，如经乙方2次整改仍不能达到合同约定的质量标准，乙方应退回全部合同价款，并按本条第3款处理，同时，乙方还须赔偿甲方因此遭受的损失。</w:t>
      </w:r>
    </w:p>
    <w:p w14:paraId="0DBC2369">
      <w:pPr>
        <w:pStyle w:val="238"/>
        <w:framePr w:wrap="auto"/>
        <w:widowControl/>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6.乙方未按本合同的规定和服务承诺提供伴随服务/售后服务的，甲方有权委托第三方提供伴随服务/售后服务，由此产生的费用由乙方承担，且乙方应按合同总价款的5%向甲方承担违约责任。</w:t>
      </w:r>
    </w:p>
    <w:p w14:paraId="550A8AC3">
      <w:pPr>
        <w:pStyle w:val="238"/>
        <w:framePr w:wrap="auto"/>
        <w:widowControl/>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7.乙方所交付的服务不符合合同规定的，甲方有权拒收。甲方拒收的，乙方应向甲方支付合同总款5%的违约金。</w:t>
      </w:r>
    </w:p>
    <w:p w14:paraId="3FC20102">
      <w:pPr>
        <w:pStyle w:val="238"/>
        <w:framePr w:wrap="auto"/>
        <w:widowControl/>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8.乙方在承担上述一项或多项违约责任后，仍应继续履行合同规定的义务（甲方解除合同的除外）。甲方未能及时追究乙方的任何一项违约责任并不表明甲方放弃追究乙方该项或其他违约责任。</w:t>
      </w:r>
    </w:p>
    <w:p w14:paraId="7A18D38F">
      <w:pPr>
        <w:pStyle w:val="238"/>
        <w:framePr w:wrap="auto"/>
        <w:widowControl/>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9.乙方响应属虚假承诺，或服务不能满足投标（响应）文件要求，或是由于乙方的过错造成合同无法继续履行的，乙方应向甲方支付不少于合同总价 5%赔偿金。</w:t>
      </w:r>
    </w:p>
    <w:p w14:paraId="7931FBA2">
      <w:pPr>
        <w:pStyle w:val="238"/>
        <w:framePr w:wrap="auto"/>
        <w:widowControl/>
        <w:spacing w:line="360" w:lineRule="auto"/>
        <w:ind w:firstLine="422"/>
        <w:jc w:val="left"/>
        <w:rPr>
          <w:rFonts w:hint="eastAsia" w:ascii="宋体" w:hAnsi="宋体" w:eastAsia="宋体" w:cs="宋体"/>
          <w:b/>
          <w:bCs/>
          <w:color w:val="000000"/>
          <w:highlight w:val="none"/>
          <w:lang w:val="zh-TW"/>
        </w:rPr>
      </w:pPr>
      <w:r>
        <w:rPr>
          <w:rFonts w:hint="eastAsia" w:ascii="宋体" w:hAnsi="宋体" w:eastAsia="宋体" w:cs="宋体"/>
          <w:b/>
          <w:bCs/>
          <w:color w:val="000000"/>
          <w:highlight w:val="none"/>
          <w:lang w:val="zh-TW"/>
        </w:rPr>
        <w:t>第十</w:t>
      </w:r>
      <w:r>
        <w:rPr>
          <w:rFonts w:hint="eastAsia" w:ascii="宋体" w:hAnsi="宋体" w:eastAsia="宋体" w:cs="宋体"/>
          <w:b/>
          <w:bCs/>
          <w:color w:val="000000"/>
          <w:highlight w:val="none"/>
        </w:rPr>
        <w:t>一</w:t>
      </w:r>
      <w:r>
        <w:rPr>
          <w:rFonts w:hint="eastAsia" w:ascii="宋体" w:hAnsi="宋体" w:eastAsia="宋体" w:cs="宋体"/>
          <w:b/>
          <w:bCs/>
          <w:color w:val="000000"/>
          <w:highlight w:val="none"/>
          <w:lang w:val="zh-TW"/>
        </w:rPr>
        <w:t>条 合同的变更和终止</w:t>
      </w:r>
    </w:p>
    <w:p w14:paraId="3F8DFE01">
      <w:pPr>
        <w:pStyle w:val="238"/>
        <w:framePr w:wrap="auto"/>
        <w:widowControl/>
        <w:spacing w:line="360" w:lineRule="auto"/>
        <w:ind w:firstLine="420"/>
        <w:jc w:val="left"/>
        <w:rPr>
          <w:rFonts w:hint="eastAsia" w:ascii="宋体" w:hAnsi="宋体" w:eastAsia="宋体" w:cs="宋体"/>
          <w:color w:val="000000"/>
          <w:highlight w:val="none"/>
          <w:lang w:val="zh-TW"/>
        </w:rPr>
      </w:pPr>
      <w:r>
        <w:rPr>
          <w:rFonts w:hint="eastAsia" w:ascii="宋体" w:hAnsi="宋体" w:eastAsia="宋体" w:cs="宋体"/>
          <w:color w:val="000000"/>
          <w:highlight w:val="none"/>
          <w:lang w:val="zh-TW"/>
        </w:rPr>
        <w:t>1.除《政府采购法》第50条第二款规定的情形外，本合同一经签订，甲乙双方不得擅自变更、中止或终止合同。</w:t>
      </w:r>
    </w:p>
    <w:p w14:paraId="4B095D99">
      <w:pPr>
        <w:pStyle w:val="238"/>
        <w:framePr w:wrap="auto"/>
        <w:widowControl/>
        <w:spacing w:line="360" w:lineRule="auto"/>
        <w:ind w:firstLine="420"/>
        <w:jc w:val="left"/>
        <w:rPr>
          <w:rFonts w:hint="eastAsia" w:ascii="宋体" w:hAnsi="宋体" w:eastAsia="宋体" w:cs="宋体"/>
          <w:color w:val="000000"/>
          <w:highlight w:val="none"/>
          <w:lang w:val="zh-TW"/>
        </w:rPr>
      </w:pPr>
      <w:r>
        <w:rPr>
          <w:rFonts w:hint="eastAsia" w:ascii="宋体" w:hAnsi="宋体" w:eastAsia="宋体" w:cs="宋体"/>
          <w:color w:val="000000"/>
          <w:highlight w:val="none"/>
          <w:lang w:val="zh-TW"/>
        </w:rPr>
        <w:t>2.除发生法律规定的不能预见、不能避免并不能克服的客观情况外，甲乙双方不得放弃或拒绝履行合同。乙方放弃或拒绝履行合同，应向甲方支付合同总额5%的违约金并赔偿因此给甲方造成的损失。</w:t>
      </w:r>
    </w:p>
    <w:p w14:paraId="007B851D">
      <w:pPr>
        <w:pStyle w:val="238"/>
        <w:framePr w:wrap="auto"/>
        <w:widowControl/>
        <w:spacing w:line="360" w:lineRule="auto"/>
        <w:ind w:firstLine="422"/>
        <w:jc w:val="left"/>
        <w:rPr>
          <w:rFonts w:hint="eastAsia" w:ascii="宋体" w:hAnsi="宋体" w:eastAsia="宋体" w:cs="宋体"/>
          <w:b/>
          <w:bCs/>
          <w:color w:val="000000"/>
          <w:highlight w:val="none"/>
          <w:lang w:val="zh-TW"/>
        </w:rPr>
      </w:pPr>
      <w:r>
        <w:rPr>
          <w:rFonts w:hint="eastAsia" w:ascii="宋体" w:hAnsi="宋体" w:eastAsia="宋体" w:cs="宋体"/>
          <w:b/>
          <w:bCs/>
          <w:color w:val="000000"/>
          <w:highlight w:val="none"/>
          <w:lang w:val="zh-TW"/>
        </w:rPr>
        <w:t>第十</w:t>
      </w:r>
      <w:r>
        <w:rPr>
          <w:rFonts w:hint="eastAsia" w:ascii="宋体" w:hAnsi="宋体" w:eastAsia="宋体" w:cs="宋体"/>
          <w:b/>
          <w:bCs/>
          <w:color w:val="000000"/>
          <w:highlight w:val="none"/>
        </w:rPr>
        <w:t>二</w:t>
      </w:r>
      <w:r>
        <w:rPr>
          <w:rFonts w:hint="eastAsia" w:ascii="宋体" w:hAnsi="宋体" w:eastAsia="宋体" w:cs="宋体"/>
          <w:b/>
          <w:bCs/>
          <w:color w:val="000000"/>
          <w:highlight w:val="none"/>
          <w:lang w:val="zh-TW"/>
        </w:rPr>
        <w:t>条 合同的转让</w:t>
      </w:r>
    </w:p>
    <w:p w14:paraId="2DA311F8">
      <w:pPr>
        <w:pStyle w:val="238"/>
        <w:framePr w:wrap="auto"/>
        <w:widowControl/>
        <w:spacing w:line="360" w:lineRule="auto"/>
        <w:ind w:firstLine="420"/>
        <w:jc w:val="left"/>
        <w:rPr>
          <w:rFonts w:hint="eastAsia" w:ascii="宋体" w:hAnsi="宋体" w:eastAsia="宋体" w:cs="宋体"/>
          <w:color w:val="000000"/>
          <w:highlight w:val="none"/>
          <w:lang w:val="zh-TW"/>
        </w:rPr>
      </w:pPr>
      <w:r>
        <w:rPr>
          <w:rFonts w:hint="eastAsia" w:ascii="宋体" w:hAnsi="宋体" w:eastAsia="宋体" w:cs="宋体"/>
          <w:color w:val="000000"/>
          <w:highlight w:val="none"/>
          <w:lang w:val="zh-TW"/>
        </w:rPr>
        <w:t>乙方不得擅自部分或全部转让其应履行的合同义务。</w:t>
      </w:r>
    </w:p>
    <w:p w14:paraId="65ECA4D2">
      <w:pPr>
        <w:pStyle w:val="238"/>
        <w:framePr w:wrap="auto"/>
        <w:widowControl/>
        <w:spacing w:line="360" w:lineRule="auto"/>
        <w:ind w:firstLine="422"/>
        <w:jc w:val="left"/>
        <w:rPr>
          <w:rFonts w:hint="eastAsia" w:ascii="宋体" w:hAnsi="宋体" w:eastAsia="宋体" w:cs="宋体"/>
          <w:b/>
          <w:bCs/>
          <w:color w:val="000000"/>
          <w:highlight w:val="none"/>
          <w:lang w:val="zh-TW"/>
        </w:rPr>
      </w:pPr>
      <w:r>
        <w:rPr>
          <w:rFonts w:hint="eastAsia" w:ascii="宋体" w:hAnsi="宋体" w:eastAsia="宋体" w:cs="宋体"/>
          <w:b/>
          <w:bCs/>
          <w:color w:val="000000"/>
          <w:highlight w:val="none"/>
          <w:lang w:val="zh-TW"/>
        </w:rPr>
        <w:t>第十</w:t>
      </w:r>
      <w:r>
        <w:rPr>
          <w:rFonts w:hint="eastAsia" w:ascii="宋体" w:hAnsi="宋体" w:eastAsia="宋体" w:cs="宋体"/>
          <w:b/>
          <w:bCs/>
          <w:color w:val="000000"/>
          <w:highlight w:val="none"/>
        </w:rPr>
        <w:t>三</w:t>
      </w:r>
      <w:r>
        <w:rPr>
          <w:rFonts w:hint="eastAsia" w:ascii="宋体" w:hAnsi="宋体" w:eastAsia="宋体" w:cs="宋体"/>
          <w:b/>
          <w:bCs/>
          <w:color w:val="000000"/>
          <w:highlight w:val="none"/>
          <w:lang w:val="zh-TW"/>
        </w:rPr>
        <w:t>条 争议的解决</w:t>
      </w:r>
    </w:p>
    <w:p w14:paraId="53A25BD0">
      <w:pPr>
        <w:pStyle w:val="238"/>
        <w:framePr w:wrap="auto"/>
        <w:widowControl/>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1.因履行本合同引起的或与本合同有关的争议，甲、乙双方应首先通过友好协商解决，如果协商不能解决争议，则采取以下第（ ）种方式解决争议：</w:t>
      </w:r>
    </w:p>
    <w:p w14:paraId="7165E682">
      <w:pPr>
        <w:pStyle w:val="238"/>
        <w:framePr w:wrap="auto"/>
        <w:widowControl/>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（1）向甲方所在地有管辖权的人民法院提起诉讼；</w:t>
      </w:r>
    </w:p>
    <w:p w14:paraId="2C922FDA">
      <w:pPr>
        <w:pStyle w:val="238"/>
        <w:framePr w:wrap="auto"/>
        <w:widowControl/>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（2）向南京仲裁委员会按其仲裁规则申请仲裁。</w:t>
      </w:r>
    </w:p>
    <w:p w14:paraId="5BCBD207">
      <w:pPr>
        <w:pStyle w:val="238"/>
        <w:framePr w:wrap="auto"/>
        <w:widowControl/>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如没有约定，默认采取第1种方式解决争议。</w:t>
      </w:r>
    </w:p>
    <w:p w14:paraId="07A25021">
      <w:pPr>
        <w:pStyle w:val="238"/>
        <w:framePr w:wrap="auto"/>
        <w:widowControl/>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2.在诉讼或仲裁期间，本合同应继续履行。</w:t>
      </w:r>
    </w:p>
    <w:p w14:paraId="39C106A8">
      <w:pPr>
        <w:pStyle w:val="238"/>
        <w:framePr w:wrap="auto"/>
        <w:widowControl/>
        <w:spacing w:line="360" w:lineRule="auto"/>
        <w:ind w:firstLine="422"/>
        <w:jc w:val="left"/>
        <w:rPr>
          <w:rFonts w:hint="eastAsia" w:ascii="宋体" w:hAnsi="宋体" w:eastAsia="宋体" w:cs="宋体"/>
          <w:b/>
          <w:bCs/>
          <w:color w:val="000000"/>
          <w:highlight w:val="none"/>
          <w:lang w:val="zh-TW"/>
        </w:rPr>
      </w:pPr>
      <w:r>
        <w:rPr>
          <w:rFonts w:hint="eastAsia" w:ascii="宋体" w:hAnsi="宋体" w:eastAsia="宋体" w:cs="宋体"/>
          <w:b/>
          <w:bCs/>
          <w:color w:val="000000"/>
          <w:highlight w:val="none"/>
          <w:lang w:val="zh-TW"/>
        </w:rPr>
        <w:t>第十</w:t>
      </w:r>
      <w:r>
        <w:rPr>
          <w:rFonts w:hint="eastAsia" w:ascii="宋体" w:hAnsi="宋体" w:eastAsia="宋体" w:cs="宋体"/>
          <w:b/>
          <w:bCs/>
          <w:color w:val="000000"/>
          <w:highlight w:val="none"/>
        </w:rPr>
        <w:t>四条</w:t>
      </w:r>
      <w:r>
        <w:rPr>
          <w:rFonts w:hint="eastAsia" w:ascii="宋体" w:hAnsi="宋体" w:eastAsia="宋体" w:cs="宋体"/>
          <w:b/>
          <w:bCs/>
          <w:color w:val="000000"/>
          <w:highlight w:val="none"/>
          <w:lang w:val="zh-TW"/>
        </w:rPr>
        <w:t xml:space="preserve"> 诚实信用 </w:t>
      </w:r>
    </w:p>
    <w:p w14:paraId="5E4C5F29">
      <w:pPr>
        <w:pStyle w:val="238"/>
        <w:framePr w:wrap="auto"/>
        <w:widowControl/>
        <w:spacing w:line="360" w:lineRule="auto"/>
        <w:ind w:firstLine="420"/>
        <w:jc w:val="left"/>
        <w:rPr>
          <w:rFonts w:hint="eastAsia" w:ascii="宋体" w:hAnsi="宋体" w:eastAsia="宋体" w:cs="宋体"/>
          <w:color w:val="000000"/>
          <w:highlight w:val="none"/>
          <w:lang w:val="zh-TW"/>
        </w:rPr>
      </w:pPr>
      <w:r>
        <w:rPr>
          <w:rFonts w:hint="eastAsia" w:ascii="宋体" w:hAnsi="宋体" w:eastAsia="宋体" w:cs="宋体"/>
          <w:color w:val="000000"/>
          <w:highlight w:val="none"/>
          <w:lang w:val="zh-TW"/>
        </w:rPr>
        <w:t>乙方应诚实信用，严格按照</w:t>
      </w:r>
      <w:r>
        <w:rPr>
          <w:rFonts w:hint="eastAsia" w:ascii="宋体" w:hAnsi="宋体" w:eastAsia="宋体" w:cs="宋体"/>
          <w:color w:val="000000"/>
          <w:highlight w:val="none"/>
        </w:rPr>
        <w:t>采购</w:t>
      </w:r>
      <w:r>
        <w:rPr>
          <w:rFonts w:hint="eastAsia" w:ascii="宋体" w:hAnsi="宋体" w:eastAsia="宋体" w:cs="宋体"/>
          <w:color w:val="000000"/>
          <w:highlight w:val="none"/>
          <w:lang w:val="zh-TW"/>
        </w:rPr>
        <w:t>文件要求和乙方承诺履行合同，不向甲方进行商业贿赂或者提供不正当利益。</w:t>
      </w:r>
    </w:p>
    <w:p w14:paraId="7FACE873">
      <w:pPr>
        <w:pStyle w:val="238"/>
        <w:framePr w:wrap="auto"/>
        <w:widowControl/>
        <w:spacing w:line="360" w:lineRule="auto"/>
        <w:ind w:firstLine="422"/>
        <w:jc w:val="left"/>
        <w:rPr>
          <w:rFonts w:hint="eastAsia" w:ascii="宋体" w:hAnsi="宋体" w:eastAsia="宋体" w:cs="宋体"/>
          <w:b/>
          <w:bCs/>
          <w:color w:val="000000"/>
          <w:highlight w:val="none"/>
          <w:lang w:val="zh-TW"/>
        </w:rPr>
      </w:pPr>
      <w:r>
        <w:rPr>
          <w:rFonts w:hint="eastAsia" w:ascii="宋体" w:hAnsi="宋体" w:eastAsia="宋体" w:cs="宋体"/>
          <w:b/>
          <w:bCs/>
          <w:color w:val="000000"/>
          <w:highlight w:val="none"/>
          <w:lang w:val="zh-TW"/>
        </w:rPr>
        <w:t>第十</w:t>
      </w:r>
      <w:r>
        <w:rPr>
          <w:rFonts w:hint="eastAsia" w:ascii="宋体" w:hAnsi="宋体" w:eastAsia="宋体" w:cs="宋体"/>
          <w:b/>
          <w:bCs/>
          <w:color w:val="000000"/>
          <w:highlight w:val="none"/>
        </w:rPr>
        <w:t>五</w:t>
      </w:r>
      <w:r>
        <w:rPr>
          <w:rFonts w:hint="eastAsia" w:ascii="宋体" w:hAnsi="宋体" w:eastAsia="宋体" w:cs="宋体"/>
          <w:b/>
          <w:bCs/>
          <w:color w:val="000000"/>
          <w:highlight w:val="none"/>
          <w:lang w:val="zh-TW"/>
        </w:rPr>
        <w:t>条 合同生效及其他</w:t>
      </w:r>
    </w:p>
    <w:p w14:paraId="37847224">
      <w:pPr>
        <w:pStyle w:val="238"/>
        <w:framePr w:wrap="auto"/>
        <w:widowControl/>
        <w:spacing w:line="360" w:lineRule="auto"/>
        <w:ind w:firstLine="420"/>
        <w:jc w:val="left"/>
        <w:rPr>
          <w:rFonts w:hint="eastAsia" w:ascii="宋体" w:hAnsi="宋体" w:eastAsia="宋体" w:cs="宋体"/>
          <w:color w:val="000000"/>
          <w:highlight w:val="none"/>
          <w:lang w:val="zh-TW"/>
        </w:rPr>
      </w:pPr>
      <w:r>
        <w:rPr>
          <w:rFonts w:hint="eastAsia" w:ascii="宋体" w:hAnsi="宋体" w:eastAsia="宋体" w:cs="宋体"/>
          <w:color w:val="000000"/>
          <w:highlight w:val="none"/>
          <w:lang w:val="zh-TW"/>
        </w:rPr>
        <w:t>1.本合同自签订之日起生效。</w:t>
      </w:r>
    </w:p>
    <w:p w14:paraId="5F6A9BF9">
      <w:pPr>
        <w:pStyle w:val="238"/>
        <w:framePr w:wrap="auto"/>
        <w:widowControl/>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lang w:val="zh-TW"/>
        </w:rPr>
        <w:t>2.本合同一式4份，甲乙双方各执</w:t>
      </w:r>
      <w:r>
        <w:rPr>
          <w:rFonts w:hint="eastAsia" w:ascii="宋体" w:hAnsi="宋体" w:eastAsia="宋体" w:cs="宋体"/>
          <w:color w:val="000000"/>
          <w:highlight w:val="none"/>
        </w:rPr>
        <w:t>2</w:t>
      </w:r>
      <w:r>
        <w:rPr>
          <w:rFonts w:hint="eastAsia" w:ascii="宋体" w:hAnsi="宋体" w:eastAsia="宋体" w:cs="宋体"/>
          <w:color w:val="000000"/>
          <w:highlight w:val="none"/>
          <w:lang w:val="zh-TW"/>
        </w:rPr>
        <w:t>份。</w:t>
      </w:r>
    </w:p>
    <w:p w14:paraId="2B850825">
      <w:pPr>
        <w:pStyle w:val="238"/>
        <w:framePr w:wrap="auto"/>
        <w:widowControl/>
        <w:spacing w:line="360" w:lineRule="auto"/>
        <w:ind w:firstLine="420"/>
        <w:jc w:val="left"/>
        <w:rPr>
          <w:rFonts w:hint="eastAsia" w:ascii="宋体" w:hAnsi="宋体" w:eastAsia="宋体" w:cs="宋体"/>
          <w:color w:val="000000"/>
          <w:highlight w:val="none"/>
          <w:lang w:val="zh-TW"/>
        </w:rPr>
      </w:pPr>
      <w:r>
        <w:rPr>
          <w:rFonts w:hint="eastAsia" w:ascii="宋体" w:hAnsi="宋体" w:eastAsia="宋体" w:cs="宋体"/>
          <w:color w:val="000000"/>
          <w:highlight w:val="none"/>
          <w:lang w:val="zh-TW"/>
        </w:rPr>
        <w:t>3.本合同应按照中华人民共和国的现行法律进行解释。</w:t>
      </w:r>
    </w:p>
    <w:p w14:paraId="0AD5D5CB">
      <w:pPr>
        <w:pStyle w:val="238"/>
        <w:framePr w:wrap="auto"/>
        <w:widowControl/>
        <w:spacing w:line="348" w:lineRule="auto"/>
        <w:jc w:val="left"/>
        <w:rPr>
          <w:rFonts w:hint="eastAsia" w:ascii="宋体" w:hAnsi="宋体" w:eastAsia="宋体" w:cs="宋体"/>
          <w:color w:val="000000"/>
          <w:highlight w:val="none"/>
          <w:lang w:val="zh-TW"/>
        </w:rPr>
      </w:pPr>
    </w:p>
    <w:tbl>
      <w:tblPr>
        <w:tblStyle w:val="28"/>
        <w:tblW w:w="0" w:type="auto"/>
        <w:tblInd w:w="-52"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80" w:type="dxa"/>
          <w:left w:w="80" w:type="dxa"/>
          <w:bottom w:w="80" w:type="dxa"/>
          <w:right w:w="80" w:type="dxa"/>
        </w:tblCellMar>
      </w:tblPr>
      <w:tblGrid>
        <w:gridCol w:w="4643"/>
        <w:gridCol w:w="4643"/>
      </w:tblGrid>
      <w:tr w14:paraId="1E054E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0" w:type="dxa"/>
            <w:left w:w="80" w:type="dxa"/>
            <w:bottom w:w="80" w:type="dxa"/>
            <w:right w:w="80" w:type="dxa"/>
          </w:tblCellMar>
        </w:tblPrEx>
        <w:trPr>
          <w:trHeight w:val="320" w:hRule="atLeast"/>
        </w:trPr>
        <w:tc>
          <w:tcPr>
            <w:tcW w:w="4643" w:type="dxa"/>
            <w:shd w:val="clear" w:color="auto" w:fill="CED7E7"/>
            <w:noWrap w:val="0"/>
            <w:tcMar>
              <w:top w:w="80" w:type="dxa"/>
              <w:left w:w="80" w:type="dxa"/>
              <w:bottom w:w="80" w:type="dxa"/>
              <w:right w:w="80" w:type="dxa"/>
            </w:tcMar>
            <w:vAlign w:val="top"/>
          </w:tcPr>
          <w:p w14:paraId="2C7EDF30">
            <w:pPr>
              <w:pStyle w:val="238"/>
              <w:framePr w:wrap="auto"/>
              <w:widowControl/>
              <w:spacing w:line="348" w:lineRule="auto"/>
              <w:jc w:val="left"/>
              <w:rPr>
                <w:rFonts w:hint="eastAsia" w:ascii="宋体" w:hAnsi="宋体" w:eastAsia="宋体" w:cs="宋体"/>
                <w:color w:val="000000"/>
                <w:highlight w:val="none"/>
              </w:rPr>
            </w:pPr>
            <w:r>
              <w:rPr>
                <w:rFonts w:hint="eastAsia" w:ascii="宋体" w:hAnsi="宋体" w:eastAsia="宋体" w:cs="宋体"/>
                <w:color w:val="000000"/>
                <w:highlight w:val="none"/>
                <w:lang w:val="zh-TW"/>
              </w:rPr>
              <w:t>甲方（采购人）：（盖章）</w:t>
            </w:r>
          </w:p>
        </w:tc>
        <w:tc>
          <w:tcPr>
            <w:tcW w:w="4643" w:type="dxa"/>
            <w:shd w:val="clear" w:color="auto" w:fill="CED7E7"/>
            <w:noWrap w:val="0"/>
            <w:tcMar>
              <w:top w:w="80" w:type="dxa"/>
              <w:left w:w="80" w:type="dxa"/>
              <w:bottom w:w="80" w:type="dxa"/>
              <w:right w:w="80" w:type="dxa"/>
            </w:tcMar>
            <w:vAlign w:val="top"/>
          </w:tcPr>
          <w:p w14:paraId="1214ADCA">
            <w:pPr>
              <w:pStyle w:val="238"/>
              <w:framePr w:wrap="auto"/>
              <w:widowControl/>
              <w:spacing w:line="348" w:lineRule="auto"/>
              <w:jc w:val="left"/>
              <w:rPr>
                <w:rFonts w:hint="eastAsia" w:ascii="宋体" w:hAnsi="宋体" w:eastAsia="宋体" w:cs="宋体"/>
                <w:color w:val="000000"/>
                <w:highlight w:val="none"/>
              </w:rPr>
            </w:pPr>
            <w:r>
              <w:rPr>
                <w:rFonts w:hint="eastAsia" w:ascii="宋体" w:hAnsi="宋体" w:eastAsia="宋体" w:cs="宋体"/>
                <w:color w:val="000000"/>
                <w:highlight w:val="none"/>
                <w:lang w:val="zh-TW"/>
              </w:rPr>
              <w:t>乙方（供应商）：（盖章）</w:t>
            </w:r>
          </w:p>
        </w:tc>
      </w:tr>
      <w:tr w14:paraId="79C0848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0" w:type="dxa"/>
            <w:left w:w="80" w:type="dxa"/>
            <w:bottom w:w="80" w:type="dxa"/>
            <w:right w:w="80" w:type="dxa"/>
          </w:tblCellMar>
        </w:tblPrEx>
        <w:trPr>
          <w:trHeight w:val="320" w:hRule="atLeast"/>
        </w:trPr>
        <w:tc>
          <w:tcPr>
            <w:tcW w:w="4643" w:type="dxa"/>
            <w:shd w:val="clear" w:color="auto" w:fill="CED7E7"/>
            <w:noWrap w:val="0"/>
            <w:tcMar>
              <w:top w:w="80" w:type="dxa"/>
              <w:left w:w="80" w:type="dxa"/>
              <w:bottom w:w="80" w:type="dxa"/>
              <w:right w:w="80" w:type="dxa"/>
            </w:tcMar>
            <w:vAlign w:val="top"/>
          </w:tcPr>
          <w:p w14:paraId="14CE2A99">
            <w:pPr>
              <w:pStyle w:val="238"/>
              <w:framePr w:wrap="auto"/>
              <w:widowControl/>
              <w:spacing w:line="348" w:lineRule="auto"/>
              <w:jc w:val="left"/>
              <w:rPr>
                <w:rFonts w:hint="eastAsia" w:ascii="宋体" w:hAnsi="宋体" w:eastAsia="宋体" w:cs="宋体"/>
                <w:color w:val="000000"/>
                <w:highlight w:val="none"/>
              </w:rPr>
            </w:pPr>
            <w:r>
              <w:rPr>
                <w:rFonts w:hint="eastAsia" w:ascii="宋体" w:hAnsi="宋体" w:eastAsia="宋体" w:cs="宋体"/>
                <w:color w:val="000000"/>
                <w:highlight w:val="none"/>
                <w:lang w:val="zh-TW" w:eastAsia="zh-TW"/>
              </w:rPr>
              <w:t>代表人：</w:t>
            </w:r>
          </w:p>
        </w:tc>
        <w:tc>
          <w:tcPr>
            <w:tcW w:w="4643" w:type="dxa"/>
            <w:shd w:val="clear" w:color="auto" w:fill="CED7E7"/>
            <w:noWrap w:val="0"/>
            <w:tcMar>
              <w:top w:w="80" w:type="dxa"/>
              <w:left w:w="80" w:type="dxa"/>
              <w:bottom w:w="80" w:type="dxa"/>
              <w:right w:w="80" w:type="dxa"/>
            </w:tcMar>
            <w:vAlign w:val="top"/>
          </w:tcPr>
          <w:p w14:paraId="49ED3AC9">
            <w:pPr>
              <w:pStyle w:val="238"/>
              <w:framePr w:wrap="auto"/>
              <w:widowControl/>
              <w:spacing w:line="348" w:lineRule="auto"/>
              <w:jc w:val="left"/>
              <w:rPr>
                <w:rFonts w:hint="eastAsia" w:ascii="宋体" w:hAnsi="宋体" w:eastAsia="宋体" w:cs="宋体"/>
                <w:color w:val="000000"/>
                <w:highlight w:val="none"/>
              </w:rPr>
            </w:pPr>
            <w:r>
              <w:rPr>
                <w:rFonts w:hint="eastAsia" w:ascii="宋体" w:hAnsi="宋体" w:eastAsia="宋体" w:cs="宋体"/>
                <w:color w:val="000000"/>
                <w:highlight w:val="none"/>
                <w:lang w:val="zh-TW" w:eastAsia="zh-TW"/>
              </w:rPr>
              <w:t>代表人：</w:t>
            </w:r>
          </w:p>
        </w:tc>
      </w:tr>
      <w:tr w14:paraId="61B64CE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80" w:type="dxa"/>
            <w:left w:w="80" w:type="dxa"/>
            <w:bottom w:w="80" w:type="dxa"/>
            <w:right w:w="80" w:type="dxa"/>
          </w:tblCellMar>
        </w:tblPrEx>
        <w:trPr>
          <w:trHeight w:val="320" w:hRule="atLeast"/>
        </w:trPr>
        <w:tc>
          <w:tcPr>
            <w:tcW w:w="4643" w:type="dxa"/>
            <w:shd w:val="clear" w:color="auto" w:fill="CED7E7"/>
            <w:noWrap w:val="0"/>
            <w:tcMar>
              <w:top w:w="80" w:type="dxa"/>
              <w:left w:w="80" w:type="dxa"/>
              <w:bottom w:w="80" w:type="dxa"/>
              <w:right w:w="80" w:type="dxa"/>
            </w:tcMar>
            <w:vAlign w:val="top"/>
          </w:tcPr>
          <w:p w14:paraId="61300BC1">
            <w:pPr>
              <w:pStyle w:val="238"/>
              <w:framePr w:wrap="auto"/>
              <w:widowControl/>
              <w:spacing w:line="348" w:lineRule="auto"/>
              <w:jc w:val="left"/>
              <w:rPr>
                <w:rFonts w:hint="eastAsia" w:ascii="宋体" w:hAnsi="宋体" w:eastAsia="宋体" w:cs="宋体"/>
                <w:color w:val="000000"/>
                <w:highlight w:val="none"/>
              </w:rPr>
            </w:pPr>
            <w:r>
              <w:rPr>
                <w:rFonts w:hint="eastAsia" w:ascii="宋体" w:hAnsi="宋体" w:eastAsia="宋体" w:cs="宋体"/>
                <w:color w:val="000000"/>
                <w:highlight w:val="none"/>
                <w:lang w:val="zh-TW" w:eastAsia="zh-TW"/>
              </w:rPr>
              <w:t>电</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TW" w:eastAsia="zh-TW"/>
              </w:rPr>
              <w:t>话：</w:t>
            </w:r>
          </w:p>
        </w:tc>
        <w:tc>
          <w:tcPr>
            <w:tcW w:w="4643" w:type="dxa"/>
            <w:shd w:val="clear" w:color="auto" w:fill="CED7E7"/>
            <w:noWrap w:val="0"/>
            <w:tcMar>
              <w:top w:w="80" w:type="dxa"/>
              <w:left w:w="80" w:type="dxa"/>
              <w:bottom w:w="80" w:type="dxa"/>
              <w:right w:w="80" w:type="dxa"/>
            </w:tcMar>
            <w:vAlign w:val="top"/>
          </w:tcPr>
          <w:p w14:paraId="2340B951">
            <w:pPr>
              <w:pStyle w:val="238"/>
              <w:framePr w:wrap="auto"/>
              <w:widowControl/>
              <w:spacing w:line="348" w:lineRule="auto"/>
              <w:jc w:val="left"/>
              <w:rPr>
                <w:rFonts w:hint="eastAsia" w:ascii="宋体" w:hAnsi="宋体" w:eastAsia="宋体" w:cs="宋体"/>
                <w:color w:val="000000"/>
                <w:highlight w:val="none"/>
              </w:rPr>
            </w:pPr>
            <w:r>
              <w:rPr>
                <w:rFonts w:hint="eastAsia" w:ascii="宋体" w:hAnsi="宋体" w:eastAsia="宋体" w:cs="宋体"/>
                <w:color w:val="000000"/>
                <w:highlight w:val="none"/>
                <w:lang w:val="zh-TW" w:eastAsia="zh-TW"/>
              </w:rPr>
              <w:t>电</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TW" w:eastAsia="zh-TW"/>
              </w:rPr>
              <w:t>话：</w:t>
            </w:r>
          </w:p>
        </w:tc>
      </w:tr>
      <w:tr w14:paraId="7ABEC90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80" w:type="dxa"/>
            <w:left w:w="80" w:type="dxa"/>
            <w:bottom w:w="80" w:type="dxa"/>
            <w:right w:w="80" w:type="dxa"/>
          </w:tblCellMar>
        </w:tblPrEx>
        <w:trPr>
          <w:trHeight w:val="320" w:hRule="atLeast"/>
        </w:trPr>
        <w:tc>
          <w:tcPr>
            <w:tcW w:w="4643" w:type="dxa"/>
            <w:shd w:val="clear" w:color="auto" w:fill="CED7E7"/>
            <w:noWrap w:val="0"/>
            <w:tcMar>
              <w:top w:w="80" w:type="dxa"/>
              <w:left w:w="80" w:type="dxa"/>
              <w:bottom w:w="80" w:type="dxa"/>
              <w:right w:w="80" w:type="dxa"/>
            </w:tcMar>
            <w:vAlign w:val="top"/>
          </w:tcPr>
          <w:p w14:paraId="7314D7EA">
            <w:pPr>
              <w:pStyle w:val="238"/>
              <w:framePr w:wrap="auto"/>
              <w:widowControl/>
              <w:spacing w:line="348" w:lineRule="auto"/>
              <w:jc w:val="left"/>
              <w:rPr>
                <w:rFonts w:hint="eastAsia" w:ascii="宋体" w:hAnsi="宋体" w:eastAsia="宋体" w:cs="宋体"/>
                <w:color w:val="000000"/>
                <w:highlight w:val="none"/>
              </w:rPr>
            </w:pPr>
            <w:r>
              <w:rPr>
                <w:rFonts w:hint="eastAsia" w:ascii="宋体" w:hAnsi="宋体" w:eastAsia="宋体" w:cs="宋体"/>
                <w:color w:val="000000"/>
                <w:highlight w:val="none"/>
                <w:lang w:val="zh-TW" w:eastAsia="zh-TW"/>
              </w:rPr>
              <w:t>开户银行：</w:t>
            </w:r>
          </w:p>
        </w:tc>
        <w:tc>
          <w:tcPr>
            <w:tcW w:w="4643" w:type="dxa"/>
            <w:shd w:val="clear" w:color="auto" w:fill="CED7E7"/>
            <w:noWrap w:val="0"/>
            <w:tcMar>
              <w:top w:w="80" w:type="dxa"/>
              <w:left w:w="80" w:type="dxa"/>
              <w:bottom w:w="80" w:type="dxa"/>
              <w:right w:w="80" w:type="dxa"/>
            </w:tcMar>
            <w:vAlign w:val="top"/>
          </w:tcPr>
          <w:p w14:paraId="469472A1">
            <w:pPr>
              <w:pStyle w:val="238"/>
              <w:framePr w:wrap="auto"/>
              <w:widowControl/>
              <w:spacing w:line="348" w:lineRule="auto"/>
              <w:jc w:val="left"/>
              <w:rPr>
                <w:rFonts w:hint="eastAsia" w:ascii="宋体" w:hAnsi="宋体" w:eastAsia="宋体" w:cs="宋体"/>
                <w:color w:val="000000"/>
                <w:highlight w:val="none"/>
              </w:rPr>
            </w:pPr>
            <w:r>
              <w:rPr>
                <w:rFonts w:hint="eastAsia" w:ascii="宋体" w:hAnsi="宋体" w:eastAsia="宋体" w:cs="宋体"/>
                <w:color w:val="000000"/>
                <w:highlight w:val="none"/>
                <w:lang w:val="zh-TW" w:eastAsia="zh-TW"/>
              </w:rPr>
              <w:t>开户银行：</w:t>
            </w:r>
          </w:p>
        </w:tc>
      </w:tr>
      <w:tr w14:paraId="163BB5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0" w:type="dxa"/>
            <w:left w:w="80" w:type="dxa"/>
            <w:bottom w:w="80" w:type="dxa"/>
            <w:right w:w="80" w:type="dxa"/>
          </w:tblCellMar>
        </w:tblPrEx>
        <w:trPr>
          <w:trHeight w:val="555" w:hRule="atLeast"/>
        </w:trPr>
        <w:tc>
          <w:tcPr>
            <w:tcW w:w="4643" w:type="dxa"/>
            <w:shd w:val="clear" w:color="auto" w:fill="CED7E7"/>
            <w:noWrap w:val="0"/>
            <w:tcMar>
              <w:top w:w="80" w:type="dxa"/>
              <w:left w:w="80" w:type="dxa"/>
              <w:bottom w:w="80" w:type="dxa"/>
              <w:right w:w="80" w:type="dxa"/>
            </w:tcMar>
            <w:vAlign w:val="top"/>
          </w:tcPr>
          <w:p w14:paraId="6C93CDD6">
            <w:pPr>
              <w:pStyle w:val="238"/>
              <w:framePr w:wrap="auto"/>
              <w:widowControl/>
              <w:spacing w:line="348" w:lineRule="auto"/>
              <w:jc w:val="left"/>
              <w:rPr>
                <w:rFonts w:hint="eastAsia" w:ascii="宋体" w:hAnsi="宋体" w:eastAsia="宋体" w:cs="宋体"/>
                <w:color w:val="000000"/>
                <w:highlight w:val="none"/>
              </w:rPr>
            </w:pPr>
            <w:r>
              <w:rPr>
                <w:rFonts w:hint="eastAsia" w:ascii="宋体" w:hAnsi="宋体" w:eastAsia="宋体" w:cs="宋体"/>
                <w:color w:val="000000"/>
                <w:highlight w:val="none"/>
                <w:lang w:val="zh-TW" w:eastAsia="zh-TW"/>
              </w:rPr>
              <w:t>帐</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TW" w:eastAsia="zh-TW"/>
              </w:rPr>
              <w:t>号：</w:t>
            </w:r>
          </w:p>
        </w:tc>
        <w:tc>
          <w:tcPr>
            <w:tcW w:w="4643" w:type="dxa"/>
            <w:shd w:val="clear" w:color="auto" w:fill="CED7E7"/>
            <w:noWrap w:val="0"/>
            <w:tcMar>
              <w:top w:w="80" w:type="dxa"/>
              <w:left w:w="80" w:type="dxa"/>
              <w:bottom w:w="80" w:type="dxa"/>
              <w:right w:w="80" w:type="dxa"/>
            </w:tcMar>
            <w:vAlign w:val="top"/>
          </w:tcPr>
          <w:p w14:paraId="419D3D72">
            <w:pPr>
              <w:pStyle w:val="238"/>
              <w:framePr w:wrap="auto"/>
              <w:widowControl/>
              <w:spacing w:line="348" w:lineRule="auto"/>
              <w:jc w:val="left"/>
              <w:rPr>
                <w:rFonts w:hint="eastAsia" w:ascii="宋体" w:hAnsi="宋体" w:eastAsia="宋体" w:cs="宋体"/>
                <w:color w:val="000000"/>
                <w:highlight w:val="none"/>
              </w:rPr>
            </w:pPr>
            <w:r>
              <w:rPr>
                <w:rFonts w:hint="eastAsia" w:ascii="宋体" w:hAnsi="宋体" w:eastAsia="宋体" w:cs="宋体"/>
                <w:color w:val="000000"/>
                <w:highlight w:val="none"/>
                <w:lang w:val="zh-TW" w:eastAsia="zh-TW"/>
              </w:rPr>
              <w:t>帐</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TW" w:eastAsia="zh-TW"/>
              </w:rPr>
              <w:t>号：</w:t>
            </w:r>
          </w:p>
        </w:tc>
      </w:tr>
      <w:tr w14:paraId="37AD8F7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0" w:type="dxa"/>
            <w:left w:w="80" w:type="dxa"/>
            <w:bottom w:w="80" w:type="dxa"/>
            <w:right w:w="80" w:type="dxa"/>
          </w:tblCellMar>
        </w:tblPrEx>
        <w:trPr>
          <w:trHeight w:val="320" w:hRule="atLeast"/>
        </w:trPr>
        <w:tc>
          <w:tcPr>
            <w:tcW w:w="4643" w:type="dxa"/>
            <w:shd w:val="clear" w:color="auto" w:fill="CED7E7"/>
            <w:noWrap w:val="0"/>
            <w:tcMar>
              <w:top w:w="80" w:type="dxa"/>
              <w:left w:w="80" w:type="dxa"/>
              <w:bottom w:w="80" w:type="dxa"/>
              <w:right w:w="80" w:type="dxa"/>
            </w:tcMar>
            <w:vAlign w:val="top"/>
          </w:tcPr>
          <w:p w14:paraId="1F528DDF">
            <w:pPr>
              <w:pStyle w:val="238"/>
              <w:framePr w:wrap="auto"/>
              <w:widowControl/>
              <w:spacing w:line="348" w:lineRule="auto"/>
              <w:jc w:val="left"/>
              <w:rPr>
                <w:rFonts w:hint="eastAsia" w:ascii="宋体" w:hAnsi="宋体" w:eastAsia="宋体" w:cs="宋体"/>
                <w:color w:val="000000"/>
                <w:highlight w:val="none"/>
              </w:rPr>
            </w:pPr>
            <w:r>
              <w:rPr>
                <w:rFonts w:hint="eastAsia" w:ascii="宋体" w:hAnsi="宋体" w:eastAsia="宋体" w:cs="宋体"/>
                <w:color w:val="000000"/>
                <w:highlight w:val="none"/>
                <w:lang w:val="zh-TW" w:eastAsia="zh-TW"/>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TW" w:eastAsia="zh-TW"/>
              </w:rPr>
              <w:t>年    月    日</w:t>
            </w:r>
          </w:p>
        </w:tc>
        <w:tc>
          <w:tcPr>
            <w:tcW w:w="4643" w:type="dxa"/>
            <w:shd w:val="clear" w:color="auto" w:fill="CED7E7"/>
            <w:noWrap w:val="0"/>
            <w:tcMar>
              <w:top w:w="80" w:type="dxa"/>
              <w:left w:w="80" w:type="dxa"/>
              <w:bottom w:w="80" w:type="dxa"/>
              <w:right w:w="80" w:type="dxa"/>
            </w:tcMar>
            <w:vAlign w:val="top"/>
          </w:tcPr>
          <w:p w14:paraId="61F431E0">
            <w:pPr>
              <w:pStyle w:val="238"/>
              <w:framePr w:wrap="auto"/>
              <w:widowControl/>
              <w:spacing w:line="348" w:lineRule="auto"/>
              <w:ind w:firstLine="630"/>
              <w:jc w:val="left"/>
              <w:rPr>
                <w:rFonts w:hint="eastAsia" w:ascii="宋体" w:hAnsi="宋体" w:eastAsia="宋体" w:cs="宋体"/>
                <w:color w:val="000000"/>
                <w:highlight w:val="none"/>
              </w:rPr>
            </w:pPr>
            <w:r>
              <w:rPr>
                <w:rFonts w:hint="eastAsia" w:ascii="宋体" w:hAnsi="宋体" w:eastAsia="宋体" w:cs="宋体"/>
                <w:color w:val="000000"/>
                <w:highlight w:val="none"/>
                <w:lang w:val="zh-TW" w:eastAsia="zh-TW"/>
              </w:rPr>
              <w:t>年    月    日</w:t>
            </w:r>
          </w:p>
        </w:tc>
      </w:tr>
    </w:tbl>
    <w:p w14:paraId="6D1AFD5C">
      <w:pPr>
        <w:pStyle w:val="238"/>
        <w:framePr w:wrap="auto"/>
        <w:spacing w:line="324" w:lineRule="auto"/>
        <w:jc w:val="left"/>
        <w:rPr>
          <w:rFonts w:hint="eastAsia" w:ascii="宋体" w:hAnsi="宋体" w:eastAsia="宋体" w:cs="宋体"/>
          <w:color w:val="000000"/>
          <w:highlight w:val="none"/>
          <w:lang w:val="zh-TW" w:eastAsia="zh-TW"/>
        </w:rPr>
      </w:pPr>
    </w:p>
    <w:p w14:paraId="62E8A423">
      <w:pPr>
        <w:pStyle w:val="196"/>
        <w:spacing w:line="360" w:lineRule="auto"/>
        <w:ind w:firstLine="420"/>
        <w:jc w:val="right"/>
        <w:rPr>
          <w:rFonts w:ascii="宋体" w:hAnsi="宋体" w:eastAsia="宋体" w:cs="宋体"/>
          <w:color w:val="000000"/>
          <w:highlight w:val="none"/>
        </w:rPr>
      </w:pPr>
    </w:p>
    <w:p w14:paraId="2599BBDA">
      <w:pPr>
        <w:pStyle w:val="196"/>
        <w:tabs>
          <w:tab w:val="left" w:pos="420"/>
        </w:tabs>
        <w:spacing w:line="360" w:lineRule="auto"/>
        <w:rPr>
          <w:rFonts w:hint="eastAsia" w:ascii="仿宋" w:hAnsi="仿宋" w:eastAsia="仿宋" w:cs="仿宋"/>
          <w:color w:val="000000"/>
          <w:sz w:val="24"/>
          <w:szCs w:val="24"/>
          <w:highlight w:val="none"/>
        </w:rPr>
      </w:pPr>
    </w:p>
    <w:p w14:paraId="2DBFCE39">
      <w:pPr>
        <w:tabs>
          <w:tab w:val="left" w:pos="420"/>
        </w:tabs>
        <w:spacing w:line="360" w:lineRule="auto"/>
        <w:jc w:val="left"/>
        <w:rPr>
          <w:rFonts w:hint="eastAsia" w:ascii="仿宋" w:hAnsi="仿宋" w:eastAsia="仿宋" w:cs="仿宋"/>
          <w:b/>
          <w:bCs/>
          <w:color w:val="000000"/>
          <w:sz w:val="32"/>
          <w:szCs w:val="32"/>
          <w:highlight w:val="none"/>
        </w:rPr>
      </w:pPr>
    </w:p>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p w14:paraId="40619CE1">
      <w:pPr>
        <w:spacing w:before="62" w:line="400" w:lineRule="exact"/>
        <w:rPr>
          <w:rFonts w:hint="eastAsia" w:ascii="仿宋" w:hAnsi="仿宋" w:eastAsia="仿宋" w:cs="仿宋"/>
          <w:color w:val="000000"/>
          <w:sz w:val="24"/>
          <w:szCs w:val="24"/>
          <w:highlight w:val="none"/>
        </w:rPr>
      </w:pPr>
      <w:bookmarkStart w:id="98" w:name="_Toc324237156"/>
      <w:bookmarkStart w:id="99" w:name="_Toc25170483"/>
      <w:bookmarkStart w:id="100" w:name="_Toc18960"/>
      <w:bookmarkStart w:id="101" w:name="_Toc5010"/>
      <w:bookmarkStart w:id="102" w:name="_Toc26678"/>
      <w:bookmarkStart w:id="103" w:name="_Toc8196"/>
      <w:bookmarkStart w:id="104" w:name="_Toc21753"/>
      <w:bookmarkStart w:id="105" w:name="_Toc9276"/>
    </w:p>
    <w:p w14:paraId="554A26AB">
      <w:pPr>
        <w:pStyle w:val="228"/>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br w:type="page" w:clear="all"/>
      </w:r>
      <w:bookmarkStart w:id="106" w:name="_Toc6258"/>
      <w:r>
        <w:rPr>
          <w:rFonts w:hint="eastAsia" w:ascii="仿宋" w:hAnsi="仿宋" w:eastAsia="仿宋" w:cs="仿宋"/>
          <w:color w:val="000000"/>
          <w:highlight w:val="none"/>
        </w:rPr>
        <w:t>第四章</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 xml:space="preserve"> 项目需求</w:t>
      </w:r>
      <w:bookmarkEnd w:id="106"/>
    </w:p>
    <w:p w14:paraId="393E10F0">
      <w:pPr>
        <w:pStyle w:val="238"/>
        <w:framePr w:wrap="auto"/>
        <w:spacing w:line="360" w:lineRule="auto"/>
        <w:ind w:firstLine="480"/>
        <w:jc w:val="left"/>
        <w:rPr>
          <w:rFonts w:hint="eastAsia" w:ascii="宋体" w:hAnsi="宋体" w:eastAsia="宋体" w:cs="宋体"/>
          <w:color w:val="000000"/>
          <w:sz w:val="24"/>
          <w:szCs w:val="24"/>
          <w:highlight w:val="none"/>
        </w:rPr>
      </w:pPr>
    </w:p>
    <w:p w14:paraId="10DEC08A">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国务院下放和委托用地审批权后，根据省政府部署要求，江苏省司法厅参与对省政府批准建设用地审批事项进行合法性审查，具体工作流程上，中标律师事务所委派专门律师（由备案审查处统一管理）对省政府办公厅批转的用地报件进行初审，由备案审查处确定处室专人复核，报分管厅领导同意后，形成最终审查意见报省政府办公厅。2023年至今，我厅累计审查省政府批准建设用地项目2896件（其中2023年861件、2024年1113件、2025年922件），年均约965件，并确保每个项目的审查时限均不超过省政府办公厅要求的3个工作日。</w:t>
      </w:r>
    </w:p>
    <w:p w14:paraId="571595FC">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二、服务事项</w:t>
      </w:r>
    </w:p>
    <w:p w14:paraId="73F3B43A">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1.协助对各设区市用地申报材料进行审查、资料核查、现场调查、理论研究、问题会商等相关工作；</w:t>
      </w:r>
    </w:p>
    <w:p w14:paraId="439784D6">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2.参与厅备案审查处组织的重大行政决策、行政规范性文件、行政合同及其他涉法事务的合法性审查工作。</w:t>
      </w:r>
    </w:p>
    <w:p w14:paraId="5BF76CF8">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三、服务期限</w:t>
      </w:r>
    </w:p>
    <w:p w14:paraId="2719C850">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本期合法性审查法律服务项目服务期限为三年。（具体以采购人需求为准）</w:t>
      </w:r>
    </w:p>
    <w:p w14:paraId="4EBC19F9">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四、日常用地审批合法性审查材料清单</w:t>
      </w:r>
    </w:p>
    <w:p w14:paraId="06A19E06">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（一）批次用地及实施方案：</w:t>
      </w:r>
    </w:p>
    <w:p w14:paraId="1304CB8A">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1、项目（批次）概况以及是否符合土地利用总体规划和年度计划、权属是否清楚、是否依法履行征地前程序等审查意见；</w:t>
      </w:r>
    </w:p>
    <w:p w14:paraId="40D99741">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2、项目符合产业政策及投资管理规定情况审查意见；</w:t>
      </w:r>
    </w:p>
    <w:p w14:paraId="2055FA7A">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3、环境管控情况审查意见；</w:t>
      </w:r>
    </w:p>
    <w:p w14:paraId="1F982365">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4、耕地占补平衡及补充耕地质量评定情况；</w:t>
      </w:r>
    </w:p>
    <w:p w14:paraId="1347B6FE">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5、征地补偿安置及被征地农村生活保障情况；</w:t>
      </w:r>
    </w:p>
    <w:p w14:paraId="75BB23B7">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6、设区市政府用地请示及其自然资源部门的用地审查报告；</w:t>
      </w:r>
    </w:p>
    <w:p w14:paraId="3ED47E24">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7、土地征收启动公告；</w:t>
      </w:r>
    </w:p>
    <w:p w14:paraId="720D733E">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8、社会稳定风险评估报告；</w:t>
      </w:r>
    </w:p>
    <w:p w14:paraId="70010CE2">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9、征地补偿安置方案及公告；</w:t>
      </w:r>
    </w:p>
    <w:p w14:paraId="708FD1F1">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10、安置人员情况表；</w:t>
      </w:r>
    </w:p>
    <w:p w14:paraId="44335970">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11、征地补偿安置协议签订情况说明；</w:t>
      </w:r>
    </w:p>
    <w:p w14:paraId="0C569D79">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12、征地补偿安置费用落实证明及预存款进账凭证、耕地开垦费缴纳凭证；</w:t>
      </w:r>
    </w:p>
    <w:p w14:paraId="53D9B987">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13、涉及成片开发的，提供省级以上政府批复文件。</w:t>
      </w:r>
    </w:p>
    <w:p w14:paraId="1245DD31">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（二）国务院授权审批的单独选址项目用地：</w:t>
      </w:r>
    </w:p>
    <w:p w14:paraId="05C6598F">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除按批次用地要求提供材料外，另需提供：</w:t>
      </w:r>
    </w:p>
    <w:p w14:paraId="4715C55D">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1、建设项目用地预审和规划选址批复文件；</w:t>
      </w:r>
    </w:p>
    <w:p w14:paraId="48D791FD">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2、建设项目审批、核准或者备案文件；</w:t>
      </w:r>
    </w:p>
    <w:p w14:paraId="2605C25F">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3、建设项目初步设计批准、审核文件，或项目规划方案的审核文件；</w:t>
      </w:r>
    </w:p>
    <w:p w14:paraId="0880DC77">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4、涉及安置用地的，提供安置用地立项文件；</w:t>
      </w:r>
    </w:p>
    <w:p w14:paraId="36CAC132">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5、涉及占用耕地规模较大（线性工程占用耕地100公顷以上，块状工程70公顷以上；耕地面积占用地面积的50%以上），提供踏勘论证报告。</w:t>
      </w:r>
    </w:p>
    <w:p w14:paraId="5E71C8EA">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五、行政事务的合法性审查清单</w:t>
      </w:r>
    </w:p>
    <w:p w14:paraId="10E59E15">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（一）重大决策审查</w:t>
      </w:r>
    </w:p>
    <w:p w14:paraId="688ADE23">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1、制定有关公共服务、市场监管、社会管理、环境保护等方面的重大公共政策和措施；</w:t>
      </w:r>
    </w:p>
    <w:p w14:paraId="2652373D">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2、制定经济和社会发展等方面的重要规划；</w:t>
      </w:r>
    </w:p>
    <w:p w14:paraId="5AABFA2F">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3、制定开发利用、保护重要自然资源和文化资源的重大公共政策和措施；</w:t>
      </w:r>
    </w:p>
    <w:p w14:paraId="68B9181E">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4、决定在本行政区域实施的重大公共建设项目；</w:t>
      </w:r>
    </w:p>
    <w:p w14:paraId="753A4344">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5、决定对经济社会发展有重大影响、涉及重大公共利益或者社会公众切身利益的其他重大事项。</w:t>
      </w:r>
    </w:p>
    <w:p w14:paraId="4C40B19A">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（二）省政府文件审查</w:t>
      </w:r>
    </w:p>
    <w:p w14:paraId="2D5A7868">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省政府行政政策性文件、行政规范性文件及其他文件。</w:t>
      </w:r>
    </w:p>
    <w:p w14:paraId="66C661BA">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（三）行政合同审查</w:t>
      </w:r>
    </w:p>
    <w:p w14:paraId="5E587C57">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省政府对外签订的框架协议、合同、承诺书等。</w:t>
      </w:r>
    </w:p>
    <w:p w14:paraId="747AB5A9">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（四）具体行政行为审查</w:t>
      </w:r>
    </w:p>
    <w:p w14:paraId="727D229B">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省政府行政审批、遗留问题处理等事项。</w:t>
      </w:r>
    </w:p>
    <w:p w14:paraId="6D79F043">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（五）其它涉法事务审查</w:t>
      </w:r>
    </w:p>
    <w:p w14:paraId="1903B777">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六、服务要求</w:t>
      </w:r>
    </w:p>
    <w:p w14:paraId="600577D0">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每件审查事项须出具正式法律意见书，由承办律师事务所盖章确认。相关审查卷宗由指派律师按要求整理归档，并确保材料完整。</w:t>
      </w:r>
    </w:p>
    <w:p w14:paraId="54214507">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.因出具错误法律意见导致违法违规批地，进而引发行政复议、行政诉讼或群体性事件的，由承办律师事务所承担相应法律后果，且该办件不予支付任何费用。</w:t>
      </w:r>
    </w:p>
    <w:p w14:paraId="39C85089">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七、资质要求</w:t>
      </w:r>
    </w:p>
    <w:p w14:paraId="32870213">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1、中标律师事务所需安排1名执业律师到厅备案审查处驻场，作息时间与机关一致。其工资待遇、社会保障以及个人安全等，由律师事务所负责；</w:t>
      </w:r>
    </w:p>
    <w:p w14:paraId="640F3F21">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2、律师事务所及其指派律师应当符合如下条件：（1）律师事务所及指派律师无失信记录；（2）律师事务所与司法厅签订保密承诺。</w:t>
      </w:r>
    </w:p>
    <w:p w14:paraId="64B1F31B">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八、付款方式</w:t>
      </w:r>
    </w:p>
    <w:p w14:paraId="0DAB9538">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中标律师事务所服务费用每季度结算一次。原则上每所年度服务费不超过35万元，特殊情况另行商议。</w:t>
      </w:r>
    </w:p>
    <w:p w14:paraId="42B3F1C3">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九、报价说明</w:t>
      </w:r>
    </w:p>
    <w:p w14:paraId="0B8331B9">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报价为全包费用报价，最终报价应是全部工作内容及未说明但完成该项目必须包含的所有全包费用的价格体现。各供应商根据本项目概况和采购人的有关要求，结合自身的经验，对本项目所需费用进行报价，供应商报价包括但不限于审查费、交通费、食宿费、管理及人员费（含人员驻场费）、会务费以及应由供应商支付的规费及税金等一切费用。除合同约定的价款外，采购人不再需向成交供应商支付其他任何费用。</w:t>
      </w:r>
    </w:p>
    <w:p w14:paraId="524E8B55">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2、成交供应商须承诺以所有成交人报价单价的最小值作为签约合同单价。（提供加盖公章的承诺书原件，承诺书格式自拟）</w:t>
      </w:r>
    </w:p>
    <w:p w14:paraId="5F6280E4">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p>
    <w:p w14:paraId="42774909">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p w14:paraId="17AD5ED5">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1、本章要求均为实质性要求，不允许负偏离，否则作无效响应处理；</w:t>
      </w:r>
    </w:p>
    <w:p w14:paraId="746515E2">
      <w:pPr>
        <w:pStyle w:val="238"/>
        <w:framePr w:wrap="auto" w:vAnchor="margin" w:hAnchor="text" w:yAlign="inline"/>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2、如有疑问请及时与采购人联系。</w:t>
      </w:r>
    </w:p>
    <w:p w14:paraId="7AC353CB">
      <w:pPr>
        <w:pStyle w:val="215"/>
        <w:adjustRightInd w:val="0"/>
        <w:snapToGrid w:val="0"/>
        <w:spacing w:line="360" w:lineRule="auto"/>
        <w:ind w:firstLine="420"/>
        <w:rPr>
          <w:rFonts w:hint="eastAsia" w:ascii="宋体" w:hAnsi="宋体" w:eastAsia="宋体" w:cs="宋体"/>
          <w:color w:val="auto"/>
          <w:sz w:val="24"/>
          <w:szCs w:val="24"/>
          <w:highlight w:val="none"/>
        </w:rPr>
      </w:pPr>
    </w:p>
    <w:p w14:paraId="6057D697">
      <w:pPr>
        <w:pStyle w:val="215"/>
        <w:adjustRightInd w:val="0"/>
        <w:snapToGrid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律师事务所及其指派律师应当符合如下</w:t>
      </w:r>
      <w:r>
        <w:rPr>
          <w:rFonts w:hint="eastAsia" w:ascii="宋体" w:hAnsi="宋体" w:eastAsia="宋体" w:cs="宋体"/>
          <w:color w:val="auto"/>
          <w:sz w:val="24"/>
          <w:szCs w:val="24"/>
          <w:highlight w:val="none"/>
          <w:lang w:val="en-US" w:eastAsia="zh-CN"/>
        </w:rPr>
        <w:t>要求</w:t>
      </w:r>
      <w:r>
        <w:rPr>
          <w:rFonts w:hint="eastAsia" w:ascii="宋体" w:hAnsi="宋体" w:eastAsia="宋体" w:cs="宋体"/>
          <w:color w:val="auto"/>
          <w:sz w:val="24"/>
          <w:szCs w:val="24"/>
          <w:highlight w:val="none"/>
        </w:rPr>
        <w:t>：</w:t>
      </w:r>
    </w:p>
    <w:p w14:paraId="5B53107A">
      <w:pPr>
        <w:pStyle w:val="215"/>
        <w:adjustRightInd w:val="0"/>
        <w:snapToGrid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1.律师事务所已设立党支部，且党组织活动规范、健全。</w:t>
      </w:r>
    </w:p>
    <w:p w14:paraId="1B628668">
      <w:pPr>
        <w:pStyle w:val="215"/>
        <w:adjustRightInd w:val="0"/>
        <w:snapToGrid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2.律师事务所具备7×24小时应急响应能力，确保紧急涉法事务能得到及时处理。</w:t>
      </w:r>
    </w:p>
    <w:p w14:paraId="16D72499">
      <w:pPr>
        <w:pStyle w:val="215"/>
        <w:adjustRightInd w:val="0"/>
        <w:snapToGrid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3.律师事务所应组建专业服务团队。团队负责人须具有10年以上执业经验；团队中至少有2名执业5年以上的律师；派驻坐班的律师应具有2年以上执业经验。</w:t>
      </w:r>
    </w:p>
    <w:p w14:paraId="11D69B65">
      <w:pPr>
        <w:pStyle w:val="215"/>
        <w:adjustRightInd w:val="0"/>
        <w:snapToGrid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4.律师事务所及指派律师须熟悉土地管理、城乡规划等领域法律法规，且在近3年内，曾承办不少于5件涉及省级或重大建设项目用地、土地征收、房屋拆迁等的合法性审查、行政复议或诉讼案件。</w:t>
      </w:r>
    </w:p>
    <w:p w14:paraId="3C7DBD72">
      <w:pPr>
        <w:pStyle w:val="215"/>
        <w:adjustRightInd w:val="0"/>
        <w:snapToGrid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5.中标律师事务所须承诺，在三年服务期内保持至少2名主办律师作为核心成员稳定提供服务，未经采购方书面同意不得更换。</w:t>
      </w:r>
    </w:p>
    <w:p w14:paraId="379BDFC4">
      <w:pPr>
        <w:pStyle w:val="215"/>
        <w:adjustRightInd w:val="0"/>
        <w:snapToGrid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6.律师事务所应建立内部质量控制流程，对出具的法律意见书实行至少二级审核（即由主办律师初审，并经合伙人或资深专家复核）。</w:t>
      </w:r>
    </w:p>
    <w:p w14:paraId="7D875207">
      <w:pPr>
        <w:pStyle w:val="215"/>
        <w:adjustRightInd w:val="0"/>
        <w:snapToGrid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7.律师事务所须书面签订保密协议，建立严格的涉密信息管理制度。其近3年内未因执业行为受到司法行政部门行政处罚或律师协会行业处分。</w:t>
      </w:r>
    </w:p>
    <w:p w14:paraId="00C69C3B">
      <w:pPr>
        <w:pStyle w:val="215"/>
        <w:adjustRightInd w:val="0"/>
        <w:snapToGrid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8.律师事务所及所有指派律师在国家企业信用信息公示系统、信用中国等官方信用平台无严重失信记录。</w:t>
      </w:r>
    </w:p>
    <w:p w14:paraId="067A0919">
      <w:pPr>
        <w:pStyle w:val="215"/>
        <w:adjustRightInd w:val="0"/>
        <w:snapToGrid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9.在同等条件下，近5年内具有为省级及以上行政机关提供常年或专项法律审查服务经验的律师事务所优先。</w:t>
      </w:r>
    </w:p>
    <w:p w14:paraId="337283B2">
      <w:pPr>
        <w:spacing w:line="360" w:lineRule="auto"/>
        <w:rPr>
          <w:rFonts w:hint="eastAsia" w:ascii="宋体" w:hAnsi="宋体" w:eastAsia="宋体" w:cs="宋体"/>
          <w:color w:val="auto"/>
          <w:sz w:val="24"/>
          <w:szCs w:val="24"/>
          <w:highlight w:val="none"/>
        </w:rPr>
      </w:pPr>
    </w:p>
    <w:p w14:paraId="2A9CCB72">
      <w:pPr>
        <w:pStyle w:val="228"/>
        <w:spacing w:line="360" w:lineRule="auto"/>
        <w:rPr>
          <w:rFonts w:hint="eastAsia" w:ascii="宋体" w:hAnsi="宋体" w:eastAsia="宋体" w:cs="宋体"/>
          <w:color w:val="000000"/>
          <w:sz w:val="24"/>
          <w:szCs w:val="24"/>
          <w:highlight w:val="none"/>
        </w:rPr>
      </w:pPr>
      <w:bookmarkStart w:id="295" w:name="_GoBack"/>
      <w:bookmarkEnd w:id="295"/>
      <w:r>
        <w:rPr>
          <w:rFonts w:hint="eastAsia" w:ascii="仿宋" w:hAnsi="仿宋" w:eastAsia="仿宋" w:cs="仿宋"/>
          <w:color w:val="000000"/>
          <w:highlight w:val="none"/>
        </w:rPr>
        <w:br w:type="page" w:clear="all"/>
      </w:r>
      <w:bookmarkStart w:id="107" w:name="_Toc353"/>
      <w:r>
        <w:rPr>
          <w:rFonts w:hint="eastAsia" w:ascii="仿宋" w:hAnsi="仿宋" w:eastAsia="仿宋" w:cs="仿宋"/>
          <w:color w:val="000000"/>
          <w:sz w:val="40"/>
          <w:highlight w:val="none"/>
        </w:rPr>
        <w:t xml:space="preserve">第五章  </w:t>
      </w:r>
      <w:bookmarkEnd w:id="98"/>
      <w:bookmarkEnd w:id="99"/>
      <w:bookmarkEnd w:id="100"/>
      <w:bookmarkEnd w:id="101"/>
      <w:bookmarkEnd w:id="102"/>
      <w:bookmarkEnd w:id="103"/>
      <w:bookmarkEnd w:id="104"/>
      <w:bookmarkEnd w:id="105"/>
      <w:bookmarkStart w:id="108" w:name="_Toc273"/>
      <w:bookmarkStart w:id="109" w:name="_Toc324237157"/>
      <w:bookmarkStart w:id="110" w:name="_Toc8457"/>
      <w:r>
        <w:rPr>
          <w:rFonts w:hint="eastAsia" w:ascii="仿宋" w:hAnsi="仿宋" w:eastAsia="仿宋" w:cs="仿宋"/>
          <w:color w:val="000000"/>
          <w:sz w:val="40"/>
          <w:highlight w:val="none"/>
        </w:rPr>
        <w:t>评审方法与评审标准</w:t>
      </w:r>
      <w:bookmarkEnd w:id="107"/>
    </w:p>
    <w:p w14:paraId="15475C5C">
      <w:pPr>
        <w:pStyle w:val="217"/>
        <w:numPr>
          <w:ilvl w:val="0"/>
          <w:numId w:val="0"/>
        </w:numPr>
        <w:spacing w:line="360" w:lineRule="auto"/>
        <w:ind w:firstLine="482"/>
        <w:rPr>
          <w:rFonts w:hint="eastAsia" w:ascii="宋体" w:hAnsi="宋体" w:eastAsia="宋体" w:cs="宋体"/>
          <w:color w:val="000000"/>
          <w:sz w:val="24"/>
          <w:szCs w:val="24"/>
          <w:highlight w:val="none"/>
        </w:rPr>
      </w:pPr>
      <w:bookmarkStart w:id="111" w:name="_Toc11814"/>
      <w:bookmarkStart w:id="112" w:name="_Toc18737"/>
      <w:bookmarkStart w:id="113" w:name="_Toc13849"/>
      <w:bookmarkStart w:id="114" w:name="_Toc11610"/>
      <w:bookmarkStart w:id="115" w:name="_Toc5350"/>
      <w:bookmarkStart w:id="116" w:name="_Toc518"/>
      <w:bookmarkStart w:id="117" w:name="_Toc24009"/>
      <w:bookmarkStart w:id="118" w:name="_Toc27586"/>
      <w:bookmarkStart w:id="119" w:name="_Toc23395"/>
      <w:bookmarkStart w:id="120" w:name="_Toc2852"/>
      <w:bookmarkStart w:id="121" w:name="_Toc30519"/>
      <w:bookmarkStart w:id="122" w:name="_Toc32698"/>
      <w:bookmarkStart w:id="123" w:name="_Toc28964"/>
      <w:bookmarkStart w:id="124" w:name="_Toc12716_WPSOffice_Level2"/>
      <w:bookmarkStart w:id="125" w:name="_Toc30940"/>
      <w:bookmarkStart w:id="126" w:name="_Toc3128"/>
    </w:p>
    <w:p w14:paraId="65D19920">
      <w:pPr>
        <w:pStyle w:val="217"/>
        <w:numPr>
          <w:ilvl w:val="0"/>
          <w:numId w:val="0"/>
        </w:numPr>
        <w:spacing w:line="360" w:lineRule="auto"/>
        <w:ind w:firstLine="48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一、评审方法与评审原则</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56DDCE47">
      <w:pPr>
        <w:pStyle w:val="209"/>
        <w:spacing w:line="360" w:lineRule="auto"/>
        <w:ind w:firstLine="480"/>
        <w:rPr>
          <w:rFonts w:hint="eastAsia" w:ascii="宋体" w:hAnsi="宋体" w:eastAsia="宋体" w:cs="宋体"/>
          <w:color w:val="000000"/>
          <w:sz w:val="24"/>
          <w:szCs w:val="24"/>
          <w:highlight w:val="none"/>
        </w:rPr>
      </w:pPr>
      <w:bookmarkStart w:id="127" w:name="_Toc10020_WPSOffice_Level2"/>
      <w:bookmarkStart w:id="128" w:name="_Toc6487"/>
      <w:bookmarkStart w:id="129" w:name="_Toc24013"/>
      <w:bookmarkStart w:id="130" w:name="_Toc2924"/>
      <w:bookmarkStart w:id="131" w:name="_Toc22546"/>
      <w:bookmarkStart w:id="132" w:name="_Toc28718"/>
      <w:bookmarkStart w:id="133" w:name="_Toc27122"/>
      <w:bookmarkStart w:id="134" w:name="_Toc26332"/>
      <w:bookmarkStart w:id="135" w:name="_Toc18177"/>
      <w:bookmarkStart w:id="136" w:name="_Toc23769"/>
      <w:bookmarkStart w:id="137" w:name="_Toc11960"/>
      <w:bookmarkStart w:id="138" w:name="_Toc10987"/>
      <w:bookmarkStart w:id="139" w:name="_Toc8229"/>
      <w:bookmarkStart w:id="140" w:name="_Toc1171"/>
      <w:bookmarkStart w:id="141" w:name="_Toc12196"/>
      <w:bookmarkStart w:id="142" w:name="_Toc21264"/>
      <w:bookmarkStart w:id="143" w:name="_Toc7630"/>
      <w:r>
        <w:rPr>
          <w:rFonts w:hint="eastAsia" w:ascii="宋体" w:hAnsi="宋体" w:eastAsia="宋体" w:cs="宋体"/>
          <w:color w:val="000000"/>
          <w:sz w:val="24"/>
          <w:szCs w:val="24"/>
          <w:highlight w:val="none"/>
          <w:lang w:val="zh-CN"/>
        </w:rPr>
        <w:t>磋商小组将对确定为实质性响应</w:t>
      </w:r>
      <w:r>
        <w:rPr>
          <w:rFonts w:hint="eastAsia" w:ascii="宋体" w:hAnsi="宋体" w:eastAsia="宋体" w:cs="宋体"/>
          <w:color w:val="000000"/>
          <w:sz w:val="24"/>
          <w:szCs w:val="24"/>
          <w:highlight w:val="none"/>
          <w:lang w:val="en-US" w:eastAsia="zh-CN"/>
        </w:rPr>
        <w:t>磋商</w:t>
      </w:r>
      <w:r>
        <w:rPr>
          <w:rFonts w:hint="eastAsia" w:ascii="宋体" w:hAnsi="宋体" w:eastAsia="宋体" w:cs="宋体"/>
          <w:color w:val="000000"/>
          <w:sz w:val="24"/>
          <w:szCs w:val="24"/>
          <w:highlight w:val="none"/>
          <w:lang w:val="zh-CN"/>
        </w:rPr>
        <w:t>文件要求的响应文件进行评价和比较，评审采用综合评分法，评审结果按评审后得分由高到低顺序排列。得分相同的，按磋商</w:t>
      </w:r>
      <w:r>
        <w:rPr>
          <w:rFonts w:hint="eastAsia" w:ascii="宋体" w:hAnsi="宋体" w:eastAsia="宋体" w:cs="宋体"/>
          <w:color w:val="000000"/>
          <w:sz w:val="24"/>
          <w:szCs w:val="24"/>
          <w:highlight w:val="none"/>
        </w:rPr>
        <w:t>最终</w:t>
      </w:r>
      <w:r>
        <w:rPr>
          <w:rFonts w:hint="eastAsia" w:ascii="宋体" w:hAnsi="宋体" w:eastAsia="宋体" w:cs="宋体"/>
          <w:color w:val="000000"/>
          <w:sz w:val="24"/>
          <w:szCs w:val="24"/>
          <w:highlight w:val="none"/>
          <w:lang w:val="zh-CN"/>
        </w:rPr>
        <w:t>报价由低到高顺序排列。得分且磋商</w:t>
      </w:r>
      <w:r>
        <w:rPr>
          <w:rFonts w:hint="eastAsia" w:ascii="宋体" w:hAnsi="宋体" w:eastAsia="宋体" w:cs="宋体"/>
          <w:color w:val="000000"/>
          <w:sz w:val="24"/>
          <w:szCs w:val="24"/>
          <w:highlight w:val="none"/>
        </w:rPr>
        <w:t>最终</w:t>
      </w:r>
      <w:r>
        <w:rPr>
          <w:rFonts w:hint="eastAsia" w:ascii="宋体" w:hAnsi="宋体" w:eastAsia="宋体" w:cs="宋体"/>
          <w:color w:val="000000"/>
          <w:sz w:val="24"/>
          <w:szCs w:val="24"/>
          <w:highlight w:val="none"/>
          <w:lang w:val="zh-CN"/>
        </w:rPr>
        <w:t>报价</w:t>
      </w:r>
      <w:r>
        <w:rPr>
          <w:rFonts w:hint="eastAsia" w:ascii="宋体" w:hAnsi="宋体" w:eastAsia="宋体" w:cs="宋体"/>
          <w:color w:val="000000"/>
          <w:sz w:val="24"/>
          <w:szCs w:val="24"/>
          <w:highlight w:val="none"/>
        </w:rPr>
        <w:t>均</w:t>
      </w:r>
      <w:r>
        <w:rPr>
          <w:rFonts w:hint="eastAsia" w:ascii="宋体" w:hAnsi="宋体" w:eastAsia="宋体" w:cs="宋体"/>
          <w:color w:val="000000"/>
          <w:sz w:val="24"/>
          <w:szCs w:val="24"/>
          <w:highlight w:val="none"/>
          <w:lang w:val="zh-CN"/>
        </w:rPr>
        <w:t>相同的</w:t>
      </w:r>
      <w:r>
        <w:rPr>
          <w:rFonts w:hint="eastAsia" w:ascii="宋体" w:hAnsi="宋体" w:eastAsia="宋体" w:cs="宋体"/>
          <w:color w:val="000000"/>
          <w:sz w:val="24"/>
          <w:szCs w:val="24"/>
          <w:highlight w:val="none"/>
        </w:rPr>
        <w:t>按服务方案分由高到低顺序排列</w:t>
      </w:r>
      <w:r>
        <w:rPr>
          <w:rFonts w:hint="eastAsia" w:ascii="宋体" w:hAnsi="宋体" w:eastAsia="宋体" w:cs="宋体"/>
          <w:color w:val="000000"/>
          <w:sz w:val="24"/>
          <w:szCs w:val="24"/>
          <w:highlight w:val="none"/>
          <w:lang w:val="zh-CN"/>
        </w:rPr>
        <w:t>。响应文件满足磋商文件全部实质性要求，且按照评审因素的量化指标评审得分由高到低按顺序推荐</w:t>
      </w:r>
      <w:r>
        <w:rPr>
          <w:rFonts w:hint="eastAsia" w:ascii="宋体" w:hAnsi="宋体" w:eastAsia="宋体" w:cs="宋体"/>
          <w:color w:val="000000"/>
          <w:sz w:val="24"/>
          <w:szCs w:val="24"/>
          <w:highlight w:val="none"/>
        </w:rPr>
        <w:t>三</w:t>
      </w:r>
      <w:r>
        <w:rPr>
          <w:rFonts w:hint="eastAsia" w:ascii="宋体" w:hAnsi="宋体" w:eastAsia="宋体" w:cs="宋体"/>
          <w:color w:val="000000"/>
          <w:sz w:val="24"/>
          <w:szCs w:val="24"/>
          <w:highlight w:val="none"/>
          <w:lang w:val="zh-CN"/>
        </w:rPr>
        <w:t>名成交候选人，由</w:t>
      </w:r>
      <w:r>
        <w:rPr>
          <w:rFonts w:hint="eastAsia" w:ascii="宋体" w:hAnsi="宋体" w:eastAsia="宋体" w:cs="宋体"/>
          <w:color w:val="000000"/>
          <w:sz w:val="24"/>
          <w:szCs w:val="24"/>
          <w:highlight w:val="none"/>
        </w:rPr>
        <w:t>采购人在推荐的成交候选供应商名单中按顺序确定一名成交供应商。</w:t>
      </w:r>
      <w:r>
        <w:rPr>
          <w:rFonts w:hint="eastAsia" w:ascii="宋体" w:hAnsi="宋体" w:eastAsia="宋体" w:cs="宋体"/>
          <w:color w:val="000000"/>
          <w:sz w:val="24"/>
          <w:szCs w:val="24"/>
          <w:highlight w:val="none"/>
          <w:lang w:val="zh-CN"/>
        </w:rPr>
        <w:t>具体打分办法如下：</w:t>
      </w:r>
    </w:p>
    <w:p w14:paraId="229661C8">
      <w:pPr>
        <w:pStyle w:val="217"/>
        <w:numPr>
          <w:ilvl w:val="0"/>
          <w:numId w:val="0"/>
        </w:numPr>
        <w:spacing w:line="360" w:lineRule="auto"/>
        <w:ind w:firstLine="482"/>
        <w:rPr>
          <w:rFonts w:hint="eastAsia" w:ascii="仿宋" w:hAnsi="仿宋" w:eastAsia="仿宋" w:cs="仿宋"/>
          <w:color w:val="000000"/>
          <w:highlight w:val="none"/>
        </w:rPr>
      </w:pPr>
      <w:r>
        <w:rPr>
          <w:rFonts w:hint="eastAsia" w:ascii="宋体" w:hAnsi="宋体" w:eastAsia="宋体" w:cs="宋体"/>
          <w:color w:val="000000"/>
          <w:sz w:val="24"/>
          <w:szCs w:val="24"/>
          <w:highlight w:val="none"/>
          <w:lang w:val="en-US" w:eastAsia="zh-CN"/>
        </w:rPr>
        <w:t>二、</w:t>
      </w:r>
      <w:r>
        <w:rPr>
          <w:rFonts w:hint="eastAsia" w:ascii="宋体" w:hAnsi="宋体" w:eastAsia="宋体" w:cs="宋体"/>
          <w:color w:val="000000"/>
          <w:sz w:val="24"/>
          <w:szCs w:val="24"/>
          <w:highlight w:val="none"/>
        </w:rPr>
        <w:t>评审标准</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Pr>
          <w:rFonts w:hint="eastAsia" w:ascii="仿宋" w:hAnsi="仿宋" w:eastAsia="仿宋" w:cs="仿宋"/>
          <w:color w:val="000000"/>
          <w:highlight w:val="none"/>
        </w:rPr>
        <w:tab/>
      </w:r>
    </w:p>
    <w:tbl>
      <w:tblPr>
        <w:tblStyle w:val="28"/>
        <w:tblW w:w="9998" w:type="dxa"/>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8"/>
        <w:gridCol w:w="1116"/>
        <w:gridCol w:w="7451"/>
        <w:gridCol w:w="763"/>
      </w:tblGrid>
      <w:tr w14:paraId="414369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668" w:type="dxa"/>
            <w:noWrap w:val="0"/>
            <w:vAlign w:val="center"/>
          </w:tcPr>
          <w:p w14:paraId="63416A39">
            <w:pPr>
              <w:spacing w:line="360" w:lineRule="exact"/>
              <w:jc w:val="center"/>
              <w:rPr>
                <w:rFonts w:hint="eastAsia" w:ascii="宋体" w:hAnsi="宋体" w:eastAsia="宋体" w:cs="宋体"/>
                <w:b/>
                <w:bCs/>
                <w:color w:val="000000"/>
                <w:szCs w:val="21"/>
                <w:highlight w:val="none"/>
              </w:rPr>
            </w:pPr>
            <w:bookmarkStart w:id="144" w:name="_Toc25170484"/>
            <w:bookmarkStart w:id="145" w:name="_Toc3274"/>
            <w:bookmarkStart w:id="146" w:name="_Toc5358"/>
            <w:r>
              <w:rPr>
                <w:rFonts w:hint="eastAsia" w:ascii="宋体" w:hAnsi="宋体" w:eastAsia="宋体" w:cs="宋体"/>
                <w:b/>
                <w:bCs/>
                <w:color w:val="000000"/>
                <w:szCs w:val="21"/>
                <w:highlight w:val="none"/>
              </w:rPr>
              <w:t>序号</w:t>
            </w:r>
          </w:p>
        </w:tc>
        <w:tc>
          <w:tcPr>
            <w:tcW w:w="1116" w:type="dxa"/>
            <w:noWrap w:val="0"/>
            <w:vAlign w:val="center"/>
          </w:tcPr>
          <w:p w14:paraId="2C38CE6C">
            <w:pPr>
              <w:spacing w:line="360" w:lineRule="exact"/>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评分因素</w:t>
            </w:r>
          </w:p>
        </w:tc>
        <w:tc>
          <w:tcPr>
            <w:tcW w:w="7451" w:type="dxa"/>
            <w:noWrap w:val="0"/>
            <w:vAlign w:val="center"/>
          </w:tcPr>
          <w:p w14:paraId="48C06CC5">
            <w:pPr>
              <w:spacing w:line="360" w:lineRule="exact"/>
              <w:jc w:val="center"/>
              <w:rPr>
                <w:rFonts w:hint="eastAsia" w:ascii="宋体" w:hAnsi="宋体" w:eastAsia="宋体" w:cs="宋体"/>
                <w:b/>
                <w:bCs/>
                <w:color w:val="000000"/>
                <w:szCs w:val="21"/>
                <w:highlight w:val="none"/>
              </w:rPr>
            </w:pPr>
            <w:r>
              <w:rPr>
                <w:rFonts w:hint="eastAsia" w:ascii="宋体" w:hAnsi="宋体" w:eastAsia="宋体" w:cs="宋体"/>
                <w:b/>
                <w:color w:val="000000"/>
                <w:szCs w:val="21"/>
                <w:highlight w:val="none"/>
              </w:rPr>
              <w:t>评分标准</w:t>
            </w:r>
          </w:p>
        </w:tc>
        <w:tc>
          <w:tcPr>
            <w:tcW w:w="763" w:type="dxa"/>
            <w:noWrap w:val="0"/>
            <w:vAlign w:val="center"/>
          </w:tcPr>
          <w:p w14:paraId="497D5015">
            <w:pPr>
              <w:spacing w:line="360" w:lineRule="exact"/>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分值</w:t>
            </w:r>
          </w:p>
        </w:tc>
      </w:tr>
      <w:tr w14:paraId="1BB3D8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998" w:type="dxa"/>
            <w:gridSpan w:val="4"/>
            <w:noWrap w:val="0"/>
            <w:vAlign w:val="center"/>
          </w:tcPr>
          <w:p w14:paraId="74303B88">
            <w:pPr>
              <w:spacing w:line="360" w:lineRule="exact"/>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一、价格（</w:t>
            </w:r>
            <w:r>
              <w:rPr>
                <w:rFonts w:hint="eastAsia" w:ascii="宋体" w:hAnsi="宋体" w:eastAsia="宋体" w:cs="宋体"/>
                <w:color w:val="000000"/>
                <w:szCs w:val="21"/>
                <w:highlight w:val="none"/>
                <w:lang w:eastAsia="zh-CN" w:bidi="ar"/>
              </w:rPr>
              <w:t>15</w:t>
            </w:r>
            <w:r>
              <w:rPr>
                <w:rFonts w:hint="eastAsia" w:ascii="宋体" w:hAnsi="宋体" w:eastAsia="宋体" w:cs="宋体"/>
                <w:color w:val="000000"/>
                <w:szCs w:val="21"/>
                <w:highlight w:val="none"/>
                <w:lang w:bidi="ar"/>
              </w:rPr>
              <w:t>分）</w:t>
            </w:r>
          </w:p>
        </w:tc>
      </w:tr>
      <w:tr w14:paraId="387BF2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668" w:type="dxa"/>
            <w:noWrap w:val="0"/>
            <w:vAlign w:val="center"/>
          </w:tcPr>
          <w:p w14:paraId="1E6468FA">
            <w:pPr>
              <w:spacing w:line="36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1</w:t>
            </w:r>
          </w:p>
        </w:tc>
        <w:tc>
          <w:tcPr>
            <w:tcW w:w="1116" w:type="dxa"/>
            <w:noWrap w:val="0"/>
            <w:vAlign w:val="center"/>
          </w:tcPr>
          <w:p w14:paraId="49602208">
            <w:pPr>
              <w:spacing w:line="36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价格分</w:t>
            </w:r>
          </w:p>
        </w:tc>
        <w:tc>
          <w:tcPr>
            <w:tcW w:w="7451" w:type="dxa"/>
            <w:noWrap w:val="0"/>
            <w:vAlign w:val="center"/>
          </w:tcPr>
          <w:p w14:paraId="726255B5">
            <w:pPr>
              <w:spacing w:line="360" w:lineRule="exact"/>
              <w:rPr>
                <w:rFonts w:hint="eastAsia" w:ascii="宋体" w:hAnsi="宋体" w:eastAsia="宋体" w:cs="宋体"/>
                <w:color w:val="000000"/>
                <w:szCs w:val="21"/>
                <w:highlight w:val="none"/>
              </w:rPr>
            </w:pPr>
            <w:r>
              <w:rPr>
                <w:rFonts w:hint="eastAsia" w:ascii="宋体" w:hAnsi="宋体" w:eastAsia="宋体"/>
                <w:bCs/>
                <w:color w:val="000000"/>
                <w:szCs w:val="21"/>
                <w:highlight w:val="none"/>
              </w:rPr>
              <w:t>满足采购文件要求且最低的最终报价为评审基准价,其价格为满分</w:t>
            </w:r>
            <w:r>
              <w:rPr>
                <w:rFonts w:hint="eastAsia" w:ascii="宋体" w:hAnsi="宋体" w:eastAsia="宋体"/>
                <w:bCs/>
                <w:color w:val="000000"/>
                <w:szCs w:val="21"/>
                <w:highlight w:val="none"/>
                <w:lang w:val="en-US" w:eastAsia="zh-CN"/>
              </w:rPr>
              <w:t>15</w:t>
            </w:r>
            <w:r>
              <w:rPr>
                <w:rFonts w:hint="eastAsia" w:ascii="宋体" w:hAnsi="宋体" w:eastAsia="宋体"/>
                <w:bCs/>
                <w:color w:val="000000"/>
                <w:szCs w:val="21"/>
                <w:highlight w:val="none"/>
              </w:rPr>
              <w:t>分,其他供应商的价格分按照下列公式计算,小数点保留2位：报价得分=(评审基准价/最终报价)×</w:t>
            </w:r>
            <w:r>
              <w:rPr>
                <w:rFonts w:hint="eastAsia" w:ascii="宋体" w:hAnsi="宋体" w:eastAsia="宋体"/>
                <w:bCs/>
                <w:color w:val="000000"/>
                <w:szCs w:val="21"/>
                <w:highlight w:val="none"/>
                <w:lang w:val="en-US" w:eastAsia="zh-CN"/>
              </w:rPr>
              <w:t>15</w:t>
            </w:r>
          </w:p>
        </w:tc>
        <w:tc>
          <w:tcPr>
            <w:tcW w:w="763" w:type="dxa"/>
            <w:noWrap w:val="0"/>
            <w:vAlign w:val="center"/>
          </w:tcPr>
          <w:p w14:paraId="4CB3194B">
            <w:pPr>
              <w:spacing w:line="360" w:lineRule="exact"/>
              <w:jc w:val="center"/>
              <w:rPr>
                <w:rFonts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15</w:t>
            </w:r>
          </w:p>
        </w:tc>
      </w:tr>
      <w:tr w14:paraId="7BC4F6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998" w:type="dxa"/>
            <w:gridSpan w:val="4"/>
            <w:noWrap w:val="0"/>
            <w:vAlign w:val="center"/>
          </w:tcPr>
          <w:p w14:paraId="652C2723">
            <w:pPr>
              <w:spacing w:line="360" w:lineRule="exact"/>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val="en-US" w:eastAsia="zh-CN" w:bidi="ar"/>
              </w:rPr>
              <w:t>二</w:t>
            </w:r>
            <w:r>
              <w:rPr>
                <w:rFonts w:hint="eastAsia" w:ascii="宋体" w:hAnsi="宋体" w:eastAsia="宋体" w:cs="宋体"/>
                <w:color w:val="000000"/>
                <w:szCs w:val="21"/>
                <w:highlight w:val="none"/>
                <w:lang w:bidi="ar"/>
              </w:rPr>
              <w:t>、商务部分（</w:t>
            </w:r>
            <w:r>
              <w:rPr>
                <w:rFonts w:hint="eastAsia" w:ascii="宋体" w:hAnsi="宋体" w:eastAsia="宋体" w:cs="宋体"/>
                <w:color w:val="000000"/>
                <w:szCs w:val="21"/>
                <w:highlight w:val="none"/>
                <w:lang w:val="en-US" w:eastAsia="zh-CN" w:bidi="ar"/>
              </w:rPr>
              <w:t>28</w:t>
            </w:r>
            <w:r>
              <w:rPr>
                <w:rFonts w:hint="eastAsia" w:ascii="宋体" w:hAnsi="宋体" w:eastAsia="宋体" w:cs="宋体"/>
                <w:color w:val="000000"/>
                <w:szCs w:val="21"/>
                <w:highlight w:val="none"/>
                <w:lang w:bidi="ar"/>
              </w:rPr>
              <w:t>分）</w:t>
            </w:r>
          </w:p>
        </w:tc>
      </w:tr>
      <w:tr w14:paraId="125050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0" w:hRule="atLeast"/>
        </w:trPr>
        <w:tc>
          <w:tcPr>
            <w:tcW w:w="668" w:type="dxa"/>
            <w:noWrap w:val="0"/>
            <w:vAlign w:val="center"/>
          </w:tcPr>
          <w:p w14:paraId="1CE2AAC6">
            <w:pPr>
              <w:spacing w:line="360" w:lineRule="exact"/>
              <w:jc w:val="center"/>
              <w:rPr>
                <w:rFonts w:ascii="宋体" w:hAnsi="宋体" w:eastAsia="宋体" w:cs="宋体"/>
                <w:color w:val="000000"/>
                <w:szCs w:val="21"/>
                <w:highlight w:val="none"/>
              </w:rPr>
            </w:pPr>
            <w:r>
              <w:rPr>
                <w:rFonts w:hint="eastAsia" w:ascii="宋体" w:hAnsi="宋体" w:eastAsia="宋体" w:cs="宋体"/>
                <w:color w:val="000000"/>
                <w:szCs w:val="21"/>
                <w:highlight w:val="none"/>
                <w:lang w:val="en-US" w:eastAsia="zh-CN" w:bidi="ar"/>
              </w:rPr>
              <w:t>2</w:t>
            </w:r>
            <w:r>
              <w:rPr>
                <w:rFonts w:hint="eastAsia" w:ascii="宋体" w:hAnsi="宋体" w:eastAsia="宋体" w:cs="宋体"/>
                <w:color w:val="000000"/>
                <w:szCs w:val="21"/>
                <w:highlight w:val="none"/>
                <w:lang w:bidi="ar"/>
              </w:rPr>
              <w:t>.1</w:t>
            </w:r>
          </w:p>
        </w:tc>
        <w:tc>
          <w:tcPr>
            <w:tcW w:w="1116" w:type="dxa"/>
            <w:noWrap w:val="0"/>
            <w:vAlign w:val="center"/>
          </w:tcPr>
          <w:p w14:paraId="4EB950A7">
            <w:pPr>
              <w:spacing w:line="360" w:lineRule="exact"/>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bidi="ar"/>
              </w:rPr>
              <w:t>同类</w:t>
            </w:r>
            <w:r>
              <w:rPr>
                <w:rFonts w:hint="eastAsia" w:ascii="宋体" w:hAnsi="宋体" w:eastAsia="宋体" w:cs="宋体"/>
                <w:color w:val="000000"/>
                <w:szCs w:val="21"/>
                <w:highlight w:val="none"/>
                <w:lang w:bidi="ar"/>
              </w:rPr>
              <w:t>业绩</w:t>
            </w:r>
          </w:p>
        </w:tc>
        <w:tc>
          <w:tcPr>
            <w:tcW w:w="7451" w:type="dxa"/>
            <w:noWrap w:val="0"/>
            <w:vAlign w:val="center"/>
          </w:tcPr>
          <w:p w14:paraId="5BE3CA79">
            <w:pP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供应商自202</w:t>
            </w:r>
            <w:r>
              <w:rPr>
                <w:rFonts w:hint="eastAsia" w:ascii="宋体" w:hAnsi="宋体" w:eastAsia="宋体" w:cs="宋体"/>
                <w:color w:val="000000"/>
                <w:szCs w:val="21"/>
                <w:highlight w:val="none"/>
                <w:lang w:val="en-US" w:eastAsia="zh-CN"/>
              </w:rPr>
              <w:t>3</w:t>
            </w:r>
            <w:r>
              <w:rPr>
                <w:rFonts w:hint="eastAsia" w:ascii="宋体" w:hAnsi="宋体" w:eastAsia="宋体" w:cs="宋体"/>
                <w:color w:val="000000"/>
                <w:szCs w:val="21"/>
                <w:highlight w:val="none"/>
              </w:rPr>
              <w:t>年1月1日以来（合同签订时间）具有</w:t>
            </w:r>
            <w:r>
              <w:rPr>
                <w:rFonts w:hint="eastAsia" w:ascii="宋体" w:hAnsi="宋体" w:eastAsia="宋体" w:cs="宋体"/>
                <w:color w:val="000000"/>
                <w:szCs w:val="21"/>
                <w:highlight w:val="none"/>
                <w:lang w:val="en-US" w:eastAsia="zh-CN"/>
              </w:rPr>
              <w:t>同类项目</w:t>
            </w:r>
            <w:r>
              <w:rPr>
                <w:rFonts w:hint="eastAsia" w:ascii="宋体" w:hAnsi="宋体" w:eastAsia="宋体" w:cs="宋体"/>
                <w:color w:val="000000"/>
                <w:szCs w:val="21"/>
                <w:highlight w:val="none"/>
              </w:rPr>
              <w:t>业绩</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lang w:val="en-US" w:eastAsia="zh-CN"/>
              </w:rPr>
              <w:t>同类项目指“</w:t>
            </w:r>
            <w:r>
              <w:rPr>
                <w:rFonts w:hint="eastAsia" w:ascii="宋体" w:hAnsi="宋体" w:cs="宋体"/>
                <w:color w:val="000000"/>
                <w:szCs w:val="21"/>
                <w:highlight w:val="none"/>
              </w:rPr>
              <w:t>用地报批合法性审查</w:t>
            </w:r>
            <w:r>
              <w:rPr>
                <w:rFonts w:hint="eastAsia" w:ascii="宋体" w:hAnsi="宋体" w:eastAsia="宋体" w:cs="宋体"/>
                <w:color w:val="000000"/>
                <w:szCs w:val="21"/>
                <w:highlight w:val="none"/>
                <w:lang w:val="en-US" w:eastAsia="zh-CN"/>
              </w:rPr>
              <w:t>”或“</w:t>
            </w:r>
            <w:r>
              <w:rPr>
                <w:rFonts w:hint="eastAsia" w:ascii="宋体" w:hAnsi="宋体" w:eastAsia="宋体" w:cs="宋体"/>
                <w:color w:val="000000"/>
                <w:highlight w:val="none"/>
              </w:rPr>
              <w:t>重大行政决策</w:t>
            </w:r>
            <w:r>
              <w:rPr>
                <w:rFonts w:hint="eastAsia" w:ascii="宋体" w:hAnsi="宋体" w:eastAsia="宋体" w:cs="宋体"/>
                <w:color w:val="000000"/>
                <w:highlight w:val="none"/>
                <w:lang w:val="en-US" w:eastAsia="zh-CN"/>
              </w:rPr>
              <w:t>或</w:t>
            </w:r>
            <w:r>
              <w:rPr>
                <w:rFonts w:hint="eastAsia" w:ascii="宋体" w:hAnsi="宋体" w:eastAsia="宋体" w:cs="宋体"/>
                <w:color w:val="000000"/>
                <w:highlight w:val="none"/>
              </w:rPr>
              <w:t>行政规范性文件</w:t>
            </w:r>
            <w:r>
              <w:rPr>
                <w:rFonts w:hint="eastAsia" w:ascii="宋体" w:hAnsi="宋体" w:eastAsia="宋体" w:cs="宋体"/>
                <w:color w:val="000000"/>
                <w:highlight w:val="none"/>
                <w:lang w:val="en-US" w:eastAsia="zh-CN"/>
              </w:rPr>
              <w:t>或</w:t>
            </w:r>
            <w:r>
              <w:rPr>
                <w:rFonts w:hint="eastAsia" w:ascii="宋体" w:hAnsi="宋体" w:eastAsia="宋体" w:cs="宋体"/>
                <w:color w:val="000000"/>
                <w:highlight w:val="none"/>
              </w:rPr>
              <w:t>行政合同</w:t>
            </w:r>
            <w:r>
              <w:rPr>
                <w:rFonts w:hint="eastAsia" w:ascii="宋体" w:hAnsi="宋体" w:eastAsia="宋体" w:cs="宋体"/>
                <w:color w:val="000000"/>
                <w:highlight w:val="none"/>
                <w:lang w:val="en-US" w:eastAsia="zh-CN"/>
              </w:rPr>
              <w:t>或</w:t>
            </w:r>
            <w:r>
              <w:rPr>
                <w:rFonts w:hint="eastAsia" w:ascii="宋体" w:hAnsi="宋体" w:eastAsia="宋体" w:cs="宋体"/>
                <w:color w:val="000000"/>
                <w:highlight w:val="none"/>
              </w:rPr>
              <w:t>其他</w:t>
            </w:r>
            <w:r>
              <w:rPr>
                <w:rFonts w:hint="eastAsia" w:ascii="宋体" w:hAnsi="宋体" w:eastAsia="宋体" w:cs="宋体"/>
                <w:color w:val="000000"/>
                <w:highlight w:val="none"/>
                <w:lang w:val="en-US" w:eastAsia="zh-CN"/>
              </w:rPr>
              <w:t>涉法</w:t>
            </w:r>
            <w:r>
              <w:rPr>
                <w:rFonts w:hint="eastAsia" w:ascii="宋体" w:hAnsi="宋体" w:eastAsia="宋体" w:cs="宋体"/>
                <w:color w:val="000000"/>
                <w:highlight w:val="none"/>
              </w:rPr>
              <w:t>事务的合法性审查</w:t>
            </w:r>
            <w:r>
              <w:rPr>
                <w:rFonts w:hint="eastAsia" w:ascii="宋体" w:hAnsi="宋体" w:eastAsia="宋体" w:cs="宋体"/>
                <w:color w:val="000000"/>
                <w:szCs w:val="21"/>
                <w:highlight w:val="none"/>
                <w:lang w:val="en-US" w:eastAsia="zh-CN"/>
              </w:rPr>
              <w:t>”中任意一种</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，每提供一份得</w:t>
            </w:r>
            <w:r>
              <w:rPr>
                <w:rFonts w:hint="eastAsia" w:ascii="宋体" w:hAnsi="宋体" w:eastAsia="宋体" w:cs="宋体"/>
                <w:color w:val="000000"/>
                <w:szCs w:val="21"/>
                <w:highlight w:val="none"/>
                <w:lang w:val="en-US" w:eastAsia="zh-CN"/>
              </w:rPr>
              <w:t>2</w:t>
            </w:r>
            <w:r>
              <w:rPr>
                <w:rFonts w:hint="eastAsia" w:ascii="宋体" w:hAnsi="宋体" w:eastAsia="宋体" w:cs="宋体"/>
                <w:color w:val="000000"/>
                <w:szCs w:val="21"/>
                <w:highlight w:val="none"/>
              </w:rPr>
              <w:t>分，满分</w:t>
            </w:r>
            <w:r>
              <w:rPr>
                <w:rFonts w:hint="eastAsia" w:ascii="宋体" w:hAnsi="宋体" w:eastAsia="宋体" w:cs="宋体"/>
                <w:color w:val="000000"/>
                <w:szCs w:val="21"/>
                <w:highlight w:val="none"/>
                <w:lang w:val="en-US" w:eastAsia="zh-CN"/>
              </w:rPr>
              <w:t>12</w:t>
            </w:r>
            <w:r>
              <w:rPr>
                <w:rFonts w:hint="eastAsia" w:ascii="宋体" w:hAnsi="宋体" w:eastAsia="宋体" w:cs="宋体"/>
                <w:color w:val="000000"/>
                <w:szCs w:val="21"/>
                <w:highlight w:val="none"/>
              </w:rPr>
              <w:t>分。</w:t>
            </w:r>
          </w:p>
          <w:p w14:paraId="2E25CC21">
            <w:pP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（提供</w:t>
            </w:r>
            <w:r>
              <w:rPr>
                <w:rFonts w:hint="eastAsia" w:ascii="宋体" w:hAnsi="宋体" w:eastAsia="宋体" w:cs="宋体"/>
                <w:color w:val="000000"/>
                <w:szCs w:val="21"/>
                <w:highlight w:val="none"/>
                <w:lang w:val="en-US" w:eastAsia="zh-CN"/>
              </w:rPr>
              <w:t>业绩合同</w:t>
            </w:r>
            <w:r>
              <w:rPr>
                <w:rFonts w:hint="eastAsia" w:ascii="宋体" w:hAnsi="宋体" w:eastAsia="宋体" w:cs="宋体"/>
                <w:color w:val="000000"/>
                <w:szCs w:val="21"/>
                <w:highlight w:val="none"/>
              </w:rPr>
              <w:t>证明材料</w:t>
            </w:r>
            <w:r>
              <w:rPr>
                <w:rFonts w:hint="eastAsia" w:ascii="宋体" w:hAnsi="宋体" w:eastAsia="宋体" w:cs="宋体"/>
                <w:color w:val="000000"/>
                <w:szCs w:val="21"/>
                <w:highlight w:val="none"/>
                <w:lang w:val="en-US" w:eastAsia="zh-CN"/>
              </w:rPr>
              <w:t>扫描件</w:t>
            </w:r>
            <w:r>
              <w:rPr>
                <w:rFonts w:hint="eastAsia" w:ascii="宋体" w:hAnsi="宋体" w:eastAsia="宋体" w:cs="宋体"/>
                <w:color w:val="000000"/>
                <w:szCs w:val="21"/>
                <w:highlight w:val="none"/>
              </w:rPr>
              <w:t>，提供的证明材料须能</w:t>
            </w:r>
            <w:r>
              <w:rPr>
                <w:rFonts w:hint="eastAsia" w:ascii="宋体" w:hAnsi="宋体" w:eastAsia="宋体" w:cs="宋体"/>
                <w:color w:val="000000"/>
                <w:szCs w:val="21"/>
                <w:highlight w:val="none"/>
                <w:lang w:val="en-US" w:eastAsia="zh-CN"/>
              </w:rPr>
              <w:t>清晰</w:t>
            </w:r>
            <w:r>
              <w:rPr>
                <w:rFonts w:hint="eastAsia" w:ascii="宋体" w:hAnsi="宋体" w:eastAsia="宋体" w:cs="宋体"/>
                <w:color w:val="000000"/>
                <w:szCs w:val="21"/>
                <w:highlight w:val="none"/>
              </w:rPr>
              <w:t>反映出相关内容，否则视为未提供）</w:t>
            </w:r>
          </w:p>
        </w:tc>
        <w:tc>
          <w:tcPr>
            <w:tcW w:w="763" w:type="dxa"/>
            <w:noWrap w:val="0"/>
            <w:vAlign w:val="center"/>
          </w:tcPr>
          <w:p w14:paraId="30855E99">
            <w:pPr>
              <w:spacing w:line="360" w:lineRule="exact"/>
              <w:jc w:val="center"/>
              <w:rPr>
                <w:rFonts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12</w:t>
            </w:r>
          </w:p>
        </w:tc>
      </w:tr>
      <w:tr w14:paraId="6F8661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0" w:hRule="atLeast"/>
        </w:trPr>
        <w:tc>
          <w:tcPr>
            <w:tcW w:w="668" w:type="dxa"/>
            <w:noWrap w:val="0"/>
            <w:vAlign w:val="center"/>
          </w:tcPr>
          <w:p w14:paraId="3AF04ECA">
            <w:pPr>
              <w:spacing w:line="360" w:lineRule="exact"/>
              <w:jc w:val="center"/>
              <w:rPr>
                <w:rFonts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2.2</w:t>
            </w:r>
          </w:p>
        </w:tc>
        <w:tc>
          <w:tcPr>
            <w:tcW w:w="1116" w:type="dxa"/>
            <w:noWrap w:val="0"/>
            <w:vAlign w:val="center"/>
          </w:tcPr>
          <w:p w14:paraId="7B46FA3F">
            <w:pPr>
              <w:spacing w:line="360" w:lineRule="exact"/>
              <w:jc w:val="center"/>
              <w:rPr>
                <w:rFonts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项目组成员（不包括驻场律师）</w:t>
            </w:r>
          </w:p>
        </w:tc>
        <w:tc>
          <w:tcPr>
            <w:tcW w:w="7451" w:type="dxa"/>
            <w:noWrap w:val="0"/>
            <w:vAlign w:val="center"/>
          </w:tcPr>
          <w:p w14:paraId="501D7273">
            <w:pP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项目组成员熟悉法律法规，具有</w:t>
            </w:r>
            <w:r>
              <w:rPr>
                <w:rFonts w:hint="eastAsia" w:ascii="宋体" w:hAnsi="宋体" w:eastAsia="宋体" w:cs="宋体"/>
                <w:color w:val="000000"/>
                <w:szCs w:val="21"/>
                <w:highlight w:val="none"/>
                <w:lang w:val="en-US" w:eastAsia="zh-CN"/>
              </w:rPr>
              <w:t>同类项目经验</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lang w:val="en-US" w:eastAsia="zh-CN"/>
              </w:rPr>
              <w:t>同类项目指“</w:t>
            </w:r>
            <w:r>
              <w:rPr>
                <w:rFonts w:hint="eastAsia" w:ascii="宋体" w:hAnsi="宋体" w:cs="宋体"/>
                <w:color w:val="000000"/>
                <w:szCs w:val="21"/>
                <w:highlight w:val="none"/>
              </w:rPr>
              <w:t>用地报批合法性审查</w:t>
            </w:r>
            <w:r>
              <w:rPr>
                <w:rFonts w:hint="eastAsia" w:ascii="宋体" w:hAnsi="宋体" w:eastAsia="宋体" w:cs="宋体"/>
                <w:color w:val="000000"/>
                <w:szCs w:val="21"/>
                <w:highlight w:val="none"/>
                <w:lang w:val="en-US" w:eastAsia="zh-CN"/>
              </w:rPr>
              <w:t>”或“</w:t>
            </w:r>
            <w:r>
              <w:rPr>
                <w:rFonts w:hint="eastAsia" w:ascii="宋体" w:hAnsi="宋体" w:eastAsia="宋体" w:cs="宋体"/>
                <w:color w:val="000000"/>
                <w:highlight w:val="none"/>
              </w:rPr>
              <w:t>重大行政决策</w:t>
            </w:r>
            <w:r>
              <w:rPr>
                <w:rFonts w:hint="eastAsia" w:ascii="宋体" w:hAnsi="宋体" w:eastAsia="宋体" w:cs="宋体"/>
                <w:color w:val="000000"/>
                <w:highlight w:val="none"/>
                <w:lang w:val="en-US" w:eastAsia="zh-CN"/>
              </w:rPr>
              <w:t>或</w:t>
            </w:r>
            <w:r>
              <w:rPr>
                <w:rFonts w:hint="eastAsia" w:ascii="宋体" w:hAnsi="宋体" w:eastAsia="宋体" w:cs="宋体"/>
                <w:color w:val="000000"/>
                <w:highlight w:val="none"/>
              </w:rPr>
              <w:t>行政规范性文件</w:t>
            </w:r>
            <w:r>
              <w:rPr>
                <w:rFonts w:hint="eastAsia" w:ascii="宋体" w:hAnsi="宋体" w:eastAsia="宋体" w:cs="宋体"/>
                <w:color w:val="000000"/>
                <w:highlight w:val="none"/>
                <w:lang w:val="en-US" w:eastAsia="zh-CN"/>
              </w:rPr>
              <w:t>或</w:t>
            </w:r>
            <w:r>
              <w:rPr>
                <w:rFonts w:hint="eastAsia" w:ascii="宋体" w:hAnsi="宋体" w:eastAsia="宋体" w:cs="宋体"/>
                <w:color w:val="000000"/>
                <w:highlight w:val="none"/>
              </w:rPr>
              <w:t>行政合同</w:t>
            </w:r>
            <w:r>
              <w:rPr>
                <w:rFonts w:hint="eastAsia" w:ascii="宋体" w:hAnsi="宋体" w:eastAsia="宋体" w:cs="宋体"/>
                <w:color w:val="000000"/>
                <w:highlight w:val="none"/>
                <w:lang w:val="en-US" w:eastAsia="zh-CN"/>
              </w:rPr>
              <w:t>或</w:t>
            </w:r>
            <w:r>
              <w:rPr>
                <w:rFonts w:hint="eastAsia" w:ascii="宋体" w:hAnsi="宋体" w:eastAsia="宋体" w:cs="宋体"/>
                <w:color w:val="000000"/>
                <w:highlight w:val="none"/>
              </w:rPr>
              <w:t>其他</w:t>
            </w:r>
            <w:r>
              <w:rPr>
                <w:rFonts w:hint="eastAsia" w:ascii="宋体" w:hAnsi="宋体" w:eastAsia="宋体" w:cs="宋体"/>
                <w:color w:val="000000"/>
                <w:highlight w:val="none"/>
                <w:lang w:val="en-US" w:eastAsia="zh-CN"/>
              </w:rPr>
              <w:t>涉法</w:t>
            </w:r>
            <w:r>
              <w:rPr>
                <w:rFonts w:hint="eastAsia" w:ascii="宋体" w:hAnsi="宋体" w:eastAsia="宋体" w:cs="宋体"/>
                <w:color w:val="000000"/>
                <w:highlight w:val="none"/>
              </w:rPr>
              <w:t>事务的合法性审查</w:t>
            </w:r>
            <w:r>
              <w:rPr>
                <w:rFonts w:hint="eastAsia" w:ascii="宋体" w:hAnsi="宋体" w:eastAsia="宋体" w:cs="宋体"/>
                <w:color w:val="000000"/>
                <w:szCs w:val="21"/>
                <w:highlight w:val="none"/>
                <w:lang w:val="en-US" w:eastAsia="zh-CN"/>
              </w:rPr>
              <w:t>”中任意一种</w:t>
            </w:r>
            <w:r>
              <w:rPr>
                <w:rFonts w:hint="eastAsia" w:ascii="宋体" w:hAnsi="宋体" w:eastAsia="宋体" w:cs="宋体"/>
                <w:color w:val="000000"/>
                <w:szCs w:val="21"/>
                <w:highlight w:val="none"/>
                <w:lang w:eastAsia="zh-CN"/>
              </w:rPr>
              <w:t>）的，</w:t>
            </w:r>
            <w:r>
              <w:rPr>
                <w:rFonts w:hint="eastAsia" w:ascii="宋体" w:hAnsi="宋体" w:eastAsia="宋体" w:cs="宋体"/>
                <w:color w:val="000000"/>
                <w:szCs w:val="21"/>
                <w:highlight w:val="none"/>
              </w:rPr>
              <w:t>得</w:t>
            </w:r>
            <w:r>
              <w:rPr>
                <w:rFonts w:hint="eastAsia" w:ascii="宋体" w:hAnsi="宋体" w:eastAsia="宋体" w:cs="宋体"/>
                <w:color w:val="000000"/>
                <w:szCs w:val="21"/>
                <w:highlight w:val="none"/>
                <w:lang w:val="en-US" w:eastAsia="zh-CN"/>
              </w:rPr>
              <w:t>2</w:t>
            </w:r>
            <w:r>
              <w:rPr>
                <w:rFonts w:hint="eastAsia" w:ascii="宋体" w:hAnsi="宋体" w:eastAsia="宋体" w:cs="宋体"/>
                <w:color w:val="000000"/>
                <w:szCs w:val="21"/>
                <w:highlight w:val="none"/>
              </w:rPr>
              <w:t>分</w:t>
            </w:r>
            <w:r>
              <w:rPr>
                <w:rFonts w:hint="eastAsia" w:ascii="宋体" w:hAnsi="宋体" w:eastAsia="宋体" w:cs="宋体"/>
                <w:color w:val="000000"/>
                <w:szCs w:val="21"/>
                <w:highlight w:val="none"/>
                <w:lang w:val="en-US" w:eastAsia="zh-CN"/>
              </w:rPr>
              <w:t>/人</w:t>
            </w:r>
            <w:r>
              <w:rPr>
                <w:rFonts w:hint="eastAsia" w:ascii="宋体" w:hAnsi="宋体" w:eastAsia="宋体" w:cs="宋体"/>
                <w:color w:val="000000"/>
                <w:szCs w:val="21"/>
                <w:highlight w:val="none"/>
              </w:rPr>
              <w:t>，最高得</w:t>
            </w:r>
            <w:r>
              <w:rPr>
                <w:rFonts w:hint="eastAsia" w:ascii="宋体" w:hAnsi="宋体" w:eastAsia="宋体" w:cs="宋体"/>
                <w:color w:val="000000"/>
                <w:szCs w:val="21"/>
                <w:highlight w:val="none"/>
                <w:lang w:val="en-US" w:eastAsia="zh-CN"/>
              </w:rPr>
              <w:t>12</w:t>
            </w:r>
            <w:r>
              <w:rPr>
                <w:rFonts w:hint="eastAsia" w:ascii="宋体" w:hAnsi="宋体" w:eastAsia="宋体" w:cs="宋体"/>
                <w:color w:val="000000"/>
                <w:szCs w:val="21"/>
                <w:highlight w:val="none"/>
              </w:rPr>
              <w:t>分。</w:t>
            </w:r>
          </w:p>
          <w:p w14:paraId="2C78E803">
            <w:pP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（提供裁判文书</w:t>
            </w:r>
            <w:r>
              <w:rPr>
                <w:rFonts w:hint="eastAsia" w:ascii="宋体" w:hAnsi="宋体" w:eastAsia="宋体" w:cs="宋体"/>
                <w:color w:val="000000"/>
                <w:szCs w:val="21"/>
                <w:highlight w:val="none"/>
                <w:lang w:val="en-US" w:eastAsia="zh-CN"/>
              </w:rPr>
              <w:t>或业绩合同</w:t>
            </w:r>
            <w:r>
              <w:rPr>
                <w:rFonts w:hint="eastAsia" w:ascii="宋体" w:hAnsi="宋体" w:eastAsia="宋体" w:cs="宋体"/>
                <w:color w:val="000000"/>
                <w:szCs w:val="21"/>
                <w:highlight w:val="none"/>
              </w:rPr>
              <w:t>证明材料</w:t>
            </w:r>
            <w:r>
              <w:rPr>
                <w:rFonts w:hint="eastAsia" w:ascii="宋体" w:hAnsi="宋体" w:eastAsia="宋体" w:cs="宋体"/>
                <w:color w:val="000000"/>
                <w:szCs w:val="21"/>
                <w:highlight w:val="none"/>
                <w:lang w:val="en-US" w:eastAsia="zh-CN"/>
              </w:rPr>
              <w:t>扫描件</w:t>
            </w:r>
            <w:r>
              <w:rPr>
                <w:rFonts w:hint="eastAsia" w:ascii="宋体" w:hAnsi="宋体" w:eastAsia="宋体" w:cs="宋体"/>
                <w:color w:val="000000"/>
                <w:szCs w:val="21"/>
                <w:highlight w:val="none"/>
              </w:rPr>
              <w:t>，提供的证明材料须能</w:t>
            </w:r>
            <w:r>
              <w:rPr>
                <w:rFonts w:hint="eastAsia" w:ascii="宋体" w:hAnsi="宋体" w:eastAsia="宋体" w:cs="宋体"/>
                <w:color w:val="000000"/>
                <w:szCs w:val="21"/>
                <w:highlight w:val="none"/>
                <w:lang w:val="en-US" w:eastAsia="zh-CN"/>
              </w:rPr>
              <w:t>清晰</w:t>
            </w:r>
            <w:r>
              <w:rPr>
                <w:rFonts w:hint="eastAsia" w:ascii="宋体" w:hAnsi="宋体" w:eastAsia="宋体" w:cs="宋体"/>
                <w:color w:val="000000"/>
                <w:szCs w:val="21"/>
                <w:highlight w:val="none"/>
              </w:rPr>
              <w:t>反映出相关内容，否则视为未提供）</w:t>
            </w:r>
          </w:p>
        </w:tc>
        <w:tc>
          <w:tcPr>
            <w:tcW w:w="763" w:type="dxa"/>
            <w:noWrap w:val="0"/>
            <w:vAlign w:val="center"/>
          </w:tcPr>
          <w:p w14:paraId="696A6FA1">
            <w:pPr>
              <w:spacing w:line="360" w:lineRule="exact"/>
              <w:jc w:val="center"/>
              <w:rPr>
                <w:rFonts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12</w:t>
            </w:r>
          </w:p>
        </w:tc>
      </w:tr>
      <w:tr w14:paraId="563677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0" w:hRule="atLeast"/>
        </w:trPr>
        <w:tc>
          <w:tcPr>
            <w:tcW w:w="668" w:type="dxa"/>
            <w:noWrap w:val="0"/>
            <w:vAlign w:val="center"/>
          </w:tcPr>
          <w:p w14:paraId="3D2C373D">
            <w:pPr>
              <w:spacing w:line="360" w:lineRule="exact"/>
              <w:jc w:val="center"/>
              <w:rPr>
                <w:rFonts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2.3</w:t>
            </w:r>
          </w:p>
        </w:tc>
        <w:tc>
          <w:tcPr>
            <w:tcW w:w="1116" w:type="dxa"/>
            <w:noWrap w:val="0"/>
            <w:vAlign w:val="center"/>
          </w:tcPr>
          <w:p w14:paraId="643C18FC">
            <w:pPr>
              <w:spacing w:line="360" w:lineRule="exact"/>
              <w:jc w:val="center"/>
              <w:rPr>
                <w:rFonts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项目组成员（驻场律师）</w:t>
            </w:r>
          </w:p>
        </w:tc>
        <w:tc>
          <w:tcPr>
            <w:tcW w:w="7451" w:type="dxa"/>
            <w:noWrap w:val="0"/>
            <w:vAlign w:val="center"/>
          </w:tcPr>
          <w:p w14:paraId="4906F636">
            <w:pP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bidi="ar"/>
              </w:rPr>
              <w:t>驻场律师</w:t>
            </w:r>
            <w:r>
              <w:rPr>
                <w:rFonts w:hint="eastAsia" w:ascii="宋体" w:hAnsi="宋体" w:eastAsia="宋体" w:cs="宋体"/>
                <w:color w:val="000000"/>
                <w:szCs w:val="21"/>
                <w:highlight w:val="none"/>
              </w:rPr>
              <w:t>熟悉法律法规，具有</w:t>
            </w:r>
            <w:r>
              <w:rPr>
                <w:rFonts w:hint="eastAsia" w:ascii="宋体" w:hAnsi="宋体" w:eastAsia="宋体" w:cs="宋体"/>
                <w:color w:val="000000"/>
                <w:szCs w:val="21"/>
                <w:highlight w:val="none"/>
                <w:lang w:val="en-US" w:eastAsia="zh-CN"/>
              </w:rPr>
              <w:t>同类项目经验</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lang w:val="en-US" w:eastAsia="zh-CN"/>
              </w:rPr>
              <w:t>同类项目指“</w:t>
            </w:r>
            <w:r>
              <w:rPr>
                <w:rFonts w:hint="eastAsia" w:ascii="宋体" w:hAnsi="宋体" w:eastAsia="宋体" w:cs="宋体"/>
                <w:color w:val="000000"/>
                <w:szCs w:val="21"/>
                <w:highlight w:val="none"/>
              </w:rPr>
              <w:t>涉土地行政复议或诉讼案件</w:t>
            </w:r>
            <w:r>
              <w:rPr>
                <w:rFonts w:hint="eastAsia" w:ascii="宋体" w:hAnsi="宋体" w:eastAsia="宋体" w:cs="宋体"/>
                <w:color w:val="000000"/>
                <w:szCs w:val="21"/>
                <w:highlight w:val="none"/>
                <w:lang w:val="en-US" w:eastAsia="zh-CN"/>
              </w:rPr>
              <w:t>”或“</w:t>
            </w:r>
            <w:r>
              <w:rPr>
                <w:rFonts w:hint="eastAsia" w:ascii="宋体" w:hAnsi="宋体" w:cs="宋体"/>
                <w:color w:val="000000"/>
                <w:szCs w:val="21"/>
                <w:highlight w:val="none"/>
              </w:rPr>
              <w:t>用地报批合法性审查</w:t>
            </w:r>
            <w:r>
              <w:rPr>
                <w:rFonts w:hint="eastAsia" w:ascii="宋体" w:hAnsi="宋体" w:eastAsia="宋体" w:cs="宋体"/>
                <w:color w:val="000000"/>
                <w:szCs w:val="21"/>
                <w:highlight w:val="none"/>
                <w:lang w:val="en-US" w:eastAsia="zh-CN"/>
              </w:rPr>
              <w:t>”或“</w:t>
            </w:r>
            <w:r>
              <w:rPr>
                <w:rFonts w:hint="eastAsia" w:ascii="宋体" w:hAnsi="宋体" w:eastAsia="宋体" w:cs="宋体"/>
                <w:color w:val="000000"/>
                <w:highlight w:val="none"/>
              </w:rPr>
              <w:t>重大行政决策</w:t>
            </w:r>
            <w:r>
              <w:rPr>
                <w:rFonts w:hint="eastAsia" w:ascii="宋体" w:hAnsi="宋体" w:eastAsia="宋体" w:cs="宋体"/>
                <w:color w:val="000000"/>
                <w:highlight w:val="none"/>
                <w:lang w:val="en-US" w:eastAsia="zh-CN"/>
              </w:rPr>
              <w:t>或</w:t>
            </w:r>
            <w:r>
              <w:rPr>
                <w:rFonts w:hint="eastAsia" w:ascii="宋体" w:hAnsi="宋体" w:eastAsia="宋体" w:cs="宋体"/>
                <w:color w:val="000000"/>
                <w:highlight w:val="none"/>
              </w:rPr>
              <w:t>行政规范性文件</w:t>
            </w:r>
            <w:r>
              <w:rPr>
                <w:rFonts w:hint="eastAsia" w:ascii="宋体" w:hAnsi="宋体" w:eastAsia="宋体" w:cs="宋体"/>
                <w:color w:val="000000"/>
                <w:highlight w:val="none"/>
                <w:lang w:val="en-US" w:eastAsia="zh-CN"/>
              </w:rPr>
              <w:t>或</w:t>
            </w:r>
            <w:r>
              <w:rPr>
                <w:rFonts w:hint="eastAsia" w:ascii="宋体" w:hAnsi="宋体" w:eastAsia="宋体" w:cs="宋体"/>
                <w:color w:val="000000"/>
                <w:highlight w:val="none"/>
              </w:rPr>
              <w:t>行政合同</w:t>
            </w:r>
            <w:r>
              <w:rPr>
                <w:rFonts w:hint="eastAsia" w:ascii="宋体" w:hAnsi="宋体" w:eastAsia="宋体" w:cs="宋体"/>
                <w:color w:val="000000"/>
                <w:highlight w:val="none"/>
                <w:lang w:val="en-US" w:eastAsia="zh-CN"/>
              </w:rPr>
              <w:t>或</w:t>
            </w:r>
            <w:r>
              <w:rPr>
                <w:rFonts w:hint="eastAsia" w:ascii="宋体" w:hAnsi="宋体" w:eastAsia="宋体" w:cs="宋体"/>
                <w:color w:val="000000"/>
                <w:highlight w:val="none"/>
              </w:rPr>
              <w:t>其他</w:t>
            </w:r>
            <w:r>
              <w:rPr>
                <w:rFonts w:hint="eastAsia" w:ascii="宋体" w:hAnsi="宋体" w:eastAsia="宋体" w:cs="宋体"/>
                <w:color w:val="000000"/>
                <w:highlight w:val="none"/>
                <w:lang w:val="en-US" w:eastAsia="zh-CN"/>
              </w:rPr>
              <w:t>涉法</w:t>
            </w:r>
            <w:r>
              <w:rPr>
                <w:rFonts w:hint="eastAsia" w:ascii="宋体" w:hAnsi="宋体" w:eastAsia="宋体" w:cs="宋体"/>
                <w:color w:val="000000"/>
                <w:highlight w:val="none"/>
              </w:rPr>
              <w:t>事务的合法性审查</w:t>
            </w:r>
            <w:r>
              <w:rPr>
                <w:rFonts w:hint="eastAsia" w:ascii="宋体" w:hAnsi="宋体" w:eastAsia="宋体" w:cs="宋体"/>
                <w:color w:val="000000"/>
                <w:szCs w:val="21"/>
                <w:highlight w:val="none"/>
                <w:lang w:val="en-US" w:eastAsia="zh-CN"/>
              </w:rPr>
              <w:t>”中任意一种</w:t>
            </w:r>
            <w:r>
              <w:rPr>
                <w:rFonts w:hint="eastAsia" w:ascii="宋体" w:hAnsi="宋体" w:eastAsia="宋体" w:cs="宋体"/>
                <w:color w:val="000000"/>
                <w:szCs w:val="21"/>
                <w:highlight w:val="none"/>
                <w:lang w:eastAsia="zh-CN"/>
              </w:rPr>
              <w:t>）的</w:t>
            </w:r>
            <w:r>
              <w:rPr>
                <w:rFonts w:hint="eastAsia" w:ascii="宋体" w:hAnsi="宋体" w:eastAsia="宋体" w:cs="宋体"/>
                <w:color w:val="000000"/>
                <w:szCs w:val="21"/>
                <w:highlight w:val="none"/>
              </w:rPr>
              <w:t>得</w:t>
            </w:r>
            <w:r>
              <w:rPr>
                <w:rFonts w:hint="eastAsia" w:ascii="宋体" w:hAnsi="宋体" w:eastAsia="宋体" w:cs="宋体"/>
                <w:color w:val="000000"/>
                <w:szCs w:val="21"/>
                <w:highlight w:val="none"/>
                <w:lang w:val="en-US" w:eastAsia="zh-CN"/>
              </w:rPr>
              <w:t>2分/个</w:t>
            </w:r>
            <w:r>
              <w:rPr>
                <w:rFonts w:hint="eastAsia" w:ascii="宋体" w:hAnsi="宋体" w:eastAsia="宋体" w:cs="宋体"/>
                <w:color w:val="000000"/>
                <w:szCs w:val="21"/>
                <w:highlight w:val="none"/>
              </w:rPr>
              <w:t>，最高得</w:t>
            </w:r>
            <w:r>
              <w:rPr>
                <w:rFonts w:hint="eastAsia" w:ascii="宋体" w:hAnsi="宋体" w:eastAsia="宋体" w:cs="宋体"/>
                <w:color w:val="000000"/>
                <w:szCs w:val="21"/>
                <w:highlight w:val="none"/>
                <w:lang w:val="en-US" w:eastAsia="zh-CN"/>
              </w:rPr>
              <w:t>4</w:t>
            </w:r>
            <w:r>
              <w:rPr>
                <w:rFonts w:hint="eastAsia" w:ascii="宋体" w:hAnsi="宋体" w:eastAsia="宋体" w:cs="宋体"/>
                <w:color w:val="000000"/>
                <w:szCs w:val="21"/>
                <w:highlight w:val="none"/>
              </w:rPr>
              <w:t>分。</w:t>
            </w:r>
          </w:p>
          <w:p w14:paraId="63B4D866">
            <w:pP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（提供裁判文书</w:t>
            </w:r>
            <w:r>
              <w:rPr>
                <w:rFonts w:hint="eastAsia" w:ascii="宋体" w:hAnsi="宋体" w:eastAsia="宋体" w:cs="宋体"/>
                <w:color w:val="000000"/>
                <w:szCs w:val="21"/>
                <w:highlight w:val="none"/>
                <w:lang w:val="en-US" w:eastAsia="zh-CN"/>
              </w:rPr>
              <w:t>或业绩合同</w:t>
            </w:r>
            <w:r>
              <w:rPr>
                <w:rFonts w:hint="eastAsia" w:ascii="宋体" w:hAnsi="宋体" w:eastAsia="宋体" w:cs="宋体"/>
                <w:color w:val="000000"/>
                <w:szCs w:val="21"/>
                <w:highlight w:val="none"/>
              </w:rPr>
              <w:t>证明材料</w:t>
            </w:r>
            <w:r>
              <w:rPr>
                <w:rFonts w:hint="eastAsia" w:ascii="宋体" w:hAnsi="宋体" w:eastAsia="宋体" w:cs="宋体"/>
                <w:color w:val="000000"/>
                <w:szCs w:val="21"/>
                <w:highlight w:val="none"/>
                <w:lang w:val="en-US" w:eastAsia="zh-CN"/>
              </w:rPr>
              <w:t>扫描件</w:t>
            </w:r>
            <w:r>
              <w:rPr>
                <w:rFonts w:hint="eastAsia" w:ascii="宋体" w:hAnsi="宋体" w:eastAsia="宋体" w:cs="宋体"/>
                <w:color w:val="000000"/>
                <w:szCs w:val="21"/>
                <w:highlight w:val="none"/>
              </w:rPr>
              <w:t>，提供的证明材料须能</w:t>
            </w:r>
            <w:r>
              <w:rPr>
                <w:rFonts w:hint="eastAsia" w:ascii="宋体" w:hAnsi="宋体" w:eastAsia="宋体" w:cs="宋体"/>
                <w:color w:val="000000"/>
                <w:szCs w:val="21"/>
                <w:highlight w:val="none"/>
                <w:lang w:val="en-US" w:eastAsia="zh-CN"/>
              </w:rPr>
              <w:t>清晰</w:t>
            </w:r>
            <w:r>
              <w:rPr>
                <w:rFonts w:hint="eastAsia" w:ascii="宋体" w:hAnsi="宋体" w:eastAsia="宋体" w:cs="宋体"/>
                <w:color w:val="000000"/>
                <w:szCs w:val="21"/>
                <w:highlight w:val="none"/>
              </w:rPr>
              <w:t>反映出相关内容，否则视为未提供）</w:t>
            </w:r>
          </w:p>
        </w:tc>
        <w:tc>
          <w:tcPr>
            <w:tcW w:w="763" w:type="dxa"/>
            <w:noWrap w:val="0"/>
            <w:vAlign w:val="center"/>
          </w:tcPr>
          <w:p w14:paraId="26FAFD89">
            <w:pPr>
              <w:spacing w:line="360" w:lineRule="exact"/>
              <w:jc w:val="center"/>
              <w:rPr>
                <w:rFonts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4</w:t>
            </w:r>
          </w:p>
        </w:tc>
      </w:tr>
      <w:tr w14:paraId="0B6B50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668" w:type="dxa"/>
            <w:noWrap w:val="0"/>
            <w:vAlign w:val="center"/>
          </w:tcPr>
          <w:p w14:paraId="1A6760CA">
            <w:pPr>
              <w:rPr>
                <w:color w:val="000000"/>
                <w:highlight w:val="none"/>
              </w:rPr>
            </w:pPr>
          </w:p>
        </w:tc>
        <w:tc>
          <w:tcPr>
            <w:tcW w:w="1116" w:type="dxa"/>
            <w:noWrap w:val="0"/>
            <w:vAlign w:val="center"/>
          </w:tcPr>
          <w:p w14:paraId="055A942C">
            <w:pPr>
              <w:rPr>
                <w:color w:val="000000"/>
                <w:highlight w:val="none"/>
              </w:rPr>
            </w:pPr>
          </w:p>
        </w:tc>
        <w:tc>
          <w:tcPr>
            <w:tcW w:w="7451" w:type="dxa"/>
            <w:noWrap w:val="0"/>
            <w:vAlign w:val="center"/>
          </w:tcPr>
          <w:p w14:paraId="2C02536D">
            <w:pPr>
              <w:rPr>
                <w:color w:val="000000"/>
                <w:highlight w:val="none"/>
              </w:rPr>
            </w:pPr>
          </w:p>
        </w:tc>
        <w:tc>
          <w:tcPr>
            <w:tcW w:w="763" w:type="dxa"/>
            <w:noWrap w:val="0"/>
            <w:vAlign w:val="center"/>
          </w:tcPr>
          <w:p w14:paraId="6D345826">
            <w:pPr>
              <w:rPr>
                <w:color w:val="000000"/>
                <w:highlight w:val="none"/>
              </w:rPr>
            </w:pPr>
          </w:p>
        </w:tc>
      </w:tr>
      <w:tr w14:paraId="75D707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998" w:type="dxa"/>
            <w:gridSpan w:val="4"/>
            <w:noWrap w:val="0"/>
            <w:vAlign w:val="center"/>
          </w:tcPr>
          <w:p w14:paraId="743BC245">
            <w:pPr>
              <w:spacing w:line="360" w:lineRule="exact"/>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val="en-US" w:eastAsia="zh-CN" w:bidi="ar"/>
              </w:rPr>
              <w:t>三</w:t>
            </w:r>
            <w:r>
              <w:rPr>
                <w:rFonts w:hint="eastAsia" w:ascii="宋体" w:hAnsi="宋体" w:eastAsia="宋体" w:cs="宋体"/>
                <w:color w:val="000000"/>
                <w:szCs w:val="21"/>
                <w:highlight w:val="none"/>
                <w:lang w:bidi="ar"/>
              </w:rPr>
              <w:t>、技术部分（</w:t>
            </w:r>
            <w:r>
              <w:rPr>
                <w:rFonts w:hint="eastAsia" w:ascii="宋体" w:hAnsi="宋体" w:eastAsia="宋体" w:cs="宋体"/>
                <w:color w:val="000000"/>
                <w:szCs w:val="21"/>
                <w:highlight w:val="none"/>
                <w:lang w:val="en-US" w:eastAsia="zh-CN" w:bidi="ar"/>
              </w:rPr>
              <w:t>57</w:t>
            </w:r>
            <w:r>
              <w:rPr>
                <w:rFonts w:hint="eastAsia" w:ascii="宋体" w:hAnsi="宋体" w:eastAsia="宋体" w:cs="宋体"/>
                <w:color w:val="000000"/>
                <w:szCs w:val="21"/>
                <w:highlight w:val="none"/>
                <w:lang w:bidi="ar"/>
              </w:rPr>
              <w:t>分）</w:t>
            </w:r>
          </w:p>
        </w:tc>
      </w:tr>
      <w:tr w14:paraId="0312E6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668" w:type="dxa"/>
            <w:noWrap w:val="0"/>
            <w:vAlign w:val="center"/>
          </w:tcPr>
          <w:p w14:paraId="3B0E32CD">
            <w:pPr>
              <w:spacing w:line="36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3</w:t>
            </w:r>
            <w:r>
              <w:rPr>
                <w:rFonts w:hint="eastAsia" w:ascii="宋体" w:hAnsi="宋体" w:eastAsia="宋体" w:cs="宋体"/>
                <w:color w:val="000000"/>
                <w:szCs w:val="21"/>
                <w:highlight w:val="none"/>
              </w:rPr>
              <w:t>.1</w:t>
            </w:r>
          </w:p>
        </w:tc>
        <w:tc>
          <w:tcPr>
            <w:tcW w:w="1116" w:type="dxa"/>
            <w:noWrap w:val="0"/>
            <w:vAlign w:val="center"/>
          </w:tcPr>
          <w:p w14:paraId="591C1463">
            <w:pPr>
              <w:spacing w:line="36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总体实施方案</w:t>
            </w:r>
          </w:p>
        </w:tc>
        <w:tc>
          <w:tcPr>
            <w:tcW w:w="7451" w:type="dxa"/>
            <w:noWrap w:val="0"/>
            <w:vAlign w:val="top"/>
          </w:tcPr>
          <w:p w14:paraId="3D0C31DD">
            <w:pP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根据供应商针对本项目提供的总体实施方案</w:t>
            </w:r>
            <w:r>
              <w:rPr>
                <w:rFonts w:hint="eastAsia" w:ascii="宋体" w:hAnsi="宋体"/>
                <w:color w:val="000000"/>
                <w:szCs w:val="21"/>
                <w:highlight w:val="none"/>
              </w:rPr>
              <w:t>进行</w:t>
            </w:r>
            <w:r>
              <w:rPr>
                <w:rFonts w:hint="eastAsia" w:ascii="宋体" w:hAnsi="宋体" w:eastAsia="宋体" w:cs="宋体"/>
                <w:color w:val="000000"/>
                <w:szCs w:val="21"/>
                <w:highlight w:val="none"/>
              </w:rPr>
              <w:t>评审：</w:t>
            </w:r>
          </w:p>
          <w:p w14:paraId="54A93ABE">
            <w:pP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（1）总体实施方案全面，具有合理的服务体系、组织架构，具有明确的进度控制、风险控制管理、质量保障措施、信息安全管理措施、文档管理措施，得</w:t>
            </w:r>
            <w:r>
              <w:rPr>
                <w:rFonts w:hint="eastAsia" w:ascii="宋体" w:hAnsi="宋体" w:eastAsia="宋体" w:cs="宋体"/>
                <w:color w:val="000000"/>
                <w:szCs w:val="21"/>
                <w:highlight w:val="none"/>
                <w:lang w:val="en-US" w:eastAsia="zh-CN"/>
              </w:rPr>
              <w:t>8</w:t>
            </w:r>
            <w:r>
              <w:rPr>
                <w:rFonts w:hint="eastAsia" w:ascii="宋体" w:hAnsi="宋体" w:eastAsia="宋体" w:cs="宋体"/>
                <w:color w:val="000000"/>
                <w:szCs w:val="21"/>
                <w:highlight w:val="none"/>
              </w:rPr>
              <w:t>分；</w:t>
            </w:r>
          </w:p>
          <w:p w14:paraId="07099609">
            <w:pP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（2）总体实施方案不够全面，服务体系、组织架构不够合理，进度控制、风险控制管理、质量保障措施、信息安全管理措施、文档管理措施不全，得</w:t>
            </w:r>
            <w:r>
              <w:rPr>
                <w:rFonts w:hint="eastAsia" w:ascii="宋体" w:hAnsi="宋体" w:eastAsia="宋体" w:cs="宋体"/>
                <w:color w:val="000000"/>
                <w:szCs w:val="21"/>
                <w:highlight w:val="none"/>
                <w:lang w:val="en-US" w:eastAsia="zh-CN"/>
              </w:rPr>
              <w:t>5</w:t>
            </w:r>
            <w:r>
              <w:rPr>
                <w:rFonts w:hint="eastAsia" w:ascii="宋体" w:hAnsi="宋体" w:eastAsia="宋体" w:cs="宋体"/>
                <w:color w:val="000000"/>
                <w:szCs w:val="21"/>
                <w:highlight w:val="none"/>
              </w:rPr>
              <w:t>分；</w:t>
            </w:r>
          </w:p>
          <w:p w14:paraId="40F516C4">
            <w:pP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（3）实施方案不全面，服务体系、组织架构不合理，进度控制、风险控制管理、质量保障措施、信息安全管理措施、文档管理措施严重缺漏，得</w:t>
            </w:r>
            <w:r>
              <w:rPr>
                <w:rFonts w:hint="eastAsia" w:ascii="宋体" w:hAnsi="宋体" w:eastAsia="宋体" w:cs="宋体"/>
                <w:color w:val="000000"/>
                <w:szCs w:val="21"/>
                <w:highlight w:val="none"/>
                <w:lang w:val="en-US" w:eastAsia="zh-CN"/>
              </w:rPr>
              <w:t>2</w:t>
            </w:r>
            <w:r>
              <w:rPr>
                <w:rFonts w:hint="eastAsia" w:ascii="宋体" w:hAnsi="宋体" w:eastAsia="宋体" w:cs="宋体"/>
                <w:color w:val="000000"/>
                <w:szCs w:val="21"/>
                <w:highlight w:val="none"/>
              </w:rPr>
              <w:t>分</w:t>
            </w:r>
          </w:p>
          <w:p w14:paraId="04A5AD43">
            <w:pP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（4）未提供总体实施方案或方案与项目严重不符，本项得0分。</w:t>
            </w:r>
          </w:p>
        </w:tc>
        <w:tc>
          <w:tcPr>
            <w:tcW w:w="763" w:type="dxa"/>
            <w:noWrap w:val="0"/>
            <w:vAlign w:val="center"/>
          </w:tcPr>
          <w:p w14:paraId="23F48CA4">
            <w:pPr>
              <w:spacing w:line="360" w:lineRule="exact"/>
              <w:jc w:val="center"/>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8</w:t>
            </w:r>
          </w:p>
        </w:tc>
      </w:tr>
      <w:tr w14:paraId="3D943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668" w:type="dxa"/>
            <w:noWrap w:val="0"/>
            <w:vAlign w:val="center"/>
          </w:tcPr>
          <w:p w14:paraId="1AEC9A58">
            <w:pPr>
              <w:spacing w:line="36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3</w:t>
            </w:r>
            <w:r>
              <w:rPr>
                <w:rFonts w:hint="eastAsia" w:ascii="宋体" w:hAnsi="宋体" w:eastAsia="宋体" w:cs="宋体"/>
                <w:color w:val="000000"/>
                <w:szCs w:val="21"/>
                <w:highlight w:val="none"/>
              </w:rPr>
              <w:t>.2</w:t>
            </w:r>
          </w:p>
        </w:tc>
        <w:tc>
          <w:tcPr>
            <w:tcW w:w="1116" w:type="dxa"/>
            <w:noWrap w:val="0"/>
            <w:vAlign w:val="center"/>
          </w:tcPr>
          <w:p w14:paraId="49F125B4">
            <w:pPr>
              <w:spacing w:line="36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进度实施计划</w:t>
            </w:r>
          </w:p>
        </w:tc>
        <w:tc>
          <w:tcPr>
            <w:tcW w:w="7451" w:type="dxa"/>
            <w:noWrap w:val="0"/>
            <w:vAlign w:val="center"/>
          </w:tcPr>
          <w:p w14:paraId="7C487C81">
            <w:pP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根据供应商针对本项目提供的实施计划</w:t>
            </w:r>
            <w:r>
              <w:rPr>
                <w:rFonts w:hint="eastAsia" w:ascii="宋体" w:hAnsi="宋体"/>
                <w:color w:val="000000"/>
                <w:szCs w:val="21"/>
                <w:highlight w:val="none"/>
              </w:rPr>
              <w:t>进行</w:t>
            </w:r>
            <w:r>
              <w:rPr>
                <w:rFonts w:hint="eastAsia" w:ascii="宋体" w:hAnsi="宋体" w:eastAsia="宋体" w:cs="宋体"/>
                <w:color w:val="000000"/>
                <w:szCs w:val="21"/>
                <w:highlight w:val="none"/>
              </w:rPr>
              <w:t>评审：</w:t>
            </w:r>
          </w:p>
          <w:p w14:paraId="76698ACF">
            <w:pPr>
              <w:widowControl/>
              <w:numPr>
                <w:ilvl w:val="0"/>
                <w:numId w:val="9"/>
              </w:numPr>
              <w:spacing w:line="360" w:lineRule="exact"/>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项目实施计划安排合理，实施人员配备合理、实施计划内容完整、针对性强得</w:t>
            </w:r>
            <w:r>
              <w:rPr>
                <w:rFonts w:hint="eastAsia" w:ascii="宋体" w:hAnsi="宋体" w:eastAsia="宋体" w:cs="宋体"/>
                <w:color w:val="000000"/>
                <w:szCs w:val="21"/>
                <w:highlight w:val="none"/>
                <w:lang w:val="en-US" w:eastAsia="zh-CN"/>
              </w:rPr>
              <w:t>7</w:t>
            </w:r>
            <w:r>
              <w:rPr>
                <w:rFonts w:hint="eastAsia" w:ascii="宋体" w:hAnsi="宋体" w:eastAsia="宋体" w:cs="宋体"/>
                <w:color w:val="000000"/>
                <w:szCs w:val="21"/>
                <w:highlight w:val="none"/>
              </w:rPr>
              <w:t>分；</w:t>
            </w:r>
          </w:p>
          <w:p w14:paraId="76119486">
            <w:pPr>
              <w:widowControl/>
              <w:numPr>
                <w:ilvl w:val="0"/>
                <w:numId w:val="9"/>
              </w:numPr>
              <w:spacing w:line="360" w:lineRule="exact"/>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项目实施计划方案较好，基本满足项目需求，针对性较强</w:t>
            </w:r>
            <w:r>
              <w:rPr>
                <w:rFonts w:hint="eastAsia" w:ascii="宋体" w:hAnsi="宋体" w:eastAsia="宋体" w:cs="宋体"/>
                <w:color w:val="000000"/>
                <w:szCs w:val="21"/>
                <w:highlight w:val="none"/>
                <w:lang w:val="en-US" w:eastAsia="zh-CN"/>
              </w:rPr>
              <w:t>5</w:t>
            </w:r>
            <w:r>
              <w:rPr>
                <w:rFonts w:hint="eastAsia" w:ascii="宋体" w:hAnsi="宋体" w:eastAsia="宋体" w:cs="宋体"/>
                <w:color w:val="000000"/>
                <w:szCs w:val="21"/>
                <w:highlight w:val="none"/>
              </w:rPr>
              <w:t>分；</w:t>
            </w:r>
          </w:p>
          <w:p w14:paraId="681362E2">
            <w:pPr>
              <w:widowControl/>
              <w:numPr>
                <w:ilvl w:val="0"/>
                <w:numId w:val="9"/>
              </w:numPr>
              <w:spacing w:line="360" w:lineRule="exact"/>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实施计划内容有瑕疵、实施人员配备满足项目需求得</w:t>
            </w:r>
            <w:r>
              <w:rPr>
                <w:rFonts w:hint="eastAsia" w:ascii="宋体" w:hAnsi="宋体" w:eastAsia="宋体" w:cs="宋体"/>
                <w:color w:val="000000"/>
                <w:szCs w:val="21"/>
                <w:highlight w:val="none"/>
                <w:lang w:val="en-US" w:eastAsia="zh-CN"/>
              </w:rPr>
              <w:t>2</w:t>
            </w:r>
            <w:r>
              <w:rPr>
                <w:rFonts w:hint="eastAsia" w:ascii="宋体" w:hAnsi="宋体" w:eastAsia="宋体" w:cs="宋体"/>
                <w:color w:val="000000"/>
                <w:szCs w:val="21"/>
                <w:highlight w:val="none"/>
              </w:rPr>
              <w:t>分；</w:t>
            </w:r>
          </w:p>
          <w:p w14:paraId="24333F86">
            <w:pP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（4）未提供不得分。</w:t>
            </w:r>
          </w:p>
        </w:tc>
        <w:tc>
          <w:tcPr>
            <w:tcW w:w="763" w:type="dxa"/>
            <w:noWrap w:val="0"/>
            <w:vAlign w:val="center"/>
          </w:tcPr>
          <w:p w14:paraId="68ED26DE">
            <w:pPr>
              <w:spacing w:line="360" w:lineRule="exact"/>
              <w:jc w:val="center"/>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7</w:t>
            </w:r>
          </w:p>
        </w:tc>
      </w:tr>
      <w:tr w14:paraId="225BFF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668" w:type="dxa"/>
            <w:noWrap w:val="0"/>
            <w:vAlign w:val="center"/>
          </w:tcPr>
          <w:p w14:paraId="28096756">
            <w:pPr>
              <w:spacing w:line="36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3</w:t>
            </w:r>
            <w:r>
              <w:rPr>
                <w:rFonts w:hint="eastAsia" w:ascii="宋体" w:hAnsi="宋体" w:eastAsia="宋体" w:cs="宋体"/>
                <w:color w:val="000000"/>
                <w:szCs w:val="21"/>
                <w:highlight w:val="none"/>
              </w:rPr>
              <w:t>.3</w:t>
            </w:r>
          </w:p>
        </w:tc>
        <w:tc>
          <w:tcPr>
            <w:tcW w:w="1116" w:type="dxa"/>
            <w:noWrap w:val="0"/>
            <w:vAlign w:val="center"/>
          </w:tcPr>
          <w:p w14:paraId="1D5DA5D7">
            <w:pPr>
              <w:spacing w:line="36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工作方式</w:t>
            </w:r>
          </w:p>
        </w:tc>
        <w:tc>
          <w:tcPr>
            <w:tcW w:w="7451" w:type="dxa"/>
            <w:noWrap w:val="0"/>
            <w:vAlign w:val="center"/>
          </w:tcPr>
          <w:p w14:paraId="64AB2E7A">
            <w:pP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根据供应商针对本项目提供的法律服务工作方式的响应情况</w:t>
            </w:r>
            <w:r>
              <w:rPr>
                <w:rFonts w:hint="eastAsia" w:ascii="宋体" w:hAnsi="宋体"/>
                <w:color w:val="000000"/>
                <w:szCs w:val="21"/>
                <w:highlight w:val="none"/>
              </w:rPr>
              <w:t>进行</w:t>
            </w:r>
            <w:r>
              <w:rPr>
                <w:rFonts w:hint="eastAsia" w:ascii="宋体" w:hAnsi="宋体" w:eastAsia="宋体" w:cs="宋体"/>
                <w:color w:val="000000"/>
                <w:szCs w:val="21"/>
                <w:highlight w:val="none"/>
              </w:rPr>
              <w:t>评审：</w:t>
            </w:r>
          </w:p>
          <w:p w14:paraId="62705972">
            <w:pP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（1）法律服务工作方式合理性强、完全符合采购人实际工作需求得</w:t>
            </w:r>
            <w:r>
              <w:rPr>
                <w:rFonts w:hint="eastAsia" w:ascii="宋体" w:hAnsi="宋体" w:eastAsia="宋体" w:cs="宋体"/>
                <w:color w:val="000000"/>
                <w:szCs w:val="21"/>
                <w:highlight w:val="none"/>
                <w:lang w:val="en-US" w:eastAsia="zh-CN"/>
              </w:rPr>
              <w:t>7</w:t>
            </w:r>
            <w:r>
              <w:rPr>
                <w:rFonts w:hint="eastAsia" w:ascii="宋体" w:hAnsi="宋体" w:eastAsia="宋体" w:cs="宋体"/>
                <w:color w:val="000000"/>
                <w:szCs w:val="21"/>
                <w:highlight w:val="none"/>
              </w:rPr>
              <w:t>分；</w:t>
            </w:r>
          </w:p>
          <w:p w14:paraId="4A8E9BB1">
            <w:pP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（2）法律服务工作方式合理性较强、对采购人实际需求符合程度较好得</w:t>
            </w:r>
            <w:r>
              <w:rPr>
                <w:rFonts w:hint="eastAsia" w:ascii="宋体" w:hAnsi="宋体" w:eastAsia="宋体" w:cs="宋体"/>
                <w:color w:val="000000"/>
                <w:szCs w:val="21"/>
                <w:highlight w:val="none"/>
                <w:lang w:val="en-US" w:eastAsia="zh-CN"/>
              </w:rPr>
              <w:t>5</w:t>
            </w:r>
            <w:r>
              <w:rPr>
                <w:rFonts w:hint="eastAsia" w:ascii="宋体" w:hAnsi="宋体" w:eastAsia="宋体" w:cs="宋体"/>
                <w:color w:val="000000"/>
                <w:szCs w:val="21"/>
                <w:highlight w:val="none"/>
              </w:rPr>
              <w:t>分；</w:t>
            </w:r>
          </w:p>
          <w:p w14:paraId="586EB376">
            <w:pP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（3）法律服务工作方式合理性略有缺陷、基本符合采购人实际需求得</w:t>
            </w:r>
            <w:r>
              <w:rPr>
                <w:rFonts w:hint="eastAsia" w:ascii="宋体" w:hAnsi="宋体" w:eastAsia="宋体" w:cs="宋体"/>
                <w:color w:val="000000"/>
                <w:szCs w:val="21"/>
                <w:highlight w:val="none"/>
                <w:lang w:val="en-US" w:eastAsia="zh-CN"/>
              </w:rPr>
              <w:t>2</w:t>
            </w:r>
            <w:r>
              <w:rPr>
                <w:rFonts w:hint="eastAsia" w:ascii="宋体" w:hAnsi="宋体" w:eastAsia="宋体" w:cs="宋体"/>
                <w:color w:val="000000"/>
                <w:szCs w:val="21"/>
                <w:highlight w:val="none"/>
              </w:rPr>
              <w:t>分；</w:t>
            </w:r>
          </w:p>
          <w:p w14:paraId="5045881B">
            <w:pP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（4）未提供不得分。</w:t>
            </w:r>
          </w:p>
        </w:tc>
        <w:tc>
          <w:tcPr>
            <w:tcW w:w="763" w:type="dxa"/>
            <w:noWrap w:val="0"/>
            <w:vAlign w:val="center"/>
          </w:tcPr>
          <w:p w14:paraId="2918496B">
            <w:pPr>
              <w:spacing w:line="360" w:lineRule="exact"/>
              <w:jc w:val="center"/>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7</w:t>
            </w:r>
          </w:p>
        </w:tc>
      </w:tr>
      <w:tr w14:paraId="505F59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668" w:type="dxa"/>
            <w:noWrap w:val="0"/>
            <w:vAlign w:val="center"/>
          </w:tcPr>
          <w:p w14:paraId="17B4C96B">
            <w:pPr>
              <w:spacing w:line="360" w:lineRule="exact"/>
              <w:jc w:val="center"/>
              <w:rPr>
                <w:rFonts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3</w:t>
            </w:r>
            <w:r>
              <w:rPr>
                <w:rFonts w:hint="eastAsia" w:ascii="宋体" w:hAnsi="宋体" w:eastAsia="宋体" w:cs="宋体"/>
                <w:color w:val="000000"/>
                <w:szCs w:val="21"/>
                <w:highlight w:val="none"/>
              </w:rPr>
              <w:t>.4</w:t>
            </w:r>
          </w:p>
        </w:tc>
        <w:tc>
          <w:tcPr>
            <w:tcW w:w="1116" w:type="dxa"/>
            <w:noWrap w:val="0"/>
            <w:vAlign w:val="center"/>
          </w:tcPr>
          <w:p w14:paraId="14E6D36E">
            <w:pPr>
              <w:spacing w:line="36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工作方案</w:t>
            </w:r>
          </w:p>
        </w:tc>
        <w:tc>
          <w:tcPr>
            <w:tcW w:w="7451" w:type="dxa"/>
            <w:noWrap w:val="0"/>
            <w:vAlign w:val="center"/>
          </w:tcPr>
          <w:p w14:paraId="0DF65D94">
            <w:pP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根据供应商针对本项目提供的法律服务工作方案的响应情况</w:t>
            </w:r>
            <w:r>
              <w:rPr>
                <w:rFonts w:hint="eastAsia" w:ascii="宋体" w:hAnsi="宋体"/>
                <w:color w:val="000000"/>
                <w:szCs w:val="21"/>
                <w:highlight w:val="none"/>
              </w:rPr>
              <w:t>进行</w:t>
            </w:r>
            <w:r>
              <w:rPr>
                <w:rFonts w:hint="eastAsia" w:ascii="宋体" w:hAnsi="宋体" w:eastAsia="宋体" w:cs="宋体"/>
                <w:color w:val="000000"/>
                <w:szCs w:val="21"/>
                <w:highlight w:val="none"/>
              </w:rPr>
              <w:t>评审：</w:t>
            </w:r>
          </w:p>
          <w:p w14:paraId="4B7437FF">
            <w:pP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（1）法律服务工作方案科学合理，实际操作可行性强得</w:t>
            </w:r>
            <w:r>
              <w:rPr>
                <w:rFonts w:hint="eastAsia" w:ascii="宋体" w:hAnsi="宋体" w:eastAsia="宋体" w:cs="宋体"/>
                <w:color w:val="000000"/>
                <w:szCs w:val="21"/>
                <w:highlight w:val="none"/>
                <w:lang w:val="en-US" w:eastAsia="zh-CN"/>
              </w:rPr>
              <w:t>7</w:t>
            </w:r>
            <w:r>
              <w:rPr>
                <w:rFonts w:hint="eastAsia" w:ascii="宋体" w:hAnsi="宋体" w:eastAsia="宋体" w:cs="宋体"/>
                <w:color w:val="000000"/>
                <w:szCs w:val="21"/>
                <w:highlight w:val="none"/>
              </w:rPr>
              <w:t>分；</w:t>
            </w:r>
          </w:p>
          <w:p w14:paraId="09F3081F">
            <w:pP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（2）法律服务工作方案较为科学合理，实际操作可行性较强得</w:t>
            </w:r>
            <w:r>
              <w:rPr>
                <w:rFonts w:hint="eastAsia" w:ascii="宋体" w:hAnsi="宋体" w:eastAsia="宋体" w:cs="宋体"/>
                <w:color w:val="000000"/>
                <w:szCs w:val="21"/>
                <w:highlight w:val="none"/>
                <w:lang w:val="en-US" w:eastAsia="zh-CN"/>
              </w:rPr>
              <w:t>5</w:t>
            </w:r>
            <w:r>
              <w:rPr>
                <w:rFonts w:hint="eastAsia" w:ascii="宋体" w:hAnsi="宋体" w:eastAsia="宋体" w:cs="宋体"/>
                <w:color w:val="000000"/>
                <w:szCs w:val="21"/>
                <w:highlight w:val="none"/>
              </w:rPr>
              <w:t>分；</w:t>
            </w:r>
          </w:p>
          <w:p w14:paraId="3FD5A095">
            <w:pP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（3）法律服务工作方案科学合理性略有缺陷，实际操作可行性略有缺陷得</w:t>
            </w:r>
            <w:r>
              <w:rPr>
                <w:rFonts w:hint="eastAsia" w:ascii="宋体" w:hAnsi="宋体" w:eastAsia="宋体" w:cs="宋体"/>
                <w:color w:val="000000"/>
                <w:szCs w:val="21"/>
                <w:highlight w:val="none"/>
                <w:lang w:val="en-US" w:eastAsia="zh-CN"/>
              </w:rPr>
              <w:t>2</w:t>
            </w:r>
            <w:r>
              <w:rPr>
                <w:rFonts w:hint="eastAsia" w:ascii="宋体" w:hAnsi="宋体" w:eastAsia="宋体" w:cs="宋体"/>
                <w:color w:val="000000"/>
                <w:szCs w:val="21"/>
                <w:highlight w:val="none"/>
              </w:rPr>
              <w:t>分；</w:t>
            </w:r>
          </w:p>
          <w:p w14:paraId="09D983FB">
            <w:pP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（4）未提供方案不得分。</w:t>
            </w:r>
          </w:p>
        </w:tc>
        <w:tc>
          <w:tcPr>
            <w:tcW w:w="763" w:type="dxa"/>
            <w:noWrap w:val="0"/>
            <w:vAlign w:val="center"/>
          </w:tcPr>
          <w:p w14:paraId="58601F91">
            <w:pPr>
              <w:spacing w:line="360" w:lineRule="exact"/>
              <w:jc w:val="center"/>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7</w:t>
            </w:r>
          </w:p>
        </w:tc>
      </w:tr>
      <w:tr w14:paraId="396CB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668" w:type="dxa"/>
            <w:noWrap w:val="0"/>
            <w:vAlign w:val="center"/>
          </w:tcPr>
          <w:p w14:paraId="08A7B7D8">
            <w:pPr>
              <w:spacing w:line="36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3</w:t>
            </w:r>
            <w:r>
              <w:rPr>
                <w:rFonts w:hint="eastAsia" w:ascii="宋体" w:hAnsi="宋体" w:eastAsia="宋体" w:cs="宋体"/>
                <w:color w:val="000000"/>
                <w:szCs w:val="21"/>
                <w:highlight w:val="none"/>
              </w:rPr>
              <w:t>.5</w:t>
            </w:r>
          </w:p>
        </w:tc>
        <w:tc>
          <w:tcPr>
            <w:tcW w:w="1116" w:type="dxa"/>
            <w:noWrap w:val="0"/>
            <w:vAlign w:val="center"/>
          </w:tcPr>
          <w:p w14:paraId="050C676B">
            <w:pPr>
              <w:spacing w:line="400" w:lineRule="exact"/>
              <w:rPr>
                <w:rFonts w:hint="eastAsia" w:ascii="宋体" w:hAnsi="宋体" w:eastAsia="等线"/>
                <w:color w:val="000000"/>
                <w:szCs w:val="21"/>
                <w:highlight w:val="none"/>
              </w:rPr>
            </w:pPr>
            <w:r>
              <w:rPr>
                <w:rFonts w:hint="eastAsia" w:ascii="宋体" w:hAnsi="宋体"/>
                <w:color w:val="000000"/>
                <w:szCs w:val="21"/>
                <w:highlight w:val="none"/>
              </w:rPr>
              <w:t>服务优势</w:t>
            </w:r>
          </w:p>
        </w:tc>
        <w:tc>
          <w:tcPr>
            <w:tcW w:w="7451" w:type="dxa"/>
            <w:noWrap w:val="0"/>
            <w:vAlign w:val="center"/>
          </w:tcPr>
          <w:p w14:paraId="6A043562">
            <w:pPr>
              <w:spacing w:line="400" w:lineRule="exact"/>
              <w:rPr>
                <w:rFonts w:ascii="宋体" w:hAnsi="宋体" w:eastAsia="宋体" w:cs="宋体"/>
                <w:color w:val="000000"/>
                <w:szCs w:val="21"/>
                <w:highlight w:val="none"/>
              </w:rPr>
            </w:pPr>
            <w:r>
              <w:rPr>
                <w:rFonts w:hint="eastAsia" w:ascii="宋体" w:hAnsi="宋体"/>
                <w:color w:val="000000"/>
                <w:szCs w:val="21"/>
                <w:highlight w:val="none"/>
              </w:rPr>
              <w:t>根据供应商提供的自身服务优势和服务特色进行</w:t>
            </w:r>
            <w:r>
              <w:rPr>
                <w:rFonts w:hint="eastAsia" w:ascii="宋体" w:hAnsi="宋体" w:eastAsia="宋体" w:cs="宋体"/>
                <w:color w:val="000000"/>
                <w:szCs w:val="21"/>
                <w:highlight w:val="none"/>
              </w:rPr>
              <w:t>评审：</w:t>
            </w:r>
          </w:p>
          <w:p w14:paraId="5882CBD1">
            <w:pPr>
              <w:spacing w:line="400" w:lineRule="exact"/>
              <w:rPr>
                <w:rFonts w:ascii="宋体" w:hAnsi="宋体"/>
                <w:color w:val="000000"/>
                <w:szCs w:val="21"/>
                <w:highlight w:val="none"/>
              </w:rPr>
            </w:pPr>
            <w:r>
              <w:rPr>
                <w:rFonts w:hint="eastAsia" w:ascii="宋体" w:hAnsi="宋体" w:eastAsia="宋体" w:cs="宋体"/>
                <w:color w:val="000000"/>
                <w:szCs w:val="21"/>
                <w:highlight w:val="none"/>
              </w:rPr>
              <w:t>（1）</w:t>
            </w:r>
            <w:r>
              <w:rPr>
                <w:rFonts w:hint="eastAsia" w:ascii="宋体" w:hAnsi="宋体"/>
                <w:color w:val="000000"/>
                <w:szCs w:val="21"/>
                <w:highlight w:val="none"/>
              </w:rPr>
              <w:t>服务优势和服务特色突出，对本项目法律服务有增值作用，能够充分满足本项目采购需求，得</w:t>
            </w:r>
            <w:r>
              <w:rPr>
                <w:rFonts w:hint="eastAsia" w:ascii="宋体" w:hAnsi="宋体" w:eastAsia="等线"/>
                <w:color w:val="000000"/>
                <w:szCs w:val="21"/>
                <w:highlight w:val="none"/>
                <w:lang w:val="en-US" w:eastAsia="zh-CN"/>
              </w:rPr>
              <w:t>7</w:t>
            </w:r>
            <w:r>
              <w:rPr>
                <w:rFonts w:hint="eastAsia" w:ascii="宋体" w:hAnsi="宋体"/>
                <w:color w:val="000000"/>
                <w:szCs w:val="21"/>
                <w:highlight w:val="none"/>
              </w:rPr>
              <w:t>分；</w:t>
            </w:r>
          </w:p>
          <w:p w14:paraId="0A350263">
            <w:pPr>
              <w:spacing w:line="400" w:lineRule="exact"/>
              <w:rPr>
                <w:rFonts w:ascii="宋体" w:hAnsi="宋体"/>
                <w:color w:val="000000"/>
                <w:szCs w:val="21"/>
                <w:highlight w:val="none"/>
              </w:rPr>
            </w:pPr>
            <w:r>
              <w:rPr>
                <w:rFonts w:hint="eastAsia" w:ascii="宋体" w:hAnsi="宋体" w:eastAsia="宋体" w:cs="宋体"/>
                <w:color w:val="000000"/>
                <w:szCs w:val="21"/>
                <w:highlight w:val="none"/>
              </w:rPr>
              <w:t>（2）</w:t>
            </w:r>
            <w:r>
              <w:rPr>
                <w:rFonts w:hint="eastAsia" w:ascii="宋体" w:hAnsi="宋体"/>
                <w:color w:val="000000"/>
                <w:szCs w:val="21"/>
                <w:highlight w:val="none"/>
              </w:rPr>
              <w:t>有一定服务优势或服务特色，有助于为本项目提供法律服务，能够满足本项目采购需求的，得</w:t>
            </w:r>
            <w:r>
              <w:rPr>
                <w:rFonts w:hint="eastAsia" w:ascii="宋体" w:hAnsi="宋体" w:eastAsia="等线"/>
                <w:color w:val="000000"/>
                <w:szCs w:val="21"/>
                <w:highlight w:val="none"/>
                <w:lang w:val="en-US" w:eastAsia="zh-CN"/>
              </w:rPr>
              <w:t>5</w:t>
            </w:r>
            <w:r>
              <w:rPr>
                <w:rFonts w:hint="eastAsia" w:ascii="宋体" w:hAnsi="宋体"/>
                <w:color w:val="000000"/>
                <w:szCs w:val="21"/>
                <w:highlight w:val="none"/>
              </w:rPr>
              <w:t>分；</w:t>
            </w:r>
          </w:p>
          <w:p w14:paraId="33A76E2F">
            <w:pPr>
              <w:spacing w:line="400" w:lineRule="exact"/>
              <w:rPr>
                <w:rFonts w:ascii="宋体" w:hAnsi="宋体"/>
                <w:color w:val="000000"/>
                <w:szCs w:val="21"/>
                <w:highlight w:val="none"/>
              </w:rPr>
            </w:pPr>
            <w:r>
              <w:rPr>
                <w:rFonts w:hint="eastAsia" w:ascii="宋体" w:hAnsi="宋体" w:eastAsia="宋体" w:cs="宋体"/>
                <w:color w:val="000000"/>
                <w:szCs w:val="21"/>
                <w:highlight w:val="none"/>
              </w:rPr>
              <w:t>（3）</w:t>
            </w:r>
            <w:r>
              <w:rPr>
                <w:rFonts w:hint="eastAsia" w:ascii="宋体" w:hAnsi="宋体"/>
                <w:color w:val="000000"/>
                <w:szCs w:val="21"/>
                <w:highlight w:val="none"/>
              </w:rPr>
              <w:t>服务优势和服务特色较为普通，基本能满足本项目采购需求的，得</w:t>
            </w:r>
            <w:r>
              <w:rPr>
                <w:rFonts w:hint="eastAsia" w:ascii="宋体" w:hAnsi="宋体" w:eastAsia="等线"/>
                <w:color w:val="000000"/>
                <w:szCs w:val="21"/>
                <w:highlight w:val="none"/>
                <w:lang w:val="en-US" w:eastAsia="zh-CN"/>
              </w:rPr>
              <w:t>2</w:t>
            </w:r>
            <w:r>
              <w:rPr>
                <w:rFonts w:hint="eastAsia" w:ascii="宋体" w:hAnsi="宋体"/>
                <w:color w:val="000000"/>
                <w:szCs w:val="21"/>
                <w:highlight w:val="none"/>
              </w:rPr>
              <w:t>分；</w:t>
            </w:r>
          </w:p>
          <w:p w14:paraId="328317C3">
            <w:pP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（4）未提供不得分。</w:t>
            </w:r>
          </w:p>
        </w:tc>
        <w:tc>
          <w:tcPr>
            <w:tcW w:w="763" w:type="dxa"/>
            <w:noWrap w:val="0"/>
            <w:vAlign w:val="center"/>
          </w:tcPr>
          <w:p w14:paraId="33DC073C">
            <w:pPr>
              <w:spacing w:line="360" w:lineRule="exact"/>
              <w:jc w:val="center"/>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7</w:t>
            </w:r>
          </w:p>
        </w:tc>
      </w:tr>
      <w:tr w14:paraId="532CD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668" w:type="dxa"/>
            <w:noWrap w:val="0"/>
            <w:vAlign w:val="center"/>
          </w:tcPr>
          <w:p w14:paraId="473EA6EB">
            <w:pPr>
              <w:spacing w:line="36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3</w:t>
            </w:r>
            <w:r>
              <w:rPr>
                <w:rFonts w:hint="eastAsia" w:ascii="宋体" w:hAnsi="宋体" w:eastAsia="宋体" w:cs="宋体"/>
                <w:color w:val="000000"/>
                <w:szCs w:val="21"/>
                <w:highlight w:val="none"/>
              </w:rPr>
              <w:t>.6</w:t>
            </w:r>
          </w:p>
        </w:tc>
        <w:tc>
          <w:tcPr>
            <w:tcW w:w="1116" w:type="dxa"/>
            <w:noWrap w:val="0"/>
            <w:vAlign w:val="center"/>
          </w:tcPr>
          <w:p w14:paraId="73A0CDB3">
            <w:pPr>
              <w:spacing w:line="400" w:lineRule="exact"/>
              <w:rPr>
                <w:rFonts w:hint="eastAsia" w:ascii="宋体" w:hAnsi="宋体" w:eastAsia="等线"/>
                <w:color w:val="000000"/>
                <w:sz w:val="24"/>
                <w:highlight w:val="none"/>
              </w:rPr>
            </w:pPr>
            <w:r>
              <w:rPr>
                <w:rFonts w:hint="eastAsia" w:ascii="宋体" w:hAnsi="宋体"/>
                <w:color w:val="000000"/>
                <w:szCs w:val="21"/>
                <w:highlight w:val="none"/>
              </w:rPr>
              <w:t>保密制度和保密措施</w:t>
            </w:r>
          </w:p>
        </w:tc>
        <w:tc>
          <w:tcPr>
            <w:tcW w:w="7451" w:type="dxa"/>
            <w:noWrap w:val="0"/>
            <w:vAlign w:val="center"/>
          </w:tcPr>
          <w:p w14:paraId="3E897937">
            <w:pPr>
              <w:spacing w:line="400" w:lineRule="exact"/>
              <w:rPr>
                <w:rFonts w:ascii="宋体" w:hAnsi="宋体" w:eastAsia="等线" w:cs="宋体"/>
                <w:color w:val="000000"/>
                <w:szCs w:val="21"/>
                <w:highlight w:val="none"/>
              </w:rPr>
            </w:pPr>
            <w:r>
              <w:rPr>
                <w:rFonts w:hint="eastAsia" w:ascii="宋体" w:hAnsi="宋体" w:eastAsia="宋体" w:cs="宋体"/>
                <w:color w:val="000000"/>
                <w:szCs w:val="21"/>
                <w:highlight w:val="none"/>
              </w:rPr>
              <w:t>根据供应商针对本项目提供的</w:t>
            </w:r>
            <w:r>
              <w:rPr>
                <w:rFonts w:hint="eastAsia" w:ascii="宋体" w:hAnsi="宋体"/>
                <w:color w:val="000000"/>
                <w:szCs w:val="21"/>
                <w:highlight w:val="none"/>
              </w:rPr>
              <w:t>保密制度和保密措施进行</w:t>
            </w:r>
            <w:r>
              <w:rPr>
                <w:rFonts w:hint="eastAsia" w:ascii="宋体" w:hAnsi="宋体" w:eastAsia="宋体" w:cs="宋体"/>
                <w:color w:val="000000"/>
                <w:szCs w:val="21"/>
                <w:highlight w:val="none"/>
              </w:rPr>
              <w:t>评审：</w:t>
            </w:r>
          </w:p>
          <w:p w14:paraId="1CBE6D39">
            <w:pPr>
              <w:spacing w:line="400" w:lineRule="exact"/>
              <w:rPr>
                <w:rFonts w:ascii="宋体" w:hAnsi="宋体"/>
                <w:color w:val="000000"/>
                <w:szCs w:val="21"/>
                <w:highlight w:val="none"/>
              </w:rPr>
            </w:pPr>
            <w:r>
              <w:rPr>
                <w:rFonts w:hint="eastAsia" w:ascii="宋体" w:hAnsi="宋体" w:eastAsia="宋体" w:cs="宋体"/>
                <w:color w:val="000000"/>
                <w:szCs w:val="21"/>
                <w:highlight w:val="none"/>
              </w:rPr>
              <w:t>（1）</w:t>
            </w:r>
            <w:r>
              <w:rPr>
                <w:rFonts w:hint="eastAsia" w:ascii="宋体" w:hAnsi="宋体"/>
                <w:color w:val="000000"/>
                <w:szCs w:val="21"/>
                <w:highlight w:val="none"/>
              </w:rPr>
              <w:t>保密制度健全，内容详细，措施可行，得</w:t>
            </w:r>
            <w:r>
              <w:rPr>
                <w:rFonts w:hint="eastAsia" w:ascii="宋体" w:hAnsi="宋体" w:eastAsia="等线"/>
                <w:color w:val="000000"/>
                <w:szCs w:val="21"/>
                <w:highlight w:val="none"/>
                <w:lang w:val="en-US" w:eastAsia="zh-CN"/>
              </w:rPr>
              <w:t>7</w:t>
            </w:r>
            <w:r>
              <w:rPr>
                <w:rFonts w:hint="eastAsia" w:ascii="宋体" w:hAnsi="宋体"/>
                <w:color w:val="000000"/>
                <w:szCs w:val="21"/>
                <w:highlight w:val="none"/>
              </w:rPr>
              <w:t>分；</w:t>
            </w:r>
          </w:p>
          <w:p w14:paraId="4F98A825">
            <w:pPr>
              <w:spacing w:line="400" w:lineRule="exact"/>
              <w:rPr>
                <w:rFonts w:ascii="宋体" w:hAnsi="宋体"/>
                <w:color w:val="000000"/>
                <w:szCs w:val="21"/>
                <w:highlight w:val="none"/>
              </w:rPr>
            </w:pPr>
            <w:r>
              <w:rPr>
                <w:rFonts w:hint="eastAsia" w:ascii="宋体" w:hAnsi="宋体" w:eastAsia="宋体" w:cs="宋体"/>
                <w:color w:val="000000"/>
                <w:szCs w:val="21"/>
                <w:highlight w:val="none"/>
              </w:rPr>
              <w:t>（2）</w:t>
            </w:r>
            <w:r>
              <w:rPr>
                <w:rFonts w:hint="eastAsia" w:ascii="宋体" w:hAnsi="宋体"/>
                <w:color w:val="000000"/>
                <w:szCs w:val="21"/>
                <w:highlight w:val="none"/>
              </w:rPr>
              <w:t>保密制度较健全，内容较详细，措施较可行，得</w:t>
            </w:r>
            <w:r>
              <w:rPr>
                <w:rFonts w:hint="eastAsia" w:ascii="宋体" w:hAnsi="宋体" w:eastAsia="等线"/>
                <w:color w:val="000000"/>
                <w:szCs w:val="21"/>
                <w:highlight w:val="none"/>
                <w:lang w:val="en-US" w:eastAsia="zh-CN"/>
              </w:rPr>
              <w:t>5</w:t>
            </w:r>
            <w:r>
              <w:rPr>
                <w:rFonts w:hint="eastAsia" w:ascii="宋体" w:hAnsi="宋体"/>
                <w:color w:val="000000"/>
                <w:szCs w:val="21"/>
                <w:highlight w:val="none"/>
              </w:rPr>
              <w:t>分；</w:t>
            </w:r>
          </w:p>
          <w:p w14:paraId="25E5A6A4">
            <w:pPr>
              <w:spacing w:line="400" w:lineRule="exact"/>
              <w:rPr>
                <w:rFonts w:ascii="宋体" w:hAnsi="宋体"/>
                <w:color w:val="000000"/>
                <w:szCs w:val="21"/>
                <w:highlight w:val="none"/>
              </w:rPr>
            </w:pPr>
            <w:r>
              <w:rPr>
                <w:rFonts w:hint="eastAsia" w:ascii="宋体" w:hAnsi="宋体" w:eastAsia="宋体" w:cs="宋体"/>
                <w:color w:val="000000"/>
                <w:szCs w:val="21"/>
                <w:highlight w:val="none"/>
              </w:rPr>
              <w:t>（3）</w:t>
            </w:r>
            <w:r>
              <w:rPr>
                <w:rFonts w:hint="eastAsia" w:ascii="宋体" w:hAnsi="宋体"/>
                <w:color w:val="000000"/>
                <w:szCs w:val="21"/>
                <w:highlight w:val="none"/>
              </w:rPr>
              <w:t>保密制度基本健全，内容基本完整，措施基本可行，得</w:t>
            </w:r>
            <w:r>
              <w:rPr>
                <w:rFonts w:hint="eastAsia" w:ascii="宋体" w:hAnsi="宋体" w:eastAsia="等线"/>
                <w:color w:val="000000"/>
                <w:szCs w:val="21"/>
                <w:highlight w:val="none"/>
                <w:lang w:val="en-US" w:eastAsia="zh-CN"/>
              </w:rPr>
              <w:t>2</w:t>
            </w:r>
            <w:r>
              <w:rPr>
                <w:rFonts w:hint="eastAsia" w:ascii="宋体" w:hAnsi="宋体"/>
                <w:color w:val="000000"/>
                <w:szCs w:val="21"/>
                <w:highlight w:val="none"/>
              </w:rPr>
              <w:t>分；</w:t>
            </w:r>
          </w:p>
          <w:p w14:paraId="603E4531">
            <w:pP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（4）未提供不得分。</w:t>
            </w:r>
          </w:p>
        </w:tc>
        <w:tc>
          <w:tcPr>
            <w:tcW w:w="763" w:type="dxa"/>
            <w:noWrap w:val="0"/>
            <w:vAlign w:val="center"/>
          </w:tcPr>
          <w:p w14:paraId="111A65BB">
            <w:pPr>
              <w:spacing w:line="360" w:lineRule="exact"/>
              <w:jc w:val="center"/>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7</w:t>
            </w:r>
          </w:p>
        </w:tc>
      </w:tr>
      <w:tr w14:paraId="45896D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668" w:type="dxa"/>
            <w:noWrap w:val="0"/>
            <w:vAlign w:val="center"/>
          </w:tcPr>
          <w:p w14:paraId="00295BA3">
            <w:pPr>
              <w:spacing w:line="360" w:lineRule="exact"/>
              <w:jc w:val="center"/>
              <w:rPr>
                <w:rFonts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3</w:t>
            </w:r>
            <w:r>
              <w:rPr>
                <w:rFonts w:hint="eastAsia" w:ascii="宋体" w:hAnsi="宋体" w:eastAsia="宋体" w:cs="宋体"/>
                <w:color w:val="000000"/>
                <w:szCs w:val="21"/>
                <w:highlight w:val="none"/>
              </w:rPr>
              <w:t>.7</w:t>
            </w:r>
          </w:p>
        </w:tc>
        <w:tc>
          <w:tcPr>
            <w:tcW w:w="1116" w:type="dxa"/>
            <w:noWrap w:val="0"/>
            <w:vAlign w:val="center"/>
          </w:tcPr>
          <w:p w14:paraId="7FBDB8F4">
            <w:pPr>
              <w:spacing w:line="36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服务质量控制水平</w:t>
            </w:r>
          </w:p>
        </w:tc>
        <w:tc>
          <w:tcPr>
            <w:tcW w:w="7451" w:type="dxa"/>
            <w:noWrap w:val="0"/>
            <w:vAlign w:val="center"/>
          </w:tcPr>
          <w:p w14:paraId="7CD859E1">
            <w:pP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评委根据供应商提供结合《律师事务所管理办法》按照章程提供本单位的组织机构图、工作流程图、质量控制制度、档案管理制度、人事管理制度、财务管理制度等。</w:t>
            </w:r>
          </w:p>
          <w:p w14:paraId="4993F6A2">
            <w:pP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（1）律师事务所管理制度完善，组织安排合理得</w:t>
            </w:r>
            <w:r>
              <w:rPr>
                <w:rFonts w:hint="eastAsia" w:ascii="宋体" w:hAnsi="宋体" w:eastAsia="宋体" w:cs="宋体"/>
                <w:color w:val="000000"/>
                <w:szCs w:val="21"/>
                <w:highlight w:val="none"/>
                <w:lang w:val="en-US" w:eastAsia="zh-CN"/>
              </w:rPr>
              <w:t>7</w:t>
            </w:r>
            <w:r>
              <w:rPr>
                <w:rFonts w:hint="eastAsia" w:ascii="宋体" w:hAnsi="宋体" w:eastAsia="宋体" w:cs="宋体"/>
                <w:color w:val="000000"/>
                <w:szCs w:val="21"/>
                <w:highlight w:val="none"/>
              </w:rPr>
              <w:t>分；</w:t>
            </w:r>
          </w:p>
          <w:p w14:paraId="74C8504B">
            <w:pP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（2）律师事务所管理制度较为完善，组织安排合理性较好得</w:t>
            </w:r>
            <w:r>
              <w:rPr>
                <w:rFonts w:hint="eastAsia" w:ascii="宋体" w:hAnsi="宋体" w:eastAsia="宋体" w:cs="宋体"/>
                <w:color w:val="000000"/>
                <w:szCs w:val="21"/>
                <w:highlight w:val="none"/>
                <w:lang w:val="en-US" w:eastAsia="zh-CN"/>
              </w:rPr>
              <w:t>5</w:t>
            </w:r>
            <w:r>
              <w:rPr>
                <w:rFonts w:hint="eastAsia" w:ascii="宋体" w:hAnsi="宋体" w:eastAsia="宋体" w:cs="宋体"/>
                <w:color w:val="000000"/>
                <w:szCs w:val="21"/>
                <w:highlight w:val="none"/>
              </w:rPr>
              <w:t>分；</w:t>
            </w:r>
          </w:p>
          <w:p w14:paraId="6C5F3B7D">
            <w:pP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（3）律师事务所管理制度及组织安排合理性略有缺陷得</w:t>
            </w:r>
            <w:r>
              <w:rPr>
                <w:rFonts w:hint="eastAsia" w:ascii="宋体" w:hAnsi="宋体" w:eastAsia="宋体" w:cs="宋体"/>
                <w:color w:val="000000"/>
                <w:szCs w:val="21"/>
                <w:highlight w:val="none"/>
                <w:lang w:val="en-US" w:eastAsia="zh-CN"/>
              </w:rPr>
              <w:t>2</w:t>
            </w:r>
            <w:r>
              <w:rPr>
                <w:rFonts w:hint="eastAsia" w:ascii="宋体" w:hAnsi="宋体" w:eastAsia="宋体" w:cs="宋体"/>
                <w:color w:val="000000"/>
                <w:szCs w:val="21"/>
                <w:highlight w:val="none"/>
              </w:rPr>
              <w:t>分；</w:t>
            </w:r>
          </w:p>
          <w:p w14:paraId="1CF41A06">
            <w:pP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（4）未提供不得分。</w:t>
            </w:r>
          </w:p>
        </w:tc>
        <w:tc>
          <w:tcPr>
            <w:tcW w:w="763" w:type="dxa"/>
            <w:noWrap w:val="0"/>
            <w:vAlign w:val="center"/>
          </w:tcPr>
          <w:p w14:paraId="609EEB30">
            <w:pPr>
              <w:spacing w:line="360" w:lineRule="exact"/>
              <w:jc w:val="center"/>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7</w:t>
            </w:r>
          </w:p>
        </w:tc>
      </w:tr>
      <w:tr w14:paraId="60BA15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668" w:type="dxa"/>
            <w:noWrap w:val="0"/>
            <w:vAlign w:val="center"/>
          </w:tcPr>
          <w:p w14:paraId="3D8365EF">
            <w:pPr>
              <w:spacing w:line="36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3</w:t>
            </w:r>
            <w:r>
              <w:rPr>
                <w:rFonts w:hint="eastAsia" w:ascii="宋体" w:hAnsi="宋体" w:eastAsia="宋体" w:cs="宋体"/>
                <w:color w:val="000000"/>
                <w:szCs w:val="21"/>
                <w:highlight w:val="none"/>
              </w:rPr>
              <w:t>.8</w:t>
            </w:r>
          </w:p>
        </w:tc>
        <w:tc>
          <w:tcPr>
            <w:tcW w:w="1116" w:type="dxa"/>
            <w:noWrap w:val="0"/>
            <w:vAlign w:val="center"/>
          </w:tcPr>
          <w:p w14:paraId="675A4969">
            <w:pPr>
              <w:spacing w:line="360" w:lineRule="exact"/>
              <w:jc w:val="center"/>
              <w:rPr>
                <w:rFonts w:hint="eastAsia" w:ascii="宋体" w:hAnsi="宋体" w:eastAsia="宋体" w:cs="宋体"/>
                <w:color w:val="000000"/>
                <w:szCs w:val="21"/>
                <w:highlight w:val="none"/>
              </w:rPr>
            </w:pPr>
            <w:r>
              <w:rPr>
                <w:rFonts w:ascii="宋体" w:hAnsi="宋体" w:eastAsia="宋体" w:cs="宋体"/>
                <w:color w:val="000000"/>
                <w:szCs w:val="21"/>
                <w:highlight w:val="none"/>
              </w:rPr>
              <w:t>常驻</w:t>
            </w:r>
            <w:r>
              <w:rPr>
                <w:rFonts w:hint="eastAsia" w:ascii="宋体" w:hAnsi="宋体" w:eastAsia="宋体" w:cs="宋体"/>
                <w:color w:val="000000"/>
                <w:szCs w:val="21"/>
                <w:highlight w:val="none"/>
              </w:rPr>
              <w:t>坐班人员</w:t>
            </w:r>
          </w:p>
        </w:tc>
        <w:tc>
          <w:tcPr>
            <w:tcW w:w="7451" w:type="dxa"/>
            <w:noWrap w:val="0"/>
            <w:vAlign w:val="center"/>
          </w:tcPr>
          <w:p w14:paraId="108F5379">
            <w:pPr>
              <w:spacing w:line="400" w:lineRule="exact"/>
              <w:rPr>
                <w:rFonts w:ascii="宋体" w:hAnsi="宋体" w:eastAsia="宋体" w:cs="宋体"/>
                <w:color w:val="000000"/>
                <w:szCs w:val="21"/>
                <w:highlight w:val="none"/>
              </w:rPr>
            </w:pPr>
            <w:r>
              <w:rPr>
                <w:rFonts w:hint="eastAsia" w:ascii="宋体" w:hAnsi="宋体"/>
                <w:color w:val="000000"/>
                <w:szCs w:val="21"/>
                <w:highlight w:val="none"/>
              </w:rPr>
              <w:t>根据供应商提供的</w:t>
            </w:r>
            <w:r>
              <w:rPr>
                <w:rFonts w:hint="eastAsia" w:ascii="宋体" w:hAnsi="宋体" w:eastAsia="宋体" w:cs="宋体"/>
                <w:color w:val="000000"/>
                <w:szCs w:val="21"/>
                <w:highlight w:val="none"/>
              </w:rPr>
              <w:t>拟派常驻采购人处坐班人员的学历，专业经验、</w:t>
            </w:r>
            <w:r>
              <w:rPr>
                <w:rFonts w:ascii="宋体" w:hAnsi="宋体" w:eastAsia="宋体" w:cs="宋体"/>
                <w:color w:val="000000"/>
                <w:szCs w:val="21"/>
                <w:highlight w:val="none"/>
              </w:rPr>
              <w:t>职业道德</w:t>
            </w:r>
            <w:r>
              <w:rPr>
                <w:rFonts w:hint="eastAsia" w:ascii="宋体" w:hAnsi="宋体" w:eastAsia="宋体" w:cs="宋体"/>
                <w:color w:val="000000"/>
                <w:szCs w:val="21"/>
                <w:highlight w:val="none"/>
              </w:rPr>
              <w:t>、</w:t>
            </w:r>
            <w:r>
              <w:rPr>
                <w:rFonts w:ascii="宋体" w:hAnsi="宋体" w:eastAsia="宋体" w:cs="宋体"/>
                <w:color w:val="000000"/>
                <w:szCs w:val="21"/>
                <w:highlight w:val="none"/>
              </w:rPr>
              <w:t>职业素质</w:t>
            </w:r>
            <w:r>
              <w:rPr>
                <w:rFonts w:hint="eastAsia" w:ascii="宋体" w:hAnsi="宋体" w:eastAsia="宋体" w:cs="宋体"/>
                <w:color w:val="000000"/>
                <w:szCs w:val="21"/>
                <w:highlight w:val="none"/>
              </w:rPr>
              <w:t>等内容</w:t>
            </w:r>
            <w:r>
              <w:rPr>
                <w:rFonts w:hint="eastAsia" w:ascii="宋体" w:hAnsi="宋体"/>
                <w:color w:val="000000"/>
                <w:szCs w:val="21"/>
                <w:highlight w:val="none"/>
              </w:rPr>
              <w:t>进行</w:t>
            </w:r>
            <w:r>
              <w:rPr>
                <w:rFonts w:hint="eastAsia" w:ascii="宋体" w:hAnsi="宋体" w:eastAsia="宋体" w:cs="宋体"/>
                <w:color w:val="000000"/>
                <w:szCs w:val="21"/>
                <w:highlight w:val="none"/>
              </w:rPr>
              <w:t>评审：</w:t>
            </w:r>
          </w:p>
          <w:p w14:paraId="084D80E8">
            <w:pPr>
              <w:spacing w:line="400" w:lineRule="exact"/>
              <w:rPr>
                <w:rFonts w:ascii="宋体" w:hAnsi="宋体"/>
                <w:color w:val="000000"/>
                <w:szCs w:val="21"/>
                <w:highlight w:val="none"/>
              </w:rPr>
            </w:pPr>
            <w:r>
              <w:rPr>
                <w:rFonts w:hint="eastAsia" w:ascii="宋体" w:hAnsi="宋体" w:eastAsia="宋体" w:cs="宋体"/>
                <w:color w:val="000000"/>
                <w:szCs w:val="21"/>
                <w:highlight w:val="none"/>
              </w:rPr>
              <w:t>（1）经验丰富</w:t>
            </w:r>
            <w:r>
              <w:rPr>
                <w:rFonts w:hint="eastAsia" w:ascii="宋体" w:hAnsi="宋体"/>
                <w:color w:val="000000"/>
                <w:szCs w:val="21"/>
                <w:highlight w:val="none"/>
              </w:rPr>
              <w:t>，能够充分满足本项目采购需求，得</w:t>
            </w:r>
            <w:r>
              <w:rPr>
                <w:rFonts w:hint="eastAsia" w:ascii="宋体" w:hAnsi="宋体" w:eastAsia="等线"/>
                <w:color w:val="000000"/>
                <w:szCs w:val="21"/>
                <w:highlight w:val="none"/>
                <w:lang w:val="en-US" w:eastAsia="zh-CN"/>
              </w:rPr>
              <w:t>7</w:t>
            </w:r>
            <w:r>
              <w:rPr>
                <w:rFonts w:hint="eastAsia" w:ascii="宋体" w:hAnsi="宋体"/>
                <w:color w:val="000000"/>
                <w:szCs w:val="21"/>
                <w:highlight w:val="none"/>
              </w:rPr>
              <w:t>分；</w:t>
            </w:r>
          </w:p>
          <w:p w14:paraId="75687F16">
            <w:pPr>
              <w:spacing w:line="400" w:lineRule="exact"/>
              <w:rPr>
                <w:rFonts w:ascii="宋体" w:hAnsi="宋体"/>
                <w:color w:val="000000"/>
                <w:szCs w:val="21"/>
                <w:highlight w:val="none"/>
              </w:rPr>
            </w:pPr>
            <w:r>
              <w:rPr>
                <w:rFonts w:hint="eastAsia" w:ascii="宋体" w:hAnsi="宋体" w:eastAsia="宋体" w:cs="宋体"/>
                <w:color w:val="000000"/>
                <w:szCs w:val="21"/>
                <w:highlight w:val="none"/>
              </w:rPr>
              <w:t>（2）</w:t>
            </w:r>
            <w:r>
              <w:rPr>
                <w:rFonts w:hint="eastAsia" w:ascii="宋体" w:hAnsi="宋体"/>
                <w:color w:val="000000"/>
                <w:szCs w:val="21"/>
                <w:highlight w:val="none"/>
              </w:rPr>
              <w:t>有一定服务</w:t>
            </w:r>
            <w:r>
              <w:rPr>
                <w:rFonts w:hint="eastAsia" w:ascii="宋体" w:hAnsi="宋体" w:eastAsia="宋体" w:cs="宋体"/>
                <w:color w:val="000000"/>
                <w:szCs w:val="21"/>
                <w:highlight w:val="none"/>
              </w:rPr>
              <w:t>经验</w:t>
            </w:r>
            <w:r>
              <w:rPr>
                <w:rFonts w:hint="eastAsia" w:ascii="宋体" w:hAnsi="宋体"/>
                <w:color w:val="000000"/>
                <w:szCs w:val="21"/>
                <w:highlight w:val="none"/>
              </w:rPr>
              <w:t>，</w:t>
            </w:r>
            <w:r>
              <w:rPr>
                <w:rFonts w:hint="eastAsia" w:ascii="宋体" w:hAnsi="宋体" w:eastAsia="宋体" w:cs="宋体"/>
                <w:color w:val="000000"/>
                <w:szCs w:val="21"/>
                <w:highlight w:val="none"/>
              </w:rPr>
              <w:t>较好</w:t>
            </w:r>
            <w:r>
              <w:rPr>
                <w:rFonts w:hint="eastAsia" w:ascii="宋体" w:hAnsi="宋体"/>
                <w:color w:val="000000"/>
                <w:szCs w:val="21"/>
                <w:highlight w:val="none"/>
              </w:rPr>
              <w:t>满足本项目采购需求的，得</w:t>
            </w:r>
            <w:r>
              <w:rPr>
                <w:rFonts w:hint="eastAsia" w:ascii="宋体" w:hAnsi="宋体" w:eastAsia="等线"/>
                <w:color w:val="000000"/>
                <w:szCs w:val="21"/>
                <w:highlight w:val="none"/>
                <w:lang w:val="en-US" w:eastAsia="zh-CN"/>
              </w:rPr>
              <w:t>5</w:t>
            </w:r>
            <w:r>
              <w:rPr>
                <w:rFonts w:hint="eastAsia" w:ascii="宋体" w:hAnsi="宋体"/>
                <w:color w:val="000000"/>
                <w:szCs w:val="21"/>
                <w:highlight w:val="none"/>
              </w:rPr>
              <w:t>分；</w:t>
            </w:r>
          </w:p>
          <w:p w14:paraId="507A3F90">
            <w:pPr>
              <w:spacing w:line="400" w:lineRule="exact"/>
              <w:rPr>
                <w:rFonts w:ascii="宋体" w:hAnsi="宋体"/>
                <w:color w:val="000000"/>
                <w:szCs w:val="21"/>
                <w:highlight w:val="none"/>
              </w:rPr>
            </w:pPr>
            <w:r>
              <w:rPr>
                <w:rFonts w:hint="eastAsia" w:ascii="宋体" w:hAnsi="宋体" w:eastAsia="宋体" w:cs="宋体"/>
                <w:color w:val="000000"/>
                <w:szCs w:val="21"/>
                <w:highlight w:val="none"/>
              </w:rPr>
              <w:t>（3）</w:t>
            </w:r>
            <w:r>
              <w:rPr>
                <w:rFonts w:hint="eastAsia" w:ascii="宋体" w:hAnsi="宋体"/>
                <w:color w:val="000000"/>
                <w:szCs w:val="21"/>
                <w:highlight w:val="none"/>
              </w:rPr>
              <w:t>有</w:t>
            </w:r>
            <w:r>
              <w:rPr>
                <w:rFonts w:hint="eastAsia" w:ascii="宋体" w:hAnsi="宋体" w:eastAsia="宋体" w:cs="宋体"/>
                <w:color w:val="000000"/>
                <w:szCs w:val="21"/>
                <w:highlight w:val="none"/>
              </w:rPr>
              <w:t>一般</w:t>
            </w:r>
            <w:r>
              <w:rPr>
                <w:rFonts w:hint="eastAsia" w:ascii="宋体" w:hAnsi="宋体"/>
                <w:color w:val="000000"/>
                <w:szCs w:val="21"/>
                <w:highlight w:val="none"/>
              </w:rPr>
              <w:t>服务</w:t>
            </w:r>
            <w:r>
              <w:rPr>
                <w:rFonts w:hint="eastAsia" w:ascii="宋体" w:hAnsi="宋体" w:eastAsia="宋体" w:cs="宋体"/>
                <w:color w:val="000000"/>
                <w:szCs w:val="21"/>
                <w:highlight w:val="none"/>
              </w:rPr>
              <w:t>经验</w:t>
            </w:r>
            <w:r>
              <w:rPr>
                <w:rFonts w:hint="eastAsia" w:ascii="宋体" w:hAnsi="宋体"/>
                <w:color w:val="000000"/>
                <w:szCs w:val="21"/>
                <w:highlight w:val="none"/>
              </w:rPr>
              <w:t>，</w:t>
            </w:r>
            <w:r>
              <w:rPr>
                <w:rFonts w:hint="eastAsia" w:ascii="宋体" w:hAnsi="宋体" w:eastAsia="宋体" w:cs="宋体"/>
                <w:color w:val="000000"/>
                <w:szCs w:val="21"/>
                <w:highlight w:val="none"/>
              </w:rPr>
              <w:t>基本</w:t>
            </w:r>
            <w:r>
              <w:rPr>
                <w:rFonts w:hint="eastAsia" w:ascii="宋体" w:hAnsi="宋体"/>
                <w:color w:val="000000"/>
                <w:szCs w:val="21"/>
                <w:highlight w:val="none"/>
              </w:rPr>
              <w:t>能满足本项目采购需求的，得</w:t>
            </w:r>
            <w:r>
              <w:rPr>
                <w:rFonts w:hint="eastAsia" w:ascii="宋体" w:hAnsi="宋体" w:eastAsia="等线"/>
                <w:color w:val="000000"/>
                <w:szCs w:val="21"/>
                <w:highlight w:val="none"/>
                <w:lang w:val="en-US" w:eastAsia="zh-CN"/>
              </w:rPr>
              <w:t>2</w:t>
            </w:r>
            <w:r>
              <w:rPr>
                <w:rFonts w:hint="eastAsia" w:ascii="宋体" w:hAnsi="宋体"/>
                <w:color w:val="000000"/>
                <w:szCs w:val="21"/>
                <w:highlight w:val="none"/>
              </w:rPr>
              <w:t>分；</w:t>
            </w:r>
          </w:p>
          <w:p w14:paraId="226DEB95">
            <w:pP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（4）未提供不得分。</w:t>
            </w:r>
          </w:p>
        </w:tc>
        <w:tc>
          <w:tcPr>
            <w:tcW w:w="763" w:type="dxa"/>
            <w:noWrap w:val="0"/>
            <w:vAlign w:val="center"/>
          </w:tcPr>
          <w:p w14:paraId="363DCDA1">
            <w:pPr>
              <w:spacing w:line="360" w:lineRule="exact"/>
              <w:jc w:val="center"/>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7</w:t>
            </w:r>
          </w:p>
        </w:tc>
      </w:tr>
      <w:tr w14:paraId="1DED6D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784" w:type="dxa"/>
            <w:gridSpan w:val="2"/>
            <w:noWrap w:val="0"/>
            <w:vAlign w:val="center"/>
          </w:tcPr>
          <w:p w14:paraId="50145AAB">
            <w:pPr>
              <w:spacing w:line="360" w:lineRule="exact"/>
              <w:jc w:val="center"/>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合计</w:t>
            </w:r>
          </w:p>
        </w:tc>
        <w:tc>
          <w:tcPr>
            <w:tcW w:w="8214" w:type="dxa"/>
            <w:gridSpan w:val="2"/>
            <w:noWrap w:val="0"/>
            <w:vAlign w:val="center"/>
          </w:tcPr>
          <w:p w14:paraId="0D463972">
            <w:pPr>
              <w:spacing w:line="360" w:lineRule="exact"/>
              <w:jc w:val="center"/>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100</w:t>
            </w:r>
          </w:p>
        </w:tc>
      </w:tr>
    </w:tbl>
    <w:p w14:paraId="7283DBB5">
      <w:pPr>
        <w:tabs>
          <w:tab w:val="left" w:pos="1080"/>
          <w:tab w:val="left" w:pos="1589"/>
        </w:tabs>
        <w:spacing w:line="30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注：</w:t>
      </w:r>
    </w:p>
    <w:p w14:paraId="62107FA1">
      <w:pPr>
        <w:tabs>
          <w:tab w:val="left" w:pos="1080"/>
          <w:tab w:val="left" w:pos="1589"/>
        </w:tabs>
        <w:spacing w:line="300" w:lineRule="auto"/>
        <w:ind w:firstLine="420"/>
        <w:rPr>
          <w:rFonts w:hint="eastAsia" w:ascii="宋体" w:hAnsi="宋体" w:cs="宋体"/>
          <w:color w:val="000000"/>
          <w:szCs w:val="21"/>
          <w:highlight w:val="none"/>
        </w:rPr>
      </w:pPr>
      <w:r>
        <w:rPr>
          <w:rFonts w:hint="eastAsia" w:ascii="宋体" w:hAnsi="宋体" w:cs="宋体"/>
          <w:color w:val="000000"/>
          <w:szCs w:val="21"/>
          <w:highlight w:val="none"/>
        </w:rPr>
        <w:t>落实政府采购政策的价格调整：符合第二章《投标人须知》第4条规定情形的，可以享受中小企业扶持政策，用扣除后的价格参加评审。投标人不得违反《中华人民共和国反不正当竞争法》的规定，以低于成本的价格销售货物或服务，否则应对其价格构成情况做出详细说明并提供相关证明资料。评标委员会针对异常低价投标（响应）审查程序（见投标人须知前附表 第40.1款 “异常低价处理”）。</w:t>
      </w:r>
    </w:p>
    <w:p w14:paraId="6CCF3C9A">
      <w:pPr>
        <w:tabs>
          <w:tab w:val="left" w:pos="1080"/>
          <w:tab w:val="left" w:pos="1589"/>
        </w:tabs>
        <w:spacing w:line="300" w:lineRule="auto"/>
        <w:ind w:firstLine="420"/>
        <w:rPr>
          <w:rFonts w:hint="eastAsia" w:ascii="宋体" w:hAnsi="宋体" w:cs="宋体"/>
          <w:color w:val="000000"/>
          <w:szCs w:val="21"/>
          <w:highlight w:val="none"/>
        </w:rPr>
      </w:pPr>
      <w:r>
        <w:rPr>
          <w:rFonts w:hint="eastAsia" w:ascii="宋体" w:hAnsi="宋体" w:cs="宋体"/>
          <w:color w:val="000000"/>
          <w:szCs w:val="21"/>
          <w:highlight w:val="none"/>
        </w:rPr>
        <w:t>1.对于未预留份额专门面向中小企业采购的采购项目，以及预留份额项目中的非预留部分采购包，对小微企业报价给予</w:t>
      </w:r>
      <w:r>
        <w:rPr>
          <w:rFonts w:hint="eastAsia" w:ascii="宋体" w:hAnsi="宋体" w:cs="宋体"/>
          <w:color w:val="000000"/>
          <w:szCs w:val="21"/>
          <w:highlight w:val="none"/>
          <w:u w:val="single"/>
        </w:rPr>
        <w:t>10</w:t>
      </w:r>
      <w:r>
        <w:rPr>
          <w:rFonts w:hint="eastAsia" w:ascii="宋体" w:hAnsi="宋体" w:cs="宋体"/>
          <w:color w:val="000000"/>
          <w:szCs w:val="21"/>
          <w:highlight w:val="none"/>
        </w:rPr>
        <w:t>%的扣除，用扣除后的价格参加评审。</w:t>
      </w:r>
    </w:p>
    <w:p w14:paraId="643B5CFB">
      <w:pPr>
        <w:tabs>
          <w:tab w:val="left" w:pos="1080"/>
          <w:tab w:val="left" w:pos="1589"/>
        </w:tabs>
        <w:spacing w:line="300" w:lineRule="auto"/>
        <w:ind w:firstLine="420"/>
        <w:rPr>
          <w:rFonts w:hint="eastAsia" w:ascii="宋体" w:hAnsi="宋体" w:cs="宋体"/>
          <w:color w:val="000000"/>
          <w:szCs w:val="21"/>
          <w:highlight w:val="none"/>
        </w:rPr>
      </w:pPr>
      <w:r>
        <w:rPr>
          <w:rFonts w:hint="eastAsia" w:ascii="宋体" w:hAnsi="宋体" w:cs="宋体"/>
          <w:color w:val="000000"/>
          <w:szCs w:val="21"/>
          <w:highlight w:val="none"/>
        </w:rPr>
        <w:t>2.“支持本国产品政策”“对本国产品的报价，对投标价格给予20%的扣除”，对应描述如下：</w:t>
      </w:r>
    </w:p>
    <w:p w14:paraId="4DB3625A">
      <w:pPr>
        <w:tabs>
          <w:tab w:val="left" w:pos="1080"/>
          <w:tab w:val="left" w:pos="1589"/>
        </w:tabs>
        <w:spacing w:line="300" w:lineRule="auto"/>
        <w:ind w:firstLine="420"/>
        <w:rPr>
          <w:rFonts w:hint="eastAsia" w:ascii="宋体" w:hAnsi="宋体" w:cs="宋体"/>
          <w:color w:val="000000"/>
          <w:szCs w:val="21"/>
          <w:highlight w:val="none"/>
        </w:rPr>
      </w:pPr>
      <w:r>
        <w:rPr>
          <w:rFonts w:hint="eastAsia" w:ascii="宋体" w:hAnsi="宋体" w:cs="宋体"/>
          <w:color w:val="000000"/>
          <w:szCs w:val="21"/>
          <w:highlight w:val="none"/>
        </w:rPr>
        <w:t>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w:t>
      </w:r>
    </w:p>
    <w:p w14:paraId="28D96CCF">
      <w:pPr>
        <w:tabs>
          <w:tab w:val="left" w:pos="1080"/>
          <w:tab w:val="left" w:pos="1589"/>
        </w:tabs>
        <w:spacing w:line="300" w:lineRule="auto"/>
        <w:ind w:firstLine="420"/>
        <w:rPr>
          <w:rFonts w:hint="eastAsia" w:ascii="宋体" w:hAnsi="宋体" w:cs="宋体"/>
          <w:color w:val="000000"/>
          <w:szCs w:val="21"/>
          <w:highlight w:val="none"/>
        </w:rPr>
      </w:pPr>
      <w:r>
        <w:rPr>
          <w:rFonts w:hint="eastAsia" w:ascii="宋体" w:hAnsi="宋体" w:cs="宋体"/>
          <w:color w:val="000000"/>
          <w:szCs w:val="21"/>
          <w:highlight w:val="none"/>
        </w:rPr>
        <w:t>2.1.政府采购活动中既有本国产品又有非本国产品参与竞争的，依法对本国产品给予价格评审优惠，对本国产品的报价给予20%的价格扣除，用扣除后的价格参与评审。</w:t>
      </w:r>
    </w:p>
    <w:p w14:paraId="4BE750EB">
      <w:pPr>
        <w:tabs>
          <w:tab w:val="left" w:pos="1080"/>
          <w:tab w:val="left" w:pos="1589"/>
        </w:tabs>
        <w:spacing w:line="300" w:lineRule="auto"/>
        <w:ind w:firstLine="420"/>
        <w:rPr>
          <w:rFonts w:hint="eastAsia" w:ascii="宋体" w:hAnsi="宋体" w:cs="宋体"/>
          <w:color w:val="000000"/>
          <w:szCs w:val="21"/>
          <w:highlight w:val="none"/>
        </w:rPr>
      </w:pPr>
      <w:r>
        <w:rPr>
          <w:rFonts w:hint="eastAsia" w:ascii="宋体" w:hAnsi="宋体" w:cs="宋体"/>
          <w:color w:val="000000"/>
          <w:szCs w:val="21"/>
          <w:highlight w:val="none"/>
        </w:rPr>
        <w:t>2.2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0104692">
      <w:pPr>
        <w:tabs>
          <w:tab w:val="left" w:pos="1080"/>
          <w:tab w:val="left" w:pos="1589"/>
        </w:tabs>
        <w:spacing w:line="300" w:lineRule="auto"/>
        <w:ind w:firstLine="420"/>
        <w:rPr>
          <w:rFonts w:hint="eastAsia" w:ascii="宋体" w:hAnsi="宋体" w:cs="宋体"/>
          <w:color w:val="000000"/>
          <w:szCs w:val="21"/>
          <w:highlight w:val="none"/>
        </w:rPr>
      </w:pPr>
      <w:r>
        <w:rPr>
          <w:rFonts w:hint="eastAsia" w:ascii="宋体" w:hAnsi="宋体" w:cs="宋体"/>
          <w:color w:val="000000"/>
          <w:szCs w:val="21"/>
          <w:highlight w:val="none"/>
        </w:rPr>
        <w:t>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9EECE52">
      <w:pPr>
        <w:tabs>
          <w:tab w:val="left" w:pos="1080"/>
          <w:tab w:val="left" w:pos="1589"/>
        </w:tabs>
        <w:spacing w:line="300" w:lineRule="auto"/>
        <w:ind w:firstLine="420"/>
        <w:rPr>
          <w:rFonts w:hint="eastAsia" w:ascii="宋体" w:hAnsi="宋体" w:cs="宋体"/>
          <w:color w:val="000000"/>
          <w:szCs w:val="21"/>
          <w:highlight w:val="none"/>
        </w:rPr>
      </w:pPr>
      <w:r>
        <w:rPr>
          <w:rFonts w:hint="eastAsia" w:ascii="宋体" w:hAnsi="宋体" w:cs="宋体"/>
          <w:color w:val="000000"/>
          <w:szCs w:val="21"/>
          <w:highlight w:val="none"/>
        </w:rPr>
        <w:t>2.4.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p>
    <w:p w14:paraId="380314A7">
      <w:pPr>
        <w:tabs>
          <w:tab w:val="left" w:pos="1080"/>
          <w:tab w:val="left" w:pos="1589"/>
        </w:tabs>
        <w:spacing w:line="300" w:lineRule="auto"/>
        <w:ind w:firstLine="420"/>
        <w:rPr>
          <w:rFonts w:hint="eastAsia" w:ascii="宋体" w:hAnsi="宋体" w:cs="宋体"/>
          <w:color w:val="000000"/>
          <w:szCs w:val="21"/>
          <w:highlight w:val="none"/>
        </w:rPr>
      </w:pPr>
      <w:r>
        <w:rPr>
          <w:rFonts w:hint="eastAsia" w:ascii="宋体" w:hAnsi="宋体" w:cs="宋体"/>
          <w:color w:val="000000"/>
          <w:szCs w:val="21"/>
          <w:highlight w:val="none"/>
        </w:rPr>
        <w:t>3.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p>
    <w:p w14:paraId="6AC6ADD0">
      <w:pPr>
        <w:tabs>
          <w:tab w:val="left" w:pos="1080"/>
          <w:tab w:val="left" w:pos="1589"/>
        </w:tabs>
        <w:spacing w:line="300" w:lineRule="auto"/>
        <w:ind w:firstLine="420"/>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4.</w:t>
      </w:r>
      <w:r>
        <w:rPr>
          <w:rFonts w:ascii="Microsoft New Tai Lue" w:hAnsi="Microsoft New Tai Lue" w:cs="Microsoft New Tai Lue"/>
          <w:color w:val="000000"/>
          <w:szCs w:val="21"/>
          <w:highlight w:val="none"/>
        </w:rPr>
        <w:t>组成联合体或者接受分包的小微企业与联合体内其他企业、分包企业之间存在直接控股、管理关系的，不享受价格扣除优惠政策。</w:t>
      </w:r>
    </w:p>
    <w:p w14:paraId="6D25EF4F">
      <w:pPr>
        <w:tabs>
          <w:tab w:val="left" w:pos="1080"/>
          <w:tab w:val="left" w:pos="1589"/>
        </w:tabs>
        <w:spacing w:line="300" w:lineRule="auto"/>
        <w:ind w:firstLine="420"/>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5.</w:t>
      </w:r>
      <w:r>
        <w:rPr>
          <w:rFonts w:ascii="Microsoft New Tai Lue" w:hAnsi="Microsoft New Tai Lue" w:cs="Microsoft New Tai Lue"/>
          <w:color w:val="000000"/>
          <w:szCs w:val="21"/>
          <w:highlight w:val="none"/>
        </w:rPr>
        <w:t>价格扣除比例对小型企业和微型企业同等对待，不作区分。</w:t>
      </w:r>
    </w:p>
    <w:p w14:paraId="7D562C96">
      <w:pPr>
        <w:tabs>
          <w:tab w:val="left" w:pos="1080"/>
          <w:tab w:val="left" w:pos="1589"/>
        </w:tabs>
        <w:spacing w:line="300" w:lineRule="auto"/>
        <w:ind w:firstLine="420"/>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6.</w:t>
      </w:r>
      <w:r>
        <w:rPr>
          <w:rFonts w:ascii="Microsoft New Tai Lue" w:hAnsi="Microsoft New Tai Lue" w:cs="Microsoft New Tai Lue"/>
          <w:color w:val="000000"/>
          <w:szCs w:val="21"/>
          <w:highlight w:val="none"/>
        </w:rPr>
        <w:t>中小企业参加政府采购活动，应当按照招标文件给定的格式出具《中小企业声明函》，否则不得享受相关中小企业扶持政策。</w:t>
      </w:r>
    </w:p>
    <w:p w14:paraId="6070190D">
      <w:pPr>
        <w:tabs>
          <w:tab w:val="left" w:pos="1080"/>
          <w:tab w:val="left" w:pos="1589"/>
        </w:tabs>
        <w:spacing w:line="300" w:lineRule="auto"/>
        <w:ind w:firstLine="420"/>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7.</w:t>
      </w:r>
      <w:r>
        <w:rPr>
          <w:rFonts w:ascii="Microsoft New Tai Lue" w:hAnsi="Microsoft New Tai Lue" w:cs="Microsoft New Tai Lue"/>
          <w:color w:val="000000"/>
          <w:szCs w:val="21"/>
          <w:highlight w:val="none"/>
        </w:rPr>
        <w:t>监狱企业提供了由省级以上监狱管理局、戒毒管理局（含新疆生产建设兵团）出具的属于监狱企业的证明文件的，视同小微企业。</w:t>
      </w:r>
    </w:p>
    <w:p w14:paraId="794BA5AE">
      <w:pPr>
        <w:tabs>
          <w:tab w:val="left" w:pos="1080"/>
          <w:tab w:val="left" w:pos="1589"/>
        </w:tabs>
        <w:spacing w:line="300" w:lineRule="auto"/>
        <w:ind w:firstLine="420"/>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8.</w:t>
      </w:r>
      <w:r>
        <w:rPr>
          <w:rFonts w:ascii="Microsoft New Tai Lue" w:hAnsi="Microsoft New Tai Lue" w:cs="Microsoft New Tai Lue"/>
          <w:color w:val="000000"/>
          <w:szCs w:val="21"/>
          <w:highlight w:val="none"/>
        </w:rPr>
        <w:t>残疾人福利性单位按招标文件要求提供了《残疾人福利性单位声明函》（见附件）的，视同小微企业。</w:t>
      </w:r>
    </w:p>
    <w:p w14:paraId="5EA91A8D">
      <w:pPr>
        <w:tabs>
          <w:tab w:val="left" w:pos="1080"/>
          <w:tab w:val="left" w:pos="1589"/>
        </w:tabs>
        <w:spacing w:line="300" w:lineRule="auto"/>
        <w:ind w:firstLine="420"/>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9.</w:t>
      </w:r>
      <w:r>
        <w:rPr>
          <w:rFonts w:ascii="Microsoft New Tai Lue" w:hAnsi="Microsoft New Tai Lue" w:cs="Microsoft New Tai Lue"/>
          <w:color w:val="000000"/>
          <w:szCs w:val="21"/>
          <w:highlight w:val="none"/>
        </w:rPr>
        <w:t>若投标人同时属于小型或微型企业、监狱企业、残疾人福利性单位中的两种及以上，将不重复享受小微企业价格扣减的优惠政策。</w:t>
      </w:r>
    </w:p>
    <w:p w14:paraId="3B320B79">
      <w:pPr>
        <w:tabs>
          <w:tab w:val="left" w:pos="1080"/>
          <w:tab w:val="left" w:pos="1589"/>
        </w:tabs>
        <w:spacing w:line="300" w:lineRule="auto"/>
        <w:ind w:firstLine="420"/>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10.</w:t>
      </w:r>
      <w:r>
        <w:rPr>
          <w:rFonts w:ascii="Microsoft New Tai Lue" w:hAnsi="Microsoft New Tai Lue" w:cs="Microsoft New Tai Lue"/>
          <w:color w:val="000000"/>
          <w:szCs w:val="21"/>
          <w:highlight w:val="none"/>
        </w:rPr>
        <w:t>非政府强制采购的节能产品或环境标志产品，依据品目清单和认证证书实施政府优先采购。优先采购的具体规定（如涉及）</w:t>
      </w:r>
      <w:r>
        <w:rPr>
          <w:rFonts w:hint="eastAsia" w:ascii="Microsoft New Tai Lue" w:hAnsi="Microsoft New Tai Lue" w:cs="Microsoft New Tai Lue"/>
          <w:color w:val="000000"/>
          <w:szCs w:val="21"/>
          <w:highlight w:val="none"/>
          <w:u w:val="single"/>
        </w:rPr>
        <w:t>/</w:t>
      </w:r>
      <w:r>
        <w:rPr>
          <w:rFonts w:ascii="Microsoft New Tai Lue" w:hAnsi="Microsoft New Tai Lue" w:cs="Microsoft New Tai Lue"/>
          <w:color w:val="000000"/>
          <w:szCs w:val="21"/>
          <w:highlight w:val="none"/>
        </w:rPr>
        <w:t>。</w:t>
      </w:r>
    </w:p>
    <w:p w14:paraId="56EA039C">
      <w:pPr>
        <w:spacing w:line="360" w:lineRule="auto"/>
        <w:rPr>
          <w:rFonts w:hint="eastAsia" w:ascii="宋体" w:hAnsi="宋体"/>
          <w:b/>
          <w:color w:val="000000"/>
          <w:szCs w:val="21"/>
          <w:highlight w:val="none"/>
          <w:shd w:val="clear" w:color="auto" w:fill="FFFFFF"/>
        </w:rPr>
      </w:pPr>
      <w:r>
        <w:rPr>
          <w:rFonts w:hint="eastAsia" w:ascii="Microsoft New Tai Lue" w:hAnsi="Microsoft New Tai Lue" w:cs="Microsoft New Tai Lue"/>
          <w:color w:val="000000"/>
          <w:szCs w:val="21"/>
          <w:highlight w:val="none"/>
        </w:rPr>
        <w:t>11.</w:t>
      </w:r>
      <w:r>
        <w:rPr>
          <w:rFonts w:ascii="Microsoft New Tai Lue" w:hAnsi="Microsoft New Tai Lue" w:cs="Microsoft New Tai Lue"/>
          <w:color w:val="000000"/>
          <w:szCs w:val="21"/>
          <w:highlight w:val="none"/>
        </w:rPr>
        <w:t>关于无线局域网认证产品政府采购清单中的产品，优先采购的具体规定（如涉及）</w:t>
      </w:r>
      <w:r>
        <w:rPr>
          <w:rFonts w:hint="eastAsia" w:ascii="Microsoft New Tai Lue" w:hAnsi="Microsoft New Tai Lue" w:cs="Microsoft New Tai Lue"/>
          <w:color w:val="000000"/>
          <w:szCs w:val="21"/>
          <w:highlight w:val="none"/>
          <w:u w:val="single"/>
        </w:rPr>
        <w:t>/</w:t>
      </w:r>
    </w:p>
    <w:p w14:paraId="4EA0979D">
      <w:pPr>
        <w:rPr>
          <w:rFonts w:hint="eastAsia" w:ascii="仿宋" w:hAnsi="仿宋" w:eastAsia="仿宋" w:cs="仿宋"/>
          <w:color w:val="000000"/>
          <w:highlight w:val="none"/>
        </w:rPr>
      </w:pPr>
    </w:p>
    <w:p w14:paraId="3E603E8C">
      <w:pPr>
        <w:rPr>
          <w:rFonts w:hint="eastAsia" w:ascii="仿宋" w:hAnsi="仿宋" w:eastAsia="仿宋" w:cs="仿宋"/>
          <w:color w:val="000000"/>
          <w:sz w:val="40"/>
          <w:szCs w:val="40"/>
          <w:highlight w:val="none"/>
        </w:rPr>
      </w:pPr>
      <w:bookmarkStart w:id="147" w:name="_Toc15270"/>
      <w:bookmarkStart w:id="148" w:name="_Toc28176"/>
      <w:bookmarkStart w:id="149" w:name="_Toc11783"/>
    </w:p>
    <w:p w14:paraId="105E2B9C">
      <w:pPr>
        <w:rPr>
          <w:rFonts w:hint="eastAsia" w:ascii="仿宋" w:hAnsi="仿宋" w:eastAsia="仿宋" w:cs="仿宋"/>
          <w:color w:val="000000"/>
          <w:sz w:val="40"/>
          <w:szCs w:val="40"/>
          <w:highlight w:val="none"/>
        </w:rPr>
      </w:pPr>
      <w:r>
        <w:rPr>
          <w:rFonts w:hint="eastAsia" w:ascii="仿宋" w:hAnsi="仿宋" w:eastAsia="仿宋" w:cs="仿宋"/>
          <w:color w:val="000000"/>
          <w:sz w:val="40"/>
          <w:szCs w:val="40"/>
          <w:highlight w:val="none"/>
        </w:rPr>
        <w:br w:type="page" w:clear="all"/>
      </w:r>
    </w:p>
    <w:p w14:paraId="00FA4184">
      <w:pPr>
        <w:pStyle w:val="228"/>
        <w:spacing w:line="360" w:lineRule="auto"/>
        <w:rPr>
          <w:rFonts w:hint="eastAsia" w:ascii="仿宋" w:hAnsi="仿宋" w:eastAsia="仿宋" w:cs="仿宋"/>
          <w:color w:val="000000"/>
          <w:sz w:val="40"/>
          <w:szCs w:val="40"/>
          <w:highlight w:val="none"/>
        </w:rPr>
      </w:pPr>
      <w:bookmarkStart w:id="150" w:name="_Toc22796"/>
      <w:r>
        <w:rPr>
          <w:rFonts w:hint="eastAsia" w:ascii="仿宋" w:hAnsi="仿宋" w:eastAsia="仿宋" w:cs="仿宋"/>
          <w:color w:val="000000"/>
          <w:sz w:val="40"/>
          <w:szCs w:val="40"/>
          <w:highlight w:val="none"/>
        </w:rPr>
        <w:t>第六章  响应文件格式</w:t>
      </w:r>
      <w:bookmarkEnd w:id="25"/>
      <w:bookmarkEnd w:id="26"/>
      <w:bookmarkEnd w:id="27"/>
      <w:bookmarkEnd w:id="108"/>
      <w:bookmarkEnd w:id="109"/>
      <w:bookmarkEnd w:id="110"/>
      <w:bookmarkEnd w:id="144"/>
      <w:bookmarkEnd w:id="145"/>
      <w:bookmarkEnd w:id="146"/>
      <w:bookmarkEnd w:id="147"/>
      <w:bookmarkEnd w:id="148"/>
      <w:bookmarkEnd w:id="149"/>
      <w:bookmarkEnd w:id="150"/>
      <w:bookmarkStart w:id="151" w:name="_Toc26554094"/>
      <w:bookmarkStart w:id="152" w:name="_Toc120614282"/>
      <w:bookmarkStart w:id="153" w:name="_Toc49090576"/>
    </w:p>
    <w:p w14:paraId="3A01CF7F">
      <w:pPr>
        <w:pStyle w:val="216"/>
        <w:spacing w:before="0" w:after="0"/>
        <w:ind w:firstLine="0"/>
        <w:jc w:val="center"/>
        <w:rPr>
          <w:rFonts w:hint="eastAsia" w:ascii="仿宋" w:hAnsi="仿宋" w:eastAsia="仿宋" w:cs="仿宋"/>
          <w:b/>
          <w:bCs/>
          <w:color w:val="000000"/>
          <w:sz w:val="72"/>
          <w:szCs w:val="72"/>
          <w:highlight w:val="none"/>
        </w:rPr>
      </w:pPr>
      <w:bookmarkStart w:id="154" w:name="_Toc32395"/>
      <w:bookmarkStart w:id="155" w:name="_Toc12623"/>
    </w:p>
    <w:bookmarkEnd w:id="154"/>
    <w:bookmarkEnd w:id="155"/>
    <w:p w14:paraId="32A037AA">
      <w:pPr>
        <w:pStyle w:val="216"/>
        <w:spacing w:before="0" w:after="0"/>
        <w:ind w:firstLine="0"/>
        <w:jc w:val="center"/>
        <w:rPr>
          <w:rFonts w:hint="eastAsia" w:ascii="仿宋" w:hAnsi="仿宋" w:eastAsia="仿宋" w:cs="仿宋"/>
          <w:b/>
          <w:bCs/>
          <w:color w:val="000000"/>
          <w:sz w:val="72"/>
          <w:szCs w:val="72"/>
          <w:highlight w:val="none"/>
        </w:rPr>
      </w:pPr>
      <w:bookmarkStart w:id="156" w:name="_Toc3841"/>
      <w:bookmarkStart w:id="157" w:name="_Toc27695"/>
      <w:r>
        <w:rPr>
          <w:rFonts w:hint="eastAsia" w:ascii="仿宋" w:hAnsi="仿宋" w:eastAsia="仿宋" w:cs="仿宋"/>
          <w:b/>
          <w:bCs/>
          <w:color w:val="000000"/>
          <w:sz w:val="72"/>
          <w:szCs w:val="72"/>
          <w:highlight w:val="none"/>
        </w:rPr>
        <w:t>竞争性磋商响应文件</w:t>
      </w:r>
    </w:p>
    <w:p w14:paraId="3060DFEC">
      <w:pPr>
        <w:pStyle w:val="216"/>
        <w:spacing w:before="0" w:after="0"/>
        <w:ind w:firstLine="0"/>
        <w:jc w:val="center"/>
        <w:rPr>
          <w:rFonts w:hint="eastAsia" w:ascii="仿宋" w:hAnsi="仿宋" w:eastAsia="仿宋" w:cs="仿宋"/>
          <w:b/>
          <w:bCs/>
          <w:color w:val="000000"/>
          <w:sz w:val="52"/>
          <w:szCs w:val="52"/>
          <w:highlight w:val="none"/>
        </w:rPr>
      </w:pPr>
    </w:p>
    <w:p w14:paraId="1C0861C2">
      <w:pPr>
        <w:pStyle w:val="216"/>
        <w:spacing w:before="0" w:after="0"/>
        <w:ind w:firstLine="0"/>
        <w:jc w:val="center"/>
        <w:rPr>
          <w:rFonts w:hint="eastAsia" w:ascii="仿宋" w:hAnsi="仿宋" w:eastAsia="仿宋" w:cs="仿宋"/>
          <w:b/>
          <w:bCs/>
          <w:color w:val="000000"/>
          <w:sz w:val="52"/>
          <w:szCs w:val="52"/>
          <w:highlight w:val="none"/>
        </w:rPr>
      </w:pPr>
    </w:p>
    <w:p w14:paraId="37050B69">
      <w:pPr>
        <w:pStyle w:val="216"/>
        <w:spacing w:before="0" w:after="0"/>
        <w:ind w:firstLine="0"/>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52"/>
          <w:szCs w:val="52"/>
          <w:highlight w:val="none"/>
        </w:rPr>
        <w:t>（正本或副本）</w:t>
      </w:r>
      <w:bookmarkEnd w:id="156"/>
      <w:bookmarkEnd w:id="157"/>
    </w:p>
    <w:p w14:paraId="55AD9E93">
      <w:pPr>
        <w:pStyle w:val="216"/>
        <w:spacing w:before="0" w:after="0"/>
        <w:ind w:firstLine="0"/>
        <w:rPr>
          <w:rFonts w:hint="eastAsia" w:ascii="仿宋" w:hAnsi="仿宋" w:eastAsia="仿宋" w:cs="仿宋"/>
          <w:color w:val="000000"/>
          <w:highlight w:val="none"/>
        </w:rPr>
      </w:pPr>
    </w:p>
    <w:p w14:paraId="09E374B5">
      <w:pPr>
        <w:pStyle w:val="216"/>
        <w:spacing w:before="0" w:after="0"/>
        <w:ind w:firstLine="0"/>
        <w:rPr>
          <w:rFonts w:hint="eastAsia" w:ascii="仿宋" w:hAnsi="仿宋" w:eastAsia="仿宋" w:cs="仿宋"/>
          <w:color w:val="000000"/>
          <w:highlight w:val="none"/>
        </w:rPr>
      </w:pPr>
    </w:p>
    <w:p w14:paraId="056E547B">
      <w:pPr>
        <w:pStyle w:val="216"/>
        <w:spacing w:before="0" w:after="0"/>
        <w:ind w:firstLine="0"/>
        <w:rPr>
          <w:rFonts w:hint="eastAsia" w:ascii="仿宋" w:hAnsi="仿宋" w:eastAsia="仿宋" w:cs="仿宋"/>
          <w:color w:val="000000"/>
          <w:highlight w:val="none"/>
        </w:rPr>
      </w:pPr>
    </w:p>
    <w:p w14:paraId="2EFD76ED">
      <w:pPr>
        <w:pStyle w:val="216"/>
        <w:spacing w:before="0" w:after="0"/>
        <w:rPr>
          <w:rFonts w:hint="eastAsia" w:ascii="仿宋" w:hAnsi="仿宋" w:eastAsia="仿宋" w:cs="仿宋"/>
          <w:color w:val="000000"/>
          <w:highlight w:val="none"/>
        </w:rPr>
      </w:pPr>
    </w:p>
    <w:p w14:paraId="147B6BF7">
      <w:pPr>
        <w:pStyle w:val="216"/>
        <w:spacing w:before="0" w:after="0" w:line="720" w:lineRule="auto"/>
        <w:ind w:firstLine="0"/>
        <w:jc w:val="center"/>
        <w:rPr>
          <w:rFonts w:hint="eastAsia" w:ascii="仿宋" w:hAnsi="仿宋" w:eastAsia="仿宋" w:cs="仿宋"/>
          <w:b/>
          <w:bCs/>
          <w:color w:val="000000"/>
          <w:sz w:val="36"/>
          <w:szCs w:val="36"/>
          <w:highlight w:val="none"/>
          <w:lang w:eastAsia="zh-CN"/>
        </w:rPr>
      </w:pPr>
      <w:bookmarkStart w:id="158" w:name="_Toc25917"/>
      <w:bookmarkStart w:id="159" w:name="_Toc32649"/>
      <w:r>
        <w:rPr>
          <w:rFonts w:hint="eastAsia" w:ascii="仿宋" w:hAnsi="仿宋" w:eastAsia="仿宋" w:cs="仿宋"/>
          <w:b/>
          <w:bCs/>
          <w:color w:val="000000"/>
          <w:sz w:val="36"/>
          <w:szCs w:val="36"/>
          <w:highlight w:val="none"/>
        </w:rPr>
        <w:t>项目名称：</w:t>
      </w:r>
      <w:bookmarkEnd w:id="158"/>
      <w:bookmarkEnd w:id="159"/>
      <w:bookmarkStart w:id="160" w:name="_Toc21908"/>
      <w:bookmarkStart w:id="161" w:name="_Toc25091"/>
    </w:p>
    <w:p w14:paraId="71A858F9">
      <w:pPr>
        <w:pStyle w:val="216"/>
        <w:spacing w:before="0" w:after="0"/>
        <w:ind w:firstLine="0"/>
        <w:jc w:val="center"/>
        <w:rPr>
          <w:rFonts w:hint="eastAsia" w:ascii="仿宋" w:hAnsi="仿宋" w:eastAsia="仿宋" w:cs="仿宋"/>
          <w:color w:val="000000"/>
          <w:highlight w:val="none"/>
          <w:lang w:eastAsia="zh-CN"/>
        </w:rPr>
      </w:pPr>
      <w:r>
        <w:rPr>
          <w:rFonts w:hint="eastAsia" w:ascii="仿宋" w:hAnsi="仿宋" w:eastAsia="仿宋" w:cs="仿宋"/>
          <w:b/>
          <w:bCs/>
          <w:color w:val="000000"/>
          <w:sz w:val="36"/>
          <w:szCs w:val="36"/>
          <w:highlight w:val="none"/>
        </w:rPr>
        <w:t>项目编号：</w:t>
      </w:r>
      <w:bookmarkEnd w:id="160"/>
      <w:bookmarkEnd w:id="161"/>
    </w:p>
    <w:p w14:paraId="2D159E03">
      <w:pPr>
        <w:pStyle w:val="216"/>
        <w:spacing w:before="0" w:after="0"/>
        <w:rPr>
          <w:rFonts w:hint="eastAsia" w:ascii="仿宋" w:hAnsi="仿宋" w:eastAsia="仿宋" w:cs="仿宋"/>
          <w:color w:val="000000"/>
          <w:highlight w:val="none"/>
        </w:rPr>
      </w:pPr>
    </w:p>
    <w:p w14:paraId="012F6FEC">
      <w:pPr>
        <w:pStyle w:val="216"/>
        <w:spacing w:before="0" w:after="0"/>
        <w:ind w:firstLine="0"/>
        <w:rPr>
          <w:rFonts w:hint="eastAsia" w:ascii="仿宋" w:hAnsi="仿宋" w:eastAsia="仿宋" w:cs="仿宋"/>
          <w:color w:val="000000"/>
          <w:highlight w:val="none"/>
        </w:rPr>
      </w:pPr>
    </w:p>
    <w:p w14:paraId="1970BAF3">
      <w:pPr>
        <w:pStyle w:val="216"/>
        <w:spacing w:before="0" w:after="0"/>
        <w:rPr>
          <w:rFonts w:hint="eastAsia" w:ascii="仿宋" w:hAnsi="仿宋" w:eastAsia="仿宋" w:cs="仿宋"/>
          <w:color w:val="000000"/>
          <w:highlight w:val="none"/>
        </w:rPr>
      </w:pPr>
    </w:p>
    <w:p w14:paraId="16B79AF0">
      <w:pPr>
        <w:pStyle w:val="216"/>
        <w:spacing w:before="0" w:after="0"/>
        <w:ind w:firstLine="1687"/>
        <w:rPr>
          <w:rFonts w:hint="eastAsia" w:ascii="仿宋" w:hAnsi="仿宋" w:eastAsia="仿宋" w:cs="仿宋"/>
          <w:b/>
          <w:bCs/>
          <w:color w:val="000000"/>
          <w:sz w:val="28"/>
          <w:szCs w:val="28"/>
          <w:highlight w:val="none"/>
        </w:rPr>
      </w:pPr>
      <w:bookmarkStart w:id="162" w:name="_Toc19894"/>
      <w:bookmarkStart w:id="163" w:name="_Toc27537"/>
      <w:r>
        <w:rPr>
          <w:rFonts w:hint="eastAsia" w:ascii="仿宋" w:hAnsi="仿宋" w:eastAsia="仿宋" w:cs="仿宋"/>
          <w:b/>
          <w:bCs/>
          <w:color w:val="000000"/>
          <w:sz w:val="28"/>
          <w:szCs w:val="28"/>
          <w:highlight w:val="none"/>
        </w:rPr>
        <w:t>供应商名称 ：</w:t>
      </w:r>
      <w:bookmarkEnd w:id="162"/>
      <w:bookmarkEnd w:id="163"/>
    </w:p>
    <w:p w14:paraId="3F9E9B7D">
      <w:pPr>
        <w:pStyle w:val="216"/>
        <w:spacing w:before="0" w:after="0"/>
        <w:ind w:firstLine="1687"/>
        <w:rPr>
          <w:rFonts w:hint="eastAsia" w:ascii="仿宋" w:hAnsi="仿宋" w:eastAsia="仿宋" w:cs="仿宋"/>
          <w:b/>
          <w:bCs/>
          <w:color w:val="000000"/>
          <w:sz w:val="28"/>
          <w:szCs w:val="28"/>
          <w:highlight w:val="none"/>
        </w:rPr>
      </w:pPr>
      <w:bookmarkStart w:id="164" w:name="_Toc14028"/>
      <w:bookmarkStart w:id="165" w:name="_Toc5222"/>
      <w:r>
        <w:rPr>
          <w:rFonts w:hint="eastAsia" w:ascii="仿宋" w:hAnsi="仿宋" w:eastAsia="仿宋" w:cs="仿宋"/>
          <w:b/>
          <w:bCs/>
          <w:color w:val="000000"/>
          <w:sz w:val="28"/>
          <w:szCs w:val="28"/>
          <w:highlight w:val="none"/>
        </w:rPr>
        <w:t>授权代表 ：</w:t>
      </w:r>
      <w:bookmarkEnd w:id="164"/>
      <w:bookmarkEnd w:id="165"/>
    </w:p>
    <w:p w14:paraId="515D2514">
      <w:pPr>
        <w:pStyle w:val="216"/>
        <w:spacing w:before="0" w:after="0"/>
        <w:ind w:firstLine="1687"/>
        <w:rPr>
          <w:rFonts w:hint="eastAsia" w:ascii="仿宋" w:hAnsi="仿宋" w:eastAsia="仿宋" w:cs="仿宋"/>
          <w:color w:val="000000"/>
          <w:highlight w:val="none"/>
        </w:rPr>
      </w:pPr>
      <w:bookmarkStart w:id="166" w:name="_Toc16453"/>
      <w:bookmarkStart w:id="167" w:name="_Toc28"/>
      <w:r>
        <w:rPr>
          <w:rFonts w:hint="eastAsia" w:ascii="仿宋" w:hAnsi="仿宋" w:eastAsia="仿宋" w:cs="仿宋"/>
          <w:b/>
          <w:bCs/>
          <w:color w:val="000000"/>
          <w:sz w:val="28"/>
          <w:szCs w:val="28"/>
          <w:highlight w:val="none"/>
        </w:rPr>
        <w:t>日      期 ：</w:t>
      </w:r>
      <w:bookmarkEnd w:id="166"/>
      <w:bookmarkEnd w:id="167"/>
    </w:p>
    <w:p w14:paraId="4D31C622">
      <w:pPr>
        <w:pageBreakBefore/>
        <w:spacing w:before="312" w:after="312" w:line="360" w:lineRule="auto"/>
        <w:jc w:val="center"/>
        <w:rPr>
          <w:rFonts w:hint="eastAsia" w:ascii="仿宋" w:hAnsi="仿宋" w:eastAsia="仿宋" w:cs="仿宋"/>
          <w:b/>
          <w:bCs/>
          <w:color w:val="000000"/>
          <w:sz w:val="28"/>
          <w:szCs w:val="28"/>
          <w:highlight w:val="none"/>
        </w:rPr>
      </w:pPr>
      <w:bookmarkStart w:id="168" w:name="_Toc9798"/>
      <w:bookmarkStart w:id="169" w:name="_Toc27163"/>
      <w:r>
        <w:rPr>
          <w:rFonts w:hint="eastAsia" w:ascii="仿宋" w:hAnsi="仿宋" w:eastAsia="仿宋" w:cs="仿宋"/>
          <w:b/>
          <w:bCs/>
          <w:color w:val="000000"/>
          <w:sz w:val="28"/>
          <w:szCs w:val="28"/>
          <w:highlight w:val="none"/>
        </w:rPr>
        <w:t>资格性和符合性检查响应对照表</w:t>
      </w:r>
      <w:bookmarkEnd w:id="168"/>
      <w:bookmarkEnd w:id="169"/>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1"/>
        <w:gridCol w:w="5187"/>
        <w:gridCol w:w="1914"/>
        <w:gridCol w:w="1553"/>
      </w:tblGrid>
      <w:tr w14:paraId="25F473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3" w:hRule="atLeast"/>
          <w:jc w:val="center"/>
        </w:trPr>
        <w:tc>
          <w:tcPr>
            <w:tcW w:w="721" w:type="dxa"/>
            <w:noWrap w:val="0"/>
            <w:vAlign w:val="center"/>
          </w:tcPr>
          <w:p w14:paraId="38155F1F">
            <w:pPr>
              <w:spacing w:line="0" w:lineRule="atLeast"/>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序号</w:t>
            </w:r>
          </w:p>
        </w:tc>
        <w:tc>
          <w:tcPr>
            <w:tcW w:w="5187" w:type="dxa"/>
            <w:noWrap w:val="0"/>
            <w:vAlign w:val="center"/>
          </w:tcPr>
          <w:p w14:paraId="4397116B">
            <w:pPr>
              <w:spacing w:line="0" w:lineRule="atLeast"/>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资格和符合性检查响应内容</w:t>
            </w:r>
          </w:p>
        </w:tc>
        <w:tc>
          <w:tcPr>
            <w:tcW w:w="1914" w:type="dxa"/>
            <w:noWrap w:val="0"/>
            <w:vAlign w:val="center"/>
          </w:tcPr>
          <w:p w14:paraId="66DCA1F8">
            <w:pPr>
              <w:spacing w:line="0" w:lineRule="atLeast"/>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是否响应</w:t>
            </w:r>
          </w:p>
          <w:p w14:paraId="0312906C">
            <w:pPr>
              <w:spacing w:line="0" w:lineRule="atLeast"/>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（填是或者否）</w:t>
            </w:r>
          </w:p>
        </w:tc>
        <w:tc>
          <w:tcPr>
            <w:tcW w:w="1553" w:type="dxa"/>
            <w:noWrap w:val="0"/>
            <w:vAlign w:val="center"/>
          </w:tcPr>
          <w:p w14:paraId="64307F9B">
            <w:pPr>
              <w:spacing w:line="0" w:lineRule="atLeast"/>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响应文件中的页码位置</w:t>
            </w:r>
          </w:p>
        </w:tc>
      </w:tr>
      <w:tr w14:paraId="5073C9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0" w:hRule="atLeast"/>
          <w:jc w:val="center"/>
        </w:trPr>
        <w:tc>
          <w:tcPr>
            <w:tcW w:w="721" w:type="dxa"/>
            <w:noWrap w:val="0"/>
            <w:vAlign w:val="center"/>
          </w:tcPr>
          <w:p w14:paraId="0CA90DA6">
            <w:pPr>
              <w:spacing w:line="0" w:lineRule="atLeast"/>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1</w:t>
            </w:r>
          </w:p>
        </w:tc>
        <w:tc>
          <w:tcPr>
            <w:tcW w:w="5187" w:type="dxa"/>
            <w:noWrap w:val="0"/>
            <w:vAlign w:val="center"/>
          </w:tcPr>
          <w:p w14:paraId="7837E284">
            <w:pPr>
              <w:spacing w:line="0" w:lineRule="atLeast"/>
              <w:rPr>
                <w:rFonts w:hint="eastAsia" w:ascii="宋体" w:hAnsi="宋体" w:eastAsia="宋体" w:cs="宋体"/>
                <w:b w:val="0"/>
                <w:bCs w:val="0"/>
                <w:i/>
                <w:iCs/>
                <w:color w:val="000000"/>
                <w:sz w:val="21"/>
                <w:szCs w:val="21"/>
                <w:highlight w:val="none"/>
                <w:u w:val="single"/>
              </w:rPr>
            </w:pPr>
            <w:r>
              <w:rPr>
                <w:rFonts w:hint="eastAsia" w:ascii="宋体" w:hAnsi="宋体" w:eastAsia="宋体" w:cs="宋体"/>
                <w:b w:val="0"/>
                <w:bCs w:val="0"/>
                <w:color w:val="000000"/>
                <w:sz w:val="21"/>
                <w:szCs w:val="21"/>
                <w:highlight w:val="none"/>
              </w:rPr>
              <w:t>具有独立承担民事责任的能力，提供法人或其他组织的营业执照等证明文件，复印件加盖公章；</w:t>
            </w:r>
          </w:p>
        </w:tc>
        <w:tc>
          <w:tcPr>
            <w:tcW w:w="1914" w:type="dxa"/>
            <w:noWrap w:val="0"/>
            <w:vAlign w:val="center"/>
          </w:tcPr>
          <w:p w14:paraId="0DE32F7A">
            <w:pPr>
              <w:spacing w:line="0" w:lineRule="atLeast"/>
              <w:rPr>
                <w:rFonts w:hint="eastAsia" w:ascii="宋体" w:hAnsi="宋体" w:eastAsia="宋体" w:cs="宋体"/>
                <w:b w:val="0"/>
                <w:bCs w:val="0"/>
                <w:color w:val="000000"/>
                <w:sz w:val="21"/>
                <w:szCs w:val="21"/>
                <w:highlight w:val="none"/>
              </w:rPr>
            </w:pPr>
          </w:p>
        </w:tc>
        <w:tc>
          <w:tcPr>
            <w:tcW w:w="1553" w:type="dxa"/>
            <w:noWrap w:val="0"/>
            <w:vAlign w:val="center"/>
          </w:tcPr>
          <w:p w14:paraId="720B186B">
            <w:pPr>
              <w:spacing w:line="0" w:lineRule="atLeast"/>
              <w:rPr>
                <w:rFonts w:hint="eastAsia" w:ascii="宋体" w:hAnsi="宋体" w:eastAsia="宋体" w:cs="宋体"/>
                <w:b w:val="0"/>
                <w:bCs w:val="0"/>
                <w:color w:val="000000"/>
                <w:sz w:val="21"/>
                <w:szCs w:val="21"/>
                <w:highlight w:val="none"/>
              </w:rPr>
            </w:pPr>
          </w:p>
        </w:tc>
      </w:tr>
      <w:tr w14:paraId="083320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8" w:hRule="atLeast"/>
          <w:jc w:val="center"/>
        </w:trPr>
        <w:tc>
          <w:tcPr>
            <w:tcW w:w="721" w:type="dxa"/>
            <w:noWrap w:val="0"/>
            <w:vAlign w:val="center"/>
          </w:tcPr>
          <w:p w14:paraId="423D4ED7">
            <w:pPr>
              <w:spacing w:line="0" w:lineRule="atLeast"/>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2</w:t>
            </w:r>
          </w:p>
        </w:tc>
        <w:tc>
          <w:tcPr>
            <w:tcW w:w="5187" w:type="dxa"/>
            <w:noWrap w:val="0"/>
            <w:vAlign w:val="center"/>
          </w:tcPr>
          <w:p w14:paraId="5B269FAE">
            <w:pPr>
              <w:spacing w:line="0" w:lineRule="atLeast"/>
              <w:rPr>
                <w:rFonts w:hint="eastAsia" w:ascii="宋体" w:hAnsi="宋体" w:eastAsia="宋体" w:cs="宋体"/>
                <w:b w:val="0"/>
                <w:bCs w:val="0"/>
                <w:i/>
                <w:iCs/>
                <w:color w:val="000000"/>
                <w:sz w:val="21"/>
                <w:szCs w:val="21"/>
                <w:highlight w:val="none"/>
                <w:u w:val="single"/>
              </w:rPr>
            </w:pPr>
            <w:r>
              <w:rPr>
                <w:rFonts w:hint="eastAsia" w:ascii="宋体" w:hAnsi="宋体" w:eastAsia="宋体" w:cs="宋体"/>
                <w:b w:val="0"/>
                <w:bCs w:val="0"/>
                <w:color w:val="000000"/>
                <w:sz w:val="21"/>
                <w:szCs w:val="21"/>
                <w:highlight w:val="none"/>
              </w:rPr>
              <w:t>法人代表授权书（原件）及法定代表人、授权代表身份证复印件及</w:t>
            </w:r>
            <w:r>
              <w:rPr>
                <w:rFonts w:hint="eastAsia" w:ascii="宋体" w:hAnsi="宋体" w:eastAsia="宋体" w:cs="宋体"/>
                <w:b w:val="0"/>
                <w:bCs w:val="0"/>
                <w:color w:val="000000"/>
                <w:sz w:val="21"/>
                <w:szCs w:val="21"/>
                <w:highlight w:val="none"/>
                <w:lang w:eastAsia="zh-CN"/>
              </w:rPr>
              <w:t>2025年11月-2026年4月</w:t>
            </w:r>
            <w:r>
              <w:rPr>
                <w:rFonts w:hint="eastAsia" w:ascii="宋体" w:hAnsi="宋体" w:eastAsia="宋体" w:cs="宋体"/>
                <w:b w:val="0"/>
                <w:bCs w:val="0"/>
                <w:color w:val="000000"/>
                <w:sz w:val="21"/>
                <w:szCs w:val="21"/>
                <w:highlight w:val="none"/>
              </w:rPr>
              <w:t>内任意一月投标单位为其缴纳的社保证明（如果是法定代表人直接参与投标的可以不提供授权书）；</w:t>
            </w:r>
          </w:p>
        </w:tc>
        <w:tc>
          <w:tcPr>
            <w:tcW w:w="1914" w:type="dxa"/>
            <w:noWrap w:val="0"/>
            <w:vAlign w:val="center"/>
          </w:tcPr>
          <w:p w14:paraId="16599EF4">
            <w:pPr>
              <w:spacing w:line="0" w:lineRule="atLeast"/>
              <w:rPr>
                <w:rFonts w:hint="eastAsia" w:ascii="宋体" w:hAnsi="宋体" w:eastAsia="宋体" w:cs="宋体"/>
                <w:b w:val="0"/>
                <w:bCs w:val="0"/>
                <w:color w:val="000000"/>
                <w:sz w:val="21"/>
                <w:szCs w:val="21"/>
                <w:highlight w:val="none"/>
              </w:rPr>
            </w:pPr>
          </w:p>
        </w:tc>
        <w:tc>
          <w:tcPr>
            <w:tcW w:w="1553" w:type="dxa"/>
            <w:noWrap w:val="0"/>
            <w:vAlign w:val="center"/>
          </w:tcPr>
          <w:p w14:paraId="1EC643A0">
            <w:pPr>
              <w:spacing w:line="0" w:lineRule="atLeast"/>
              <w:rPr>
                <w:rFonts w:hint="eastAsia" w:ascii="宋体" w:hAnsi="宋体" w:eastAsia="宋体" w:cs="宋体"/>
                <w:b w:val="0"/>
                <w:bCs w:val="0"/>
                <w:color w:val="000000"/>
                <w:sz w:val="21"/>
                <w:szCs w:val="21"/>
                <w:highlight w:val="none"/>
              </w:rPr>
            </w:pPr>
          </w:p>
        </w:tc>
      </w:tr>
      <w:tr w14:paraId="57B0AE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atLeast"/>
          <w:jc w:val="center"/>
        </w:trPr>
        <w:tc>
          <w:tcPr>
            <w:tcW w:w="721" w:type="dxa"/>
            <w:noWrap w:val="0"/>
            <w:vAlign w:val="center"/>
          </w:tcPr>
          <w:p w14:paraId="1655B2FC">
            <w:pPr>
              <w:spacing w:line="0" w:lineRule="atLeast"/>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3</w:t>
            </w:r>
          </w:p>
        </w:tc>
        <w:tc>
          <w:tcPr>
            <w:tcW w:w="5187" w:type="dxa"/>
            <w:noWrap w:val="0"/>
            <w:vAlign w:val="center"/>
          </w:tcPr>
          <w:p w14:paraId="3516797D">
            <w:pPr>
              <w:spacing w:line="0" w:lineRule="atLeast"/>
              <w:rPr>
                <w:rFonts w:hint="eastAsia" w:ascii="宋体" w:hAnsi="宋体" w:eastAsia="宋体" w:cs="宋体"/>
                <w:b w:val="0"/>
                <w:bCs w:val="0"/>
                <w:i/>
                <w:iCs/>
                <w:color w:val="000000"/>
                <w:sz w:val="21"/>
                <w:szCs w:val="21"/>
                <w:highlight w:val="none"/>
                <w:u w:val="single"/>
              </w:rPr>
            </w:pPr>
            <w:r>
              <w:rPr>
                <w:rFonts w:hint="eastAsia" w:ascii="宋体" w:hAnsi="宋体" w:eastAsia="宋体" w:cs="宋体"/>
                <w:b w:val="0"/>
                <w:bCs w:val="0"/>
                <w:color w:val="000000"/>
                <w:sz w:val="21"/>
                <w:szCs w:val="21"/>
                <w:highlight w:val="none"/>
              </w:rPr>
              <w:t>具有良好的商业信誉和健全的财务会计制度，提供</w:t>
            </w:r>
            <w:r>
              <w:rPr>
                <w:rFonts w:hint="eastAsia" w:ascii="宋体" w:hAnsi="宋体" w:eastAsia="宋体" w:cs="宋体"/>
                <w:b w:val="0"/>
                <w:bCs w:val="0"/>
                <w:color w:val="000000"/>
                <w:sz w:val="21"/>
                <w:szCs w:val="21"/>
                <w:highlight w:val="none"/>
                <w:lang w:eastAsia="zh-CN"/>
              </w:rPr>
              <w:t>2025年11月-2026年4月</w:t>
            </w:r>
            <w:r>
              <w:rPr>
                <w:rFonts w:hint="eastAsia" w:ascii="宋体" w:hAnsi="宋体" w:eastAsia="宋体" w:cs="宋体"/>
                <w:b w:val="0"/>
                <w:bCs w:val="0"/>
                <w:color w:val="000000"/>
                <w:sz w:val="21"/>
                <w:szCs w:val="21"/>
                <w:highlight w:val="none"/>
              </w:rPr>
              <w:t>内任意一月份的财务状况报告（至少包括资产负债表或利润表）（法人或者其他组织成立未满三个月的可以不提供），或其银行出具的资信证书（复印件）（</w:t>
            </w:r>
            <w:r>
              <w:rPr>
                <w:rFonts w:hint="eastAsia" w:ascii="宋体" w:hAnsi="宋体" w:eastAsia="宋体" w:cs="宋体"/>
                <w:b w:val="0"/>
                <w:bCs w:val="0"/>
                <w:color w:val="000000"/>
                <w:sz w:val="21"/>
                <w:szCs w:val="21"/>
                <w:highlight w:val="none"/>
                <w:lang w:eastAsia="zh-CN"/>
              </w:rPr>
              <w:t>2025年11月-2026年4月</w:t>
            </w:r>
            <w:r>
              <w:rPr>
                <w:rFonts w:hint="eastAsia" w:ascii="宋体" w:hAnsi="宋体" w:eastAsia="宋体" w:cs="宋体"/>
                <w:b w:val="0"/>
                <w:bCs w:val="0"/>
                <w:color w:val="000000"/>
                <w:sz w:val="21"/>
                <w:szCs w:val="21"/>
                <w:highlight w:val="none"/>
              </w:rPr>
              <w:t>内），或2024</w:t>
            </w:r>
            <w:r>
              <w:rPr>
                <w:rFonts w:hint="eastAsia" w:ascii="宋体" w:hAnsi="宋体" w:eastAsia="宋体" w:cs="宋体"/>
                <w:b w:val="0"/>
                <w:bCs w:val="0"/>
                <w:color w:val="000000"/>
                <w:sz w:val="21"/>
                <w:szCs w:val="21"/>
                <w:highlight w:val="none"/>
                <w:lang w:val="en-US" w:eastAsia="zh-CN"/>
              </w:rPr>
              <w:t>或2025</w:t>
            </w:r>
            <w:r>
              <w:rPr>
                <w:rFonts w:hint="eastAsia" w:ascii="宋体" w:hAnsi="宋体" w:eastAsia="宋体" w:cs="宋体"/>
                <w:b w:val="0"/>
                <w:bCs w:val="0"/>
                <w:color w:val="000000"/>
                <w:sz w:val="21"/>
                <w:szCs w:val="21"/>
                <w:highlight w:val="none"/>
              </w:rPr>
              <w:t>年度经审计的财务报告复印件加盖公章；</w:t>
            </w:r>
          </w:p>
        </w:tc>
        <w:tc>
          <w:tcPr>
            <w:tcW w:w="1914" w:type="dxa"/>
            <w:noWrap w:val="0"/>
            <w:vAlign w:val="center"/>
          </w:tcPr>
          <w:p w14:paraId="332777EE">
            <w:pPr>
              <w:spacing w:line="0" w:lineRule="atLeast"/>
              <w:rPr>
                <w:rFonts w:hint="eastAsia" w:ascii="宋体" w:hAnsi="宋体" w:eastAsia="宋体" w:cs="宋体"/>
                <w:b w:val="0"/>
                <w:bCs w:val="0"/>
                <w:color w:val="000000"/>
                <w:sz w:val="21"/>
                <w:szCs w:val="21"/>
                <w:highlight w:val="none"/>
              </w:rPr>
            </w:pPr>
          </w:p>
        </w:tc>
        <w:tc>
          <w:tcPr>
            <w:tcW w:w="1553" w:type="dxa"/>
            <w:noWrap w:val="0"/>
            <w:vAlign w:val="center"/>
          </w:tcPr>
          <w:p w14:paraId="37C04C66">
            <w:pPr>
              <w:spacing w:line="0" w:lineRule="atLeast"/>
              <w:rPr>
                <w:rFonts w:hint="eastAsia" w:ascii="宋体" w:hAnsi="宋体" w:eastAsia="宋体" w:cs="宋体"/>
                <w:b w:val="0"/>
                <w:bCs w:val="0"/>
                <w:color w:val="000000"/>
                <w:sz w:val="21"/>
                <w:szCs w:val="21"/>
                <w:highlight w:val="none"/>
              </w:rPr>
            </w:pPr>
          </w:p>
        </w:tc>
      </w:tr>
      <w:tr w14:paraId="686F59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4" w:hRule="atLeast"/>
          <w:jc w:val="center"/>
        </w:trPr>
        <w:tc>
          <w:tcPr>
            <w:tcW w:w="721" w:type="dxa"/>
            <w:noWrap w:val="0"/>
            <w:vAlign w:val="center"/>
          </w:tcPr>
          <w:p w14:paraId="38F8CCFC">
            <w:pPr>
              <w:spacing w:line="0" w:lineRule="atLeast"/>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4</w:t>
            </w:r>
          </w:p>
        </w:tc>
        <w:tc>
          <w:tcPr>
            <w:tcW w:w="5187" w:type="dxa"/>
            <w:noWrap w:val="0"/>
            <w:vAlign w:val="center"/>
          </w:tcPr>
          <w:p w14:paraId="54A3CC16">
            <w:pPr>
              <w:spacing w:line="0" w:lineRule="atLeast"/>
              <w:rPr>
                <w:rFonts w:hint="eastAsia" w:ascii="宋体" w:hAnsi="宋体" w:eastAsia="宋体" w:cs="宋体"/>
                <w:b w:val="0"/>
                <w:bCs w:val="0"/>
                <w:i/>
                <w:iCs/>
                <w:color w:val="000000"/>
                <w:sz w:val="21"/>
                <w:szCs w:val="21"/>
                <w:highlight w:val="none"/>
                <w:u w:val="single"/>
              </w:rPr>
            </w:pPr>
            <w:r>
              <w:rPr>
                <w:rFonts w:hint="eastAsia" w:ascii="宋体" w:hAnsi="宋体" w:eastAsia="宋体" w:cs="宋体"/>
                <w:b w:val="0"/>
                <w:bCs w:val="0"/>
                <w:color w:val="000000"/>
                <w:sz w:val="21"/>
                <w:szCs w:val="21"/>
                <w:highlight w:val="none"/>
              </w:rPr>
              <w:t>具有履行合同所必需的设备和专业技术能力（根据项目需求提供履行合同所必需的设备和专业技术能力的证明材料或相关加盖公章的承诺函，承诺函自行编写）；</w:t>
            </w:r>
          </w:p>
        </w:tc>
        <w:tc>
          <w:tcPr>
            <w:tcW w:w="1914" w:type="dxa"/>
            <w:noWrap w:val="0"/>
            <w:vAlign w:val="center"/>
          </w:tcPr>
          <w:p w14:paraId="386E70B5">
            <w:pPr>
              <w:spacing w:line="0" w:lineRule="atLeast"/>
              <w:rPr>
                <w:rFonts w:hint="eastAsia" w:ascii="宋体" w:hAnsi="宋体" w:eastAsia="宋体" w:cs="宋体"/>
                <w:b w:val="0"/>
                <w:bCs w:val="0"/>
                <w:color w:val="000000"/>
                <w:sz w:val="21"/>
                <w:szCs w:val="21"/>
                <w:highlight w:val="none"/>
              </w:rPr>
            </w:pPr>
          </w:p>
        </w:tc>
        <w:tc>
          <w:tcPr>
            <w:tcW w:w="1553" w:type="dxa"/>
            <w:noWrap w:val="0"/>
            <w:vAlign w:val="center"/>
          </w:tcPr>
          <w:p w14:paraId="3056BC8B">
            <w:pPr>
              <w:spacing w:line="0" w:lineRule="atLeast"/>
              <w:rPr>
                <w:rFonts w:hint="eastAsia" w:ascii="宋体" w:hAnsi="宋体" w:eastAsia="宋体" w:cs="宋体"/>
                <w:b w:val="0"/>
                <w:bCs w:val="0"/>
                <w:color w:val="000000"/>
                <w:sz w:val="21"/>
                <w:szCs w:val="21"/>
                <w:highlight w:val="none"/>
              </w:rPr>
            </w:pPr>
          </w:p>
        </w:tc>
      </w:tr>
      <w:tr w14:paraId="2E7FDE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21" w:type="dxa"/>
            <w:noWrap w:val="0"/>
            <w:vAlign w:val="center"/>
          </w:tcPr>
          <w:p w14:paraId="631C613F">
            <w:pPr>
              <w:spacing w:line="0" w:lineRule="atLeast"/>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5</w:t>
            </w:r>
          </w:p>
        </w:tc>
        <w:tc>
          <w:tcPr>
            <w:tcW w:w="5187" w:type="dxa"/>
            <w:noWrap w:val="0"/>
            <w:vAlign w:val="center"/>
          </w:tcPr>
          <w:p w14:paraId="455F61E7">
            <w:pPr>
              <w:spacing w:line="0" w:lineRule="atLeast"/>
              <w:rPr>
                <w:rFonts w:hint="eastAsia" w:ascii="宋体" w:hAnsi="宋体" w:eastAsia="宋体" w:cs="宋体"/>
                <w:b w:val="0"/>
                <w:bCs w:val="0"/>
                <w:i/>
                <w:iCs/>
                <w:color w:val="000000"/>
                <w:sz w:val="21"/>
                <w:szCs w:val="21"/>
                <w:highlight w:val="none"/>
                <w:u w:val="single"/>
              </w:rPr>
            </w:pPr>
            <w:r>
              <w:rPr>
                <w:rFonts w:hint="eastAsia" w:ascii="宋体" w:hAnsi="宋体" w:eastAsia="宋体" w:cs="宋体"/>
                <w:b w:val="0"/>
                <w:bCs w:val="0"/>
                <w:color w:val="000000"/>
                <w:sz w:val="21"/>
                <w:szCs w:val="21"/>
                <w:highlight w:val="none"/>
              </w:rPr>
              <w:t>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tc>
        <w:tc>
          <w:tcPr>
            <w:tcW w:w="1914" w:type="dxa"/>
            <w:noWrap w:val="0"/>
            <w:vAlign w:val="center"/>
          </w:tcPr>
          <w:p w14:paraId="273A1A00">
            <w:pPr>
              <w:spacing w:line="0" w:lineRule="atLeast"/>
              <w:rPr>
                <w:rFonts w:hint="eastAsia" w:ascii="宋体" w:hAnsi="宋体" w:eastAsia="宋体" w:cs="宋体"/>
                <w:b w:val="0"/>
                <w:bCs w:val="0"/>
                <w:color w:val="000000"/>
                <w:sz w:val="21"/>
                <w:szCs w:val="21"/>
                <w:highlight w:val="none"/>
              </w:rPr>
            </w:pPr>
          </w:p>
        </w:tc>
        <w:tc>
          <w:tcPr>
            <w:tcW w:w="1553" w:type="dxa"/>
            <w:noWrap w:val="0"/>
            <w:vAlign w:val="center"/>
          </w:tcPr>
          <w:p w14:paraId="2095E8F5">
            <w:pPr>
              <w:spacing w:line="0" w:lineRule="atLeast"/>
              <w:rPr>
                <w:rFonts w:hint="eastAsia" w:ascii="宋体" w:hAnsi="宋体" w:eastAsia="宋体" w:cs="宋体"/>
                <w:b w:val="0"/>
                <w:bCs w:val="0"/>
                <w:color w:val="000000"/>
                <w:sz w:val="21"/>
                <w:szCs w:val="21"/>
                <w:highlight w:val="none"/>
              </w:rPr>
            </w:pPr>
          </w:p>
        </w:tc>
      </w:tr>
      <w:tr w14:paraId="2CBE85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1" w:hRule="atLeast"/>
          <w:jc w:val="center"/>
        </w:trPr>
        <w:tc>
          <w:tcPr>
            <w:tcW w:w="721" w:type="dxa"/>
            <w:noWrap w:val="0"/>
            <w:vAlign w:val="center"/>
          </w:tcPr>
          <w:p w14:paraId="1EAAA429">
            <w:pPr>
              <w:spacing w:line="0" w:lineRule="atLeast"/>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6</w:t>
            </w:r>
          </w:p>
        </w:tc>
        <w:tc>
          <w:tcPr>
            <w:tcW w:w="5187" w:type="dxa"/>
            <w:noWrap w:val="0"/>
            <w:vAlign w:val="center"/>
          </w:tcPr>
          <w:p w14:paraId="491530E7">
            <w:pPr>
              <w:spacing w:line="0" w:lineRule="atLeast"/>
              <w:rPr>
                <w:rFonts w:hint="eastAsia" w:ascii="宋体" w:hAnsi="宋体" w:eastAsia="宋体" w:cs="宋体"/>
                <w:b w:val="0"/>
                <w:bCs w:val="0"/>
                <w:i/>
                <w:iCs/>
                <w:color w:val="000000"/>
                <w:sz w:val="21"/>
                <w:szCs w:val="21"/>
                <w:highlight w:val="none"/>
                <w:u w:val="single"/>
              </w:rPr>
            </w:pPr>
            <w:r>
              <w:rPr>
                <w:rFonts w:hint="eastAsia" w:ascii="宋体" w:hAnsi="宋体" w:eastAsia="宋体" w:cs="宋体"/>
                <w:b w:val="0"/>
                <w:bCs w:val="0"/>
                <w:color w:val="000000"/>
                <w:sz w:val="21"/>
                <w:szCs w:val="21"/>
                <w:highlight w:val="none"/>
              </w:rPr>
              <w:t>有依法缴纳税收的良好记录，提供</w:t>
            </w:r>
            <w:r>
              <w:rPr>
                <w:rFonts w:hint="eastAsia" w:ascii="宋体" w:hAnsi="宋体" w:eastAsia="宋体" w:cs="宋体"/>
                <w:b w:val="0"/>
                <w:bCs w:val="0"/>
                <w:color w:val="000000"/>
                <w:sz w:val="21"/>
                <w:szCs w:val="21"/>
                <w:highlight w:val="none"/>
                <w:lang w:eastAsia="zh-CN"/>
              </w:rPr>
              <w:t>2025年11月-2026年4月</w:t>
            </w:r>
            <w:r>
              <w:rPr>
                <w:rFonts w:hint="eastAsia" w:ascii="宋体" w:hAnsi="宋体" w:eastAsia="宋体" w:cs="宋体"/>
                <w:b w:val="0"/>
                <w:bCs w:val="0"/>
                <w:color w:val="000000"/>
                <w:sz w:val="21"/>
                <w:szCs w:val="21"/>
                <w:highlight w:val="none"/>
              </w:rPr>
              <w:t>内任意一月份的纳税凭据复印件加盖公章（依法免税的应提供相应文件说明）；</w:t>
            </w:r>
          </w:p>
        </w:tc>
        <w:tc>
          <w:tcPr>
            <w:tcW w:w="1914" w:type="dxa"/>
            <w:noWrap w:val="0"/>
            <w:vAlign w:val="center"/>
          </w:tcPr>
          <w:p w14:paraId="6C13CED8">
            <w:pPr>
              <w:spacing w:line="0" w:lineRule="atLeast"/>
              <w:rPr>
                <w:rFonts w:hint="eastAsia" w:ascii="宋体" w:hAnsi="宋体" w:eastAsia="宋体" w:cs="宋体"/>
                <w:b w:val="0"/>
                <w:bCs w:val="0"/>
                <w:color w:val="000000"/>
                <w:sz w:val="21"/>
                <w:szCs w:val="21"/>
                <w:highlight w:val="none"/>
              </w:rPr>
            </w:pPr>
          </w:p>
        </w:tc>
        <w:tc>
          <w:tcPr>
            <w:tcW w:w="1553" w:type="dxa"/>
            <w:noWrap w:val="0"/>
            <w:vAlign w:val="center"/>
          </w:tcPr>
          <w:p w14:paraId="0A4ACB37">
            <w:pPr>
              <w:spacing w:line="0" w:lineRule="atLeast"/>
              <w:rPr>
                <w:rFonts w:hint="eastAsia" w:ascii="宋体" w:hAnsi="宋体" w:eastAsia="宋体" w:cs="宋体"/>
                <w:b w:val="0"/>
                <w:bCs w:val="0"/>
                <w:color w:val="000000"/>
                <w:sz w:val="21"/>
                <w:szCs w:val="21"/>
                <w:highlight w:val="none"/>
              </w:rPr>
            </w:pPr>
          </w:p>
        </w:tc>
      </w:tr>
      <w:tr w14:paraId="4A4DB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3" w:hRule="atLeast"/>
          <w:jc w:val="center"/>
        </w:trPr>
        <w:tc>
          <w:tcPr>
            <w:tcW w:w="721" w:type="dxa"/>
            <w:noWrap w:val="0"/>
            <w:vAlign w:val="center"/>
          </w:tcPr>
          <w:p w14:paraId="1745D176">
            <w:pPr>
              <w:spacing w:line="0" w:lineRule="atLeast"/>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7</w:t>
            </w:r>
          </w:p>
        </w:tc>
        <w:tc>
          <w:tcPr>
            <w:tcW w:w="5187" w:type="dxa"/>
            <w:noWrap w:val="0"/>
            <w:vAlign w:val="center"/>
          </w:tcPr>
          <w:p w14:paraId="0EA3D5C1">
            <w:pPr>
              <w:spacing w:line="0" w:lineRule="atLeast"/>
              <w:rPr>
                <w:rFonts w:hint="eastAsia" w:ascii="宋体" w:hAnsi="宋体" w:eastAsia="宋体" w:cs="宋体"/>
                <w:b w:val="0"/>
                <w:bCs w:val="0"/>
                <w:i/>
                <w:iCs/>
                <w:color w:val="000000"/>
                <w:sz w:val="21"/>
                <w:szCs w:val="21"/>
                <w:highlight w:val="none"/>
                <w:u w:val="single"/>
              </w:rPr>
            </w:pPr>
            <w:r>
              <w:rPr>
                <w:rFonts w:hint="eastAsia" w:ascii="宋体" w:hAnsi="宋体" w:eastAsia="宋体" w:cs="宋体"/>
                <w:b w:val="0"/>
                <w:bCs w:val="0"/>
                <w:color w:val="000000"/>
                <w:sz w:val="21"/>
                <w:szCs w:val="21"/>
                <w:highlight w:val="none"/>
              </w:rPr>
              <w:t>有依法缴纳社会保障资金的良好记录，提供</w:t>
            </w:r>
            <w:r>
              <w:rPr>
                <w:rFonts w:hint="eastAsia" w:ascii="宋体" w:hAnsi="宋体" w:eastAsia="宋体" w:cs="宋体"/>
                <w:b w:val="0"/>
                <w:bCs w:val="0"/>
                <w:color w:val="000000"/>
                <w:sz w:val="21"/>
                <w:szCs w:val="21"/>
                <w:highlight w:val="none"/>
                <w:lang w:eastAsia="zh-CN"/>
              </w:rPr>
              <w:t>2025年11月-2026年4月</w:t>
            </w:r>
            <w:r>
              <w:rPr>
                <w:rFonts w:hint="eastAsia" w:ascii="宋体" w:hAnsi="宋体" w:eastAsia="宋体" w:cs="宋体"/>
                <w:b w:val="0"/>
                <w:bCs w:val="0"/>
                <w:color w:val="000000"/>
                <w:sz w:val="21"/>
                <w:szCs w:val="21"/>
                <w:highlight w:val="none"/>
              </w:rPr>
              <w:t>内任意一月份的依法缴纳社会保障资金的凭据复印件加盖公章；</w:t>
            </w:r>
          </w:p>
        </w:tc>
        <w:tc>
          <w:tcPr>
            <w:tcW w:w="1914" w:type="dxa"/>
            <w:noWrap w:val="0"/>
            <w:vAlign w:val="center"/>
          </w:tcPr>
          <w:p w14:paraId="5D55E10F">
            <w:pPr>
              <w:spacing w:line="0" w:lineRule="atLeast"/>
              <w:rPr>
                <w:rFonts w:hint="eastAsia" w:ascii="宋体" w:hAnsi="宋体" w:eastAsia="宋体" w:cs="宋体"/>
                <w:b w:val="0"/>
                <w:bCs w:val="0"/>
                <w:color w:val="000000"/>
                <w:sz w:val="21"/>
                <w:szCs w:val="21"/>
                <w:highlight w:val="none"/>
              </w:rPr>
            </w:pPr>
          </w:p>
        </w:tc>
        <w:tc>
          <w:tcPr>
            <w:tcW w:w="1553" w:type="dxa"/>
            <w:noWrap w:val="0"/>
            <w:vAlign w:val="center"/>
          </w:tcPr>
          <w:p w14:paraId="71F4223C">
            <w:pPr>
              <w:spacing w:line="0" w:lineRule="atLeast"/>
              <w:rPr>
                <w:rFonts w:hint="eastAsia" w:ascii="宋体" w:hAnsi="宋体" w:eastAsia="宋体" w:cs="宋体"/>
                <w:b w:val="0"/>
                <w:bCs w:val="0"/>
                <w:color w:val="000000"/>
                <w:sz w:val="21"/>
                <w:szCs w:val="21"/>
                <w:highlight w:val="none"/>
              </w:rPr>
            </w:pPr>
          </w:p>
        </w:tc>
      </w:tr>
      <w:tr w14:paraId="58B61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21" w:type="dxa"/>
            <w:noWrap w:val="0"/>
            <w:vAlign w:val="center"/>
          </w:tcPr>
          <w:p w14:paraId="6839E0C8">
            <w:pPr>
              <w:spacing w:line="0" w:lineRule="atLeast"/>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8</w:t>
            </w:r>
          </w:p>
        </w:tc>
        <w:tc>
          <w:tcPr>
            <w:tcW w:w="5187" w:type="dxa"/>
            <w:noWrap w:val="0"/>
            <w:vAlign w:val="center"/>
          </w:tcPr>
          <w:p w14:paraId="0349ECF6">
            <w:pPr>
              <w:spacing w:line="0" w:lineRule="atLeast"/>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t>供应商存在下列情形的不得参加本次招标活动：</w:t>
            </w:r>
          </w:p>
          <w:p w14:paraId="1157FF2B">
            <w:pPr>
              <w:spacing w:line="0" w:lineRule="atLeast"/>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eastAsia="zh-CN"/>
              </w:rPr>
              <w:t>（</w:t>
            </w:r>
            <w:r>
              <w:rPr>
                <w:rFonts w:hint="eastAsia" w:ascii="宋体" w:hAnsi="宋体" w:eastAsia="宋体" w:cs="宋体"/>
                <w:b w:val="0"/>
                <w:bCs w:val="0"/>
                <w:i w:val="0"/>
                <w:iCs w:val="0"/>
                <w:color w:val="000000"/>
                <w:sz w:val="21"/>
                <w:szCs w:val="21"/>
                <w:highlight w:val="none"/>
                <w:u w:val="none"/>
                <w:lang w:val="en-US" w:eastAsia="zh-CN"/>
              </w:rPr>
              <w:t>1</w:t>
            </w:r>
            <w:r>
              <w:rPr>
                <w:rFonts w:hint="eastAsia" w:ascii="宋体" w:hAnsi="宋体" w:eastAsia="宋体" w:cs="宋体"/>
                <w:b w:val="0"/>
                <w:bCs w:val="0"/>
                <w:i w:val="0"/>
                <w:iCs w:val="0"/>
                <w:color w:val="000000"/>
                <w:sz w:val="21"/>
                <w:szCs w:val="21"/>
                <w:highlight w:val="none"/>
                <w:u w:val="none"/>
                <w:lang w:eastAsia="zh-CN"/>
              </w:rPr>
              <w:t>）</w:t>
            </w:r>
            <w:r>
              <w:rPr>
                <w:rFonts w:hint="eastAsia" w:ascii="宋体" w:hAnsi="宋体" w:eastAsia="宋体" w:cs="宋体"/>
                <w:b w:val="0"/>
                <w:bCs w:val="0"/>
                <w:i w:val="0"/>
                <w:iCs w:val="0"/>
                <w:color w:val="000000"/>
                <w:sz w:val="21"/>
                <w:szCs w:val="21"/>
                <w:highlight w:val="none"/>
                <w:u w:val="none"/>
              </w:rPr>
              <w:t>单位负责人为同一人或者存在直接控股、管理关系的不同供应商，不得参加同一合同项下的政府采购活动。</w:t>
            </w:r>
          </w:p>
          <w:p w14:paraId="49422B35">
            <w:pPr>
              <w:spacing w:line="0" w:lineRule="atLeast"/>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eastAsia="zh-CN"/>
              </w:rPr>
              <w:t>（</w:t>
            </w:r>
            <w:r>
              <w:rPr>
                <w:rFonts w:hint="eastAsia" w:ascii="宋体" w:hAnsi="宋体" w:eastAsia="宋体" w:cs="宋体"/>
                <w:b w:val="0"/>
                <w:bCs w:val="0"/>
                <w:i w:val="0"/>
                <w:iCs w:val="0"/>
                <w:color w:val="000000"/>
                <w:sz w:val="21"/>
                <w:szCs w:val="21"/>
                <w:highlight w:val="none"/>
                <w:u w:val="none"/>
                <w:lang w:val="en-US" w:eastAsia="zh-CN"/>
              </w:rPr>
              <w:t>2</w:t>
            </w:r>
            <w:r>
              <w:rPr>
                <w:rFonts w:hint="eastAsia" w:ascii="宋体" w:hAnsi="宋体" w:eastAsia="宋体" w:cs="宋体"/>
                <w:b w:val="0"/>
                <w:bCs w:val="0"/>
                <w:i w:val="0"/>
                <w:iCs w:val="0"/>
                <w:color w:val="000000"/>
                <w:sz w:val="21"/>
                <w:szCs w:val="21"/>
                <w:highlight w:val="none"/>
                <w:u w:val="none"/>
                <w:lang w:eastAsia="zh-CN"/>
              </w:rPr>
              <w:t>）</w:t>
            </w:r>
            <w:r>
              <w:rPr>
                <w:rFonts w:hint="eastAsia" w:ascii="宋体" w:hAnsi="宋体" w:eastAsia="宋体" w:cs="宋体"/>
                <w:b w:val="0"/>
                <w:bCs w:val="0"/>
                <w:i w:val="0"/>
                <w:iCs w:val="0"/>
                <w:color w:val="000000"/>
                <w:sz w:val="21"/>
                <w:szCs w:val="21"/>
                <w:highlight w:val="none"/>
                <w:u w:val="none"/>
              </w:rPr>
              <w:t>除单一来源项目外，凡为采购项目提供整体设计、规范编制或者项目管理、监理、检测等服务的供应商不得再参加本项目的采购活动。</w:t>
            </w:r>
          </w:p>
          <w:p w14:paraId="214A6333">
            <w:pPr>
              <w:spacing w:line="0" w:lineRule="atLeast"/>
              <w:jc w:val="left"/>
              <w:rPr>
                <w:rFonts w:hint="eastAsia" w:ascii="宋体" w:hAnsi="宋体" w:eastAsia="宋体" w:cs="宋体"/>
                <w:b w:val="0"/>
                <w:bCs w:val="0"/>
                <w:i/>
                <w:iCs/>
                <w:color w:val="000000"/>
                <w:sz w:val="21"/>
                <w:szCs w:val="21"/>
                <w:highlight w:val="none"/>
                <w:u w:val="single"/>
              </w:rPr>
            </w:pPr>
            <w:r>
              <w:rPr>
                <w:rFonts w:hint="eastAsia" w:ascii="宋体" w:hAnsi="宋体" w:eastAsia="宋体" w:cs="宋体"/>
                <w:b w:val="0"/>
                <w:bCs w:val="0"/>
                <w:i w:val="0"/>
                <w:iCs w:val="0"/>
                <w:color w:val="000000"/>
                <w:sz w:val="21"/>
                <w:szCs w:val="21"/>
                <w:highlight w:val="none"/>
                <w:u w:val="none"/>
                <w:lang w:eastAsia="zh-CN"/>
              </w:rPr>
              <w:t>（</w:t>
            </w:r>
            <w:r>
              <w:rPr>
                <w:rFonts w:hint="eastAsia" w:ascii="宋体" w:hAnsi="宋体" w:eastAsia="宋体" w:cs="宋体"/>
                <w:b w:val="0"/>
                <w:bCs w:val="0"/>
                <w:i w:val="0"/>
                <w:iCs w:val="0"/>
                <w:color w:val="000000"/>
                <w:sz w:val="21"/>
                <w:szCs w:val="21"/>
                <w:highlight w:val="none"/>
                <w:u w:val="none"/>
                <w:lang w:val="en-US" w:eastAsia="zh-CN"/>
              </w:rPr>
              <w:t>3</w:t>
            </w:r>
            <w:r>
              <w:rPr>
                <w:rFonts w:hint="eastAsia" w:ascii="宋体" w:hAnsi="宋体" w:eastAsia="宋体" w:cs="宋体"/>
                <w:b w:val="0"/>
                <w:bCs w:val="0"/>
                <w:i w:val="0"/>
                <w:iCs w:val="0"/>
                <w:color w:val="000000"/>
                <w:sz w:val="21"/>
                <w:szCs w:val="21"/>
                <w:highlight w:val="none"/>
                <w:u w:val="none"/>
                <w:lang w:eastAsia="zh-CN"/>
              </w:rPr>
              <w:t>）</w:t>
            </w:r>
            <w:r>
              <w:rPr>
                <w:rFonts w:hint="eastAsia" w:ascii="宋体" w:hAnsi="宋体" w:eastAsia="宋体" w:cs="宋体"/>
                <w:b w:val="0"/>
                <w:bCs w:val="0"/>
                <w:i w:val="0"/>
                <w:iCs w:val="0"/>
                <w:color w:val="000000"/>
                <w:sz w:val="21"/>
                <w:szCs w:val="21"/>
                <w:highlight w:val="none"/>
                <w:u w:val="none"/>
              </w:rPr>
              <w:t>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tc>
        <w:tc>
          <w:tcPr>
            <w:tcW w:w="1914" w:type="dxa"/>
            <w:noWrap w:val="0"/>
            <w:vAlign w:val="center"/>
          </w:tcPr>
          <w:p w14:paraId="361F480D">
            <w:pPr>
              <w:spacing w:line="0" w:lineRule="atLeast"/>
              <w:rPr>
                <w:rFonts w:hint="eastAsia" w:ascii="宋体" w:hAnsi="宋体" w:eastAsia="宋体" w:cs="宋体"/>
                <w:b w:val="0"/>
                <w:bCs w:val="0"/>
                <w:color w:val="000000"/>
                <w:sz w:val="21"/>
                <w:szCs w:val="21"/>
                <w:highlight w:val="none"/>
              </w:rPr>
            </w:pPr>
          </w:p>
        </w:tc>
        <w:tc>
          <w:tcPr>
            <w:tcW w:w="1553" w:type="dxa"/>
            <w:noWrap w:val="0"/>
            <w:vAlign w:val="center"/>
          </w:tcPr>
          <w:p w14:paraId="21301A2A">
            <w:pPr>
              <w:spacing w:line="0" w:lineRule="atLeast"/>
              <w:rPr>
                <w:rFonts w:hint="eastAsia" w:ascii="宋体" w:hAnsi="宋体" w:eastAsia="宋体" w:cs="宋体"/>
                <w:b w:val="0"/>
                <w:bCs w:val="0"/>
                <w:color w:val="000000"/>
                <w:sz w:val="21"/>
                <w:szCs w:val="21"/>
                <w:highlight w:val="none"/>
              </w:rPr>
            </w:pPr>
          </w:p>
        </w:tc>
      </w:tr>
      <w:tr w14:paraId="71E8DB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67" w:hRule="atLeast"/>
          <w:jc w:val="center"/>
        </w:trPr>
        <w:tc>
          <w:tcPr>
            <w:tcW w:w="721" w:type="dxa"/>
            <w:noWrap w:val="0"/>
            <w:vAlign w:val="center"/>
          </w:tcPr>
          <w:p w14:paraId="2698CD5D">
            <w:pPr>
              <w:spacing w:line="0" w:lineRule="atLeast"/>
              <w:jc w:val="center"/>
              <w:rPr>
                <w:rFonts w:hint="eastAsia"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9</w:t>
            </w:r>
          </w:p>
        </w:tc>
        <w:tc>
          <w:tcPr>
            <w:tcW w:w="5187" w:type="dxa"/>
            <w:noWrap w:val="0"/>
            <w:vAlign w:val="center"/>
          </w:tcPr>
          <w:p w14:paraId="69FC7881">
            <w:pPr>
              <w:spacing w:line="0" w:lineRule="atLeas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zh-CN"/>
              </w:rPr>
              <w:t>磋商申请及声明</w:t>
            </w:r>
          </w:p>
        </w:tc>
        <w:tc>
          <w:tcPr>
            <w:tcW w:w="1914" w:type="dxa"/>
            <w:noWrap w:val="0"/>
            <w:vAlign w:val="center"/>
          </w:tcPr>
          <w:p w14:paraId="3ADC66AE">
            <w:pPr>
              <w:spacing w:line="0" w:lineRule="atLeast"/>
              <w:rPr>
                <w:rFonts w:hint="eastAsia" w:ascii="宋体" w:hAnsi="宋体" w:eastAsia="宋体" w:cs="宋体"/>
                <w:b w:val="0"/>
                <w:bCs w:val="0"/>
                <w:color w:val="000000"/>
                <w:sz w:val="21"/>
                <w:szCs w:val="21"/>
                <w:highlight w:val="none"/>
              </w:rPr>
            </w:pPr>
          </w:p>
        </w:tc>
        <w:tc>
          <w:tcPr>
            <w:tcW w:w="1553" w:type="dxa"/>
            <w:noWrap w:val="0"/>
            <w:vAlign w:val="center"/>
          </w:tcPr>
          <w:p w14:paraId="0AF78A1D">
            <w:pPr>
              <w:spacing w:line="0" w:lineRule="atLeast"/>
              <w:rPr>
                <w:rFonts w:hint="eastAsia" w:ascii="宋体" w:hAnsi="宋体" w:eastAsia="宋体" w:cs="宋体"/>
                <w:b w:val="0"/>
                <w:bCs w:val="0"/>
                <w:color w:val="000000"/>
                <w:sz w:val="21"/>
                <w:szCs w:val="21"/>
                <w:highlight w:val="none"/>
              </w:rPr>
            </w:pPr>
          </w:p>
        </w:tc>
      </w:tr>
      <w:tr w14:paraId="3DE71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67" w:hRule="atLeast"/>
          <w:jc w:val="center"/>
        </w:trPr>
        <w:tc>
          <w:tcPr>
            <w:tcW w:w="721" w:type="dxa"/>
            <w:noWrap w:val="0"/>
            <w:vAlign w:val="center"/>
          </w:tcPr>
          <w:p w14:paraId="0875958D">
            <w:pPr>
              <w:spacing w:line="0" w:lineRule="atLeast"/>
              <w:jc w:val="center"/>
              <w:rPr>
                <w:rFonts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10</w:t>
            </w:r>
          </w:p>
        </w:tc>
        <w:tc>
          <w:tcPr>
            <w:tcW w:w="5187" w:type="dxa"/>
            <w:noWrap w:val="0"/>
            <w:vAlign w:val="center"/>
          </w:tcPr>
          <w:p w14:paraId="7585C292">
            <w:pPr>
              <w:spacing w:line="0" w:lineRule="atLeas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w:t>
            </w:r>
          </w:p>
        </w:tc>
        <w:tc>
          <w:tcPr>
            <w:tcW w:w="1914" w:type="dxa"/>
            <w:noWrap w:val="0"/>
            <w:vAlign w:val="center"/>
          </w:tcPr>
          <w:p w14:paraId="25B4B771">
            <w:pPr>
              <w:spacing w:line="0" w:lineRule="atLeast"/>
              <w:rPr>
                <w:rFonts w:hint="eastAsia" w:ascii="宋体" w:hAnsi="宋体" w:eastAsia="宋体" w:cs="宋体"/>
                <w:b w:val="0"/>
                <w:bCs w:val="0"/>
                <w:color w:val="000000"/>
                <w:sz w:val="21"/>
                <w:szCs w:val="21"/>
                <w:highlight w:val="none"/>
              </w:rPr>
            </w:pPr>
          </w:p>
        </w:tc>
        <w:tc>
          <w:tcPr>
            <w:tcW w:w="1553" w:type="dxa"/>
            <w:noWrap w:val="0"/>
            <w:vAlign w:val="center"/>
          </w:tcPr>
          <w:p w14:paraId="273EA2A7">
            <w:pPr>
              <w:spacing w:line="0" w:lineRule="atLeast"/>
              <w:rPr>
                <w:rFonts w:hint="eastAsia" w:ascii="宋体" w:hAnsi="宋体" w:eastAsia="宋体" w:cs="宋体"/>
                <w:b w:val="0"/>
                <w:bCs w:val="0"/>
                <w:color w:val="000000"/>
                <w:sz w:val="21"/>
                <w:szCs w:val="21"/>
                <w:highlight w:val="none"/>
              </w:rPr>
            </w:pPr>
          </w:p>
        </w:tc>
      </w:tr>
    </w:tbl>
    <w:p w14:paraId="267922A2">
      <w:pP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说明：上述所列证明文件为必须提供内容，未提供或未提供有效材料的，将不能通过审查。</w:t>
      </w:r>
    </w:p>
    <w:p w14:paraId="07BE1155">
      <w:pPr>
        <w:spacing w:line="0" w:lineRule="atLeast"/>
        <w:rPr>
          <w:rFonts w:hint="eastAsia" w:ascii="仿宋" w:hAnsi="仿宋" w:eastAsia="仿宋" w:cs="仿宋"/>
          <w:color w:val="000000"/>
          <w:sz w:val="24"/>
          <w:szCs w:val="24"/>
          <w:highlight w:val="none"/>
        </w:rPr>
      </w:pPr>
    </w:p>
    <w:p w14:paraId="04807C54">
      <w:pP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供应商全称（公章）：</w:t>
      </w:r>
    </w:p>
    <w:p w14:paraId="708AEA17">
      <w:pPr>
        <w:spacing w:line="0" w:lineRule="atLeast"/>
        <w:rPr>
          <w:rFonts w:hint="eastAsia" w:ascii="仿宋" w:hAnsi="仿宋" w:eastAsia="仿宋" w:cs="仿宋"/>
          <w:color w:val="000000"/>
          <w:highlight w:val="none"/>
        </w:rPr>
      </w:pPr>
      <w:r>
        <w:rPr>
          <w:rFonts w:hint="eastAsia" w:ascii="仿宋" w:hAnsi="仿宋" w:eastAsia="仿宋" w:cs="仿宋"/>
          <w:color w:val="000000"/>
          <w:sz w:val="24"/>
          <w:szCs w:val="24"/>
          <w:highlight w:val="none"/>
        </w:rPr>
        <w:t>法定代表人或授权代表签字：</w:t>
      </w:r>
      <w:r>
        <w:rPr>
          <w:rFonts w:hint="eastAsia" w:ascii="仿宋" w:hAnsi="仿宋" w:eastAsia="仿宋" w:cs="仿宋"/>
          <w:color w:val="000000"/>
          <w:highlight w:val="none"/>
        </w:rPr>
        <w:br w:type="page" w:clear="all"/>
      </w:r>
    </w:p>
    <w:p w14:paraId="330E56C4">
      <w:pPr>
        <w:pStyle w:val="216"/>
        <w:spacing w:before="156" w:after="156"/>
        <w:ind w:firstLine="562"/>
        <w:jc w:val="center"/>
        <w:rPr>
          <w:rFonts w:hint="eastAsia" w:ascii="仿宋" w:hAnsi="仿宋" w:eastAsia="仿宋" w:cs="仿宋"/>
          <w:b/>
          <w:bCs/>
          <w:color w:val="000000"/>
          <w:sz w:val="28"/>
          <w:szCs w:val="28"/>
          <w:highlight w:val="none"/>
        </w:rPr>
      </w:pPr>
      <w:bookmarkStart w:id="170" w:name="_Toc7302"/>
      <w:bookmarkStart w:id="171" w:name="_Toc25617"/>
      <w:r>
        <w:rPr>
          <w:rFonts w:hint="eastAsia" w:ascii="仿宋" w:hAnsi="仿宋" w:eastAsia="仿宋" w:cs="仿宋"/>
          <w:b/>
          <w:bCs/>
          <w:color w:val="000000"/>
          <w:sz w:val="28"/>
          <w:szCs w:val="28"/>
          <w:highlight w:val="none"/>
        </w:rPr>
        <w:t>评分索引表</w:t>
      </w:r>
      <w:bookmarkEnd w:id="170"/>
      <w:bookmarkEnd w:id="171"/>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17"/>
        <w:gridCol w:w="3575"/>
      </w:tblGrid>
      <w:tr w14:paraId="478218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0" w:hRule="atLeast"/>
          <w:jc w:val="center"/>
        </w:trPr>
        <w:tc>
          <w:tcPr>
            <w:tcW w:w="5817" w:type="dxa"/>
            <w:noWrap w:val="0"/>
            <w:vAlign w:val="center"/>
          </w:tcPr>
          <w:p w14:paraId="6C232EEC">
            <w:pPr>
              <w:pStyle w:val="214"/>
              <w:spacing w:line="360" w:lineRule="auto"/>
              <w:ind w:firstLine="422"/>
              <w:jc w:val="center"/>
              <w:rPr>
                <w:rFonts w:hint="eastAsia" w:ascii="仿宋" w:hAnsi="仿宋" w:eastAsia="仿宋" w:cs="仿宋"/>
                <w:b/>
                <w:bCs/>
                <w:color w:val="000000"/>
                <w:highlight w:val="none"/>
              </w:rPr>
            </w:pPr>
            <w:r>
              <w:rPr>
                <w:rFonts w:hint="eastAsia" w:ascii="仿宋" w:hAnsi="仿宋" w:eastAsia="仿宋" w:cs="仿宋"/>
                <w:b/>
                <w:bCs/>
                <w:color w:val="000000"/>
                <w:highlight w:val="none"/>
              </w:rPr>
              <w:t>评分项目</w:t>
            </w:r>
          </w:p>
        </w:tc>
        <w:tc>
          <w:tcPr>
            <w:tcW w:w="3575" w:type="dxa"/>
            <w:noWrap w:val="0"/>
            <w:vAlign w:val="center"/>
          </w:tcPr>
          <w:p w14:paraId="6BC164BF">
            <w:pPr>
              <w:spacing w:line="360" w:lineRule="auto"/>
              <w:jc w:val="center"/>
              <w:rPr>
                <w:rFonts w:hint="eastAsia" w:ascii="仿宋" w:hAnsi="仿宋" w:eastAsia="仿宋" w:cs="仿宋"/>
                <w:b/>
                <w:bCs/>
                <w:color w:val="000000"/>
                <w:highlight w:val="none"/>
              </w:rPr>
            </w:pPr>
            <w:r>
              <w:rPr>
                <w:rFonts w:hint="eastAsia" w:ascii="仿宋" w:hAnsi="仿宋" w:eastAsia="仿宋" w:cs="仿宋"/>
                <w:b/>
                <w:bCs/>
                <w:color w:val="000000"/>
                <w:highlight w:val="none"/>
              </w:rPr>
              <w:t>在响应文件中的页码位置</w:t>
            </w:r>
          </w:p>
        </w:tc>
      </w:tr>
      <w:tr w14:paraId="2FE6C5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jc w:val="center"/>
        </w:trPr>
        <w:tc>
          <w:tcPr>
            <w:tcW w:w="5817" w:type="dxa"/>
            <w:noWrap w:val="0"/>
            <w:vAlign w:val="center"/>
          </w:tcPr>
          <w:p w14:paraId="6E5539BC">
            <w:pPr>
              <w:pStyle w:val="214"/>
              <w:spacing w:line="360" w:lineRule="auto"/>
              <w:ind w:firstLine="422"/>
              <w:rPr>
                <w:rFonts w:hint="eastAsia" w:ascii="仿宋" w:hAnsi="仿宋" w:eastAsia="仿宋" w:cs="仿宋"/>
                <w:b/>
                <w:bCs/>
                <w:color w:val="000000"/>
                <w:highlight w:val="none"/>
              </w:rPr>
            </w:pPr>
          </w:p>
        </w:tc>
        <w:tc>
          <w:tcPr>
            <w:tcW w:w="3575" w:type="dxa"/>
            <w:noWrap w:val="0"/>
            <w:vAlign w:val="center"/>
          </w:tcPr>
          <w:p w14:paraId="2E9E1B0C">
            <w:pPr>
              <w:spacing w:line="360" w:lineRule="auto"/>
              <w:rPr>
                <w:rFonts w:hint="eastAsia" w:ascii="仿宋" w:hAnsi="仿宋" w:eastAsia="仿宋" w:cs="仿宋"/>
                <w:b/>
                <w:bCs/>
                <w:color w:val="000000"/>
                <w:highlight w:val="none"/>
              </w:rPr>
            </w:pPr>
          </w:p>
        </w:tc>
      </w:tr>
      <w:tr w14:paraId="30A5C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6" w:hRule="atLeast"/>
          <w:jc w:val="center"/>
        </w:trPr>
        <w:tc>
          <w:tcPr>
            <w:tcW w:w="9392" w:type="dxa"/>
            <w:gridSpan w:val="2"/>
            <w:noWrap w:val="0"/>
            <w:vAlign w:val="center"/>
          </w:tcPr>
          <w:p w14:paraId="1836B60D">
            <w:pPr>
              <w:pStyle w:val="214"/>
              <w:spacing w:line="360" w:lineRule="auto"/>
              <w:rPr>
                <w:rFonts w:hint="eastAsia" w:ascii="仿宋" w:hAnsi="仿宋" w:eastAsia="仿宋" w:cs="仿宋"/>
                <w:color w:val="000000"/>
                <w:highlight w:val="none"/>
              </w:rPr>
            </w:pPr>
          </w:p>
        </w:tc>
      </w:tr>
      <w:tr w14:paraId="36F60E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5" w:hRule="atLeast"/>
          <w:jc w:val="center"/>
        </w:trPr>
        <w:tc>
          <w:tcPr>
            <w:tcW w:w="5817" w:type="dxa"/>
            <w:noWrap w:val="0"/>
            <w:vAlign w:val="center"/>
          </w:tcPr>
          <w:p w14:paraId="376DF652">
            <w:pPr>
              <w:pStyle w:val="214"/>
              <w:spacing w:line="360" w:lineRule="auto"/>
              <w:rPr>
                <w:rFonts w:hint="eastAsia" w:ascii="仿宋" w:hAnsi="仿宋" w:eastAsia="仿宋" w:cs="仿宋"/>
                <w:color w:val="000000"/>
                <w:highlight w:val="none"/>
              </w:rPr>
            </w:pPr>
          </w:p>
        </w:tc>
        <w:tc>
          <w:tcPr>
            <w:tcW w:w="3575" w:type="dxa"/>
            <w:noWrap w:val="0"/>
            <w:vAlign w:val="center"/>
          </w:tcPr>
          <w:p w14:paraId="05FE3007">
            <w:pPr>
              <w:spacing w:line="360" w:lineRule="auto"/>
              <w:rPr>
                <w:rFonts w:hint="eastAsia" w:ascii="仿宋" w:hAnsi="仿宋" w:eastAsia="仿宋" w:cs="仿宋"/>
                <w:color w:val="000000"/>
                <w:highlight w:val="none"/>
              </w:rPr>
            </w:pPr>
          </w:p>
        </w:tc>
      </w:tr>
      <w:tr w14:paraId="270055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6" w:hRule="atLeast"/>
          <w:jc w:val="center"/>
        </w:trPr>
        <w:tc>
          <w:tcPr>
            <w:tcW w:w="5817" w:type="dxa"/>
            <w:noWrap w:val="0"/>
            <w:vAlign w:val="center"/>
          </w:tcPr>
          <w:p w14:paraId="3E36800B">
            <w:pPr>
              <w:pStyle w:val="214"/>
              <w:spacing w:line="360" w:lineRule="auto"/>
              <w:rPr>
                <w:rFonts w:hint="eastAsia" w:ascii="仿宋" w:hAnsi="仿宋" w:eastAsia="仿宋" w:cs="仿宋"/>
                <w:color w:val="000000"/>
                <w:highlight w:val="none"/>
              </w:rPr>
            </w:pPr>
          </w:p>
        </w:tc>
        <w:tc>
          <w:tcPr>
            <w:tcW w:w="3575" w:type="dxa"/>
            <w:noWrap w:val="0"/>
            <w:vAlign w:val="center"/>
          </w:tcPr>
          <w:p w14:paraId="3F75A46D">
            <w:pPr>
              <w:spacing w:line="360" w:lineRule="auto"/>
              <w:rPr>
                <w:rFonts w:hint="eastAsia" w:ascii="仿宋" w:hAnsi="仿宋" w:eastAsia="仿宋" w:cs="仿宋"/>
                <w:color w:val="000000"/>
                <w:highlight w:val="none"/>
              </w:rPr>
            </w:pPr>
          </w:p>
        </w:tc>
      </w:tr>
      <w:tr w14:paraId="7262FF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5817" w:type="dxa"/>
            <w:noWrap w:val="0"/>
            <w:vAlign w:val="center"/>
          </w:tcPr>
          <w:p w14:paraId="69F92FEE">
            <w:pPr>
              <w:pStyle w:val="214"/>
              <w:spacing w:line="360" w:lineRule="auto"/>
              <w:rPr>
                <w:rFonts w:hint="eastAsia" w:ascii="仿宋" w:hAnsi="仿宋" w:eastAsia="仿宋" w:cs="仿宋"/>
                <w:color w:val="000000"/>
                <w:highlight w:val="none"/>
              </w:rPr>
            </w:pPr>
          </w:p>
        </w:tc>
        <w:tc>
          <w:tcPr>
            <w:tcW w:w="3575" w:type="dxa"/>
            <w:noWrap w:val="0"/>
            <w:vAlign w:val="center"/>
          </w:tcPr>
          <w:p w14:paraId="199C2C23">
            <w:pPr>
              <w:spacing w:line="360" w:lineRule="auto"/>
              <w:rPr>
                <w:rFonts w:hint="eastAsia" w:ascii="仿宋" w:hAnsi="仿宋" w:eastAsia="仿宋" w:cs="仿宋"/>
                <w:color w:val="000000"/>
                <w:highlight w:val="none"/>
              </w:rPr>
            </w:pPr>
          </w:p>
        </w:tc>
      </w:tr>
      <w:tr w14:paraId="50D30D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5817" w:type="dxa"/>
            <w:noWrap w:val="0"/>
            <w:vAlign w:val="center"/>
          </w:tcPr>
          <w:p w14:paraId="786F75E7">
            <w:pPr>
              <w:pStyle w:val="214"/>
              <w:spacing w:line="360" w:lineRule="auto"/>
              <w:rPr>
                <w:rFonts w:hint="eastAsia" w:ascii="仿宋" w:hAnsi="仿宋" w:eastAsia="仿宋" w:cs="仿宋"/>
                <w:color w:val="000000"/>
                <w:highlight w:val="none"/>
              </w:rPr>
            </w:pPr>
          </w:p>
        </w:tc>
        <w:tc>
          <w:tcPr>
            <w:tcW w:w="3575" w:type="dxa"/>
            <w:noWrap w:val="0"/>
            <w:vAlign w:val="center"/>
          </w:tcPr>
          <w:p w14:paraId="5E39818F">
            <w:pPr>
              <w:spacing w:line="360" w:lineRule="auto"/>
              <w:rPr>
                <w:rFonts w:hint="eastAsia" w:ascii="仿宋" w:hAnsi="仿宋" w:eastAsia="仿宋" w:cs="仿宋"/>
                <w:color w:val="000000"/>
                <w:highlight w:val="none"/>
              </w:rPr>
            </w:pPr>
          </w:p>
        </w:tc>
      </w:tr>
      <w:tr w14:paraId="7ACDA8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6" w:hRule="atLeast"/>
          <w:jc w:val="center"/>
        </w:trPr>
        <w:tc>
          <w:tcPr>
            <w:tcW w:w="5817" w:type="dxa"/>
            <w:noWrap w:val="0"/>
            <w:vAlign w:val="center"/>
          </w:tcPr>
          <w:p w14:paraId="645881A4">
            <w:pPr>
              <w:pStyle w:val="214"/>
              <w:spacing w:line="360" w:lineRule="auto"/>
              <w:rPr>
                <w:rFonts w:hint="eastAsia" w:ascii="仿宋" w:hAnsi="仿宋" w:eastAsia="仿宋" w:cs="仿宋"/>
                <w:color w:val="000000"/>
                <w:highlight w:val="none"/>
              </w:rPr>
            </w:pPr>
          </w:p>
        </w:tc>
        <w:tc>
          <w:tcPr>
            <w:tcW w:w="3575" w:type="dxa"/>
            <w:noWrap w:val="0"/>
            <w:vAlign w:val="center"/>
          </w:tcPr>
          <w:p w14:paraId="4D3755AA">
            <w:pPr>
              <w:spacing w:line="360" w:lineRule="auto"/>
              <w:rPr>
                <w:rFonts w:hint="eastAsia" w:ascii="仿宋" w:hAnsi="仿宋" w:eastAsia="仿宋" w:cs="仿宋"/>
                <w:color w:val="000000"/>
                <w:highlight w:val="none"/>
              </w:rPr>
            </w:pPr>
          </w:p>
        </w:tc>
      </w:tr>
      <w:tr w14:paraId="410131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2" w:hRule="atLeast"/>
          <w:jc w:val="center"/>
        </w:trPr>
        <w:tc>
          <w:tcPr>
            <w:tcW w:w="9392" w:type="dxa"/>
            <w:gridSpan w:val="2"/>
            <w:noWrap w:val="0"/>
            <w:vAlign w:val="center"/>
          </w:tcPr>
          <w:p w14:paraId="36D6E204">
            <w:pPr>
              <w:pStyle w:val="214"/>
              <w:spacing w:line="360" w:lineRule="auto"/>
              <w:rPr>
                <w:rFonts w:hint="eastAsia" w:ascii="仿宋" w:hAnsi="仿宋" w:eastAsia="仿宋" w:cs="仿宋"/>
                <w:color w:val="000000"/>
                <w:highlight w:val="none"/>
              </w:rPr>
            </w:pPr>
          </w:p>
        </w:tc>
      </w:tr>
      <w:tr w14:paraId="41CD86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6" w:hRule="atLeast"/>
          <w:jc w:val="center"/>
        </w:trPr>
        <w:tc>
          <w:tcPr>
            <w:tcW w:w="5817" w:type="dxa"/>
            <w:noWrap w:val="0"/>
            <w:vAlign w:val="center"/>
          </w:tcPr>
          <w:p w14:paraId="6CC2CEB1">
            <w:pPr>
              <w:pStyle w:val="214"/>
              <w:spacing w:line="360" w:lineRule="auto"/>
              <w:rPr>
                <w:rFonts w:hint="eastAsia" w:ascii="仿宋" w:hAnsi="仿宋" w:eastAsia="仿宋" w:cs="仿宋"/>
                <w:color w:val="000000"/>
                <w:highlight w:val="none"/>
              </w:rPr>
            </w:pPr>
          </w:p>
        </w:tc>
        <w:tc>
          <w:tcPr>
            <w:tcW w:w="3575" w:type="dxa"/>
            <w:noWrap w:val="0"/>
            <w:vAlign w:val="center"/>
          </w:tcPr>
          <w:p w14:paraId="76FF8EC2">
            <w:pPr>
              <w:spacing w:line="360" w:lineRule="auto"/>
              <w:rPr>
                <w:rFonts w:hint="eastAsia" w:ascii="仿宋" w:hAnsi="仿宋" w:eastAsia="仿宋" w:cs="仿宋"/>
                <w:color w:val="000000"/>
                <w:highlight w:val="none"/>
              </w:rPr>
            </w:pPr>
          </w:p>
        </w:tc>
      </w:tr>
      <w:tr w14:paraId="1D7ADE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6" w:hRule="atLeast"/>
          <w:jc w:val="center"/>
        </w:trPr>
        <w:tc>
          <w:tcPr>
            <w:tcW w:w="5817" w:type="dxa"/>
            <w:noWrap w:val="0"/>
            <w:vAlign w:val="center"/>
          </w:tcPr>
          <w:p w14:paraId="4B39A987">
            <w:pPr>
              <w:pStyle w:val="214"/>
              <w:spacing w:line="360" w:lineRule="auto"/>
              <w:rPr>
                <w:rFonts w:hint="eastAsia" w:ascii="仿宋" w:hAnsi="仿宋" w:eastAsia="仿宋" w:cs="仿宋"/>
                <w:color w:val="000000"/>
                <w:highlight w:val="none"/>
              </w:rPr>
            </w:pPr>
          </w:p>
        </w:tc>
        <w:tc>
          <w:tcPr>
            <w:tcW w:w="3575" w:type="dxa"/>
            <w:noWrap w:val="0"/>
            <w:vAlign w:val="center"/>
          </w:tcPr>
          <w:p w14:paraId="30430F2B">
            <w:pPr>
              <w:spacing w:line="360" w:lineRule="auto"/>
              <w:rPr>
                <w:rFonts w:hint="eastAsia" w:ascii="仿宋" w:hAnsi="仿宋" w:eastAsia="仿宋" w:cs="仿宋"/>
                <w:color w:val="000000"/>
                <w:highlight w:val="none"/>
              </w:rPr>
            </w:pPr>
          </w:p>
        </w:tc>
      </w:tr>
      <w:tr w14:paraId="7C346A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6" w:hRule="atLeast"/>
          <w:jc w:val="center"/>
        </w:trPr>
        <w:tc>
          <w:tcPr>
            <w:tcW w:w="5817" w:type="dxa"/>
            <w:noWrap w:val="0"/>
            <w:vAlign w:val="center"/>
          </w:tcPr>
          <w:p w14:paraId="4EEAEEDB">
            <w:pPr>
              <w:pStyle w:val="214"/>
              <w:spacing w:line="360" w:lineRule="auto"/>
              <w:rPr>
                <w:rFonts w:hint="eastAsia" w:ascii="仿宋" w:hAnsi="仿宋" w:eastAsia="仿宋" w:cs="仿宋"/>
                <w:color w:val="000000"/>
                <w:highlight w:val="none"/>
              </w:rPr>
            </w:pPr>
          </w:p>
        </w:tc>
        <w:tc>
          <w:tcPr>
            <w:tcW w:w="3575" w:type="dxa"/>
            <w:noWrap w:val="0"/>
            <w:vAlign w:val="center"/>
          </w:tcPr>
          <w:p w14:paraId="1C539941">
            <w:pPr>
              <w:spacing w:line="360" w:lineRule="auto"/>
              <w:rPr>
                <w:rFonts w:hint="eastAsia" w:ascii="仿宋" w:hAnsi="仿宋" w:eastAsia="仿宋" w:cs="仿宋"/>
                <w:color w:val="000000"/>
                <w:highlight w:val="none"/>
              </w:rPr>
            </w:pPr>
          </w:p>
        </w:tc>
      </w:tr>
      <w:tr w14:paraId="1FBC0C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6" w:hRule="atLeast"/>
          <w:jc w:val="center"/>
        </w:trPr>
        <w:tc>
          <w:tcPr>
            <w:tcW w:w="5817" w:type="dxa"/>
            <w:noWrap w:val="0"/>
            <w:vAlign w:val="center"/>
          </w:tcPr>
          <w:p w14:paraId="09D853AF">
            <w:pPr>
              <w:pStyle w:val="214"/>
              <w:spacing w:line="360" w:lineRule="auto"/>
              <w:rPr>
                <w:rFonts w:hint="eastAsia" w:ascii="仿宋" w:hAnsi="仿宋" w:eastAsia="仿宋" w:cs="仿宋"/>
                <w:color w:val="000000"/>
                <w:highlight w:val="none"/>
              </w:rPr>
            </w:pPr>
          </w:p>
        </w:tc>
        <w:tc>
          <w:tcPr>
            <w:tcW w:w="3575" w:type="dxa"/>
            <w:noWrap w:val="0"/>
            <w:vAlign w:val="center"/>
          </w:tcPr>
          <w:p w14:paraId="5C83744B">
            <w:pPr>
              <w:spacing w:line="360" w:lineRule="auto"/>
              <w:rPr>
                <w:rFonts w:hint="eastAsia" w:ascii="仿宋" w:hAnsi="仿宋" w:eastAsia="仿宋" w:cs="仿宋"/>
                <w:color w:val="000000"/>
                <w:highlight w:val="none"/>
              </w:rPr>
            </w:pPr>
          </w:p>
        </w:tc>
      </w:tr>
      <w:tr w14:paraId="6AE3C9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6" w:hRule="atLeast"/>
          <w:jc w:val="center"/>
        </w:trPr>
        <w:tc>
          <w:tcPr>
            <w:tcW w:w="5817" w:type="dxa"/>
            <w:noWrap w:val="0"/>
            <w:vAlign w:val="center"/>
          </w:tcPr>
          <w:p w14:paraId="73CA6951">
            <w:pPr>
              <w:pStyle w:val="214"/>
              <w:spacing w:line="360" w:lineRule="auto"/>
              <w:rPr>
                <w:rFonts w:hint="eastAsia" w:ascii="仿宋" w:hAnsi="仿宋" w:eastAsia="仿宋" w:cs="仿宋"/>
                <w:color w:val="000000"/>
                <w:highlight w:val="none"/>
              </w:rPr>
            </w:pPr>
          </w:p>
        </w:tc>
        <w:tc>
          <w:tcPr>
            <w:tcW w:w="3575" w:type="dxa"/>
            <w:noWrap w:val="0"/>
            <w:vAlign w:val="center"/>
          </w:tcPr>
          <w:p w14:paraId="215B3536">
            <w:pPr>
              <w:spacing w:line="360" w:lineRule="auto"/>
              <w:rPr>
                <w:rFonts w:hint="eastAsia" w:ascii="仿宋" w:hAnsi="仿宋" w:eastAsia="仿宋" w:cs="仿宋"/>
                <w:color w:val="000000"/>
                <w:highlight w:val="none"/>
              </w:rPr>
            </w:pPr>
          </w:p>
        </w:tc>
      </w:tr>
      <w:tr w14:paraId="55705D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9392" w:type="dxa"/>
            <w:gridSpan w:val="2"/>
            <w:noWrap w:val="0"/>
            <w:vAlign w:val="center"/>
          </w:tcPr>
          <w:p w14:paraId="53BE8612">
            <w:pPr>
              <w:pStyle w:val="214"/>
              <w:spacing w:line="360" w:lineRule="auto"/>
              <w:ind w:firstLine="422"/>
              <w:rPr>
                <w:rFonts w:hint="eastAsia" w:ascii="仿宋" w:hAnsi="仿宋" w:eastAsia="仿宋" w:cs="仿宋"/>
                <w:b/>
                <w:bCs/>
                <w:color w:val="000000"/>
                <w:highlight w:val="none"/>
              </w:rPr>
            </w:pPr>
          </w:p>
        </w:tc>
      </w:tr>
      <w:tr w14:paraId="14C4B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5" w:hRule="atLeast"/>
          <w:jc w:val="center"/>
        </w:trPr>
        <w:tc>
          <w:tcPr>
            <w:tcW w:w="5817" w:type="dxa"/>
            <w:noWrap w:val="0"/>
            <w:vAlign w:val="center"/>
          </w:tcPr>
          <w:p w14:paraId="381C9932">
            <w:pPr>
              <w:pStyle w:val="214"/>
              <w:spacing w:line="360" w:lineRule="auto"/>
              <w:ind w:firstLine="422"/>
              <w:rPr>
                <w:rFonts w:hint="eastAsia" w:ascii="仿宋" w:hAnsi="仿宋" w:eastAsia="仿宋" w:cs="仿宋"/>
                <w:b/>
                <w:bCs/>
                <w:color w:val="000000"/>
                <w:highlight w:val="none"/>
              </w:rPr>
            </w:pPr>
          </w:p>
        </w:tc>
        <w:tc>
          <w:tcPr>
            <w:tcW w:w="3575" w:type="dxa"/>
            <w:noWrap w:val="0"/>
            <w:vAlign w:val="center"/>
          </w:tcPr>
          <w:p w14:paraId="5739F968">
            <w:pPr>
              <w:spacing w:line="360" w:lineRule="auto"/>
              <w:rPr>
                <w:rFonts w:hint="eastAsia" w:ascii="仿宋" w:hAnsi="仿宋" w:eastAsia="仿宋" w:cs="仿宋"/>
                <w:color w:val="000000"/>
                <w:highlight w:val="none"/>
              </w:rPr>
            </w:pPr>
          </w:p>
        </w:tc>
      </w:tr>
      <w:tr w14:paraId="6B2F75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6" w:hRule="atLeast"/>
          <w:jc w:val="center"/>
        </w:trPr>
        <w:tc>
          <w:tcPr>
            <w:tcW w:w="5817" w:type="dxa"/>
            <w:noWrap w:val="0"/>
            <w:vAlign w:val="center"/>
          </w:tcPr>
          <w:p w14:paraId="2F9F72F6">
            <w:pPr>
              <w:pStyle w:val="214"/>
              <w:spacing w:line="360" w:lineRule="auto"/>
              <w:rPr>
                <w:rFonts w:hint="eastAsia" w:ascii="仿宋" w:hAnsi="仿宋" w:eastAsia="仿宋" w:cs="仿宋"/>
                <w:color w:val="000000"/>
                <w:highlight w:val="none"/>
              </w:rPr>
            </w:pPr>
          </w:p>
        </w:tc>
        <w:tc>
          <w:tcPr>
            <w:tcW w:w="3575" w:type="dxa"/>
            <w:noWrap w:val="0"/>
            <w:vAlign w:val="center"/>
          </w:tcPr>
          <w:p w14:paraId="0E5C6907">
            <w:pPr>
              <w:spacing w:line="360" w:lineRule="auto"/>
              <w:rPr>
                <w:rFonts w:hint="eastAsia" w:ascii="仿宋" w:hAnsi="仿宋" w:eastAsia="仿宋" w:cs="仿宋"/>
                <w:color w:val="000000"/>
                <w:highlight w:val="none"/>
              </w:rPr>
            </w:pPr>
          </w:p>
        </w:tc>
      </w:tr>
      <w:tr w14:paraId="3B8BD3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5" w:hRule="atLeast"/>
          <w:jc w:val="center"/>
        </w:trPr>
        <w:tc>
          <w:tcPr>
            <w:tcW w:w="5817" w:type="dxa"/>
            <w:noWrap w:val="0"/>
            <w:vAlign w:val="center"/>
          </w:tcPr>
          <w:p w14:paraId="7FA50C17">
            <w:pPr>
              <w:pStyle w:val="214"/>
              <w:spacing w:line="360" w:lineRule="auto"/>
              <w:ind w:firstLine="422"/>
              <w:rPr>
                <w:rFonts w:hint="eastAsia" w:ascii="仿宋" w:hAnsi="仿宋" w:eastAsia="仿宋" w:cs="仿宋"/>
                <w:b/>
                <w:bCs/>
                <w:color w:val="000000"/>
                <w:highlight w:val="none"/>
              </w:rPr>
            </w:pPr>
          </w:p>
        </w:tc>
        <w:tc>
          <w:tcPr>
            <w:tcW w:w="3575" w:type="dxa"/>
            <w:noWrap w:val="0"/>
            <w:vAlign w:val="center"/>
          </w:tcPr>
          <w:p w14:paraId="2A119AC8">
            <w:pPr>
              <w:spacing w:line="360" w:lineRule="auto"/>
              <w:rPr>
                <w:rFonts w:hint="eastAsia" w:ascii="仿宋" w:hAnsi="仿宋" w:eastAsia="仿宋" w:cs="仿宋"/>
                <w:color w:val="000000"/>
                <w:highlight w:val="none"/>
              </w:rPr>
            </w:pPr>
          </w:p>
        </w:tc>
      </w:tr>
      <w:tr w14:paraId="09BFCC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6" w:hRule="atLeast"/>
          <w:jc w:val="center"/>
        </w:trPr>
        <w:tc>
          <w:tcPr>
            <w:tcW w:w="9392" w:type="dxa"/>
            <w:gridSpan w:val="2"/>
            <w:noWrap w:val="0"/>
            <w:vAlign w:val="center"/>
          </w:tcPr>
          <w:p w14:paraId="7CC0B326">
            <w:pPr>
              <w:pStyle w:val="214"/>
              <w:spacing w:line="360" w:lineRule="auto"/>
              <w:ind w:firstLine="422"/>
              <w:rPr>
                <w:rFonts w:hint="eastAsia" w:ascii="仿宋" w:hAnsi="仿宋" w:eastAsia="仿宋" w:cs="仿宋"/>
                <w:b/>
                <w:bCs/>
                <w:color w:val="000000"/>
                <w:highlight w:val="none"/>
              </w:rPr>
            </w:pPr>
          </w:p>
        </w:tc>
      </w:tr>
      <w:tr w14:paraId="53A519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jc w:val="center"/>
        </w:trPr>
        <w:tc>
          <w:tcPr>
            <w:tcW w:w="5817" w:type="dxa"/>
            <w:noWrap w:val="0"/>
            <w:vAlign w:val="center"/>
          </w:tcPr>
          <w:p w14:paraId="1E40C5D1">
            <w:pPr>
              <w:pStyle w:val="214"/>
              <w:spacing w:line="360" w:lineRule="auto"/>
              <w:rPr>
                <w:rFonts w:hint="eastAsia" w:ascii="仿宋" w:hAnsi="仿宋" w:eastAsia="仿宋" w:cs="仿宋"/>
                <w:color w:val="000000"/>
                <w:highlight w:val="none"/>
              </w:rPr>
            </w:pPr>
          </w:p>
        </w:tc>
        <w:tc>
          <w:tcPr>
            <w:tcW w:w="3575" w:type="dxa"/>
            <w:noWrap w:val="0"/>
            <w:vAlign w:val="center"/>
          </w:tcPr>
          <w:p w14:paraId="36DA4A91">
            <w:pPr>
              <w:spacing w:line="360" w:lineRule="auto"/>
              <w:rPr>
                <w:rFonts w:hint="eastAsia" w:ascii="仿宋" w:hAnsi="仿宋" w:eastAsia="仿宋" w:cs="仿宋"/>
                <w:color w:val="000000"/>
                <w:highlight w:val="none"/>
              </w:rPr>
            </w:pPr>
          </w:p>
        </w:tc>
      </w:tr>
      <w:tr w14:paraId="216BD4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9" w:hRule="atLeast"/>
          <w:jc w:val="center"/>
        </w:trPr>
        <w:tc>
          <w:tcPr>
            <w:tcW w:w="5817" w:type="dxa"/>
            <w:noWrap w:val="0"/>
            <w:vAlign w:val="center"/>
          </w:tcPr>
          <w:p w14:paraId="150D83E6">
            <w:pPr>
              <w:pStyle w:val="214"/>
              <w:spacing w:line="360" w:lineRule="auto"/>
              <w:rPr>
                <w:rFonts w:hint="eastAsia" w:ascii="仿宋" w:hAnsi="仿宋" w:eastAsia="仿宋" w:cs="仿宋"/>
                <w:color w:val="000000"/>
                <w:highlight w:val="none"/>
              </w:rPr>
            </w:pPr>
          </w:p>
        </w:tc>
        <w:tc>
          <w:tcPr>
            <w:tcW w:w="3575" w:type="dxa"/>
            <w:noWrap w:val="0"/>
            <w:vAlign w:val="center"/>
          </w:tcPr>
          <w:p w14:paraId="49DA8790">
            <w:pPr>
              <w:spacing w:line="360" w:lineRule="auto"/>
              <w:rPr>
                <w:rFonts w:hint="eastAsia" w:ascii="仿宋" w:hAnsi="仿宋" w:eastAsia="仿宋" w:cs="仿宋"/>
                <w:color w:val="000000"/>
                <w:highlight w:val="none"/>
              </w:rPr>
            </w:pPr>
          </w:p>
        </w:tc>
      </w:tr>
    </w:tbl>
    <w:p w14:paraId="0085815A">
      <w:pPr>
        <w:spacing w:line="360" w:lineRule="auto"/>
        <w:rPr>
          <w:rFonts w:hint="eastAsia" w:ascii="仿宋" w:hAnsi="仿宋" w:eastAsia="仿宋" w:cs="仿宋"/>
          <w:color w:val="000000"/>
          <w:highlight w:val="none"/>
        </w:rPr>
      </w:pPr>
    </w:p>
    <w:p w14:paraId="719D7B29">
      <w:pPr>
        <w:pageBreakBefore/>
        <w:spacing w:line="360" w:lineRule="auto"/>
        <w:jc w:val="center"/>
        <w:rPr>
          <w:rFonts w:hint="eastAsia" w:ascii="仿宋" w:hAnsi="仿宋" w:eastAsia="仿宋" w:cs="仿宋"/>
          <w:b/>
          <w:bCs/>
          <w:color w:val="000000"/>
          <w:sz w:val="28"/>
          <w:szCs w:val="28"/>
          <w:highlight w:val="none"/>
        </w:rPr>
      </w:pPr>
      <w:bookmarkStart w:id="172" w:name="_Toc5449"/>
      <w:bookmarkStart w:id="173" w:name="_Toc11631"/>
      <w:r>
        <w:rPr>
          <w:rFonts w:hint="eastAsia" w:ascii="仿宋" w:hAnsi="仿宋" w:eastAsia="仿宋" w:cs="仿宋"/>
          <w:b/>
          <w:bCs/>
          <w:color w:val="000000"/>
          <w:sz w:val="28"/>
          <w:szCs w:val="28"/>
          <w:highlight w:val="none"/>
        </w:rPr>
        <w:t>主要文件目录</w:t>
      </w:r>
      <w:bookmarkEnd w:id="172"/>
      <w:bookmarkEnd w:id="173"/>
    </w:p>
    <w:p w14:paraId="7456B6A1">
      <w:pPr>
        <w:spacing w:line="360" w:lineRule="auto"/>
        <w:ind w:firstLine="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请供应商编制目录及页码，否则可能将影响对响应文件的评价。</w:t>
      </w:r>
    </w:p>
    <w:p w14:paraId="2EB79F5A">
      <w:pPr>
        <w:spacing w:line="360" w:lineRule="auto"/>
        <w:ind w:firstLine="120"/>
        <w:rPr>
          <w:rFonts w:hint="eastAsia" w:ascii="仿宋" w:hAnsi="仿宋" w:eastAsia="仿宋" w:cs="仿宋"/>
          <w:color w:val="000000"/>
          <w:sz w:val="24"/>
          <w:szCs w:val="24"/>
          <w:highlight w:val="none"/>
        </w:rPr>
      </w:pPr>
    </w:p>
    <w:p w14:paraId="2E822354">
      <w:pPr>
        <w:spacing w:line="360" w:lineRule="auto"/>
        <w:rPr>
          <w:rFonts w:hint="eastAsia" w:ascii="仿宋" w:hAnsi="仿宋" w:eastAsia="仿宋" w:cs="仿宋"/>
          <w:color w:val="000000"/>
          <w:highlight w:val="none"/>
        </w:rPr>
      </w:pPr>
    </w:p>
    <w:p w14:paraId="72E0AB4F">
      <w:pPr>
        <w:spacing w:line="360" w:lineRule="auto"/>
        <w:jc w:val="center"/>
        <w:rPr>
          <w:rFonts w:hint="eastAsia" w:ascii="仿宋" w:hAnsi="仿宋" w:eastAsia="仿宋" w:cs="仿宋"/>
          <w:color w:val="000000"/>
          <w:sz w:val="32"/>
          <w:szCs w:val="32"/>
          <w:highlight w:val="none"/>
        </w:rPr>
      </w:pPr>
      <w:r>
        <w:rPr>
          <w:rFonts w:hint="eastAsia" w:ascii="仿宋" w:hAnsi="仿宋" w:eastAsia="仿宋" w:cs="仿宋"/>
          <w:color w:val="000000"/>
          <w:highlight w:val="none"/>
        </w:rPr>
        <w:br w:type="page" w:clear="all"/>
      </w:r>
      <w:bookmarkEnd w:id="28"/>
      <w:bookmarkEnd w:id="29"/>
      <w:bookmarkEnd w:id="151"/>
      <w:bookmarkEnd w:id="152"/>
      <w:bookmarkEnd w:id="153"/>
      <w:bookmarkStart w:id="174" w:name="_Toc13734"/>
      <w:bookmarkStart w:id="175" w:name="_Toc31945"/>
      <w:bookmarkStart w:id="176" w:name="_Toc2656"/>
      <w:bookmarkStart w:id="177" w:name="_Toc25957"/>
      <w:bookmarkStart w:id="178" w:name="_Toc13187"/>
      <w:bookmarkStart w:id="179" w:name="_Toc9419"/>
      <w:bookmarkStart w:id="180" w:name="_Toc7052"/>
      <w:bookmarkStart w:id="181" w:name="_Toc145164726"/>
      <w:bookmarkStart w:id="182" w:name="_Toc25170485"/>
      <w:bookmarkStart w:id="183" w:name="_Toc23635"/>
      <w:bookmarkStart w:id="184" w:name="_Toc27913"/>
      <w:bookmarkStart w:id="185" w:name="_Toc28049"/>
      <w:bookmarkStart w:id="186" w:name="_Toc18823"/>
      <w:r>
        <w:rPr>
          <w:rFonts w:hint="eastAsia" w:ascii="仿宋" w:hAnsi="仿宋" w:eastAsia="仿宋" w:cs="仿宋"/>
          <w:b/>
          <w:bCs/>
          <w:color w:val="000000"/>
          <w:sz w:val="32"/>
          <w:szCs w:val="32"/>
          <w:highlight w:val="none"/>
          <w:lang w:val="en-US" w:eastAsia="zh-CN" w:bidi="ar-SA"/>
        </w:rPr>
        <w:t>一、磋商函</w:t>
      </w:r>
      <w:bookmarkEnd w:id="174"/>
      <w:bookmarkEnd w:id="175"/>
      <w:bookmarkEnd w:id="176"/>
      <w:bookmarkEnd w:id="177"/>
      <w:bookmarkEnd w:id="178"/>
      <w:bookmarkEnd w:id="179"/>
      <w:bookmarkEnd w:id="180"/>
      <w:bookmarkEnd w:id="181"/>
      <w:bookmarkEnd w:id="182"/>
      <w:bookmarkEnd w:id="183"/>
      <w:bookmarkEnd w:id="184"/>
      <w:bookmarkEnd w:id="185"/>
      <w:bookmarkEnd w:id="186"/>
    </w:p>
    <w:p w14:paraId="4C557078">
      <w:pPr>
        <w:widowControl/>
        <w:spacing w:line="360" w:lineRule="auto"/>
        <w:rPr>
          <w:rFonts w:hint="eastAsia" w:ascii="仿宋" w:hAnsi="仿宋" w:eastAsia="仿宋" w:cs="仿宋"/>
          <w:color w:val="000000"/>
          <w:sz w:val="24"/>
          <w:szCs w:val="24"/>
          <w:highlight w:val="none"/>
        </w:rPr>
      </w:pPr>
    </w:p>
    <w:p w14:paraId="04DF0CE9">
      <w:pPr>
        <w:widowControl/>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江苏省招标中心有限公司</w:t>
      </w:r>
      <w:r>
        <w:rPr>
          <w:rFonts w:hint="eastAsia" w:ascii="仿宋" w:hAnsi="仿宋" w:eastAsia="仿宋" w:cs="仿宋"/>
          <w:color w:val="000000"/>
          <w:sz w:val="24"/>
          <w:szCs w:val="24"/>
          <w:highlight w:val="none"/>
        </w:rPr>
        <w:t>：</w:t>
      </w:r>
    </w:p>
    <w:p w14:paraId="6EA0F648">
      <w:pPr>
        <w:widowControl/>
        <w:spacing w:line="360" w:lineRule="auto"/>
        <w:ind w:firstLine="480"/>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lang w:eastAsia="zh-CN"/>
        </w:rPr>
        <w:t>委托开展省政府批准建设用地审批事项合法性审查法律服务</w:t>
      </w: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项目</w:t>
      </w:r>
      <w:r>
        <w:rPr>
          <w:rFonts w:hint="eastAsia" w:ascii="仿宋" w:hAnsi="仿宋" w:eastAsia="仿宋" w:cs="仿宋"/>
          <w:color w:val="000000"/>
          <w:sz w:val="24"/>
          <w:szCs w:val="24"/>
          <w:highlight w:val="none"/>
        </w:rPr>
        <w:t>编号为：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）竞争性磋商文件（</w:t>
      </w:r>
      <w:r>
        <w:rPr>
          <w:rFonts w:hint="eastAsia" w:ascii="仿宋" w:hAnsi="仿宋" w:eastAsia="仿宋" w:cs="仿宋"/>
          <w:color w:val="000000"/>
          <w:sz w:val="24"/>
          <w:szCs w:val="24"/>
          <w:highlight w:val="none"/>
          <w:lang w:val="en-US" w:eastAsia="zh-CN"/>
        </w:rPr>
        <w:t>含</w:t>
      </w:r>
      <w:r>
        <w:rPr>
          <w:rFonts w:hint="eastAsia" w:ascii="仿宋" w:hAnsi="仿宋" w:eastAsia="仿宋" w:cs="仿宋"/>
          <w:color w:val="000000"/>
          <w:sz w:val="24"/>
          <w:szCs w:val="24"/>
          <w:highlight w:val="none"/>
        </w:rPr>
        <w:t>更正公告</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如有</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）收悉，我们经详细审阅和研究，现决定参加磋商。</w:t>
      </w:r>
    </w:p>
    <w:p w14:paraId="6530E03B">
      <w:pPr>
        <w:widowControl/>
        <w:spacing w:line="360" w:lineRule="auto"/>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1、我们郑重承诺：我们是符合《政府采购法》第22条规定的供应商，并严格遵守《政府采购法》第77条的规定，本响应文件中提供的所有材料均是真实有效的。</w:t>
      </w:r>
    </w:p>
    <w:p w14:paraId="15DE6534">
      <w:pPr>
        <w:widowControl/>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2、我们接受竞争性磋商文件的所有的条款和规定。</w:t>
      </w:r>
    </w:p>
    <w:p w14:paraId="2530ACAB">
      <w:pPr>
        <w:widowControl/>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3、我们同意按照本竞争性磋商文件第二章“磋商须知”的规定，本响应文件的有效期为从磋商之日起计算的九十天，在此期间，本响应文件将始终对我们具有约束力，并可随时被接受。如果我们成交，本响应文件在此期间之后将继续保持有效。</w:t>
      </w:r>
    </w:p>
    <w:p w14:paraId="6C043448">
      <w:pPr>
        <w:widowControl/>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4、我们同意提供采购人要求的有关本次采购的所有资料。</w:t>
      </w:r>
    </w:p>
    <w:p w14:paraId="20B6D94E">
      <w:pPr>
        <w:widowControl/>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5、我们理解，你们无义务必须接受磋商报价最低的磋商，并有权拒绝所有的磋商。同时也理解你们不承担我们本次磋商的费用。</w:t>
      </w:r>
    </w:p>
    <w:p w14:paraId="6C5414CE">
      <w:pPr>
        <w:widowControl/>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6、如果我们成交，为执行合同，我们将按供应商须知有关要求提供必要的履约保证。</w:t>
      </w:r>
    </w:p>
    <w:p w14:paraId="7709BD9A">
      <w:pPr>
        <w:widowControl/>
        <w:spacing w:line="360" w:lineRule="auto"/>
        <w:rPr>
          <w:rFonts w:hint="eastAsia" w:ascii="仿宋" w:hAnsi="仿宋" w:eastAsia="仿宋" w:cs="仿宋"/>
          <w:color w:val="000000"/>
          <w:sz w:val="24"/>
          <w:szCs w:val="24"/>
          <w:highlight w:val="none"/>
        </w:rPr>
      </w:pPr>
    </w:p>
    <w:p w14:paraId="5EF54EB0">
      <w:pPr>
        <w:widowControl/>
        <w:spacing w:line="360" w:lineRule="auto"/>
        <w:rPr>
          <w:rFonts w:hint="eastAsia" w:ascii="仿宋" w:hAnsi="仿宋" w:eastAsia="仿宋" w:cs="仿宋"/>
          <w:color w:val="000000"/>
          <w:sz w:val="24"/>
          <w:szCs w:val="24"/>
          <w:highlight w:val="none"/>
        </w:rPr>
      </w:pPr>
    </w:p>
    <w:p w14:paraId="4A1DC194">
      <w:pPr>
        <w:widowControl/>
        <w:spacing w:line="360" w:lineRule="auto"/>
        <w:ind w:left="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供应商名称：（公章）</w:t>
      </w:r>
    </w:p>
    <w:p w14:paraId="2CD36850">
      <w:pPr>
        <w:widowControl/>
        <w:spacing w:line="360" w:lineRule="auto"/>
        <w:ind w:left="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地址：                          邮编：</w:t>
      </w:r>
    </w:p>
    <w:p w14:paraId="7DAA90ED">
      <w:pPr>
        <w:widowControl/>
        <w:spacing w:line="360" w:lineRule="auto"/>
        <w:ind w:left="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                          传真：          </w:t>
      </w:r>
    </w:p>
    <w:p w14:paraId="009EEA36">
      <w:pPr>
        <w:widowControl/>
        <w:spacing w:line="360" w:lineRule="auto"/>
        <w:ind w:left="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法定代表人或授权代表（签字或盖章）：                   </w:t>
      </w:r>
    </w:p>
    <w:p w14:paraId="08F55C4A">
      <w:pPr>
        <w:widowControl/>
        <w:spacing w:line="360" w:lineRule="auto"/>
        <w:ind w:left="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职务：                  </w:t>
      </w:r>
    </w:p>
    <w:p w14:paraId="151DF1E2">
      <w:pPr>
        <w:widowControl/>
        <w:spacing w:line="360" w:lineRule="auto"/>
        <w:ind w:left="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日期：</w:t>
      </w:r>
      <w:bookmarkStart w:id="187" w:name="_Toc27417"/>
      <w:bookmarkStart w:id="188" w:name="_Toc2237"/>
    </w:p>
    <w:p w14:paraId="73C0F080">
      <w:pPr>
        <w:pStyle w:val="217"/>
        <w:pageBreakBefore/>
        <w:numPr>
          <w:ilvl w:val="0"/>
          <w:numId w:val="0"/>
        </w:numPr>
        <w:spacing w:line="360" w:lineRule="auto"/>
        <w:jc w:val="center"/>
        <w:outlineLvl w:val="9"/>
        <w:rPr>
          <w:rFonts w:ascii="仿宋" w:hAnsi="仿宋" w:eastAsia="仿宋" w:cs="仿宋"/>
          <w:color w:val="000000"/>
          <w:sz w:val="32"/>
          <w:szCs w:val="32"/>
          <w:highlight w:val="none"/>
          <w:lang w:val="en-US" w:eastAsia="zh-CN"/>
        </w:rPr>
      </w:pPr>
      <w:bookmarkStart w:id="189" w:name="_Toc25170486"/>
      <w:bookmarkStart w:id="190" w:name="_Toc19856"/>
      <w:bookmarkStart w:id="191" w:name="_Toc25062"/>
      <w:bookmarkStart w:id="192" w:name="_Toc23135"/>
      <w:bookmarkStart w:id="193" w:name="_Toc1218"/>
      <w:bookmarkStart w:id="194" w:name="_Toc145164727"/>
      <w:bookmarkStart w:id="195" w:name="_Toc31247"/>
      <w:bookmarkStart w:id="196" w:name="_Toc16299"/>
      <w:bookmarkStart w:id="197" w:name="_Toc20195"/>
      <w:bookmarkStart w:id="198" w:name="_Toc7376"/>
      <w:bookmarkStart w:id="199" w:name="_Toc26325"/>
      <w:r>
        <w:rPr>
          <w:rFonts w:hint="eastAsia" w:ascii="仿宋" w:hAnsi="仿宋" w:eastAsia="仿宋" w:cs="仿宋"/>
          <w:color w:val="000000"/>
          <w:sz w:val="32"/>
          <w:szCs w:val="32"/>
          <w:highlight w:val="none"/>
        </w:rPr>
        <w:t>二、报价一览表</w:t>
      </w:r>
      <w:bookmarkEnd w:id="187"/>
      <w:bookmarkEnd w:id="188"/>
      <w:bookmarkEnd w:id="189"/>
      <w:bookmarkEnd w:id="190"/>
      <w:bookmarkEnd w:id="191"/>
      <w:bookmarkEnd w:id="192"/>
      <w:bookmarkEnd w:id="193"/>
      <w:bookmarkEnd w:id="194"/>
      <w:bookmarkEnd w:id="195"/>
      <w:bookmarkEnd w:id="196"/>
      <w:bookmarkEnd w:id="197"/>
      <w:bookmarkEnd w:id="198"/>
      <w:bookmarkEnd w:id="199"/>
      <w:r>
        <w:rPr>
          <w:rFonts w:hint="eastAsia" w:ascii="仿宋" w:hAnsi="仿宋" w:eastAsia="仿宋" w:cs="仿宋"/>
          <w:color w:val="000000"/>
          <w:sz w:val="32"/>
          <w:szCs w:val="32"/>
          <w:highlight w:val="none"/>
          <w:lang w:eastAsia="zh-CN"/>
        </w:rPr>
        <w:t>（</w:t>
      </w:r>
      <w:r>
        <w:rPr>
          <w:rFonts w:hint="eastAsia" w:ascii="仿宋" w:hAnsi="仿宋" w:eastAsia="仿宋" w:cs="仿宋"/>
          <w:color w:val="000000"/>
          <w:sz w:val="32"/>
          <w:szCs w:val="32"/>
          <w:highlight w:val="none"/>
          <w:lang w:val="en-US" w:eastAsia="zh-CN"/>
        </w:rPr>
        <w:t>本项目按单价报价）</w:t>
      </w:r>
    </w:p>
    <w:p w14:paraId="0F72D5E1">
      <w:pPr>
        <w:pStyle w:val="227"/>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窗体顶端</w:t>
      </w:r>
    </w:p>
    <w:tbl>
      <w:tblPr>
        <w:tblStyle w:val="28"/>
        <w:tblpPr w:leftFromText="45" w:rightFromText="45" w:vertAnchor="text" w:tblpX="1" w:tblpY="1"/>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53"/>
        <w:gridCol w:w="7250"/>
      </w:tblGrid>
      <w:tr w14:paraId="749FF6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83" w:hRule="atLeast"/>
          <w:tblCellSpacing w:w="0" w:type="dxa"/>
        </w:trPr>
        <w:tc>
          <w:tcPr>
            <w:tcW w:w="2453" w:type="dxa"/>
            <w:noWrap w:val="0"/>
            <w:vAlign w:val="center"/>
          </w:tcPr>
          <w:p w14:paraId="418C6089">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项目名称</w:t>
            </w:r>
          </w:p>
        </w:tc>
        <w:tc>
          <w:tcPr>
            <w:tcW w:w="7250" w:type="dxa"/>
            <w:noWrap w:val="0"/>
            <w:vAlign w:val="center"/>
          </w:tcPr>
          <w:p w14:paraId="42943541">
            <w:pPr>
              <w:jc w:val="center"/>
              <w:rPr>
                <w:rFonts w:hint="eastAsia" w:ascii="仿宋" w:hAnsi="仿宋" w:eastAsia="仿宋" w:cs="仿宋"/>
                <w:color w:val="000000"/>
                <w:sz w:val="24"/>
                <w:szCs w:val="24"/>
                <w:highlight w:val="none"/>
                <w:lang w:eastAsia="zh-CN"/>
              </w:rPr>
            </w:pPr>
          </w:p>
        </w:tc>
      </w:tr>
      <w:tr w14:paraId="4F925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1" w:hRule="atLeast"/>
          <w:tblCellSpacing w:w="0" w:type="dxa"/>
        </w:trPr>
        <w:tc>
          <w:tcPr>
            <w:tcW w:w="2453" w:type="dxa"/>
            <w:noWrap w:val="0"/>
            <w:vAlign w:val="center"/>
          </w:tcPr>
          <w:p w14:paraId="548D9008">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项目编号</w:t>
            </w:r>
          </w:p>
        </w:tc>
        <w:tc>
          <w:tcPr>
            <w:tcW w:w="7250" w:type="dxa"/>
            <w:noWrap w:val="0"/>
            <w:vAlign w:val="center"/>
          </w:tcPr>
          <w:p w14:paraId="29526307">
            <w:pPr>
              <w:jc w:val="center"/>
              <w:rPr>
                <w:rFonts w:hint="eastAsia" w:ascii="仿宋" w:hAnsi="仿宋" w:eastAsia="仿宋" w:cs="仿宋"/>
                <w:color w:val="000000"/>
                <w:sz w:val="24"/>
                <w:szCs w:val="24"/>
                <w:highlight w:val="none"/>
                <w:lang w:eastAsia="zh-CN"/>
              </w:rPr>
            </w:pPr>
          </w:p>
        </w:tc>
      </w:tr>
      <w:tr w14:paraId="2959BF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2" w:hRule="atLeast"/>
          <w:tblCellSpacing w:w="0" w:type="dxa"/>
        </w:trPr>
        <w:tc>
          <w:tcPr>
            <w:tcW w:w="2453" w:type="dxa"/>
            <w:noWrap w:val="0"/>
            <w:vAlign w:val="center"/>
          </w:tcPr>
          <w:p w14:paraId="69794ED2">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磋商报价</w:t>
            </w:r>
          </w:p>
        </w:tc>
        <w:tc>
          <w:tcPr>
            <w:tcW w:w="7250" w:type="dxa"/>
            <w:noWrap w:val="0"/>
            <w:vAlign w:val="center"/>
          </w:tcPr>
          <w:p w14:paraId="5F8DB921">
            <w:pPr>
              <w:spacing w:line="480" w:lineRule="auto"/>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元</w:t>
            </w:r>
            <w:r>
              <w:rPr>
                <w:rFonts w:hint="eastAsia" w:ascii="仿宋" w:hAnsi="仿宋" w:eastAsia="仿宋" w:cs="仿宋"/>
                <w:color w:val="000000"/>
                <w:sz w:val="24"/>
                <w:szCs w:val="24"/>
                <w:highlight w:val="none"/>
                <w:lang w:val="en-US" w:eastAsia="zh-CN"/>
              </w:rPr>
              <w:t>/件</w:t>
            </w:r>
          </w:p>
          <w:p w14:paraId="17ED27F0">
            <w:pPr>
              <w:spacing w:line="480" w:lineRule="auto"/>
              <w:ind w:firstLine="960"/>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人民币(大写)：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元</w:t>
            </w:r>
            <w:r>
              <w:rPr>
                <w:rFonts w:hint="eastAsia" w:ascii="仿宋" w:hAnsi="仿宋" w:eastAsia="仿宋" w:cs="仿宋"/>
                <w:color w:val="000000"/>
                <w:sz w:val="24"/>
                <w:szCs w:val="24"/>
                <w:highlight w:val="none"/>
                <w:lang w:val="en-US" w:eastAsia="zh-CN"/>
              </w:rPr>
              <w:t>/件</w:t>
            </w:r>
          </w:p>
        </w:tc>
      </w:tr>
      <w:tr w14:paraId="729066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5" w:hRule="atLeast"/>
          <w:tblCellSpacing w:w="0" w:type="dxa"/>
        </w:trPr>
        <w:tc>
          <w:tcPr>
            <w:tcW w:w="2453" w:type="dxa"/>
            <w:noWrap w:val="0"/>
            <w:vAlign w:val="center"/>
          </w:tcPr>
          <w:p w14:paraId="462C4A69">
            <w:pPr>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合同履行期限</w:t>
            </w:r>
          </w:p>
        </w:tc>
        <w:tc>
          <w:tcPr>
            <w:tcW w:w="7250" w:type="dxa"/>
            <w:noWrap w:val="0"/>
            <w:vAlign w:val="center"/>
          </w:tcPr>
          <w:p w14:paraId="09845634">
            <w:pPr>
              <w:jc w:val="center"/>
              <w:rPr>
                <w:rFonts w:hint="eastAsia" w:ascii="仿宋" w:hAnsi="仿宋" w:eastAsia="仿宋" w:cs="仿宋"/>
                <w:color w:val="000000"/>
                <w:sz w:val="24"/>
                <w:szCs w:val="24"/>
                <w:highlight w:val="none"/>
              </w:rPr>
            </w:pPr>
          </w:p>
        </w:tc>
      </w:tr>
      <w:tr w14:paraId="6D6AF2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5" w:hRule="atLeast"/>
          <w:tblCellSpacing w:w="0" w:type="dxa"/>
        </w:trPr>
        <w:tc>
          <w:tcPr>
            <w:tcW w:w="2453" w:type="dxa"/>
            <w:noWrap w:val="0"/>
            <w:vAlign w:val="center"/>
          </w:tcPr>
          <w:p w14:paraId="01229D61">
            <w:pPr>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备注</w:t>
            </w:r>
          </w:p>
        </w:tc>
        <w:tc>
          <w:tcPr>
            <w:tcW w:w="7250" w:type="dxa"/>
            <w:noWrap w:val="0"/>
            <w:vAlign w:val="center"/>
          </w:tcPr>
          <w:p w14:paraId="20E6B406">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本项目按件计费，最高限价为850元/件</w:t>
            </w:r>
          </w:p>
        </w:tc>
      </w:tr>
    </w:tbl>
    <w:p w14:paraId="1FF8E4D4">
      <w:pPr>
        <w:pStyle w:val="206"/>
        <w:spacing w:before="0" w:beforeAutospacing="0" w:after="0" w:afterAutospacing="0" w:line="360" w:lineRule="auto"/>
        <w:rPr>
          <w:rFonts w:hint="eastAsia" w:ascii="仿宋" w:hAnsi="仿宋" w:eastAsia="仿宋" w:cs="仿宋"/>
          <w:color w:val="000000"/>
          <w:highlight w:val="none"/>
        </w:rPr>
      </w:pPr>
    </w:p>
    <w:p w14:paraId="67D64968">
      <w:pPr>
        <w:pStyle w:val="206"/>
        <w:spacing w:before="0" w:beforeAutospacing="0" w:after="0" w:afterAutospacing="0" w:line="360" w:lineRule="auto"/>
        <w:rPr>
          <w:rFonts w:hint="eastAsia" w:ascii="仿宋" w:hAnsi="仿宋" w:eastAsia="仿宋" w:cs="仿宋"/>
          <w:color w:val="000000"/>
          <w:highlight w:val="none"/>
        </w:rPr>
      </w:pPr>
      <w:r>
        <w:rPr>
          <w:rFonts w:hint="eastAsia" w:ascii="仿宋" w:hAnsi="仿宋" w:eastAsia="仿宋" w:cs="仿宋"/>
          <w:color w:val="000000"/>
          <w:highlight w:val="none"/>
        </w:rPr>
        <w:t>供应商全称（公章）：</w:t>
      </w:r>
    </w:p>
    <w:p w14:paraId="462215C0">
      <w:pPr>
        <w:pStyle w:val="206"/>
        <w:spacing w:before="0" w:beforeAutospacing="0" w:after="0" w:afterAutospacing="0" w:line="360" w:lineRule="auto"/>
        <w:rPr>
          <w:rFonts w:hint="eastAsia" w:ascii="仿宋" w:hAnsi="仿宋" w:eastAsia="仿宋" w:cs="仿宋"/>
          <w:color w:val="000000"/>
          <w:highlight w:val="none"/>
          <w:u w:val="single"/>
        </w:rPr>
      </w:pPr>
      <w:r>
        <w:rPr>
          <w:rFonts w:hint="eastAsia" w:ascii="仿宋" w:hAnsi="仿宋" w:eastAsia="仿宋" w:cs="仿宋"/>
          <w:color w:val="000000"/>
          <w:highlight w:val="none"/>
        </w:rPr>
        <w:t xml:space="preserve">法定代表人或授权代表（签字或盖章）： </w:t>
      </w:r>
    </w:p>
    <w:p w14:paraId="49F2469D">
      <w:pPr>
        <w:spacing w:line="0" w:lineRule="atLeast"/>
        <w:rPr>
          <w:rStyle w:val="211"/>
          <w:rFonts w:hint="eastAsia" w:ascii="仿宋" w:hAnsi="仿宋" w:eastAsia="仿宋" w:cs="仿宋"/>
          <w:color w:val="000000"/>
          <w:highlight w:val="none"/>
        </w:rPr>
      </w:pPr>
    </w:p>
    <w:p w14:paraId="7F302D01">
      <w:pPr>
        <w:spacing w:line="360" w:lineRule="auto"/>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日期：    年   月    日</w:t>
      </w:r>
    </w:p>
    <w:p w14:paraId="1815E5F0">
      <w:pPr>
        <w:spacing w:line="0" w:lineRule="atLeast"/>
        <w:rPr>
          <w:rStyle w:val="211"/>
          <w:rFonts w:hint="eastAsia" w:ascii="仿宋" w:hAnsi="仿宋" w:eastAsia="仿宋" w:cs="仿宋"/>
          <w:color w:val="000000"/>
          <w:highlight w:val="none"/>
        </w:rPr>
      </w:pPr>
    </w:p>
    <w:p w14:paraId="1F5DCA87">
      <w:pPr>
        <w:spacing w:line="0" w:lineRule="atLeast"/>
        <w:rPr>
          <w:rStyle w:val="211"/>
          <w:rFonts w:hint="eastAsia" w:ascii="仿宋" w:hAnsi="仿宋" w:eastAsia="仿宋" w:cs="仿宋"/>
          <w:color w:val="000000"/>
          <w:highlight w:val="none"/>
        </w:rPr>
      </w:pPr>
    </w:p>
    <w:p w14:paraId="499DEC82">
      <w:pPr>
        <w:spacing w:line="0" w:lineRule="atLeast"/>
        <w:rPr>
          <w:rStyle w:val="211"/>
          <w:rFonts w:hint="eastAsia" w:ascii="仿宋" w:hAnsi="仿宋" w:eastAsia="仿宋" w:cs="仿宋"/>
          <w:color w:val="000000"/>
          <w:highlight w:val="none"/>
        </w:rPr>
      </w:pPr>
    </w:p>
    <w:p w14:paraId="69C6583B">
      <w:pPr>
        <w:spacing w:line="0" w:lineRule="atLeast"/>
        <w:rPr>
          <w:rStyle w:val="211"/>
          <w:rFonts w:hint="eastAsia" w:ascii="仿宋" w:hAnsi="仿宋" w:eastAsia="仿宋" w:cs="仿宋"/>
          <w:color w:val="000000"/>
          <w:highlight w:val="none"/>
        </w:rPr>
      </w:pPr>
      <w:r>
        <w:rPr>
          <w:rStyle w:val="211"/>
          <w:rFonts w:hint="eastAsia" w:ascii="仿宋" w:hAnsi="仿宋" w:eastAsia="仿宋" w:cs="仿宋"/>
          <w:color w:val="000000"/>
          <w:highlight w:val="none"/>
        </w:rPr>
        <w:t>注:</w:t>
      </w:r>
    </w:p>
    <w:p w14:paraId="4B212989">
      <w:pPr>
        <w:spacing w:line="0" w:lineRule="atLeast"/>
        <w:rPr>
          <w:rFonts w:hint="eastAsia" w:ascii="仿宋" w:hAnsi="仿宋" w:eastAsia="仿宋" w:cs="仿宋"/>
          <w:color w:val="000000"/>
          <w:highlight w:val="none"/>
        </w:rPr>
      </w:pPr>
      <w:bookmarkStart w:id="200" w:name="_Toc12470"/>
      <w:bookmarkStart w:id="201" w:name="_Toc14915"/>
      <w:r>
        <w:rPr>
          <w:rFonts w:hint="eastAsia" w:ascii="仿宋" w:hAnsi="仿宋" w:eastAsia="仿宋" w:cs="仿宋"/>
          <w:color w:val="000000"/>
          <w:highlight w:val="none"/>
        </w:rPr>
        <w:t>1.所有价格均以人民币表示；</w:t>
      </w:r>
    </w:p>
    <w:p w14:paraId="6A61F943">
      <w:pPr>
        <w:spacing w:line="0" w:lineRule="atLeast"/>
        <w:rPr>
          <w:rFonts w:hint="eastAsia" w:ascii="仿宋" w:hAnsi="仿宋" w:eastAsia="仿宋" w:cs="仿宋"/>
          <w:color w:val="000000"/>
          <w:highlight w:val="none"/>
        </w:rPr>
      </w:pPr>
      <w:r>
        <w:rPr>
          <w:rFonts w:hint="eastAsia" w:ascii="仿宋" w:hAnsi="仿宋" w:eastAsia="仿宋" w:cs="仿宋"/>
          <w:color w:val="000000"/>
          <w:highlight w:val="none"/>
        </w:rPr>
        <w:t>2.报价应包括磋商文件所规定的采购范围的全部内容（各类人工、税费、管理费以及一切技术和服务费等）。供应商漏报的费用，视为此项费用已隐含在响应报价中，成交后不得再向采购人收取任何费用；</w:t>
      </w:r>
    </w:p>
    <w:p w14:paraId="082C0594">
      <w:pPr>
        <w:spacing w:line="0" w:lineRule="atLeast"/>
        <w:rPr>
          <w:rFonts w:hint="eastAsia" w:ascii="仿宋" w:hAnsi="仿宋" w:eastAsia="仿宋" w:cs="仿宋"/>
          <w:color w:val="000000"/>
          <w:highlight w:val="none"/>
        </w:rPr>
      </w:pPr>
      <w:r>
        <w:rPr>
          <w:rFonts w:hint="eastAsia" w:ascii="仿宋" w:hAnsi="仿宋" w:eastAsia="仿宋" w:cs="仿宋"/>
          <w:color w:val="000000"/>
          <w:highlight w:val="none"/>
        </w:rPr>
        <w:t>3.磋商文件未列明，而供应商认为必需的费用也需列入报价；</w:t>
      </w:r>
    </w:p>
    <w:p w14:paraId="706BC362">
      <w:pPr>
        <w:spacing w:line="0" w:lineRule="atLeast"/>
        <w:rPr>
          <w:rFonts w:hint="eastAsia" w:ascii="仿宋" w:hAnsi="仿宋" w:eastAsia="仿宋" w:cs="仿宋"/>
          <w:color w:val="000000"/>
          <w:highlight w:val="none"/>
        </w:rPr>
      </w:pPr>
      <w:r>
        <w:rPr>
          <w:rFonts w:hint="eastAsia" w:ascii="仿宋" w:hAnsi="仿宋" w:eastAsia="仿宋" w:cs="仿宋"/>
          <w:color w:val="000000"/>
          <w:highlight w:val="none"/>
        </w:rPr>
        <w:t>4.供应商不得实质性改动报价一览表格式及内容。</w:t>
      </w:r>
    </w:p>
    <w:p w14:paraId="78EF93F7">
      <w:pPr>
        <w:spacing w:line="360" w:lineRule="auto"/>
        <w:rPr>
          <w:rFonts w:hint="eastAsia" w:ascii="仿宋" w:hAnsi="仿宋" w:eastAsia="仿宋" w:cs="仿宋"/>
          <w:color w:val="000000"/>
          <w:sz w:val="24"/>
          <w:highlight w:val="none"/>
        </w:rPr>
        <w:sectPr>
          <w:footerReference r:id="rId13" w:type="default"/>
          <w:pgSz w:w="11906" w:h="16838"/>
          <w:pgMar w:top="1440" w:right="1310" w:bottom="1440" w:left="1310" w:header="851" w:footer="992" w:gutter="0"/>
          <w:cols w:space="1701" w:num="1"/>
          <w:docGrid w:linePitch="360" w:charSpace="0"/>
        </w:sectPr>
      </w:pPr>
    </w:p>
    <w:bookmarkEnd w:id="200"/>
    <w:bookmarkEnd w:id="201"/>
    <w:p w14:paraId="3310A6C4">
      <w:pPr>
        <w:pStyle w:val="217"/>
        <w:pageBreakBefore/>
        <w:numPr>
          <w:ilvl w:val="0"/>
          <w:numId w:val="0"/>
        </w:numPr>
        <w:spacing w:line="360" w:lineRule="auto"/>
        <w:jc w:val="center"/>
        <w:outlineLvl w:val="9"/>
        <w:rPr>
          <w:rFonts w:hint="eastAsia" w:ascii="仿宋" w:hAnsi="仿宋" w:eastAsia="仿宋" w:cs="仿宋"/>
          <w:color w:val="000000"/>
          <w:sz w:val="32"/>
          <w:szCs w:val="32"/>
          <w:highlight w:val="none"/>
        </w:rPr>
      </w:pPr>
      <w:bookmarkStart w:id="202" w:name="_Toc25170488"/>
      <w:bookmarkStart w:id="203" w:name="_Toc145164729"/>
      <w:bookmarkStart w:id="204" w:name="_Toc3393"/>
      <w:bookmarkStart w:id="205" w:name="_Toc5268"/>
      <w:bookmarkStart w:id="206" w:name="_Toc5653"/>
      <w:bookmarkStart w:id="207" w:name="_Toc18165"/>
      <w:bookmarkStart w:id="208" w:name="_Toc4032"/>
      <w:bookmarkStart w:id="209" w:name="_Toc9513"/>
      <w:bookmarkStart w:id="210" w:name="_Toc15935"/>
      <w:bookmarkStart w:id="211" w:name="_Toc30778"/>
      <w:bookmarkStart w:id="212" w:name="_Toc15205"/>
      <w:bookmarkStart w:id="213" w:name="_Toc23340"/>
      <w:bookmarkStart w:id="214" w:name="_Toc25230"/>
      <w:bookmarkStart w:id="215" w:name="_Toc32325"/>
      <w:r>
        <w:rPr>
          <w:rFonts w:hint="eastAsia" w:ascii="仿宋" w:hAnsi="仿宋" w:eastAsia="仿宋" w:cs="仿宋"/>
          <w:color w:val="000000"/>
          <w:sz w:val="32"/>
          <w:szCs w:val="32"/>
          <w:highlight w:val="none"/>
          <w:lang w:val="en-US" w:eastAsia="zh-CN"/>
        </w:rPr>
        <w:t>三</w:t>
      </w:r>
      <w:r>
        <w:rPr>
          <w:rFonts w:hint="eastAsia" w:ascii="仿宋" w:hAnsi="仿宋" w:eastAsia="仿宋" w:cs="仿宋"/>
          <w:color w:val="000000"/>
          <w:sz w:val="32"/>
          <w:szCs w:val="32"/>
          <w:highlight w:val="none"/>
        </w:rPr>
        <w:t>、商务条款响应偏离表</w:t>
      </w:r>
      <w:bookmarkEnd w:id="202"/>
      <w:bookmarkEnd w:id="203"/>
      <w:bookmarkEnd w:id="204"/>
      <w:bookmarkEnd w:id="205"/>
      <w:bookmarkEnd w:id="206"/>
      <w:bookmarkEnd w:id="207"/>
      <w:bookmarkEnd w:id="208"/>
      <w:bookmarkEnd w:id="209"/>
      <w:bookmarkEnd w:id="210"/>
      <w:bookmarkEnd w:id="211"/>
      <w:bookmarkEnd w:id="212"/>
      <w:bookmarkEnd w:id="213"/>
    </w:p>
    <w:p w14:paraId="330C505B">
      <w:pPr>
        <w:rPr>
          <w:rFonts w:hint="eastAsia" w:ascii="仿宋" w:hAnsi="仿宋" w:eastAsia="仿宋" w:cs="仿宋"/>
          <w:color w:val="000000"/>
          <w:highlight w:val="none"/>
        </w:rPr>
      </w:pPr>
    </w:p>
    <w:tbl>
      <w:tblPr>
        <w:tblStyle w:val="28"/>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697"/>
        <w:gridCol w:w="1614"/>
        <w:gridCol w:w="2681"/>
        <w:gridCol w:w="2727"/>
        <w:gridCol w:w="1792"/>
      </w:tblGrid>
      <w:tr w14:paraId="65E719E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43" w:hRule="atLeast"/>
          <w:jc w:val="center"/>
        </w:trPr>
        <w:tc>
          <w:tcPr>
            <w:tcW w:w="697" w:type="dxa"/>
            <w:noWrap w:val="0"/>
            <w:vAlign w:val="center"/>
          </w:tcPr>
          <w:p w14:paraId="45E7C33A">
            <w:pPr>
              <w:widowControl/>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序号</w:t>
            </w:r>
          </w:p>
        </w:tc>
        <w:tc>
          <w:tcPr>
            <w:tcW w:w="1614" w:type="dxa"/>
            <w:noWrap w:val="0"/>
            <w:vAlign w:val="center"/>
          </w:tcPr>
          <w:p w14:paraId="5B9FB8D2">
            <w:pPr>
              <w:widowControl/>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项目名称</w:t>
            </w:r>
          </w:p>
        </w:tc>
        <w:tc>
          <w:tcPr>
            <w:tcW w:w="2681" w:type="dxa"/>
            <w:noWrap w:val="0"/>
            <w:vAlign w:val="center"/>
          </w:tcPr>
          <w:p w14:paraId="318ACB73">
            <w:pPr>
              <w:widowControl/>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磋商文件中商务条款描述</w:t>
            </w:r>
          </w:p>
        </w:tc>
        <w:tc>
          <w:tcPr>
            <w:tcW w:w="2727" w:type="dxa"/>
            <w:noWrap w:val="0"/>
            <w:vAlign w:val="center"/>
          </w:tcPr>
          <w:p w14:paraId="67A64F9C">
            <w:pPr>
              <w:widowControl/>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响应供应商的承诺或说明</w:t>
            </w:r>
          </w:p>
        </w:tc>
        <w:tc>
          <w:tcPr>
            <w:tcW w:w="1792" w:type="dxa"/>
            <w:noWrap w:val="0"/>
            <w:vAlign w:val="center"/>
          </w:tcPr>
          <w:p w14:paraId="71689823">
            <w:pPr>
              <w:widowControl/>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偏离情况</w:t>
            </w:r>
          </w:p>
          <w:p w14:paraId="633AFF60">
            <w:pPr>
              <w:widowControl/>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w:t>
            </w:r>
          </w:p>
        </w:tc>
      </w:tr>
      <w:tr w14:paraId="63CFE7D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47" w:hRule="atLeast"/>
          <w:jc w:val="center"/>
        </w:trPr>
        <w:tc>
          <w:tcPr>
            <w:tcW w:w="697" w:type="dxa"/>
            <w:noWrap w:val="0"/>
            <w:vAlign w:val="center"/>
          </w:tcPr>
          <w:p w14:paraId="0FD8A080">
            <w:pPr>
              <w:widowControl/>
              <w:spacing w:line="360" w:lineRule="auto"/>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1</w:t>
            </w:r>
          </w:p>
        </w:tc>
        <w:tc>
          <w:tcPr>
            <w:tcW w:w="1614" w:type="dxa"/>
            <w:noWrap w:val="0"/>
            <w:vAlign w:val="center"/>
          </w:tcPr>
          <w:p w14:paraId="27A69855">
            <w:pPr>
              <w:widowControl/>
              <w:spacing w:line="360" w:lineRule="auto"/>
              <w:jc w:val="left"/>
              <w:rPr>
                <w:rFonts w:hint="eastAsia" w:ascii="仿宋" w:hAnsi="仿宋" w:eastAsia="仿宋" w:cs="仿宋"/>
                <w:color w:val="000000"/>
                <w:sz w:val="22"/>
                <w:szCs w:val="22"/>
                <w:highlight w:val="none"/>
              </w:rPr>
            </w:pPr>
          </w:p>
        </w:tc>
        <w:tc>
          <w:tcPr>
            <w:tcW w:w="2681" w:type="dxa"/>
            <w:noWrap w:val="0"/>
            <w:vAlign w:val="center"/>
          </w:tcPr>
          <w:p w14:paraId="7B968A35">
            <w:pPr>
              <w:widowControl/>
              <w:spacing w:line="360" w:lineRule="auto"/>
              <w:jc w:val="left"/>
              <w:rPr>
                <w:rFonts w:hint="eastAsia" w:ascii="仿宋" w:hAnsi="仿宋" w:eastAsia="仿宋" w:cs="仿宋"/>
                <w:color w:val="000000"/>
                <w:sz w:val="22"/>
                <w:szCs w:val="22"/>
                <w:highlight w:val="none"/>
              </w:rPr>
            </w:pPr>
          </w:p>
        </w:tc>
        <w:tc>
          <w:tcPr>
            <w:tcW w:w="2727" w:type="dxa"/>
            <w:noWrap w:val="0"/>
            <w:vAlign w:val="center"/>
          </w:tcPr>
          <w:p w14:paraId="53F20886">
            <w:pPr>
              <w:widowControl/>
              <w:spacing w:line="360" w:lineRule="auto"/>
              <w:jc w:val="left"/>
              <w:rPr>
                <w:rFonts w:hint="eastAsia" w:ascii="仿宋" w:hAnsi="仿宋" w:eastAsia="仿宋" w:cs="仿宋"/>
                <w:color w:val="000000"/>
                <w:sz w:val="22"/>
                <w:szCs w:val="22"/>
                <w:highlight w:val="none"/>
              </w:rPr>
            </w:pPr>
          </w:p>
        </w:tc>
        <w:tc>
          <w:tcPr>
            <w:tcW w:w="1792" w:type="dxa"/>
            <w:noWrap w:val="0"/>
            <w:vAlign w:val="center"/>
          </w:tcPr>
          <w:p w14:paraId="4B2EFF22">
            <w:pPr>
              <w:widowControl/>
              <w:spacing w:line="360" w:lineRule="auto"/>
              <w:jc w:val="left"/>
              <w:rPr>
                <w:rFonts w:hint="eastAsia" w:ascii="仿宋" w:hAnsi="仿宋" w:eastAsia="仿宋" w:cs="仿宋"/>
                <w:color w:val="000000"/>
                <w:sz w:val="22"/>
                <w:szCs w:val="22"/>
                <w:highlight w:val="none"/>
              </w:rPr>
            </w:pPr>
          </w:p>
        </w:tc>
      </w:tr>
      <w:tr w14:paraId="2F7B057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12" w:hRule="atLeast"/>
          <w:jc w:val="center"/>
        </w:trPr>
        <w:tc>
          <w:tcPr>
            <w:tcW w:w="697" w:type="dxa"/>
            <w:noWrap w:val="0"/>
            <w:vAlign w:val="center"/>
          </w:tcPr>
          <w:p w14:paraId="0AEAD420">
            <w:pPr>
              <w:widowControl/>
              <w:spacing w:line="360" w:lineRule="auto"/>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2</w:t>
            </w:r>
          </w:p>
        </w:tc>
        <w:tc>
          <w:tcPr>
            <w:tcW w:w="1614" w:type="dxa"/>
            <w:noWrap w:val="0"/>
            <w:vAlign w:val="center"/>
          </w:tcPr>
          <w:p w14:paraId="7C2C9887">
            <w:pPr>
              <w:widowControl/>
              <w:spacing w:line="360" w:lineRule="auto"/>
              <w:jc w:val="left"/>
              <w:rPr>
                <w:rFonts w:hint="eastAsia" w:ascii="仿宋" w:hAnsi="仿宋" w:eastAsia="仿宋" w:cs="仿宋"/>
                <w:color w:val="000000"/>
                <w:sz w:val="22"/>
                <w:szCs w:val="22"/>
                <w:highlight w:val="none"/>
              </w:rPr>
            </w:pPr>
          </w:p>
        </w:tc>
        <w:tc>
          <w:tcPr>
            <w:tcW w:w="2681" w:type="dxa"/>
            <w:noWrap w:val="0"/>
            <w:vAlign w:val="center"/>
          </w:tcPr>
          <w:p w14:paraId="22A0341A">
            <w:pPr>
              <w:widowControl/>
              <w:spacing w:line="360" w:lineRule="auto"/>
              <w:jc w:val="left"/>
              <w:rPr>
                <w:rFonts w:hint="eastAsia" w:ascii="仿宋" w:hAnsi="仿宋" w:eastAsia="仿宋" w:cs="仿宋"/>
                <w:color w:val="000000"/>
                <w:sz w:val="22"/>
                <w:szCs w:val="22"/>
                <w:highlight w:val="none"/>
              </w:rPr>
            </w:pPr>
          </w:p>
        </w:tc>
        <w:tc>
          <w:tcPr>
            <w:tcW w:w="2727" w:type="dxa"/>
            <w:noWrap w:val="0"/>
            <w:vAlign w:val="center"/>
          </w:tcPr>
          <w:p w14:paraId="3B35B3F7">
            <w:pPr>
              <w:widowControl/>
              <w:spacing w:line="360" w:lineRule="auto"/>
              <w:jc w:val="left"/>
              <w:rPr>
                <w:rFonts w:hint="eastAsia" w:ascii="仿宋" w:hAnsi="仿宋" w:eastAsia="仿宋" w:cs="仿宋"/>
                <w:color w:val="000000"/>
                <w:sz w:val="22"/>
                <w:szCs w:val="22"/>
                <w:highlight w:val="none"/>
              </w:rPr>
            </w:pPr>
          </w:p>
        </w:tc>
        <w:tc>
          <w:tcPr>
            <w:tcW w:w="1792" w:type="dxa"/>
            <w:noWrap w:val="0"/>
            <w:vAlign w:val="center"/>
          </w:tcPr>
          <w:p w14:paraId="58D4CE03">
            <w:pPr>
              <w:widowControl/>
              <w:spacing w:line="360" w:lineRule="auto"/>
              <w:jc w:val="left"/>
              <w:rPr>
                <w:rFonts w:hint="eastAsia" w:ascii="仿宋" w:hAnsi="仿宋" w:eastAsia="仿宋" w:cs="仿宋"/>
                <w:color w:val="000000"/>
                <w:sz w:val="22"/>
                <w:szCs w:val="22"/>
                <w:highlight w:val="none"/>
              </w:rPr>
            </w:pPr>
          </w:p>
        </w:tc>
      </w:tr>
      <w:tr w14:paraId="70BD70B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41" w:hRule="atLeast"/>
          <w:jc w:val="center"/>
        </w:trPr>
        <w:tc>
          <w:tcPr>
            <w:tcW w:w="697" w:type="dxa"/>
            <w:noWrap w:val="0"/>
            <w:vAlign w:val="center"/>
          </w:tcPr>
          <w:p w14:paraId="19DF52F0">
            <w:pPr>
              <w:widowControl/>
              <w:spacing w:line="360" w:lineRule="auto"/>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3</w:t>
            </w:r>
          </w:p>
        </w:tc>
        <w:tc>
          <w:tcPr>
            <w:tcW w:w="1614" w:type="dxa"/>
            <w:noWrap w:val="0"/>
            <w:vAlign w:val="center"/>
          </w:tcPr>
          <w:p w14:paraId="64A7EAF0">
            <w:pPr>
              <w:widowControl/>
              <w:spacing w:line="360" w:lineRule="auto"/>
              <w:jc w:val="left"/>
              <w:rPr>
                <w:rFonts w:hint="eastAsia" w:ascii="仿宋" w:hAnsi="仿宋" w:eastAsia="仿宋" w:cs="仿宋"/>
                <w:color w:val="000000"/>
                <w:sz w:val="22"/>
                <w:szCs w:val="22"/>
                <w:highlight w:val="none"/>
              </w:rPr>
            </w:pPr>
          </w:p>
        </w:tc>
        <w:tc>
          <w:tcPr>
            <w:tcW w:w="2681" w:type="dxa"/>
            <w:noWrap w:val="0"/>
            <w:vAlign w:val="center"/>
          </w:tcPr>
          <w:p w14:paraId="74BB8259">
            <w:pPr>
              <w:widowControl/>
              <w:spacing w:line="360" w:lineRule="auto"/>
              <w:jc w:val="left"/>
              <w:rPr>
                <w:rFonts w:hint="eastAsia" w:ascii="仿宋" w:hAnsi="仿宋" w:eastAsia="仿宋" w:cs="仿宋"/>
                <w:color w:val="000000"/>
                <w:sz w:val="22"/>
                <w:szCs w:val="22"/>
                <w:highlight w:val="none"/>
              </w:rPr>
            </w:pPr>
          </w:p>
        </w:tc>
        <w:tc>
          <w:tcPr>
            <w:tcW w:w="2727" w:type="dxa"/>
            <w:noWrap w:val="0"/>
            <w:vAlign w:val="center"/>
          </w:tcPr>
          <w:p w14:paraId="034FE20C">
            <w:pPr>
              <w:widowControl/>
              <w:spacing w:line="360" w:lineRule="auto"/>
              <w:jc w:val="left"/>
              <w:rPr>
                <w:rFonts w:hint="eastAsia" w:ascii="仿宋" w:hAnsi="仿宋" w:eastAsia="仿宋" w:cs="仿宋"/>
                <w:color w:val="000000"/>
                <w:sz w:val="22"/>
                <w:szCs w:val="22"/>
                <w:highlight w:val="none"/>
              </w:rPr>
            </w:pPr>
          </w:p>
        </w:tc>
        <w:tc>
          <w:tcPr>
            <w:tcW w:w="1792" w:type="dxa"/>
            <w:noWrap w:val="0"/>
            <w:vAlign w:val="center"/>
          </w:tcPr>
          <w:p w14:paraId="40FB2744">
            <w:pPr>
              <w:widowControl/>
              <w:spacing w:line="360" w:lineRule="auto"/>
              <w:jc w:val="left"/>
              <w:rPr>
                <w:rFonts w:hint="eastAsia" w:ascii="仿宋" w:hAnsi="仿宋" w:eastAsia="仿宋" w:cs="仿宋"/>
                <w:color w:val="000000"/>
                <w:sz w:val="22"/>
                <w:szCs w:val="22"/>
                <w:highlight w:val="none"/>
              </w:rPr>
            </w:pPr>
          </w:p>
        </w:tc>
      </w:tr>
      <w:tr w14:paraId="0FD8712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41" w:hRule="atLeast"/>
          <w:jc w:val="center"/>
        </w:trPr>
        <w:tc>
          <w:tcPr>
            <w:tcW w:w="697" w:type="dxa"/>
            <w:noWrap w:val="0"/>
            <w:vAlign w:val="center"/>
          </w:tcPr>
          <w:p w14:paraId="5BA61566">
            <w:pPr>
              <w:widowControl/>
              <w:spacing w:line="360" w:lineRule="auto"/>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4</w:t>
            </w:r>
          </w:p>
        </w:tc>
        <w:tc>
          <w:tcPr>
            <w:tcW w:w="1614" w:type="dxa"/>
            <w:noWrap w:val="0"/>
            <w:vAlign w:val="center"/>
          </w:tcPr>
          <w:p w14:paraId="425F76CD">
            <w:pPr>
              <w:widowControl/>
              <w:spacing w:line="360" w:lineRule="auto"/>
              <w:jc w:val="left"/>
              <w:rPr>
                <w:rFonts w:hint="eastAsia" w:ascii="仿宋" w:hAnsi="仿宋" w:eastAsia="仿宋" w:cs="仿宋"/>
                <w:color w:val="000000"/>
                <w:sz w:val="22"/>
                <w:szCs w:val="22"/>
                <w:highlight w:val="none"/>
              </w:rPr>
            </w:pPr>
          </w:p>
        </w:tc>
        <w:tc>
          <w:tcPr>
            <w:tcW w:w="2681" w:type="dxa"/>
            <w:noWrap w:val="0"/>
            <w:vAlign w:val="center"/>
          </w:tcPr>
          <w:p w14:paraId="3DBF79EB">
            <w:pPr>
              <w:widowControl/>
              <w:spacing w:line="360" w:lineRule="auto"/>
              <w:jc w:val="left"/>
              <w:rPr>
                <w:rFonts w:hint="eastAsia" w:ascii="仿宋" w:hAnsi="仿宋" w:eastAsia="仿宋" w:cs="仿宋"/>
                <w:color w:val="000000"/>
                <w:sz w:val="22"/>
                <w:szCs w:val="22"/>
                <w:highlight w:val="none"/>
              </w:rPr>
            </w:pPr>
          </w:p>
        </w:tc>
        <w:tc>
          <w:tcPr>
            <w:tcW w:w="2727" w:type="dxa"/>
            <w:noWrap w:val="0"/>
            <w:vAlign w:val="center"/>
          </w:tcPr>
          <w:p w14:paraId="0BBA4470">
            <w:pPr>
              <w:widowControl/>
              <w:spacing w:line="360" w:lineRule="auto"/>
              <w:jc w:val="left"/>
              <w:rPr>
                <w:rFonts w:hint="eastAsia" w:ascii="仿宋" w:hAnsi="仿宋" w:eastAsia="仿宋" w:cs="仿宋"/>
                <w:color w:val="000000"/>
                <w:sz w:val="22"/>
                <w:szCs w:val="22"/>
                <w:highlight w:val="none"/>
              </w:rPr>
            </w:pPr>
          </w:p>
        </w:tc>
        <w:tc>
          <w:tcPr>
            <w:tcW w:w="1792" w:type="dxa"/>
            <w:noWrap w:val="0"/>
            <w:vAlign w:val="center"/>
          </w:tcPr>
          <w:p w14:paraId="7A5B687A">
            <w:pPr>
              <w:widowControl/>
              <w:spacing w:line="360" w:lineRule="auto"/>
              <w:jc w:val="left"/>
              <w:rPr>
                <w:rFonts w:hint="eastAsia" w:ascii="仿宋" w:hAnsi="仿宋" w:eastAsia="仿宋" w:cs="仿宋"/>
                <w:color w:val="000000"/>
                <w:sz w:val="22"/>
                <w:szCs w:val="22"/>
                <w:highlight w:val="none"/>
              </w:rPr>
            </w:pPr>
          </w:p>
        </w:tc>
      </w:tr>
      <w:tr w14:paraId="7E70DB5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76" w:hRule="atLeast"/>
          <w:jc w:val="center"/>
        </w:trPr>
        <w:tc>
          <w:tcPr>
            <w:tcW w:w="697" w:type="dxa"/>
            <w:noWrap w:val="0"/>
            <w:vAlign w:val="center"/>
          </w:tcPr>
          <w:p w14:paraId="579FB44A">
            <w:pPr>
              <w:widowControl/>
              <w:spacing w:line="360" w:lineRule="auto"/>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5</w:t>
            </w:r>
          </w:p>
        </w:tc>
        <w:tc>
          <w:tcPr>
            <w:tcW w:w="1614" w:type="dxa"/>
            <w:noWrap w:val="0"/>
            <w:vAlign w:val="center"/>
          </w:tcPr>
          <w:p w14:paraId="02D329F0">
            <w:pPr>
              <w:widowControl/>
              <w:spacing w:line="360" w:lineRule="auto"/>
              <w:jc w:val="left"/>
              <w:rPr>
                <w:rFonts w:hint="eastAsia" w:ascii="仿宋" w:hAnsi="仿宋" w:eastAsia="仿宋" w:cs="仿宋"/>
                <w:color w:val="000000"/>
                <w:sz w:val="22"/>
                <w:szCs w:val="22"/>
                <w:highlight w:val="none"/>
              </w:rPr>
            </w:pPr>
          </w:p>
        </w:tc>
        <w:tc>
          <w:tcPr>
            <w:tcW w:w="2681" w:type="dxa"/>
            <w:noWrap w:val="0"/>
            <w:vAlign w:val="center"/>
          </w:tcPr>
          <w:p w14:paraId="7795D912">
            <w:pPr>
              <w:widowControl/>
              <w:spacing w:line="360" w:lineRule="auto"/>
              <w:jc w:val="left"/>
              <w:rPr>
                <w:rFonts w:hint="eastAsia" w:ascii="仿宋" w:hAnsi="仿宋" w:eastAsia="仿宋" w:cs="仿宋"/>
                <w:color w:val="000000"/>
                <w:sz w:val="22"/>
                <w:szCs w:val="22"/>
                <w:highlight w:val="none"/>
              </w:rPr>
            </w:pPr>
          </w:p>
        </w:tc>
        <w:tc>
          <w:tcPr>
            <w:tcW w:w="2727" w:type="dxa"/>
            <w:noWrap w:val="0"/>
            <w:vAlign w:val="center"/>
          </w:tcPr>
          <w:p w14:paraId="0FB90036">
            <w:pPr>
              <w:widowControl/>
              <w:spacing w:line="360" w:lineRule="auto"/>
              <w:jc w:val="left"/>
              <w:rPr>
                <w:rFonts w:hint="eastAsia" w:ascii="仿宋" w:hAnsi="仿宋" w:eastAsia="仿宋" w:cs="仿宋"/>
                <w:color w:val="000000"/>
                <w:sz w:val="22"/>
                <w:szCs w:val="22"/>
                <w:highlight w:val="none"/>
              </w:rPr>
            </w:pPr>
          </w:p>
        </w:tc>
        <w:tc>
          <w:tcPr>
            <w:tcW w:w="1792" w:type="dxa"/>
            <w:noWrap w:val="0"/>
            <w:vAlign w:val="center"/>
          </w:tcPr>
          <w:p w14:paraId="6C9BAEB4">
            <w:pPr>
              <w:widowControl/>
              <w:spacing w:line="360" w:lineRule="auto"/>
              <w:jc w:val="left"/>
              <w:rPr>
                <w:rFonts w:hint="eastAsia" w:ascii="仿宋" w:hAnsi="仿宋" w:eastAsia="仿宋" w:cs="仿宋"/>
                <w:color w:val="000000"/>
                <w:sz w:val="22"/>
                <w:szCs w:val="22"/>
                <w:highlight w:val="none"/>
              </w:rPr>
            </w:pPr>
          </w:p>
        </w:tc>
      </w:tr>
      <w:tr w14:paraId="1DE0763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01" w:hRule="atLeast"/>
          <w:jc w:val="center"/>
        </w:trPr>
        <w:tc>
          <w:tcPr>
            <w:tcW w:w="697" w:type="dxa"/>
            <w:noWrap w:val="0"/>
            <w:vAlign w:val="center"/>
          </w:tcPr>
          <w:p w14:paraId="07DC7475">
            <w:pPr>
              <w:widowControl/>
              <w:spacing w:line="360" w:lineRule="auto"/>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6</w:t>
            </w:r>
          </w:p>
        </w:tc>
        <w:tc>
          <w:tcPr>
            <w:tcW w:w="1614" w:type="dxa"/>
            <w:noWrap w:val="0"/>
            <w:vAlign w:val="center"/>
          </w:tcPr>
          <w:p w14:paraId="352635A7">
            <w:pPr>
              <w:widowControl/>
              <w:spacing w:line="360" w:lineRule="auto"/>
              <w:jc w:val="left"/>
              <w:rPr>
                <w:rFonts w:hint="eastAsia" w:ascii="仿宋" w:hAnsi="仿宋" w:eastAsia="仿宋" w:cs="仿宋"/>
                <w:color w:val="000000"/>
                <w:sz w:val="22"/>
                <w:szCs w:val="22"/>
                <w:highlight w:val="none"/>
              </w:rPr>
            </w:pPr>
          </w:p>
        </w:tc>
        <w:tc>
          <w:tcPr>
            <w:tcW w:w="2681" w:type="dxa"/>
            <w:noWrap w:val="0"/>
            <w:vAlign w:val="center"/>
          </w:tcPr>
          <w:p w14:paraId="61172E4E">
            <w:pPr>
              <w:widowControl/>
              <w:spacing w:line="360" w:lineRule="auto"/>
              <w:jc w:val="left"/>
              <w:rPr>
                <w:rFonts w:hint="eastAsia" w:ascii="仿宋" w:hAnsi="仿宋" w:eastAsia="仿宋" w:cs="仿宋"/>
                <w:color w:val="000000"/>
                <w:sz w:val="22"/>
                <w:szCs w:val="22"/>
                <w:highlight w:val="none"/>
              </w:rPr>
            </w:pPr>
          </w:p>
        </w:tc>
        <w:tc>
          <w:tcPr>
            <w:tcW w:w="2727" w:type="dxa"/>
            <w:noWrap w:val="0"/>
            <w:vAlign w:val="center"/>
          </w:tcPr>
          <w:p w14:paraId="15B54700">
            <w:pPr>
              <w:widowControl/>
              <w:spacing w:line="360" w:lineRule="auto"/>
              <w:jc w:val="left"/>
              <w:rPr>
                <w:rFonts w:hint="eastAsia" w:ascii="仿宋" w:hAnsi="仿宋" w:eastAsia="仿宋" w:cs="仿宋"/>
                <w:color w:val="000000"/>
                <w:sz w:val="22"/>
                <w:szCs w:val="22"/>
                <w:highlight w:val="none"/>
              </w:rPr>
            </w:pPr>
          </w:p>
        </w:tc>
        <w:tc>
          <w:tcPr>
            <w:tcW w:w="1792" w:type="dxa"/>
            <w:noWrap w:val="0"/>
            <w:vAlign w:val="center"/>
          </w:tcPr>
          <w:p w14:paraId="2B479676">
            <w:pPr>
              <w:widowControl/>
              <w:spacing w:line="360" w:lineRule="auto"/>
              <w:jc w:val="left"/>
              <w:rPr>
                <w:rFonts w:hint="eastAsia" w:ascii="仿宋" w:hAnsi="仿宋" w:eastAsia="仿宋" w:cs="仿宋"/>
                <w:color w:val="000000"/>
                <w:sz w:val="22"/>
                <w:szCs w:val="22"/>
                <w:highlight w:val="none"/>
              </w:rPr>
            </w:pPr>
          </w:p>
        </w:tc>
      </w:tr>
      <w:tr w14:paraId="1BD30A2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61" w:hRule="atLeast"/>
          <w:jc w:val="center"/>
        </w:trPr>
        <w:tc>
          <w:tcPr>
            <w:tcW w:w="697" w:type="dxa"/>
            <w:noWrap w:val="0"/>
            <w:vAlign w:val="center"/>
          </w:tcPr>
          <w:p w14:paraId="5879C05F">
            <w:pPr>
              <w:widowControl/>
              <w:spacing w:line="360" w:lineRule="auto"/>
              <w:jc w:val="center"/>
              <w:rPr>
                <w:rFonts w:hint="eastAsia" w:ascii="仿宋" w:hAnsi="仿宋" w:eastAsia="仿宋" w:cs="仿宋"/>
                <w:color w:val="000000"/>
                <w:sz w:val="22"/>
                <w:szCs w:val="22"/>
                <w:highlight w:val="none"/>
              </w:rPr>
            </w:pPr>
          </w:p>
        </w:tc>
        <w:tc>
          <w:tcPr>
            <w:tcW w:w="1614" w:type="dxa"/>
            <w:noWrap w:val="0"/>
            <w:vAlign w:val="center"/>
          </w:tcPr>
          <w:p w14:paraId="6F06A860">
            <w:pPr>
              <w:widowControl/>
              <w:spacing w:line="360" w:lineRule="auto"/>
              <w:jc w:val="left"/>
              <w:rPr>
                <w:rFonts w:hint="eastAsia" w:ascii="仿宋" w:hAnsi="仿宋" w:eastAsia="仿宋" w:cs="仿宋"/>
                <w:color w:val="000000"/>
                <w:sz w:val="22"/>
                <w:szCs w:val="22"/>
                <w:highlight w:val="none"/>
              </w:rPr>
            </w:pPr>
          </w:p>
        </w:tc>
        <w:tc>
          <w:tcPr>
            <w:tcW w:w="2681" w:type="dxa"/>
            <w:noWrap w:val="0"/>
            <w:vAlign w:val="center"/>
          </w:tcPr>
          <w:p w14:paraId="155412F3">
            <w:pPr>
              <w:widowControl/>
              <w:spacing w:line="360" w:lineRule="auto"/>
              <w:jc w:val="left"/>
              <w:rPr>
                <w:rFonts w:hint="eastAsia" w:ascii="仿宋" w:hAnsi="仿宋" w:eastAsia="仿宋" w:cs="仿宋"/>
                <w:color w:val="000000"/>
                <w:sz w:val="22"/>
                <w:szCs w:val="22"/>
                <w:highlight w:val="none"/>
              </w:rPr>
            </w:pPr>
          </w:p>
        </w:tc>
        <w:tc>
          <w:tcPr>
            <w:tcW w:w="2727" w:type="dxa"/>
            <w:noWrap w:val="0"/>
            <w:vAlign w:val="center"/>
          </w:tcPr>
          <w:p w14:paraId="638DA0EF">
            <w:pPr>
              <w:widowControl/>
              <w:spacing w:line="360" w:lineRule="auto"/>
              <w:jc w:val="left"/>
              <w:rPr>
                <w:rFonts w:hint="eastAsia" w:ascii="仿宋" w:hAnsi="仿宋" w:eastAsia="仿宋" w:cs="仿宋"/>
                <w:color w:val="000000"/>
                <w:sz w:val="22"/>
                <w:szCs w:val="22"/>
                <w:highlight w:val="none"/>
              </w:rPr>
            </w:pPr>
          </w:p>
        </w:tc>
        <w:tc>
          <w:tcPr>
            <w:tcW w:w="1792" w:type="dxa"/>
            <w:noWrap w:val="0"/>
            <w:vAlign w:val="center"/>
          </w:tcPr>
          <w:p w14:paraId="220D0DDF">
            <w:pPr>
              <w:widowControl/>
              <w:spacing w:line="360" w:lineRule="auto"/>
              <w:jc w:val="left"/>
              <w:rPr>
                <w:rFonts w:hint="eastAsia" w:ascii="仿宋" w:hAnsi="仿宋" w:eastAsia="仿宋" w:cs="仿宋"/>
                <w:color w:val="000000"/>
                <w:sz w:val="22"/>
                <w:szCs w:val="22"/>
                <w:highlight w:val="none"/>
              </w:rPr>
            </w:pPr>
          </w:p>
        </w:tc>
      </w:tr>
      <w:tr w14:paraId="08B8C54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61" w:hRule="atLeast"/>
          <w:jc w:val="center"/>
        </w:trPr>
        <w:tc>
          <w:tcPr>
            <w:tcW w:w="697" w:type="dxa"/>
            <w:noWrap w:val="0"/>
            <w:vAlign w:val="center"/>
          </w:tcPr>
          <w:p w14:paraId="5DC2B1DF">
            <w:pPr>
              <w:widowControl/>
              <w:spacing w:line="360" w:lineRule="auto"/>
              <w:jc w:val="left"/>
              <w:rPr>
                <w:rFonts w:hint="eastAsia" w:ascii="仿宋" w:hAnsi="仿宋" w:eastAsia="仿宋" w:cs="仿宋"/>
                <w:color w:val="000000"/>
                <w:sz w:val="22"/>
                <w:szCs w:val="22"/>
                <w:highlight w:val="none"/>
              </w:rPr>
            </w:pPr>
          </w:p>
        </w:tc>
        <w:tc>
          <w:tcPr>
            <w:tcW w:w="1614" w:type="dxa"/>
            <w:noWrap w:val="0"/>
            <w:vAlign w:val="center"/>
          </w:tcPr>
          <w:p w14:paraId="02FD111E">
            <w:pPr>
              <w:widowControl/>
              <w:spacing w:line="360" w:lineRule="auto"/>
              <w:jc w:val="left"/>
              <w:rPr>
                <w:rFonts w:hint="eastAsia" w:ascii="仿宋" w:hAnsi="仿宋" w:eastAsia="仿宋" w:cs="仿宋"/>
                <w:color w:val="000000"/>
                <w:sz w:val="22"/>
                <w:szCs w:val="22"/>
                <w:highlight w:val="none"/>
              </w:rPr>
            </w:pPr>
          </w:p>
        </w:tc>
        <w:tc>
          <w:tcPr>
            <w:tcW w:w="2681" w:type="dxa"/>
            <w:noWrap w:val="0"/>
            <w:vAlign w:val="center"/>
          </w:tcPr>
          <w:p w14:paraId="79A6C14F">
            <w:pPr>
              <w:widowControl/>
              <w:spacing w:line="360" w:lineRule="auto"/>
              <w:jc w:val="left"/>
              <w:rPr>
                <w:rFonts w:hint="eastAsia" w:ascii="仿宋" w:hAnsi="仿宋" w:eastAsia="仿宋" w:cs="仿宋"/>
                <w:color w:val="000000"/>
                <w:sz w:val="22"/>
                <w:szCs w:val="22"/>
                <w:highlight w:val="none"/>
              </w:rPr>
            </w:pPr>
          </w:p>
        </w:tc>
        <w:tc>
          <w:tcPr>
            <w:tcW w:w="2727" w:type="dxa"/>
            <w:noWrap w:val="0"/>
            <w:vAlign w:val="center"/>
          </w:tcPr>
          <w:p w14:paraId="6097021D">
            <w:pPr>
              <w:widowControl/>
              <w:spacing w:line="360" w:lineRule="auto"/>
              <w:jc w:val="left"/>
              <w:rPr>
                <w:rFonts w:hint="eastAsia" w:ascii="仿宋" w:hAnsi="仿宋" w:eastAsia="仿宋" w:cs="仿宋"/>
                <w:color w:val="000000"/>
                <w:sz w:val="22"/>
                <w:szCs w:val="22"/>
                <w:highlight w:val="none"/>
              </w:rPr>
            </w:pPr>
          </w:p>
        </w:tc>
        <w:tc>
          <w:tcPr>
            <w:tcW w:w="1792" w:type="dxa"/>
            <w:noWrap w:val="0"/>
            <w:vAlign w:val="center"/>
          </w:tcPr>
          <w:p w14:paraId="09F59C0D">
            <w:pPr>
              <w:widowControl/>
              <w:spacing w:line="360" w:lineRule="auto"/>
              <w:jc w:val="left"/>
              <w:rPr>
                <w:rFonts w:hint="eastAsia" w:ascii="仿宋" w:hAnsi="仿宋" w:eastAsia="仿宋" w:cs="仿宋"/>
                <w:color w:val="000000"/>
                <w:sz w:val="22"/>
                <w:szCs w:val="22"/>
                <w:highlight w:val="none"/>
              </w:rPr>
            </w:pPr>
          </w:p>
        </w:tc>
      </w:tr>
    </w:tbl>
    <w:p w14:paraId="340C7710">
      <w:pPr>
        <w:tabs>
          <w:tab w:val="left" w:pos="142"/>
        </w:tabs>
        <w:spacing w:line="360" w:lineRule="auto"/>
        <w:ind w:firstLine="48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供应商名称（加盖公章）：</w:t>
      </w:r>
    </w:p>
    <w:p w14:paraId="45E11313">
      <w:pPr>
        <w:tabs>
          <w:tab w:val="left" w:pos="142"/>
        </w:tabs>
        <w:spacing w:line="360" w:lineRule="auto"/>
        <w:ind w:firstLine="480"/>
        <w:jc w:val="left"/>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rPr>
        <w:t>法定代表人或者授权代表（签字或盖章）：</w:t>
      </w:r>
    </w:p>
    <w:p w14:paraId="6977EAB9">
      <w:pPr>
        <w:tabs>
          <w:tab w:val="left" w:pos="142"/>
        </w:tabs>
        <w:spacing w:line="360" w:lineRule="auto"/>
        <w:ind w:firstLine="48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日期：</w:t>
      </w:r>
    </w:p>
    <w:p w14:paraId="1905E4FF">
      <w:pPr>
        <w:tabs>
          <w:tab w:val="left" w:pos="142"/>
        </w:tabs>
        <w:spacing w:line="360" w:lineRule="auto"/>
        <w:ind w:firstLine="480"/>
        <w:jc w:val="left"/>
        <w:rPr>
          <w:rFonts w:hint="eastAsia" w:ascii="仿宋" w:hAnsi="仿宋" w:eastAsia="仿宋" w:cs="仿宋"/>
          <w:color w:val="000000"/>
          <w:sz w:val="24"/>
          <w:szCs w:val="24"/>
          <w:highlight w:val="none"/>
        </w:rPr>
      </w:pPr>
    </w:p>
    <w:p w14:paraId="65C04630">
      <w:pPr>
        <w:pStyle w:val="209"/>
        <w:ind w:firstLine="480"/>
        <w:rPr>
          <w:rFonts w:hint="eastAsia" w:ascii="仿宋" w:hAnsi="仿宋" w:eastAsia="仿宋" w:cs="仿宋"/>
          <w:color w:val="000000"/>
          <w:sz w:val="24"/>
          <w:szCs w:val="24"/>
          <w:highlight w:val="none"/>
        </w:rPr>
      </w:pPr>
    </w:p>
    <w:p w14:paraId="1CACFF56">
      <w:pPr>
        <w:rPr>
          <w:rFonts w:hint="eastAsia" w:ascii="仿宋" w:hAnsi="仿宋" w:eastAsia="仿宋" w:cs="仿宋"/>
          <w:color w:val="000000"/>
          <w:highlight w:val="none"/>
        </w:rPr>
      </w:pPr>
    </w:p>
    <w:p w14:paraId="7E7141DD">
      <w:pPr>
        <w:pStyle w:val="209"/>
        <w:ind w:firstLine="480"/>
        <w:rPr>
          <w:rFonts w:hint="eastAsia" w:ascii="仿宋" w:hAnsi="仿宋" w:eastAsia="仿宋" w:cs="仿宋"/>
          <w:color w:val="000000"/>
          <w:sz w:val="24"/>
          <w:szCs w:val="24"/>
          <w:highlight w:val="none"/>
        </w:rPr>
      </w:pPr>
    </w:p>
    <w:p w14:paraId="4C18155D">
      <w:pPr>
        <w:rPr>
          <w:rFonts w:hint="eastAsia" w:ascii="仿宋" w:hAnsi="仿宋" w:eastAsia="仿宋" w:cs="仿宋"/>
          <w:color w:val="000000"/>
          <w:highlight w:val="none"/>
        </w:rPr>
      </w:pPr>
    </w:p>
    <w:p w14:paraId="53C3E1BC">
      <w:pPr>
        <w:spacing w:line="0" w:lineRule="atLeast"/>
        <w:ind w:left="210"/>
        <w:rPr>
          <w:rFonts w:hint="eastAsia" w:ascii="仿宋" w:hAnsi="仿宋" w:eastAsia="仿宋" w:cs="仿宋"/>
          <w:color w:val="000000"/>
          <w:highlight w:val="none"/>
        </w:rPr>
      </w:pPr>
      <w:bookmarkStart w:id="216" w:name="_Toc23648"/>
      <w:bookmarkStart w:id="217" w:name="_Toc7905"/>
      <w:bookmarkStart w:id="218" w:name="_Toc18307"/>
      <w:bookmarkStart w:id="219" w:name="_Toc11058"/>
      <w:bookmarkStart w:id="220" w:name="_Toc5273"/>
      <w:bookmarkStart w:id="221" w:name="_Toc17110"/>
      <w:bookmarkStart w:id="222" w:name="_Toc14697"/>
    </w:p>
    <w:p w14:paraId="367D66D8">
      <w:pPr>
        <w:spacing w:line="0" w:lineRule="atLeast"/>
        <w:ind w:left="210"/>
        <w:rPr>
          <w:rFonts w:hint="eastAsia" w:ascii="仿宋" w:hAnsi="仿宋" w:eastAsia="仿宋" w:cs="仿宋"/>
          <w:color w:val="000000"/>
          <w:highlight w:val="none"/>
        </w:rPr>
      </w:pPr>
    </w:p>
    <w:p w14:paraId="35A43574">
      <w:pPr>
        <w:spacing w:line="0" w:lineRule="atLeast"/>
        <w:ind w:left="210"/>
        <w:rPr>
          <w:rFonts w:hint="eastAsia" w:ascii="仿宋" w:hAnsi="仿宋" w:eastAsia="仿宋" w:cs="仿宋"/>
          <w:color w:val="000000"/>
          <w:highlight w:val="none"/>
        </w:rPr>
      </w:pPr>
      <w:r>
        <w:rPr>
          <w:rFonts w:hint="eastAsia" w:ascii="仿宋" w:hAnsi="仿宋" w:eastAsia="仿宋" w:cs="仿宋"/>
          <w:color w:val="000000"/>
          <w:highlight w:val="none"/>
        </w:rPr>
        <w:t>填写说明：</w:t>
      </w:r>
    </w:p>
    <w:p w14:paraId="3372F320">
      <w:pPr>
        <w:spacing w:line="0" w:lineRule="atLeast"/>
        <w:ind w:left="210"/>
        <w:rPr>
          <w:rFonts w:hint="eastAsia" w:ascii="仿宋" w:hAnsi="仿宋" w:eastAsia="仿宋" w:cs="仿宋"/>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1 \* GB3</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①</w:t>
      </w:r>
      <w:r>
        <w:rPr>
          <w:rFonts w:hint="eastAsia" w:ascii="仿宋" w:hAnsi="仿宋" w:eastAsia="仿宋" w:cs="仿宋"/>
          <w:color w:val="000000"/>
          <w:highlight w:val="none"/>
        </w:rPr>
        <w:fldChar w:fldCharType="end"/>
      </w:r>
      <w:r>
        <w:rPr>
          <w:rFonts w:hint="eastAsia" w:ascii="仿宋" w:hAnsi="仿宋" w:eastAsia="仿宋" w:cs="仿宋"/>
          <w:color w:val="000000"/>
          <w:highlight w:val="none"/>
        </w:rPr>
        <w:t>此表为表样，行数可自行添加，但表式不变。</w:t>
      </w:r>
    </w:p>
    <w:p w14:paraId="4F8401EE">
      <w:pPr>
        <w:spacing w:line="0" w:lineRule="atLeast"/>
        <w:ind w:left="210"/>
        <w:rPr>
          <w:rFonts w:hint="eastAsia" w:ascii="仿宋" w:hAnsi="仿宋" w:eastAsia="仿宋" w:cs="仿宋"/>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2 \* GB3</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②</w:t>
      </w:r>
      <w:r>
        <w:rPr>
          <w:rFonts w:hint="eastAsia" w:ascii="仿宋" w:hAnsi="仿宋" w:eastAsia="仿宋" w:cs="仿宋"/>
          <w:color w:val="000000"/>
          <w:highlight w:val="none"/>
        </w:rPr>
        <w:fldChar w:fldCharType="end"/>
      </w:r>
      <w:r>
        <w:rPr>
          <w:rFonts w:hint="eastAsia" w:ascii="仿宋" w:hAnsi="仿宋" w:eastAsia="仿宋" w:cs="仿宋"/>
          <w:color w:val="000000"/>
          <w:highlight w:val="none"/>
        </w:rPr>
        <w:t>供应商根据系统方案添加的设备、材料等也请列出。</w:t>
      </w:r>
    </w:p>
    <w:p w14:paraId="2429224F">
      <w:pPr>
        <w:spacing w:line="0" w:lineRule="atLeast"/>
        <w:ind w:left="210"/>
        <w:rPr>
          <w:rFonts w:hint="eastAsia" w:ascii="仿宋" w:hAnsi="仿宋" w:eastAsia="仿宋" w:cs="仿宋"/>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3 \* GB3</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③</w:t>
      </w:r>
      <w:r>
        <w:rPr>
          <w:rFonts w:hint="eastAsia" w:ascii="仿宋" w:hAnsi="仿宋" w:eastAsia="仿宋" w:cs="仿宋"/>
          <w:color w:val="000000"/>
          <w:highlight w:val="none"/>
        </w:rPr>
        <w:fldChar w:fldCharType="end"/>
      </w:r>
      <w:r>
        <w:rPr>
          <w:rFonts w:hint="eastAsia" w:ascii="仿宋" w:hAnsi="仿宋" w:eastAsia="仿宋" w:cs="仿宋"/>
          <w:color w:val="000000"/>
          <w:highlight w:val="none"/>
        </w:rPr>
        <w:t>是否偏离用符号“+、-”分别表示正偏离、负偏离。</w:t>
      </w:r>
    </w:p>
    <w:p w14:paraId="59093204">
      <w:pPr>
        <w:spacing w:line="0" w:lineRule="atLeast"/>
        <w:ind w:left="210"/>
        <w:rPr>
          <w:rFonts w:hint="eastAsia" w:ascii="仿宋" w:hAnsi="仿宋" w:eastAsia="仿宋" w:cs="仿宋"/>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4 \* GB3</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④</w:t>
      </w:r>
      <w:r>
        <w:rPr>
          <w:rFonts w:hint="eastAsia" w:ascii="仿宋" w:hAnsi="仿宋" w:eastAsia="仿宋" w:cs="仿宋"/>
          <w:color w:val="000000"/>
          <w:highlight w:val="none"/>
        </w:rPr>
        <w:fldChar w:fldCharType="end"/>
      </w:r>
      <w:r>
        <w:rPr>
          <w:rFonts w:hint="eastAsia" w:ascii="仿宋" w:hAnsi="仿宋" w:eastAsia="仿宋" w:cs="仿宋"/>
          <w:color w:val="000000"/>
          <w:highlight w:val="none"/>
        </w:rPr>
        <w:t>供应商必须仔细阅读本采购文件中“第四章”所有技术规范条款和相关功能要求，并对技术参数和功能出现正负偏离的条目列入上表，未列入上表的视为完全响应磋商文件要求。供应商必须根据所投货物、工程或服务的实际情况如实填写，评委会如发现有虚假描述的，该响应文件视为无效。</w:t>
      </w:r>
    </w:p>
    <w:p w14:paraId="5ED29CCE">
      <w:pPr>
        <w:spacing w:line="0" w:lineRule="atLeast"/>
        <w:ind w:left="210"/>
        <w:rPr>
          <w:rFonts w:hint="eastAsia" w:ascii="仿宋" w:hAnsi="仿宋" w:eastAsia="仿宋" w:cs="仿宋"/>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5 \* GB3</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⑤</w:t>
      </w:r>
      <w:r>
        <w:rPr>
          <w:rFonts w:hint="eastAsia" w:ascii="仿宋" w:hAnsi="仿宋" w:eastAsia="仿宋" w:cs="仿宋"/>
          <w:color w:val="000000"/>
          <w:highlight w:val="none"/>
        </w:rPr>
        <w:fldChar w:fldCharType="end"/>
      </w:r>
      <w:r>
        <w:rPr>
          <w:rFonts w:hint="eastAsia" w:ascii="仿宋" w:hAnsi="仿宋" w:eastAsia="仿宋" w:cs="仿宋"/>
          <w:color w:val="000000"/>
          <w:highlight w:val="none"/>
        </w:rPr>
        <w:t>若响应文件中出现技术参数和功能与此表表述不一致的，以此表为准。</w:t>
      </w:r>
    </w:p>
    <w:p w14:paraId="76D20861">
      <w:pPr>
        <w:pStyle w:val="217"/>
        <w:pageBreakBefore/>
        <w:numPr>
          <w:ilvl w:val="0"/>
          <w:numId w:val="0"/>
        </w:numPr>
        <w:spacing w:line="360" w:lineRule="auto"/>
        <w:jc w:val="center"/>
        <w:outlineLvl w:val="9"/>
        <w:rPr>
          <w:rFonts w:hint="eastAsia" w:ascii="仿宋" w:hAnsi="仿宋" w:eastAsia="仿宋" w:cs="仿宋"/>
          <w:color w:val="000000"/>
          <w:sz w:val="32"/>
          <w:szCs w:val="32"/>
          <w:highlight w:val="none"/>
        </w:rPr>
      </w:pPr>
      <w:bookmarkStart w:id="223" w:name="_Toc30101"/>
      <w:bookmarkStart w:id="224" w:name="_Toc145164730"/>
      <w:bookmarkStart w:id="225" w:name="_Toc20349"/>
      <w:bookmarkStart w:id="226" w:name="_Toc22832"/>
      <w:bookmarkStart w:id="227" w:name="_Toc20387"/>
      <w:bookmarkStart w:id="228" w:name="_Toc17120"/>
      <w:r>
        <w:rPr>
          <w:rFonts w:hint="eastAsia" w:ascii="仿宋" w:hAnsi="仿宋" w:eastAsia="仿宋" w:cs="仿宋"/>
          <w:color w:val="000000"/>
          <w:sz w:val="32"/>
          <w:szCs w:val="32"/>
          <w:highlight w:val="none"/>
          <w:lang w:val="en-US" w:eastAsia="zh-CN"/>
        </w:rPr>
        <w:t>四</w:t>
      </w:r>
      <w:r>
        <w:rPr>
          <w:rFonts w:hint="eastAsia" w:ascii="仿宋" w:hAnsi="仿宋" w:eastAsia="仿宋" w:cs="仿宋"/>
          <w:color w:val="000000"/>
          <w:sz w:val="32"/>
          <w:szCs w:val="32"/>
          <w:highlight w:val="none"/>
        </w:rPr>
        <w:t>、技术（服务）条款响应偏离表</w:t>
      </w:r>
      <w:bookmarkEnd w:id="216"/>
      <w:bookmarkEnd w:id="217"/>
      <w:bookmarkEnd w:id="218"/>
      <w:bookmarkEnd w:id="219"/>
      <w:bookmarkEnd w:id="220"/>
      <w:bookmarkEnd w:id="221"/>
      <w:bookmarkEnd w:id="222"/>
      <w:bookmarkEnd w:id="223"/>
      <w:bookmarkEnd w:id="224"/>
      <w:bookmarkEnd w:id="225"/>
      <w:bookmarkEnd w:id="226"/>
      <w:bookmarkEnd w:id="227"/>
      <w:bookmarkEnd w:id="228"/>
    </w:p>
    <w:p w14:paraId="77DB09A4">
      <w:pPr>
        <w:rPr>
          <w:rFonts w:hint="eastAsia" w:ascii="仿宋" w:hAnsi="仿宋" w:eastAsia="仿宋" w:cs="仿宋"/>
          <w:color w:val="000000"/>
          <w:highlight w:val="none"/>
        </w:rPr>
      </w:pPr>
    </w:p>
    <w:tbl>
      <w:tblPr>
        <w:tblStyle w:val="28"/>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534"/>
        <w:gridCol w:w="2455"/>
        <w:gridCol w:w="2364"/>
        <w:gridCol w:w="1985"/>
        <w:gridCol w:w="2385"/>
      </w:tblGrid>
      <w:tr w14:paraId="65FA894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43" w:hRule="atLeast"/>
          <w:jc w:val="center"/>
        </w:trPr>
        <w:tc>
          <w:tcPr>
            <w:tcW w:w="534" w:type="dxa"/>
            <w:noWrap w:val="0"/>
            <w:vAlign w:val="center"/>
          </w:tcPr>
          <w:p w14:paraId="4BBB3393">
            <w:pPr>
              <w:widowControl/>
              <w:jc w:val="left"/>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序号</w:t>
            </w:r>
          </w:p>
        </w:tc>
        <w:tc>
          <w:tcPr>
            <w:tcW w:w="2455" w:type="dxa"/>
            <w:noWrap w:val="0"/>
            <w:vAlign w:val="center"/>
          </w:tcPr>
          <w:p w14:paraId="3C30CC2C">
            <w:pPr>
              <w:widowControl/>
              <w:jc w:val="left"/>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技术（服务）需求条目</w:t>
            </w:r>
          </w:p>
        </w:tc>
        <w:tc>
          <w:tcPr>
            <w:tcW w:w="2364" w:type="dxa"/>
            <w:noWrap w:val="0"/>
            <w:vAlign w:val="center"/>
          </w:tcPr>
          <w:p w14:paraId="6915001C">
            <w:pPr>
              <w:widowControl/>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磋商文件中的技术（服务）要求</w:t>
            </w:r>
          </w:p>
        </w:tc>
        <w:tc>
          <w:tcPr>
            <w:tcW w:w="1985" w:type="dxa"/>
            <w:noWrap w:val="0"/>
            <w:vAlign w:val="center"/>
          </w:tcPr>
          <w:p w14:paraId="3B8AC0B5">
            <w:pPr>
              <w:widowControl/>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响应供应商</w:t>
            </w:r>
          </w:p>
          <w:p w14:paraId="23FE6D41">
            <w:pPr>
              <w:widowControl/>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的承诺或说明</w:t>
            </w:r>
          </w:p>
        </w:tc>
        <w:tc>
          <w:tcPr>
            <w:tcW w:w="2385" w:type="dxa"/>
            <w:noWrap w:val="0"/>
            <w:vAlign w:val="center"/>
          </w:tcPr>
          <w:p w14:paraId="515E5162">
            <w:pPr>
              <w:widowControl/>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偏离情况</w:t>
            </w:r>
          </w:p>
          <w:p w14:paraId="2871AD0B">
            <w:pPr>
              <w:widowControl/>
              <w:jc w:val="center"/>
              <w:rPr>
                <w:rFonts w:hint="eastAsia" w:ascii="仿宋" w:hAnsi="仿宋" w:eastAsia="仿宋" w:cs="仿宋"/>
                <w:color w:val="000000"/>
                <w:sz w:val="22"/>
                <w:szCs w:val="22"/>
                <w:highlight w:val="none"/>
              </w:rPr>
            </w:pPr>
            <w:r>
              <w:rPr>
                <w:rFonts w:hint="eastAsia" w:ascii="仿宋" w:hAnsi="仿宋" w:eastAsia="仿宋" w:cs="仿宋"/>
                <w:color w:val="000000"/>
                <w:sz w:val="24"/>
                <w:szCs w:val="24"/>
                <w:highlight w:val="none"/>
              </w:rPr>
              <w:t>（+/-/=）</w:t>
            </w:r>
          </w:p>
        </w:tc>
      </w:tr>
      <w:tr w14:paraId="0EBC758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47" w:hRule="atLeast"/>
          <w:jc w:val="center"/>
        </w:trPr>
        <w:tc>
          <w:tcPr>
            <w:tcW w:w="534" w:type="dxa"/>
            <w:noWrap w:val="0"/>
            <w:vAlign w:val="center"/>
          </w:tcPr>
          <w:p w14:paraId="483806E7">
            <w:pPr>
              <w:widowControl/>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1</w:t>
            </w:r>
          </w:p>
        </w:tc>
        <w:tc>
          <w:tcPr>
            <w:tcW w:w="2455" w:type="dxa"/>
            <w:noWrap w:val="0"/>
            <w:vAlign w:val="center"/>
          </w:tcPr>
          <w:p w14:paraId="791FE960">
            <w:pPr>
              <w:widowControl/>
              <w:jc w:val="left"/>
              <w:rPr>
                <w:rFonts w:hint="eastAsia" w:ascii="仿宋" w:hAnsi="仿宋" w:eastAsia="仿宋" w:cs="仿宋"/>
                <w:color w:val="000000"/>
                <w:sz w:val="22"/>
                <w:szCs w:val="22"/>
                <w:highlight w:val="none"/>
              </w:rPr>
            </w:pPr>
          </w:p>
        </w:tc>
        <w:tc>
          <w:tcPr>
            <w:tcW w:w="2364" w:type="dxa"/>
            <w:noWrap w:val="0"/>
            <w:vAlign w:val="center"/>
          </w:tcPr>
          <w:p w14:paraId="5E0CA28A">
            <w:pPr>
              <w:widowControl/>
              <w:jc w:val="left"/>
              <w:rPr>
                <w:rFonts w:hint="eastAsia" w:ascii="仿宋" w:hAnsi="仿宋" w:eastAsia="仿宋" w:cs="仿宋"/>
                <w:color w:val="000000"/>
                <w:sz w:val="22"/>
                <w:szCs w:val="22"/>
                <w:highlight w:val="none"/>
              </w:rPr>
            </w:pPr>
          </w:p>
        </w:tc>
        <w:tc>
          <w:tcPr>
            <w:tcW w:w="1985" w:type="dxa"/>
            <w:noWrap w:val="0"/>
            <w:vAlign w:val="center"/>
          </w:tcPr>
          <w:p w14:paraId="19838CF2">
            <w:pPr>
              <w:widowControl/>
              <w:jc w:val="left"/>
              <w:rPr>
                <w:rFonts w:hint="eastAsia" w:ascii="仿宋" w:hAnsi="仿宋" w:eastAsia="仿宋" w:cs="仿宋"/>
                <w:color w:val="000000"/>
                <w:sz w:val="22"/>
                <w:szCs w:val="22"/>
                <w:highlight w:val="none"/>
              </w:rPr>
            </w:pPr>
          </w:p>
        </w:tc>
        <w:tc>
          <w:tcPr>
            <w:tcW w:w="2385" w:type="dxa"/>
            <w:noWrap w:val="0"/>
            <w:vAlign w:val="center"/>
          </w:tcPr>
          <w:p w14:paraId="39744974">
            <w:pPr>
              <w:widowControl/>
              <w:jc w:val="left"/>
              <w:rPr>
                <w:rFonts w:hint="eastAsia" w:ascii="仿宋" w:hAnsi="仿宋" w:eastAsia="仿宋" w:cs="仿宋"/>
                <w:color w:val="000000"/>
                <w:sz w:val="22"/>
                <w:szCs w:val="22"/>
                <w:highlight w:val="none"/>
              </w:rPr>
            </w:pPr>
          </w:p>
        </w:tc>
      </w:tr>
      <w:tr w14:paraId="7BE4BFE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12" w:hRule="atLeast"/>
          <w:jc w:val="center"/>
        </w:trPr>
        <w:tc>
          <w:tcPr>
            <w:tcW w:w="534" w:type="dxa"/>
            <w:noWrap w:val="0"/>
            <w:vAlign w:val="center"/>
          </w:tcPr>
          <w:p w14:paraId="4D41D06B">
            <w:pPr>
              <w:widowControl/>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2</w:t>
            </w:r>
          </w:p>
        </w:tc>
        <w:tc>
          <w:tcPr>
            <w:tcW w:w="2455" w:type="dxa"/>
            <w:noWrap w:val="0"/>
            <w:vAlign w:val="center"/>
          </w:tcPr>
          <w:p w14:paraId="4B4695C3">
            <w:pPr>
              <w:widowControl/>
              <w:jc w:val="left"/>
              <w:rPr>
                <w:rFonts w:hint="eastAsia" w:ascii="仿宋" w:hAnsi="仿宋" w:eastAsia="仿宋" w:cs="仿宋"/>
                <w:color w:val="000000"/>
                <w:sz w:val="22"/>
                <w:szCs w:val="22"/>
                <w:highlight w:val="none"/>
              </w:rPr>
            </w:pPr>
          </w:p>
        </w:tc>
        <w:tc>
          <w:tcPr>
            <w:tcW w:w="2364" w:type="dxa"/>
            <w:noWrap w:val="0"/>
            <w:vAlign w:val="center"/>
          </w:tcPr>
          <w:p w14:paraId="54C70AE8">
            <w:pPr>
              <w:widowControl/>
              <w:jc w:val="left"/>
              <w:rPr>
                <w:rFonts w:hint="eastAsia" w:ascii="仿宋" w:hAnsi="仿宋" w:eastAsia="仿宋" w:cs="仿宋"/>
                <w:color w:val="000000"/>
                <w:sz w:val="22"/>
                <w:szCs w:val="22"/>
                <w:highlight w:val="none"/>
              </w:rPr>
            </w:pPr>
          </w:p>
        </w:tc>
        <w:tc>
          <w:tcPr>
            <w:tcW w:w="1985" w:type="dxa"/>
            <w:noWrap w:val="0"/>
            <w:vAlign w:val="center"/>
          </w:tcPr>
          <w:p w14:paraId="1BAA3110">
            <w:pPr>
              <w:widowControl/>
              <w:jc w:val="left"/>
              <w:rPr>
                <w:rFonts w:hint="eastAsia" w:ascii="仿宋" w:hAnsi="仿宋" w:eastAsia="仿宋" w:cs="仿宋"/>
                <w:color w:val="000000"/>
                <w:sz w:val="22"/>
                <w:szCs w:val="22"/>
                <w:highlight w:val="none"/>
              </w:rPr>
            </w:pPr>
          </w:p>
        </w:tc>
        <w:tc>
          <w:tcPr>
            <w:tcW w:w="2385" w:type="dxa"/>
            <w:noWrap w:val="0"/>
            <w:vAlign w:val="center"/>
          </w:tcPr>
          <w:p w14:paraId="18D6EF80">
            <w:pPr>
              <w:widowControl/>
              <w:jc w:val="left"/>
              <w:rPr>
                <w:rFonts w:hint="eastAsia" w:ascii="仿宋" w:hAnsi="仿宋" w:eastAsia="仿宋" w:cs="仿宋"/>
                <w:color w:val="000000"/>
                <w:sz w:val="22"/>
                <w:szCs w:val="22"/>
                <w:highlight w:val="none"/>
              </w:rPr>
            </w:pPr>
          </w:p>
        </w:tc>
      </w:tr>
      <w:tr w14:paraId="59197C1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41" w:hRule="atLeast"/>
          <w:jc w:val="center"/>
        </w:trPr>
        <w:tc>
          <w:tcPr>
            <w:tcW w:w="534" w:type="dxa"/>
            <w:noWrap w:val="0"/>
            <w:vAlign w:val="center"/>
          </w:tcPr>
          <w:p w14:paraId="529846B6">
            <w:pPr>
              <w:widowControl/>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3</w:t>
            </w:r>
          </w:p>
        </w:tc>
        <w:tc>
          <w:tcPr>
            <w:tcW w:w="2455" w:type="dxa"/>
            <w:noWrap w:val="0"/>
            <w:vAlign w:val="center"/>
          </w:tcPr>
          <w:p w14:paraId="65934E9F">
            <w:pPr>
              <w:widowControl/>
              <w:jc w:val="left"/>
              <w:rPr>
                <w:rFonts w:hint="eastAsia" w:ascii="仿宋" w:hAnsi="仿宋" w:eastAsia="仿宋" w:cs="仿宋"/>
                <w:color w:val="000000"/>
                <w:sz w:val="22"/>
                <w:szCs w:val="22"/>
                <w:highlight w:val="none"/>
              </w:rPr>
            </w:pPr>
          </w:p>
        </w:tc>
        <w:tc>
          <w:tcPr>
            <w:tcW w:w="2364" w:type="dxa"/>
            <w:noWrap w:val="0"/>
            <w:vAlign w:val="center"/>
          </w:tcPr>
          <w:p w14:paraId="226FF4C0">
            <w:pPr>
              <w:widowControl/>
              <w:jc w:val="left"/>
              <w:rPr>
                <w:rFonts w:hint="eastAsia" w:ascii="仿宋" w:hAnsi="仿宋" w:eastAsia="仿宋" w:cs="仿宋"/>
                <w:color w:val="000000"/>
                <w:sz w:val="22"/>
                <w:szCs w:val="22"/>
                <w:highlight w:val="none"/>
              </w:rPr>
            </w:pPr>
          </w:p>
        </w:tc>
        <w:tc>
          <w:tcPr>
            <w:tcW w:w="1985" w:type="dxa"/>
            <w:noWrap w:val="0"/>
            <w:vAlign w:val="center"/>
          </w:tcPr>
          <w:p w14:paraId="449B8234">
            <w:pPr>
              <w:widowControl/>
              <w:jc w:val="left"/>
              <w:rPr>
                <w:rFonts w:hint="eastAsia" w:ascii="仿宋" w:hAnsi="仿宋" w:eastAsia="仿宋" w:cs="仿宋"/>
                <w:color w:val="000000"/>
                <w:sz w:val="22"/>
                <w:szCs w:val="22"/>
                <w:highlight w:val="none"/>
              </w:rPr>
            </w:pPr>
          </w:p>
        </w:tc>
        <w:tc>
          <w:tcPr>
            <w:tcW w:w="2385" w:type="dxa"/>
            <w:noWrap w:val="0"/>
            <w:vAlign w:val="center"/>
          </w:tcPr>
          <w:p w14:paraId="5361673B">
            <w:pPr>
              <w:widowControl/>
              <w:jc w:val="left"/>
              <w:rPr>
                <w:rFonts w:hint="eastAsia" w:ascii="仿宋" w:hAnsi="仿宋" w:eastAsia="仿宋" w:cs="仿宋"/>
                <w:color w:val="000000"/>
                <w:sz w:val="22"/>
                <w:szCs w:val="22"/>
                <w:highlight w:val="none"/>
              </w:rPr>
            </w:pPr>
          </w:p>
        </w:tc>
      </w:tr>
      <w:tr w14:paraId="58792E2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41" w:hRule="atLeast"/>
          <w:jc w:val="center"/>
        </w:trPr>
        <w:tc>
          <w:tcPr>
            <w:tcW w:w="534" w:type="dxa"/>
            <w:noWrap w:val="0"/>
            <w:vAlign w:val="center"/>
          </w:tcPr>
          <w:p w14:paraId="139709A6">
            <w:pPr>
              <w:widowControl/>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4</w:t>
            </w:r>
          </w:p>
        </w:tc>
        <w:tc>
          <w:tcPr>
            <w:tcW w:w="2455" w:type="dxa"/>
            <w:noWrap w:val="0"/>
            <w:vAlign w:val="center"/>
          </w:tcPr>
          <w:p w14:paraId="3D1741EB">
            <w:pPr>
              <w:widowControl/>
              <w:jc w:val="left"/>
              <w:rPr>
                <w:rFonts w:hint="eastAsia" w:ascii="仿宋" w:hAnsi="仿宋" w:eastAsia="仿宋" w:cs="仿宋"/>
                <w:color w:val="000000"/>
                <w:sz w:val="22"/>
                <w:szCs w:val="22"/>
                <w:highlight w:val="none"/>
              </w:rPr>
            </w:pPr>
          </w:p>
        </w:tc>
        <w:tc>
          <w:tcPr>
            <w:tcW w:w="2364" w:type="dxa"/>
            <w:noWrap w:val="0"/>
            <w:vAlign w:val="center"/>
          </w:tcPr>
          <w:p w14:paraId="6A33D90D">
            <w:pPr>
              <w:widowControl/>
              <w:jc w:val="left"/>
              <w:rPr>
                <w:rFonts w:hint="eastAsia" w:ascii="仿宋" w:hAnsi="仿宋" w:eastAsia="仿宋" w:cs="仿宋"/>
                <w:color w:val="000000"/>
                <w:sz w:val="22"/>
                <w:szCs w:val="22"/>
                <w:highlight w:val="none"/>
              </w:rPr>
            </w:pPr>
          </w:p>
        </w:tc>
        <w:tc>
          <w:tcPr>
            <w:tcW w:w="1985" w:type="dxa"/>
            <w:noWrap w:val="0"/>
            <w:vAlign w:val="center"/>
          </w:tcPr>
          <w:p w14:paraId="058E92A6">
            <w:pPr>
              <w:widowControl/>
              <w:jc w:val="left"/>
              <w:rPr>
                <w:rFonts w:hint="eastAsia" w:ascii="仿宋" w:hAnsi="仿宋" w:eastAsia="仿宋" w:cs="仿宋"/>
                <w:color w:val="000000"/>
                <w:sz w:val="22"/>
                <w:szCs w:val="22"/>
                <w:highlight w:val="none"/>
              </w:rPr>
            </w:pPr>
          </w:p>
        </w:tc>
        <w:tc>
          <w:tcPr>
            <w:tcW w:w="2385" w:type="dxa"/>
            <w:noWrap w:val="0"/>
            <w:vAlign w:val="center"/>
          </w:tcPr>
          <w:p w14:paraId="1488CDDE">
            <w:pPr>
              <w:widowControl/>
              <w:jc w:val="left"/>
              <w:rPr>
                <w:rFonts w:hint="eastAsia" w:ascii="仿宋" w:hAnsi="仿宋" w:eastAsia="仿宋" w:cs="仿宋"/>
                <w:color w:val="000000"/>
                <w:sz w:val="22"/>
                <w:szCs w:val="22"/>
                <w:highlight w:val="none"/>
              </w:rPr>
            </w:pPr>
          </w:p>
        </w:tc>
      </w:tr>
      <w:tr w14:paraId="6790F18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76" w:hRule="atLeast"/>
          <w:jc w:val="center"/>
        </w:trPr>
        <w:tc>
          <w:tcPr>
            <w:tcW w:w="534" w:type="dxa"/>
            <w:noWrap w:val="0"/>
            <w:vAlign w:val="center"/>
          </w:tcPr>
          <w:p w14:paraId="72E089E4">
            <w:pPr>
              <w:widowControl/>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5</w:t>
            </w:r>
          </w:p>
        </w:tc>
        <w:tc>
          <w:tcPr>
            <w:tcW w:w="2455" w:type="dxa"/>
            <w:noWrap w:val="0"/>
            <w:vAlign w:val="center"/>
          </w:tcPr>
          <w:p w14:paraId="295EE08E">
            <w:pPr>
              <w:widowControl/>
              <w:jc w:val="left"/>
              <w:rPr>
                <w:rFonts w:hint="eastAsia" w:ascii="仿宋" w:hAnsi="仿宋" w:eastAsia="仿宋" w:cs="仿宋"/>
                <w:color w:val="000000"/>
                <w:sz w:val="22"/>
                <w:szCs w:val="22"/>
                <w:highlight w:val="none"/>
              </w:rPr>
            </w:pPr>
          </w:p>
        </w:tc>
        <w:tc>
          <w:tcPr>
            <w:tcW w:w="2364" w:type="dxa"/>
            <w:noWrap w:val="0"/>
            <w:vAlign w:val="center"/>
          </w:tcPr>
          <w:p w14:paraId="21067CB8">
            <w:pPr>
              <w:widowControl/>
              <w:jc w:val="left"/>
              <w:rPr>
                <w:rFonts w:hint="eastAsia" w:ascii="仿宋" w:hAnsi="仿宋" w:eastAsia="仿宋" w:cs="仿宋"/>
                <w:color w:val="000000"/>
                <w:sz w:val="22"/>
                <w:szCs w:val="22"/>
                <w:highlight w:val="none"/>
              </w:rPr>
            </w:pPr>
          </w:p>
        </w:tc>
        <w:tc>
          <w:tcPr>
            <w:tcW w:w="1985" w:type="dxa"/>
            <w:noWrap w:val="0"/>
            <w:vAlign w:val="center"/>
          </w:tcPr>
          <w:p w14:paraId="16B34B02">
            <w:pPr>
              <w:widowControl/>
              <w:jc w:val="left"/>
              <w:rPr>
                <w:rFonts w:hint="eastAsia" w:ascii="仿宋" w:hAnsi="仿宋" w:eastAsia="仿宋" w:cs="仿宋"/>
                <w:color w:val="000000"/>
                <w:sz w:val="22"/>
                <w:szCs w:val="22"/>
                <w:highlight w:val="none"/>
              </w:rPr>
            </w:pPr>
          </w:p>
        </w:tc>
        <w:tc>
          <w:tcPr>
            <w:tcW w:w="2385" w:type="dxa"/>
            <w:noWrap w:val="0"/>
            <w:vAlign w:val="center"/>
          </w:tcPr>
          <w:p w14:paraId="7850A6EF">
            <w:pPr>
              <w:widowControl/>
              <w:jc w:val="left"/>
              <w:rPr>
                <w:rFonts w:hint="eastAsia" w:ascii="仿宋" w:hAnsi="仿宋" w:eastAsia="仿宋" w:cs="仿宋"/>
                <w:color w:val="000000"/>
                <w:sz w:val="22"/>
                <w:szCs w:val="22"/>
                <w:highlight w:val="none"/>
              </w:rPr>
            </w:pPr>
          </w:p>
        </w:tc>
      </w:tr>
      <w:tr w14:paraId="7175511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01" w:hRule="atLeast"/>
          <w:jc w:val="center"/>
        </w:trPr>
        <w:tc>
          <w:tcPr>
            <w:tcW w:w="534" w:type="dxa"/>
            <w:noWrap w:val="0"/>
            <w:vAlign w:val="center"/>
          </w:tcPr>
          <w:p w14:paraId="757DD3D6">
            <w:pPr>
              <w:widowControl/>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6</w:t>
            </w:r>
          </w:p>
        </w:tc>
        <w:tc>
          <w:tcPr>
            <w:tcW w:w="2455" w:type="dxa"/>
            <w:noWrap w:val="0"/>
            <w:vAlign w:val="center"/>
          </w:tcPr>
          <w:p w14:paraId="773CCDD6">
            <w:pPr>
              <w:widowControl/>
              <w:jc w:val="center"/>
              <w:rPr>
                <w:rFonts w:hint="eastAsia" w:ascii="仿宋" w:hAnsi="仿宋" w:eastAsia="仿宋" w:cs="仿宋"/>
                <w:color w:val="000000"/>
                <w:sz w:val="22"/>
                <w:szCs w:val="22"/>
                <w:highlight w:val="none"/>
              </w:rPr>
            </w:pPr>
          </w:p>
        </w:tc>
        <w:tc>
          <w:tcPr>
            <w:tcW w:w="2364" w:type="dxa"/>
            <w:noWrap w:val="0"/>
            <w:vAlign w:val="center"/>
          </w:tcPr>
          <w:p w14:paraId="5552D7EE">
            <w:pPr>
              <w:widowControl/>
              <w:jc w:val="left"/>
              <w:rPr>
                <w:rFonts w:hint="eastAsia" w:ascii="仿宋" w:hAnsi="仿宋" w:eastAsia="仿宋" w:cs="仿宋"/>
                <w:color w:val="000000"/>
                <w:sz w:val="22"/>
                <w:szCs w:val="22"/>
                <w:highlight w:val="none"/>
              </w:rPr>
            </w:pPr>
          </w:p>
        </w:tc>
        <w:tc>
          <w:tcPr>
            <w:tcW w:w="1985" w:type="dxa"/>
            <w:noWrap w:val="0"/>
            <w:vAlign w:val="center"/>
          </w:tcPr>
          <w:p w14:paraId="6CD4EBC3">
            <w:pPr>
              <w:widowControl/>
              <w:jc w:val="left"/>
              <w:rPr>
                <w:rFonts w:hint="eastAsia" w:ascii="仿宋" w:hAnsi="仿宋" w:eastAsia="仿宋" w:cs="仿宋"/>
                <w:color w:val="000000"/>
                <w:sz w:val="22"/>
                <w:szCs w:val="22"/>
                <w:highlight w:val="none"/>
              </w:rPr>
            </w:pPr>
          </w:p>
        </w:tc>
        <w:tc>
          <w:tcPr>
            <w:tcW w:w="2385" w:type="dxa"/>
            <w:noWrap w:val="0"/>
            <w:vAlign w:val="center"/>
          </w:tcPr>
          <w:p w14:paraId="3B13E29B">
            <w:pPr>
              <w:widowControl/>
              <w:jc w:val="left"/>
              <w:rPr>
                <w:rFonts w:hint="eastAsia" w:ascii="仿宋" w:hAnsi="仿宋" w:eastAsia="仿宋" w:cs="仿宋"/>
                <w:color w:val="000000"/>
                <w:sz w:val="22"/>
                <w:szCs w:val="22"/>
                <w:highlight w:val="none"/>
              </w:rPr>
            </w:pPr>
          </w:p>
        </w:tc>
      </w:tr>
      <w:tr w14:paraId="4F55CC4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61" w:hRule="atLeast"/>
          <w:jc w:val="center"/>
        </w:trPr>
        <w:tc>
          <w:tcPr>
            <w:tcW w:w="534" w:type="dxa"/>
            <w:noWrap w:val="0"/>
            <w:vAlign w:val="center"/>
          </w:tcPr>
          <w:p w14:paraId="0A3E2EA8">
            <w:pPr>
              <w:widowControl/>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7</w:t>
            </w:r>
          </w:p>
        </w:tc>
        <w:tc>
          <w:tcPr>
            <w:tcW w:w="2455" w:type="dxa"/>
            <w:noWrap w:val="0"/>
            <w:vAlign w:val="center"/>
          </w:tcPr>
          <w:p w14:paraId="13472D44">
            <w:pPr>
              <w:widowControl/>
              <w:jc w:val="center"/>
              <w:rPr>
                <w:rFonts w:hint="eastAsia" w:ascii="仿宋" w:hAnsi="仿宋" w:eastAsia="仿宋" w:cs="仿宋"/>
                <w:color w:val="000000"/>
                <w:sz w:val="22"/>
                <w:szCs w:val="22"/>
                <w:highlight w:val="none"/>
              </w:rPr>
            </w:pPr>
          </w:p>
        </w:tc>
        <w:tc>
          <w:tcPr>
            <w:tcW w:w="2364" w:type="dxa"/>
            <w:noWrap w:val="0"/>
            <w:vAlign w:val="center"/>
          </w:tcPr>
          <w:p w14:paraId="49CB6C12">
            <w:pPr>
              <w:widowControl/>
              <w:jc w:val="left"/>
              <w:rPr>
                <w:rFonts w:hint="eastAsia" w:ascii="仿宋" w:hAnsi="仿宋" w:eastAsia="仿宋" w:cs="仿宋"/>
                <w:color w:val="000000"/>
                <w:sz w:val="22"/>
                <w:szCs w:val="22"/>
                <w:highlight w:val="none"/>
              </w:rPr>
            </w:pPr>
          </w:p>
        </w:tc>
        <w:tc>
          <w:tcPr>
            <w:tcW w:w="1985" w:type="dxa"/>
            <w:noWrap w:val="0"/>
            <w:vAlign w:val="center"/>
          </w:tcPr>
          <w:p w14:paraId="5D7DB92E">
            <w:pPr>
              <w:widowControl/>
              <w:jc w:val="left"/>
              <w:rPr>
                <w:rFonts w:hint="eastAsia" w:ascii="仿宋" w:hAnsi="仿宋" w:eastAsia="仿宋" w:cs="仿宋"/>
                <w:color w:val="000000"/>
                <w:sz w:val="22"/>
                <w:szCs w:val="22"/>
                <w:highlight w:val="none"/>
              </w:rPr>
            </w:pPr>
          </w:p>
        </w:tc>
        <w:tc>
          <w:tcPr>
            <w:tcW w:w="2385" w:type="dxa"/>
            <w:noWrap w:val="0"/>
            <w:vAlign w:val="center"/>
          </w:tcPr>
          <w:p w14:paraId="2E8EF05C">
            <w:pPr>
              <w:widowControl/>
              <w:jc w:val="left"/>
              <w:rPr>
                <w:rFonts w:hint="eastAsia" w:ascii="仿宋" w:hAnsi="仿宋" w:eastAsia="仿宋" w:cs="仿宋"/>
                <w:color w:val="000000"/>
                <w:sz w:val="22"/>
                <w:szCs w:val="22"/>
                <w:highlight w:val="none"/>
              </w:rPr>
            </w:pPr>
          </w:p>
        </w:tc>
      </w:tr>
      <w:tr w14:paraId="2790B94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61" w:hRule="atLeast"/>
          <w:jc w:val="center"/>
        </w:trPr>
        <w:tc>
          <w:tcPr>
            <w:tcW w:w="534" w:type="dxa"/>
            <w:noWrap w:val="0"/>
            <w:vAlign w:val="center"/>
          </w:tcPr>
          <w:p w14:paraId="101DE5DE">
            <w:pPr>
              <w:widowControl/>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8</w:t>
            </w:r>
          </w:p>
        </w:tc>
        <w:tc>
          <w:tcPr>
            <w:tcW w:w="2455" w:type="dxa"/>
            <w:noWrap w:val="0"/>
            <w:vAlign w:val="center"/>
          </w:tcPr>
          <w:p w14:paraId="13C709C6">
            <w:pPr>
              <w:widowControl/>
              <w:jc w:val="center"/>
              <w:rPr>
                <w:rFonts w:hint="eastAsia" w:ascii="仿宋" w:hAnsi="仿宋" w:eastAsia="仿宋" w:cs="仿宋"/>
                <w:color w:val="000000"/>
                <w:sz w:val="22"/>
                <w:szCs w:val="22"/>
                <w:highlight w:val="none"/>
              </w:rPr>
            </w:pPr>
          </w:p>
        </w:tc>
        <w:tc>
          <w:tcPr>
            <w:tcW w:w="2364" w:type="dxa"/>
            <w:noWrap w:val="0"/>
            <w:vAlign w:val="center"/>
          </w:tcPr>
          <w:p w14:paraId="6DAF3731">
            <w:pPr>
              <w:widowControl/>
              <w:jc w:val="left"/>
              <w:rPr>
                <w:rFonts w:hint="eastAsia" w:ascii="仿宋" w:hAnsi="仿宋" w:eastAsia="仿宋" w:cs="仿宋"/>
                <w:color w:val="000000"/>
                <w:sz w:val="22"/>
                <w:szCs w:val="22"/>
                <w:highlight w:val="none"/>
              </w:rPr>
            </w:pPr>
          </w:p>
        </w:tc>
        <w:tc>
          <w:tcPr>
            <w:tcW w:w="1985" w:type="dxa"/>
            <w:noWrap w:val="0"/>
            <w:vAlign w:val="center"/>
          </w:tcPr>
          <w:p w14:paraId="5FE009F8">
            <w:pPr>
              <w:widowControl/>
              <w:jc w:val="left"/>
              <w:rPr>
                <w:rFonts w:hint="eastAsia" w:ascii="仿宋" w:hAnsi="仿宋" w:eastAsia="仿宋" w:cs="仿宋"/>
                <w:color w:val="000000"/>
                <w:sz w:val="22"/>
                <w:szCs w:val="22"/>
                <w:highlight w:val="none"/>
              </w:rPr>
            </w:pPr>
          </w:p>
        </w:tc>
        <w:tc>
          <w:tcPr>
            <w:tcW w:w="2385" w:type="dxa"/>
            <w:noWrap w:val="0"/>
            <w:vAlign w:val="center"/>
          </w:tcPr>
          <w:p w14:paraId="423B9081">
            <w:pPr>
              <w:widowControl/>
              <w:jc w:val="left"/>
              <w:rPr>
                <w:rFonts w:hint="eastAsia" w:ascii="仿宋" w:hAnsi="仿宋" w:eastAsia="仿宋" w:cs="仿宋"/>
                <w:color w:val="000000"/>
                <w:sz w:val="22"/>
                <w:szCs w:val="22"/>
                <w:highlight w:val="none"/>
              </w:rPr>
            </w:pPr>
          </w:p>
        </w:tc>
      </w:tr>
      <w:tr w14:paraId="1283377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61" w:hRule="atLeast"/>
          <w:jc w:val="center"/>
        </w:trPr>
        <w:tc>
          <w:tcPr>
            <w:tcW w:w="534" w:type="dxa"/>
            <w:noWrap w:val="0"/>
            <w:vAlign w:val="center"/>
          </w:tcPr>
          <w:p w14:paraId="2CBFC478">
            <w:pPr>
              <w:widowControl/>
              <w:jc w:val="center"/>
              <w:rPr>
                <w:rFonts w:hint="eastAsia" w:ascii="仿宋" w:hAnsi="仿宋" w:eastAsia="仿宋" w:cs="仿宋"/>
                <w:color w:val="000000"/>
                <w:sz w:val="22"/>
                <w:szCs w:val="22"/>
                <w:highlight w:val="none"/>
              </w:rPr>
            </w:pPr>
          </w:p>
        </w:tc>
        <w:tc>
          <w:tcPr>
            <w:tcW w:w="2455" w:type="dxa"/>
            <w:noWrap w:val="0"/>
            <w:vAlign w:val="center"/>
          </w:tcPr>
          <w:p w14:paraId="147C8A64">
            <w:pPr>
              <w:widowControl/>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（本表可根据需要</w:t>
            </w:r>
          </w:p>
          <w:p w14:paraId="4E21771B">
            <w:pPr>
              <w:widowControl/>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自行添加行）</w:t>
            </w:r>
          </w:p>
        </w:tc>
        <w:tc>
          <w:tcPr>
            <w:tcW w:w="2364" w:type="dxa"/>
            <w:noWrap w:val="0"/>
            <w:vAlign w:val="center"/>
          </w:tcPr>
          <w:p w14:paraId="75568074">
            <w:pPr>
              <w:widowControl/>
              <w:jc w:val="left"/>
              <w:rPr>
                <w:rFonts w:hint="eastAsia" w:ascii="仿宋" w:hAnsi="仿宋" w:eastAsia="仿宋" w:cs="仿宋"/>
                <w:color w:val="000000"/>
                <w:sz w:val="22"/>
                <w:szCs w:val="22"/>
                <w:highlight w:val="none"/>
              </w:rPr>
            </w:pPr>
          </w:p>
        </w:tc>
        <w:tc>
          <w:tcPr>
            <w:tcW w:w="1985" w:type="dxa"/>
            <w:noWrap w:val="0"/>
            <w:vAlign w:val="center"/>
          </w:tcPr>
          <w:p w14:paraId="0E3E0C52">
            <w:pPr>
              <w:widowControl/>
              <w:jc w:val="left"/>
              <w:rPr>
                <w:rFonts w:hint="eastAsia" w:ascii="仿宋" w:hAnsi="仿宋" w:eastAsia="仿宋" w:cs="仿宋"/>
                <w:color w:val="000000"/>
                <w:sz w:val="22"/>
                <w:szCs w:val="22"/>
                <w:highlight w:val="none"/>
              </w:rPr>
            </w:pPr>
          </w:p>
        </w:tc>
        <w:tc>
          <w:tcPr>
            <w:tcW w:w="2385" w:type="dxa"/>
            <w:noWrap w:val="0"/>
            <w:vAlign w:val="center"/>
          </w:tcPr>
          <w:p w14:paraId="32DF1A5E">
            <w:pPr>
              <w:widowControl/>
              <w:jc w:val="left"/>
              <w:rPr>
                <w:rFonts w:hint="eastAsia" w:ascii="仿宋" w:hAnsi="仿宋" w:eastAsia="仿宋" w:cs="仿宋"/>
                <w:color w:val="000000"/>
                <w:sz w:val="22"/>
                <w:szCs w:val="22"/>
                <w:highlight w:val="none"/>
              </w:rPr>
            </w:pPr>
          </w:p>
        </w:tc>
      </w:tr>
    </w:tbl>
    <w:p w14:paraId="3BCAD941">
      <w:pPr>
        <w:tabs>
          <w:tab w:val="left" w:pos="142"/>
        </w:tabs>
        <w:spacing w:line="500" w:lineRule="exact"/>
        <w:ind w:firstLine="48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供应商名称（加盖公章）：</w:t>
      </w:r>
    </w:p>
    <w:p w14:paraId="523DC850">
      <w:pPr>
        <w:tabs>
          <w:tab w:val="left" w:pos="142"/>
        </w:tabs>
        <w:spacing w:line="500" w:lineRule="exact"/>
        <w:ind w:firstLine="480"/>
        <w:jc w:val="left"/>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rPr>
        <w:t>法定代表人或者授权代表（签字或盖章）：</w:t>
      </w:r>
    </w:p>
    <w:p w14:paraId="6ECFC087">
      <w:pPr>
        <w:tabs>
          <w:tab w:val="left" w:pos="142"/>
        </w:tabs>
        <w:spacing w:line="500" w:lineRule="exact"/>
        <w:ind w:firstLine="48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日期：</w:t>
      </w:r>
    </w:p>
    <w:p w14:paraId="5B43CBE1">
      <w:pPr>
        <w:tabs>
          <w:tab w:val="left" w:pos="142"/>
        </w:tabs>
        <w:spacing w:line="500" w:lineRule="exact"/>
        <w:ind w:firstLine="480"/>
        <w:jc w:val="left"/>
        <w:rPr>
          <w:rFonts w:hint="eastAsia" w:ascii="仿宋" w:hAnsi="仿宋" w:eastAsia="仿宋" w:cs="仿宋"/>
          <w:color w:val="000000"/>
          <w:sz w:val="24"/>
          <w:szCs w:val="24"/>
          <w:highlight w:val="none"/>
        </w:rPr>
      </w:pPr>
    </w:p>
    <w:p w14:paraId="6B5EAF08">
      <w:pPr>
        <w:tabs>
          <w:tab w:val="left" w:pos="142"/>
        </w:tabs>
        <w:spacing w:line="500" w:lineRule="exact"/>
        <w:ind w:firstLine="480"/>
        <w:jc w:val="left"/>
        <w:rPr>
          <w:rFonts w:hint="eastAsia" w:ascii="仿宋" w:hAnsi="仿宋" w:eastAsia="仿宋" w:cs="仿宋"/>
          <w:color w:val="000000"/>
          <w:sz w:val="24"/>
          <w:szCs w:val="24"/>
          <w:highlight w:val="none"/>
        </w:rPr>
      </w:pPr>
    </w:p>
    <w:p w14:paraId="635906E0">
      <w:pPr>
        <w:tabs>
          <w:tab w:val="left" w:pos="142"/>
        </w:tabs>
        <w:spacing w:line="500" w:lineRule="exact"/>
        <w:ind w:firstLine="480"/>
        <w:jc w:val="left"/>
        <w:rPr>
          <w:rFonts w:hint="eastAsia" w:ascii="仿宋" w:hAnsi="仿宋" w:eastAsia="仿宋" w:cs="仿宋"/>
          <w:color w:val="000000"/>
          <w:sz w:val="24"/>
          <w:szCs w:val="24"/>
          <w:highlight w:val="none"/>
        </w:rPr>
      </w:pPr>
    </w:p>
    <w:p w14:paraId="4C9D27B7">
      <w:pPr>
        <w:spacing w:line="400" w:lineRule="exact"/>
        <w:ind w:firstLine="440"/>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填写说明：</w:t>
      </w:r>
    </w:p>
    <w:p w14:paraId="756EBC6A">
      <w:pPr>
        <w:spacing w:line="400" w:lineRule="exact"/>
        <w:ind w:firstLine="440"/>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1、供应商应按照服务要求逐一说明响应，直接拷贝磋商文件服务内容要求的按照无效处理；</w:t>
      </w:r>
    </w:p>
    <w:p w14:paraId="60504195">
      <w:pPr>
        <w:spacing w:line="400" w:lineRule="exact"/>
        <w:ind w:firstLine="440"/>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2、供应商承诺：除上表中的偏差外，完全响应磋商文件的其他条款。</w:t>
      </w:r>
    </w:p>
    <w:p w14:paraId="5ADE75F2">
      <w:pPr>
        <w:spacing w:line="400" w:lineRule="exact"/>
        <w:ind w:firstLine="440"/>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3、如果行数不够，请自行添加。</w:t>
      </w:r>
    </w:p>
    <w:p w14:paraId="36449701">
      <w:pPr>
        <w:pStyle w:val="209"/>
        <w:ind w:firstLine="480"/>
        <w:rPr>
          <w:rFonts w:hint="eastAsia" w:ascii="仿宋" w:hAnsi="仿宋" w:eastAsia="仿宋" w:cs="仿宋"/>
          <w:color w:val="000000"/>
          <w:sz w:val="24"/>
          <w:highlight w:val="none"/>
        </w:rPr>
      </w:pPr>
    </w:p>
    <w:p w14:paraId="4C82ED3F">
      <w:pPr>
        <w:rPr>
          <w:rFonts w:hint="eastAsia" w:ascii="仿宋" w:hAnsi="仿宋" w:eastAsia="仿宋" w:cs="仿宋"/>
          <w:color w:val="000000"/>
          <w:sz w:val="24"/>
          <w:highlight w:val="none"/>
        </w:rPr>
      </w:pPr>
    </w:p>
    <w:p w14:paraId="74E98AA7">
      <w:pPr>
        <w:pStyle w:val="209"/>
        <w:ind w:firstLine="480"/>
        <w:rPr>
          <w:rFonts w:hint="eastAsia" w:ascii="仿宋" w:hAnsi="仿宋" w:eastAsia="仿宋" w:cs="仿宋"/>
          <w:color w:val="000000"/>
          <w:sz w:val="24"/>
          <w:highlight w:val="none"/>
        </w:rPr>
      </w:pPr>
    </w:p>
    <w:p w14:paraId="45C7CB2E">
      <w:pPr>
        <w:rPr>
          <w:rFonts w:hint="eastAsia" w:ascii="仿宋" w:hAnsi="仿宋" w:eastAsia="仿宋" w:cs="仿宋"/>
          <w:color w:val="000000"/>
          <w:sz w:val="24"/>
          <w:highlight w:val="none"/>
        </w:rPr>
      </w:pPr>
    </w:p>
    <w:p w14:paraId="558BBB63">
      <w:pPr>
        <w:pStyle w:val="209"/>
        <w:ind w:firstLine="480"/>
        <w:rPr>
          <w:rFonts w:hint="eastAsia" w:ascii="仿宋" w:hAnsi="仿宋" w:eastAsia="仿宋" w:cs="仿宋"/>
          <w:color w:val="000000"/>
          <w:sz w:val="24"/>
          <w:highlight w:val="none"/>
        </w:rPr>
      </w:pPr>
    </w:p>
    <w:p w14:paraId="5C075171">
      <w:pPr>
        <w:rPr>
          <w:rFonts w:hint="eastAsia" w:ascii="仿宋" w:hAnsi="仿宋" w:eastAsia="仿宋" w:cs="仿宋"/>
          <w:color w:val="000000"/>
          <w:sz w:val="24"/>
          <w:highlight w:val="none"/>
        </w:rPr>
      </w:pPr>
    </w:p>
    <w:p w14:paraId="6754CBE5">
      <w:pPr>
        <w:pStyle w:val="209"/>
        <w:ind w:firstLine="480"/>
        <w:rPr>
          <w:rFonts w:hint="eastAsia" w:ascii="仿宋" w:hAnsi="仿宋" w:eastAsia="仿宋" w:cs="仿宋"/>
          <w:color w:val="000000"/>
          <w:sz w:val="24"/>
          <w:highlight w:val="none"/>
        </w:rPr>
      </w:pPr>
    </w:p>
    <w:p w14:paraId="74EC196C">
      <w:pPr>
        <w:pStyle w:val="217"/>
        <w:numPr>
          <w:ilvl w:val="0"/>
          <w:numId w:val="0"/>
        </w:numPr>
        <w:spacing w:line="360" w:lineRule="auto"/>
        <w:jc w:val="center"/>
        <w:outlineLvl w:val="9"/>
        <w:rPr>
          <w:rFonts w:hint="eastAsia" w:ascii="仿宋" w:hAnsi="仿宋" w:eastAsia="仿宋" w:cs="仿宋"/>
          <w:color w:val="000000"/>
          <w:sz w:val="32"/>
          <w:szCs w:val="32"/>
          <w:highlight w:val="none"/>
        </w:rPr>
      </w:pPr>
      <w:bookmarkStart w:id="229" w:name="_Toc11529"/>
      <w:bookmarkStart w:id="230" w:name="_Toc145164733"/>
      <w:bookmarkStart w:id="231" w:name="_Toc6292"/>
      <w:bookmarkStart w:id="232" w:name="_Toc30928"/>
      <w:bookmarkStart w:id="233" w:name="_Toc2720"/>
      <w:bookmarkStart w:id="234" w:name="_Toc14741"/>
      <w:bookmarkStart w:id="235" w:name="_Toc22325"/>
      <w:bookmarkStart w:id="236" w:name="_Toc20908"/>
    </w:p>
    <w:p w14:paraId="66B46808">
      <w:pPr>
        <w:pStyle w:val="217"/>
        <w:pageBreakBefore/>
        <w:numPr>
          <w:ilvl w:val="0"/>
          <w:numId w:val="0"/>
        </w:numPr>
        <w:spacing w:line="360" w:lineRule="auto"/>
        <w:jc w:val="center"/>
        <w:outlineLvl w:val="9"/>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lang w:val="en-US" w:eastAsia="zh-CN"/>
        </w:rPr>
        <w:t>五</w:t>
      </w:r>
      <w:r>
        <w:rPr>
          <w:rFonts w:hint="eastAsia" w:ascii="仿宋" w:hAnsi="仿宋" w:eastAsia="仿宋" w:cs="仿宋"/>
          <w:color w:val="000000"/>
          <w:sz w:val="32"/>
          <w:szCs w:val="32"/>
          <w:highlight w:val="none"/>
        </w:rPr>
        <w:t>、拟投入项目人员一览表</w:t>
      </w:r>
      <w:bookmarkEnd w:id="229"/>
      <w:bookmarkEnd w:id="230"/>
      <w:bookmarkEnd w:id="231"/>
      <w:bookmarkEnd w:id="232"/>
      <w:bookmarkEnd w:id="233"/>
      <w:bookmarkEnd w:id="234"/>
      <w:bookmarkEnd w:id="235"/>
      <w:bookmarkEnd w:id="236"/>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47"/>
        <w:gridCol w:w="2048"/>
        <w:gridCol w:w="2193"/>
        <w:gridCol w:w="776"/>
        <w:gridCol w:w="3383"/>
      </w:tblGrid>
      <w:tr w14:paraId="24D43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8" w:hRule="atLeast"/>
          <w:jc w:val="center"/>
        </w:trPr>
        <w:tc>
          <w:tcPr>
            <w:tcW w:w="1147" w:type="dxa"/>
            <w:noWrap w:val="0"/>
            <w:vAlign w:val="center"/>
          </w:tcPr>
          <w:p w14:paraId="6E83C64E">
            <w:pPr>
              <w:spacing w:line="360" w:lineRule="auto"/>
              <w:jc w:val="center"/>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序号</w:t>
            </w:r>
          </w:p>
        </w:tc>
        <w:tc>
          <w:tcPr>
            <w:tcW w:w="2048" w:type="dxa"/>
            <w:noWrap w:val="0"/>
            <w:vAlign w:val="center"/>
          </w:tcPr>
          <w:p w14:paraId="00B885AF">
            <w:pPr>
              <w:spacing w:line="360" w:lineRule="auto"/>
              <w:jc w:val="center"/>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姓名</w:t>
            </w:r>
          </w:p>
        </w:tc>
        <w:tc>
          <w:tcPr>
            <w:tcW w:w="2193" w:type="dxa"/>
            <w:noWrap w:val="0"/>
            <w:vAlign w:val="center"/>
          </w:tcPr>
          <w:p w14:paraId="1967754B">
            <w:pPr>
              <w:spacing w:line="360" w:lineRule="auto"/>
              <w:jc w:val="center"/>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在本项目中担任的职务</w:t>
            </w:r>
          </w:p>
        </w:tc>
        <w:tc>
          <w:tcPr>
            <w:tcW w:w="776" w:type="dxa"/>
            <w:noWrap w:val="0"/>
            <w:vAlign w:val="center"/>
          </w:tcPr>
          <w:p w14:paraId="0D3137F7">
            <w:pPr>
              <w:spacing w:line="360" w:lineRule="auto"/>
              <w:jc w:val="center"/>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职称</w:t>
            </w:r>
          </w:p>
        </w:tc>
        <w:tc>
          <w:tcPr>
            <w:tcW w:w="3383" w:type="dxa"/>
            <w:noWrap w:val="0"/>
            <w:vAlign w:val="center"/>
          </w:tcPr>
          <w:p w14:paraId="6D5B2E2D">
            <w:pPr>
              <w:spacing w:line="360" w:lineRule="auto"/>
              <w:ind w:firstLine="420"/>
              <w:jc w:val="center"/>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身份证号码</w:t>
            </w:r>
          </w:p>
        </w:tc>
      </w:tr>
      <w:tr w14:paraId="4F4B1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4" w:hRule="atLeast"/>
          <w:jc w:val="center"/>
        </w:trPr>
        <w:tc>
          <w:tcPr>
            <w:tcW w:w="1147" w:type="dxa"/>
            <w:vMerge w:val="restart"/>
            <w:noWrap w:val="0"/>
            <w:vAlign w:val="center"/>
          </w:tcPr>
          <w:p w14:paraId="160607C6">
            <w:pPr>
              <w:spacing w:line="360" w:lineRule="auto"/>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1</w:t>
            </w:r>
          </w:p>
        </w:tc>
        <w:tc>
          <w:tcPr>
            <w:tcW w:w="2048" w:type="dxa"/>
            <w:noWrap w:val="0"/>
            <w:vAlign w:val="center"/>
          </w:tcPr>
          <w:p w14:paraId="03F70A5D">
            <w:pPr>
              <w:spacing w:line="360" w:lineRule="auto"/>
              <w:ind w:firstLine="420"/>
              <w:rPr>
                <w:rFonts w:hint="eastAsia" w:ascii="仿宋" w:hAnsi="仿宋" w:eastAsia="仿宋" w:cs="仿宋"/>
                <w:color w:val="000000"/>
                <w:sz w:val="24"/>
                <w:szCs w:val="24"/>
                <w:highlight w:val="none"/>
                <w:lang w:val="zh-CN"/>
              </w:rPr>
            </w:pPr>
          </w:p>
        </w:tc>
        <w:tc>
          <w:tcPr>
            <w:tcW w:w="2193" w:type="dxa"/>
            <w:noWrap w:val="0"/>
            <w:vAlign w:val="center"/>
          </w:tcPr>
          <w:p w14:paraId="14D3D7C4">
            <w:pPr>
              <w:spacing w:line="360" w:lineRule="auto"/>
              <w:ind w:firstLine="420"/>
              <w:rPr>
                <w:rFonts w:hint="eastAsia" w:ascii="仿宋" w:hAnsi="仿宋" w:eastAsia="仿宋" w:cs="仿宋"/>
                <w:color w:val="000000"/>
                <w:sz w:val="24"/>
                <w:szCs w:val="24"/>
                <w:highlight w:val="none"/>
                <w:lang w:val="zh-CN"/>
              </w:rPr>
            </w:pPr>
          </w:p>
        </w:tc>
        <w:tc>
          <w:tcPr>
            <w:tcW w:w="776" w:type="dxa"/>
            <w:noWrap w:val="0"/>
            <w:vAlign w:val="center"/>
          </w:tcPr>
          <w:p w14:paraId="1B0B036A">
            <w:pPr>
              <w:spacing w:line="360" w:lineRule="auto"/>
              <w:ind w:firstLine="420"/>
              <w:rPr>
                <w:rFonts w:hint="eastAsia" w:ascii="仿宋" w:hAnsi="仿宋" w:eastAsia="仿宋" w:cs="仿宋"/>
                <w:color w:val="000000"/>
                <w:sz w:val="24"/>
                <w:szCs w:val="24"/>
                <w:highlight w:val="none"/>
                <w:lang w:val="zh-CN"/>
              </w:rPr>
            </w:pPr>
          </w:p>
        </w:tc>
        <w:tc>
          <w:tcPr>
            <w:tcW w:w="3383" w:type="dxa"/>
            <w:noWrap w:val="0"/>
            <w:vAlign w:val="center"/>
          </w:tcPr>
          <w:p w14:paraId="65C847C5">
            <w:pPr>
              <w:spacing w:line="360" w:lineRule="auto"/>
              <w:ind w:firstLine="420"/>
              <w:rPr>
                <w:rFonts w:hint="eastAsia" w:ascii="仿宋" w:hAnsi="仿宋" w:eastAsia="仿宋" w:cs="仿宋"/>
                <w:color w:val="000000"/>
                <w:sz w:val="24"/>
                <w:szCs w:val="24"/>
                <w:highlight w:val="none"/>
                <w:lang w:val="zh-CN"/>
              </w:rPr>
            </w:pPr>
          </w:p>
        </w:tc>
      </w:tr>
      <w:tr w14:paraId="221721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4" w:hRule="atLeast"/>
          <w:jc w:val="center"/>
        </w:trPr>
        <w:tc>
          <w:tcPr>
            <w:tcW w:w="1147" w:type="dxa"/>
            <w:vMerge w:val="continue"/>
            <w:noWrap w:val="0"/>
            <w:vAlign w:val="center"/>
          </w:tcPr>
          <w:p w14:paraId="3D9A40B1">
            <w:pPr>
              <w:spacing w:line="360" w:lineRule="auto"/>
              <w:ind w:firstLine="420"/>
              <w:jc w:val="center"/>
              <w:rPr>
                <w:rFonts w:hint="eastAsia" w:ascii="仿宋" w:hAnsi="仿宋" w:eastAsia="仿宋" w:cs="仿宋"/>
                <w:color w:val="000000"/>
                <w:sz w:val="24"/>
                <w:szCs w:val="24"/>
                <w:highlight w:val="none"/>
                <w:lang w:val="zh-CN"/>
              </w:rPr>
            </w:pPr>
          </w:p>
        </w:tc>
        <w:tc>
          <w:tcPr>
            <w:tcW w:w="2048" w:type="dxa"/>
            <w:noWrap w:val="0"/>
            <w:vAlign w:val="center"/>
          </w:tcPr>
          <w:p w14:paraId="735AFCB5">
            <w:pPr>
              <w:spacing w:line="360" w:lineRule="auto"/>
              <w:ind w:firstLine="420"/>
              <w:rPr>
                <w:rFonts w:hint="eastAsia" w:ascii="仿宋" w:hAnsi="仿宋" w:eastAsia="仿宋" w:cs="仿宋"/>
                <w:color w:val="000000"/>
                <w:sz w:val="24"/>
                <w:szCs w:val="24"/>
                <w:highlight w:val="none"/>
                <w:lang w:val="zh-CN"/>
              </w:rPr>
            </w:pPr>
          </w:p>
        </w:tc>
        <w:tc>
          <w:tcPr>
            <w:tcW w:w="2193" w:type="dxa"/>
            <w:noWrap w:val="0"/>
            <w:vAlign w:val="center"/>
          </w:tcPr>
          <w:p w14:paraId="265F1E5F">
            <w:pPr>
              <w:spacing w:line="360" w:lineRule="auto"/>
              <w:ind w:firstLine="420"/>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w:t>
            </w:r>
          </w:p>
        </w:tc>
        <w:tc>
          <w:tcPr>
            <w:tcW w:w="776" w:type="dxa"/>
            <w:noWrap w:val="0"/>
            <w:vAlign w:val="center"/>
          </w:tcPr>
          <w:p w14:paraId="3E30FE7A">
            <w:pPr>
              <w:spacing w:line="360" w:lineRule="auto"/>
              <w:ind w:firstLine="420"/>
              <w:rPr>
                <w:rFonts w:hint="eastAsia" w:ascii="仿宋" w:hAnsi="仿宋" w:eastAsia="仿宋" w:cs="仿宋"/>
                <w:color w:val="000000"/>
                <w:sz w:val="24"/>
                <w:szCs w:val="24"/>
                <w:highlight w:val="none"/>
                <w:lang w:val="zh-CN"/>
              </w:rPr>
            </w:pPr>
          </w:p>
        </w:tc>
        <w:tc>
          <w:tcPr>
            <w:tcW w:w="3383" w:type="dxa"/>
            <w:noWrap w:val="0"/>
            <w:vAlign w:val="center"/>
          </w:tcPr>
          <w:p w14:paraId="3A055B9A">
            <w:pPr>
              <w:spacing w:line="360" w:lineRule="auto"/>
              <w:ind w:firstLine="420"/>
              <w:rPr>
                <w:rFonts w:hint="eastAsia" w:ascii="仿宋" w:hAnsi="仿宋" w:eastAsia="仿宋" w:cs="仿宋"/>
                <w:color w:val="000000"/>
                <w:sz w:val="24"/>
                <w:szCs w:val="24"/>
                <w:highlight w:val="none"/>
                <w:lang w:val="zh-CN"/>
              </w:rPr>
            </w:pPr>
          </w:p>
        </w:tc>
      </w:tr>
      <w:tr w14:paraId="1608E3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4" w:hRule="atLeast"/>
          <w:jc w:val="center"/>
        </w:trPr>
        <w:tc>
          <w:tcPr>
            <w:tcW w:w="1147" w:type="dxa"/>
            <w:vMerge w:val="restart"/>
            <w:noWrap w:val="0"/>
            <w:vAlign w:val="center"/>
          </w:tcPr>
          <w:p w14:paraId="1C25711E">
            <w:pPr>
              <w:spacing w:line="360" w:lineRule="auto"/>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2</w:t>
            </w:r>
          </w:p>
        </w:tc>
        <w:tc>
          <w:tcPr>
            <w:tcW w:w="2048" w:type="dxa"/>
            <w:noWrap w:val="0"/>
            <w:vAlign w:val="center"/>
          </w:tcPr>
          <w:p w14:paraId="6FC72069">
            <w:pPr>
              <w:spacing w:line="360" w:lineRule="auto"/>
              <w:ind w:firstLine="420"/>
              <w:rPr>
                <w:rFonts w:hint="eastAsia" w:ascii="仿宋" w:hAnsi="仿宋" w:eastAsia="仿宋" w:cs="仿宋"/>
                <w:color w:val="000000"/>
                <w:sz w:val="24"/>
                <w:szCs w:val="24"/>
                <w:highlight w:val="none"/>
                <w:lang w:val="zh-CN"/>
              </w:rPr>
            </w:pPr>
          </w:p>
        </w:tc>
        <w:tc>
          <w:tcPr>
            <w:tcW w:w="2193" w:type="dxa"/>
            <w:noWrap w:val="0"/>
            <w:vAlign w:val="center"/>
          </w:tcPr>
          <w:p w14:paraId="6D224741">
            <w:pPr>
              <w:spacing w:line="360" w:lineRule="auto"/>
              <w:ind w:firstLine="420"/>
              <w:rPr>
                <w:rFonts w:hint="eastAsia" w:ascii="仿宋" w:hAnsi="仿宋" w:eastAsia="仿宋" w:cs="仿宋"/>
                <w:color w:val="000000"/>
                <w:sz w:val="24"/>
                <w:szCs w:val="24"/>
                <w:highlight w:val="none"/>
                <w:lang w:val="zh-CN"/>
              </w:rPr>
            </w:pPr>
          </w:p>
        </w:tc>
        <w:tc>
          <w:tcPr>
            <w:tcW w:w="776" w:type="dxa"/>
            <w:noWrap w:val="0"/>
            <w:vAlign w:val="center"/>
          </w:tcPr>
          <w:p w14:paraId="221EF3CF">
            <w:pPr>
              <w:spacing w:line="360" w:lineRule="auto"/>
              <w:ind w:firstLine="420"/>
              <w:rPr>
                <w:rFonts w:hint="eastAsia" w:ascii="仿宋" w:hAnsi="仿宋" w:eastAsia="仿宋" w:cs="仿宋"/>
                <w:color w:val="000000"/>
                <w:sz w:val="24"/>
                <w:szCs w:val="24"/>
                <w:highlight w:val="none"/>
                <w:lang w:val="zh-CN"/>
              </w:rPr>
            </w:pPr>
          </w:p>
        </w:tc>
        <w:tc>
          <w:tcPr>
            <w:tcW w:w="3383" w:type="dxa"/>
            <w:noWrap w:val="0"/>
            <w:vAlign w:val="center"/>
          </w:tcPr>
          <w:p w14:paraId="6C35B78C">
            <w:pPr>
              <w:spacing w:line="360" w:lineRule="auto"/>
              <w:ind w:firstLine="420"/>
              <w:rPr>
                <w:rFonts w:hint="eastAsia" w:ascii="仿宋" w:hAnsi="仿宋" w:eastAsia="仿宋" w:cs="仿宋"/>
                <w:color w:val="000000"/>
                <w:sz w:val="24"/>
                <w:szCs w:val="24"/>
                <w:highlight w:val="none"/>
                <w:lang w:val="zh-CN"/>
              </w:rPr>
            </w:pPr>
          </w:p>
        </w:tc>
      </w:tr>
      <w:tr w14:paraId="3F992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4" w:hRule="atLeast"/>
          <w:jc w:val="center"/>
        </w:trPr>
        <w:tc>
          <w:tcPr>
            <w:tcW w:w="1147" w:type="dxa"/>
            <w:vMerge w:val="continue"/>
            <w:noWrap w:val="0"/>
            <w:vAlign w:val="center"/>
          </w:tcPr>
          <w:p w14:paraId="250A2246">
            <w:pPr>
              <w:spacing w:line="360" w:lineRule="auto"/>
              <w:ind w:firstLine="420"/>
              <w:jc w:val="center"/>
              <w:rPr>
                <w:rFonts w:hint="eastAsia" w:ascii="仿宋" w:hAnsi="仿宋" w:eastAsia="仿宋" w:cs="仿宋"/>
                <w:color w:val="000000"/>
                <w:sz w:val="24"/>
                <w:szCs w:val="24"/>
                <w:highlight w:val="none"/>
                <w:lang w:val="zh-CN"/>
              </w:rPr>
            </w:pPr>
          </w:p>
        </w:tc>
        <w:tc>
          <w:tcPr>
            <w:tcW w:w="2048" w:type="dxa"/>
            <w:noWrap w:val="0"/>
            <w:vAlign w:val="center"/>
          </w:tcPr>
          <w:p w14:paraId="1E365D00">
            <w:pPr>
              <w:spacing w:line="360" w:lineRule="auto"/>
              <w:ind w:firstLine="420"/>
              <w:rPr>
                <w:rFonts w:hint="eastAsia" w:ascii="仿宋" w:hAnsi="仿宋" w:eastAsia="仿宋" w:cs="仿宋"/>
                <w:color w:val="000000"/>
                <w:sz w:val="24"/>
                <w:szCs w:val="24"/>
                <w:highlight w:val="none"/>
                <w:lang w:val="zh-CN"/>
              </w:rPr>
            </w:pPr>
          </w:p>
        </w:tc>
        <w:tc>
          <w:tcPr>
            <w:tcW w:w="2193" w:type="dxa"/>
            <w:noWrap w:val="0"/>
            <w:vAlign w:val="center"/>
          </w:tcPr>
          <w:p w14:paraId="5DA2406B">
            <w:pPr>
              <w:spacing w:line="360" w:lineRule="auto"/>
              <w:ind w:firstLine="420"/>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w:t>
            </w:r>
          </w:p>
        </w:tc>
        <w:tc>
          <w:tcPr>
            <w:tcW w:w="776" w:type="dxa"/>
            <w:noWrap w:val="0"/>
            <w:vAlign w:val="center"/>
          </w:tcPr>
          <w:p w14:paraId="798C748C">
            <w:pPr>
              <w:spacing w:line="360" w:lineRule="auto"/>
              <w:ind w:firstLine="420"/>
              <w:rPr>
                <w:rFonts w:hint="eastAsia" w:ascii="仿宋" w:hAnsi="仿宋" w:eastAsia="仿宋" w:cs="仿宋"/>
                <w:color w:val="000000"/>
                <w:sz w:val="24"/>
                <w:szCs w:val="24"/>
                <w:highlight w:val="none"/>
                <w:lang w:val="zh-CN"/>
              </w:rPr>
            </w:pPr>
          </w:p>
        </w:tc>
        <w:tc>
          <w:tcPr>
            <w:tcW w:w="3383" w:type="dxa"/>
            <w:noWrap w:val="0"/>
            <w:vAlign w:val="center"/>
          </w:tcPr>
          <w:p w14:paraId="31CEB9B3">
            <w:pPr>
              <w:spacing w:line="360" w:lineRule="auto"/>
              <w:ind w:firstLine="420"/>
              <w:rPr>
                <w:rFonts w:hint="eastAsia" w:ascii="仿宋" w:hAnsi="仿宋" w:eastAsia="仿宋" w:cs="仿宋"/>
                <w:color w:val="000000"/>
                <w:sz w:val="24"/>
                <w:szCs w:val="24"/>
                <w:highlight w:val="none"/>
                <w:lang w:val="zh-CN"/>
              </w:rPr>
            </w:pPr>
          </w:p>
        </w:tc>
      </w:tr>
      <w:tr w14:paraId="1E578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4" w:hRule="atLeast"/>
          <w:jc w:val="center"/>
        </w:trPr>
        <w:tc>
          <w:tcPr>
            <w:tcW w:w="1147" w:type="dxa"/>
            <w:vMerge w:val="restart"/>
            <w:noWrap w:val="0"/>
            <w:vAlign w:val="center"/>
          </w:tcPr>
          <w:p w14:paraId="6FE3BDBC">
            <w:pPr>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w:t>
            </w:r>
          </w:p>
        </w:tc>
        <w:tc>
          <w:tcPr>
            <w:tcW w:w="2048" w:type="dxa"/>
            <w:noWrap w:val="0"/>
            <w:vAlign w:val="center"/>
          </w:tcPr>
          <w:p w14:paraId="0DB004AF">
            <w:pPr>
              <w:spacing w:line="360" w:lineRule="auto"/>
              <w:ind w:firstLine="420"/>
              <w:rPr>
                <w:rFonts w:hint="eastAsia" w:ascii="仿宋" w:hAnsi="仿宋" w:eastAsia="仿宋" w:cs="仿宋"/>
                <w:color w:val="000000"/>
                <w:sz w:val="24"/>
                <w:szCs w:val="24"/>
                <w:highlight w:val="none"/>
                <w:lang w:val="zh-CN"/>
              </w:rPr>
            </w:pPr>
          </w:p>
        </w:tc>
        <w:tc>
          <w:tcPr>
            <w:tcW w:w="2193" w:type="dxa"/>
            <w:noWrap w:val="0"/>
            <w:vAlign w:val="center"/>
          </w:tcPr>
          <w:p w14:paraId="2FD5616F">
            <w:pPr>
              <w:spacing w:line="360" w:lineRule="auto"/>
              <w:ind w:firstLine="420"/>
              <w:rPr>
                <w:rFonts w:hint="eastAsia" w:ascii="仿宋" w:hAnsi="仿宋" w:eastAsia="仿宋" w:cs="仿宋"/>
                <w:color w:val="000000"/>
                <w:sz w:val="24"/>
                <w:szCs w:val="24"/>
                <w:highlight w:val="none"/>
                <w:lang w:val="zh-CN"/>
              </w:rPr>
            </w:pPr>
          </w:p>
        </w:tc>
        <w:tc>
          <w:tcPr>
            <w:tcW w:w="776" w:type="dxa"/>
            <w:noWrap w:val="0"/>
            <w:vAlign w:val="center"/>
          </w:tcPr>
          <w:p w14:paraId="6E9888CF">
            <w:pPr>
              <w:spacing w:line="360" w:lineRule="auto"/>
              <w:ind w:firstLine="420"/>
              <w:rPr>
                <w:rFonts w:hint="eastAsia" w:ascii="仿宋" w:hAnsi="仿宋" w:eastAsia="仿宋" w:cs="仿宋"/>
                <w:color w:val="000000"/>
                <w:sz w:val="24"/>
                <w:szCs w:val="24"/>
                <w:highlight w:val="none"/>
                <w:lang w:val="zh-CN"/>
              </w:rPr>
            </w:pPr>
          </w:p>
        </w:tc>
        <w:tc>
          <w:tcPr>
            <w:tcW w:w="3383" w:type="dxa"/>
            <w:noWrap w:val="0"/>
            <w:vAlign w:val="center"/>
          </w:tcPr>
          <w:p w14:paraId="34BB983E">
            <w:pPr>
              <w:spacing w:line="360" w:lineRule="auto"/>
              <w:ind w:firstLine="420"/>
              <w:rPr>
                <w:rFonts w:hint="eastAsia" w:ascii="仿宋" w:hAnsi="仿宋" w:eastAsia="仿宋" w:cs="仿宋"/>
                <w:color w:val="000000"/>
                <w:sz w:val="24"/>
                <w:szCs w:val="24"/>
                <w:highlight w:val="none"/>
                <w:lang w:val="zh-CN"/>
              </w:rPr>
            </w:pPr>
          </w:p>
        </w:tc>
      </w:tr>
      <w:tr w14:paraId="4BC6ED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4" w:hRule="atLeast"/>
          <w:jc w:val="center"/>
        </w:trPr>
        <w:tc>
          <w:tcPr>
            <w:tcW w:w="1147" w:type="dxa"/>
            <w:vMerge w:val="continue"/>
            <w:noWrap w:val="0"/>
            <w:vAlign w:val="center"/>
          </w:tcPr>
          <w:p w14:paraId="00CE39B3">
            <w:pPr>
              <w:spacing w:line="360" w:lineRule="auto"/>
              <w:ind w:firstLine="420"/>
              <w:jc w:val="center"/>
              <w:rPr>
                <w:rFonts w:hint="eastAsia" w:ascii="仿宋" w:hAnsi="仿宋" w:eastAsia="仿宋" w:cs="仿宋"/>
                <w:color w:val="000000"/>
                <w:sz w:val="24"/>
                <w:szCs w:val="24"/>
                <w:highlight w:val="none"/>
                <w:lang w:val="zh-CN"/>
              </w:rPr>
            </w:pPr>
          </w:p>
        </w:tc>
        <w:tc>
          <w:tcPr>
            <w:tcW w:w="2048" w:type="dxa"/>
            <w:noWrap w:val="0"/>
            <w:vAlign w:val="center"/>
          </w:tcPr>
          <w:p w14:paraId="18C41CA0">
            <w:pPr>
              <w:spacing w:line="360" w:lineRule="auto"/>
              <w:ind w:firstLine="420"/>
              <w:rPr>
                <w:rFonts w:hint="eastAsia" w:ascii="仿宋" w:hAnsi="仿宋" w:eastAsia="仿宋" w:cs="仿宋"/>
                <w:color w:val="000000"/>
                <w:sz w:val="24"/>
                <w:szCs w:val="24"/>
                <w:highlight w:val="none"/>
                <w:lang w:val="zh-CN"/>
              </w:rPr>
            </w:pPr>
          </w:p>
        </w:tc>
        <w:tc>
          <w:tcPr>
            <w:tcW w:w="2193" w:type="dxa"/>
            <w:noWrap w:val="0"/>
            <w:vAlign w:val="center"/>
          </w:tcPr>
          <w:p w14:paraId="69DA4FBB">
            <w:pPr>
              <w:spacing w:line="360" w:lineRule="auto"/>
              <w:ind w:firstLine="420"/>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w:t>
            </w:r>
          </w:p>
        </w:tc>
        <w:tc>
          <w:tcPr>
            <w:tcW w:w="776" w:type="dxa"/>
            <w:noWrap w:val="0"/>
            <w:vAlign w:val="center"/>
          </w:tcPr>
          <w:p w14:paraId="0B91FA5D">
            <w:pPr>
              <w:spacing w:line="360" w:lineRule="auto"/>
              <w:ind w:firstLine="420"/>
              <w:rPr>
                <w:rFonts w:hint="eastAsia" w:ascii="仿宋" w:hAnsi="仿宋" w:eastAsia="仿宋" w:cs="仿宋"/>
                <w:color w:val="000000"/>
                <w:sz w:val="24"/>
                <w:szCs w:val="24"/>
                <w:highlight w:val="none"/>
                <w:lang w:val="zh-CN"/>
              </w:rPr>
            </w:pPr>
          </w:p>
        </w:tc>
        <w:tc>
          <w:tcPr>
            <w:tcW w:w="3383" w:type="dxa"/>
            <w:noWrap w:val="0"/>
            <w:vAlign w:val="center"/>
          </w:tcPr>
          <w:p w14:paraId="4274E0DB">
            <w:pPr>
              <w:spacing w:line="360" w:lineRule="auto"/>
              <w:ind w:firstLine="420"/>
              <w:rPr>
                <w:rFonts w:hint="eastAsia" w:ascii="仿宋" w:hAnsi="仿宋" w:eastAsia="仿宋" w:cs="仿宋"/>
                <w:color w:val="000000"/>
                <w:sz w:val="24"/>
                <w:szCs w:val="24"/>
                <w:highlight w:val="none"/>
                <w:lang w:val="zh-CN"/>
              </w:rPr>
            </w:pPr>
          </w:p>
        </w:tc>
      </w:tr>
    </w:tbl>
    <w:p w14:paraId="0786F945">
      <w:pPr>
        <w:tabs>
          <w:tab w:val="left" w:pos="142"/>
        </w:tabs>
        <w:spacing w:line="360" w:lineRule="auto"/>
        <w:ind w:firstLine="480"/>
        <w:jc w:val="left"/>
        <w:rPr>
          <w:rFonts w:hint="eastAsia" w:ascii="仿宋" w:hAnsi="仿宋" w:eastAsia="仿宋" w:cs="仿宋"/>
          <w:color w:val="000000"/>
          <w:sz w:val="24"/>
          <w:szCs w:val="24"/>
          <w:highlight w:val="none"/>
        </w:rPr>
      </w:pPr>
    </w:p>
    <w:p w14:paraId="3DEE55EE">
      <w:pPr>
        <w:tabs>
          <w:tab w:val="left" w:pos="142"/>
        </w:tabs>
        <w:spacing w:line="360" w:lineRule="auto"/>
        <w:ind w:firstLine="48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供应商单位全称（公章):</w:t>
      </w:r>
    </w:p>
    <w:p w14:paraId="3ED7D42A">
      <w:pPr>
        <w:tabs>
          <w:tab w:val="left" w:pos="142"/>
        </w:tabs>
        <w:spacing w:line="360" w:lineRule="auto"/>
        <w:ind w:firstLine="480"/>
        <w:jc w:val="left"/>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rPr>
        <w:t>法定代表人或者授权代表（签字或盖章）：</w:t>
      </w:r>
      <w:r>
        <w:rPr>
          <w:rFonts w:hint="eastAsia" w:ascii="仿宋" w:hAnsi="仿宋" w:eastAsia="仿宋" w:cs="仿宋"/>
          <w:color w:val="000000"/>
          <w:sz w:val="24"/>
          <w:szCs w:val="24"/>
          <w:highlight w:val="none"/>
        </w:rPr>
        <w:t xml:space="preserve">      </w:t>
      </w:r>
    </w:p>
    <w:p w14:paraId="38952763">
      <w:pPr>
        <w:tabs>
          <w:tab w:val="left" w:pos="142"/>
        </w:tabs>
        <w:spacing w:line="360" w:lineRule="auto"/>
        <w:ind w:firstLine="480"/>
        <w:jc w:val="center"/>
        <w:rPr>
          <w:rFonts w:hint="eastAsia" w:ascii="仿宋" w:hAnsi="仿宋" w:eastAsia="仿宋" w:cs="仿宋"/>
          <w:color w:val="000000"/>
          <w:sz w:val="32"/>
          <w:szCs w:val="32"/>
          <w:highlight w:val="none"/>
        </w:rPr>
        <w:sectPr>
          <w:headerReference r:id="rId14" w:type="default"/>
          <w:footerReference r:id="rId15" w:type="default"/>
          <w:pgSz w:w="11906" w:h="16838"/>
          <w:pgMar w:top="1440" w:right="856" w:bottom="1440" w:left="1140" w:header="851" w:footer="992" w:gutter="0"/>
          <w:cols w:space="1701" w:num="1"/>
          <w:docGrid w:linePitch="360" w:charSpace="0"/>
        </w:sectPr>
      </w:pPr>
      <w:r>
        <w:rPr>
          <w:rFonts w:hint="eastAsia" w:ascii="仿宋" w:hAnsi="仿宋" w:eastAsia="仿宋" w:cs="仿宋"/>
          <w:color w:val="000000"/>
          <w:sz w:val="24"/>
          <w:szCs w:val="24"/>
          <w:highlight w:val="none"/>
        </w:rPr>
        <w:t>日期：</w:t>
      </w:r>
      <w:r>
        <w:rPr>
          <w:rFonts w:hint="eastAsia" w:ascii="仿宋" w:hAnsi="仿宋" w:eastAsia="仿宋" w:cs="仿宋"/>
          <w:b/>
          <w:bCs/>
          <w:color w:val="000000"/>
          <w:sz w:val="32"/>
          <w:szCs w:val="32"/>
          <w:highlight w:val="none"/>
          <w:lang w:val="en-US" w:eastAsia="zh-CN" w:bidi="ar-SA"/>
        </w:rPr>
        <w:t>六、实施方案、培训方案、售后服务方案、整体方案设计</w:t>
      </w:r>
    </w:p>
    <w:p w14:paraId="0C463F14">
      <w:pPr>
        <w:pStyle w:val="217"/>
        <w:pageBreakBefore/>
        <w:numPr>
          <w:ilvl w:val="0"/>
          <w:numId w:val="0"/>
        </w:numPr>
        <w:spacing w:line="360" w:lineRule="auto"/>
        <w:jc w:val="center"/>
        <w:outlineLvl w:val="9"/>
        <w:rPr>
          <w:rFonts w:hint="eastAsia" w:ascii="仿宋" w:hAnsi="仿宋" w:eastAsia="仿宋" w:cs="仿宋"/>
          <w:color w:val="000000"/>
          <w:sz w:val="32"/>
          <w:szCs w:val="32"/>
          <w:highlight w:val="none"/>
        </w:rPr>
      </w:pPr>
      <w:bookmarkStart w:id="237" w:name="_Toc11377"/>
      <w:bookmarkStart w:id="238" w:name="_Toc27795"/>
      <w:bookmarkStart w:id="239" w:name="_Toc25170491"/>
      <w:bookmarkStart w:id="240" w:name="_Toc3708"/>
      <w:bookmarkStart w:id="241" w:name="_Toc5651"/>
      <w:bookmarkStart w:id="242" w:name="_Toc16586"/>
      <w:bookmarkStart w:id="243" w:name="_Toc145164734"/>
      <w:bookmarkStart w:id="244" w:name="_Toc4990"/>
      <w:bookmarkStart w:id="245" w:name="_Toc10079"/>
      <w:bookmarkStart w:id="246" w:name="_Toc1700"/>
      <w:bookmarkStart w:id="247" w:name="_Toc4588"/>
      <w:r>
        <w:rPr>
          <w:rFonts w:hint="eastAsia" w:ascii="仿宋" w:hAnsi="仿宋" w:eastAsia="仿宋" w:cs="仿宋"/>
          <w:color w:val="000000"/>
          <w:sz w:val="32"/>
          <w:szCs w:val="32"/>
          <w:highlight w:val="none"/>
          <w:lang w:val="en-US" w:eastAsia="zh-CN"/>
        </w:rPr>
        <w:t>七</w:t>
      </w:r>
      <w:r>
        <w:rPr>
          <w:rFonts w:hint="eastAsia" w:ascii="仿宋" w:hAnsi="仿宋" w:eastAsia="仿宋" w:cs="仿宋"/>
          <w:color w:val="000000"/>
          <w:sz w:val="32"/>
          <w:szCs w:val="32"/>
          <w:highlight w:val="none"/>
        </w:rPr>
        <w:t>、</w:t>
      </w:r>
      <w:bookmarkEnd w:id="214"/>
      <w:bookmarkEnd w:id="215"/>
      <w:bookmarkEnd w:id="237"/>
      <w:bookmarkEnd w:id="238"/>
      <w:bookmarkEnd w:id="239"/>
      <w:bookmarkStart w:id="248" w:name="_Toc5613"/>
      <w:bookmarkStart w:id="249" w:name="_Toc818"/>
      <w:bookmarkStart w:id="250" w:name="_Toc3621"/>
      <w:bookmarkStart w:id="251" w:name="_Toc12366"/>
      <w:r>
        <w:rPr>
          <w:rFonts w:hint="eastAsia" w:ascii="仿宋" w:hAnsi="仿宋" w:eastAsia="仿宋" w:cs="仿宋"/>
          <w:color w:val="000000"/>
          <w:sz w:val="32"/>
          <w:szCs w:val="32"/>
          <w:highlight w:val="none"/>
        </w:rPr>
        <w:t>相关附表格式</w:t>
      </w:r>
      <w:bookmarkEnd w:id="240"/>
      <w:bookmarkEnd w:id="241"/>
      <w:bookmarkEnd w:id="242"/>
      <w:bookmarkEnd w:id="243"/>
      <w:bookmarkEnd w:id="244"/>
      <w:bookmarkEnd w:id="245"/>
      <w:bookmarkEnd w:id="246"/>
      <w:bookmarkEnd w:id="247"/>
      <w:bookmarkEnd w:id="248"/>
      <w:bookmarkEnd w:id="249"/>
      <w:bookmarkEnd w:id="250"/>
      <w:bookmarkEnd w:id="251"/>
    </w:p>
    <w:p w14:paraId="70024FFD">
      <w:pPr>
        <w:numPr>
          <w:ilvl w:val="1"/>
          <w:numId w:val="0"/>
        </w:numPr>
        <w:spacing w:line="360" w:lineRule="auto"/>
        <w:jc w:val="center"/>
        <w:rPr>
          <w:rFonts w:hint="eastAsia" w:ascii="仿宋" w:hAnsi="仿宋" w:eastAsia="仿宋" w:cs="仿宋"/>
          <w:b/>
          <w:bCs/>
          <w:color w:val="000000"/>
          <w:sz w:val="28"/>
          <w:szCs w:val="28"/>
          <w:highlight w:val="none"/>
        </w:rPr>
      </w:pPr>
      <w:bookmarkStart w:id="252" w:name="_Toc30587"/>
      <w:bookmarkStart w:id="253" w:name="_Toc7059"/>
      <w:bookmarkStart w:id="254" w:name="_Toc5022"/>
      <w:bookmarkStart w:id="255" w:name="_Toc4712"/>
      <w:bookmarkStart w:id="256" w:name="_Toc17150"/>
      <w:bookmarkStart w:id="257" w:name="_Toc10124"/>
      <w:bookmarkStart w:id="258" w:name="_Toc11246"/>
      <w:bookmarkStart w:id="259" w:name="_Toc9521"/>
      <w:bookmarkStart w:id="260" w:name="_Toc15181"/>
      <w:bookmarkStart w:id="261" w:name="_Toc13645"/>
      <w:bookmarkStart w:id="262" w:name="_Toc9284"/>
      <w:bookmarkStart w:id="263" w:name="_Toc25170492"/>
      <w:bookmarkStart w:id="264" w:name="_Toc22295"/>
      <w:bookmarkStart w:id="265" w:name="_Toc28253"/>
      <w:bookmarkStart w:id="266" w:name="_Toc9701"/>
      <w:r>
        <w:rPr>
          <w:rFonts w:hint="eastAsia" w:ascii="仿宋" w:hAnsi="仿宋" w:eastAsia="仿宋" w:cs="仿宋"/>
          <w:b/>
          <w:bCs/>
          <w:color w:val="000000"/>
          <w:sz w:val="28"/>
          <w:szCs w:val="28"/>
          <w:highlight w:val="none"/>
        </w:rPr>
        <w:t>附 件1: 法人授权委托书</w:t>
      </w:r>
      <w:bookmarkEnd w:id="252"/>
      <w:bookmarkEnd w:id="253"/>
      <w:bookmarkEnd w:id="254"/>
      <w:bookmarkEnd w:id="255"/>
      <w:bookmarkEnd w:id="256"/>
    </w:p>
    <w:p w14:paraId="3A73DF8D">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江苏省招标中心有限公司</w:t>
      </w:r>
      <w:r>
        <w:rPr>
          <w:rFonts w:hint="eastAsia" w:ascii="仿宋" w:hAnsi="仿宋" w:eastAsia="仿宋" w:cs="仿宋"/>
          <w:color w:val="000000"/>
          <w:sz w:val="24"/>
          <w:szCs w:val="24"/>
          <w:highlight w:val="none"/>
        </w:rPr>
        <w:t>：</w:t>
      </w:r>
    </w:p>
    <w:p w14:paraId="3C75709A">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本授权书宣告：</w:t>
      </w:r>
    </w:p>
    <w:p w14:paraId="2605B1EE">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委托单位：</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地    址：</w:t>
      </w:r>
      <w:r>
        <w:rPr>
          <w:rFonts w:hint="eastAsia" w:ascii="仿宋" w:hAnsi="仿宋" w:eastAsia="仿宋" w:cs="仿宋"/>
          <w:color w:val="000000"/>
          <w:sz w:val="24"/>
          <w:szCs w:val="24"/>
          <w:highlight w:val="none"/>
          <w:u w:val="single"/>
        </w:rPr>
        <w:t xml:space="preserve">                       </w:t>
      </w:r>
    </w:p>
    <w:p w14:paraId="16425BED">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法定代表人：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受托人：</w:t>
      </w:r>
      <w:r>
        <w:rPr>
          <w:rFonts w:hint="eastAsia" w:ascii="仿宋" w:hAnsi="仿宋" w:eastAsia="仿宋" w:cs="仿宋"/>
          <w:color w:val="000000"/>
          <w:sz w:val="24"/>
          <w:szCs w:val="24"/>
          <w:highlight w:val="none"/>
          <w:u w:val="single"/>
        </w:rPr>
        <w:t xml:space="preserve">                         </w:t>
      </w:r>
    </w:p>
    <w:p w14:paraId="50F520E4">
      <w:pPr>
        <w:spacing w:line="360" w:lineRule="auto"/>
        <w:ind w:firstLine="24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受托人  出生日期：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日</w:t>
      </w:r>
    </w:p>
    <w:p w14:paraId="21C2DAE6">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所在单位：</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职务：</w:t>
      </w:r>
      <w:r>
        <w:rPr>
          <w:rFonts w:hint="eastAsia" w:ascii="仿宋" w:hAnsi="仿宋" w:eastAsia="仿宋" w:cs="仿宋"/>
          <w:color w:val="000000"/>
          <w:sz w:val="24"/>
          <w:szCs w:val="24"/>
          <w:highlight w:val="none"/>
          <w:u w:val="single"/>
        </w:rPr>
        <w:t xml:space="preserve">                         </w:t>
      </w:r>
    </w:p>
    <w:p w14:paraId="78950860">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身 份 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联系方式: </w:t>
      </w:r>
      <w:r>
        <w:rPr>
          <w:rFonts w:hint="eastAsia" w:ascii="仿宋" w:hAnsi="仿宋" w:eastAsia="仿宋" w:cs="仿宋"/>
          <w:color w:val="000000"/>
          <w:sz w:val="24"/>
          <w:szCs w:val="24"/>
          <w:highlight w:val="none"/>
          <w:u w:val="single"/>
        </w:rPr>
        <w:t xml:space="preserve">                     </w:t>
      </w:r>
    </w:p>
    <w:p w14:paraId="51361F56">
      <w:pPr>
        <w:spacing w:line="360" w:lineRule="auto"/>
        <w:rPr>
          <w:rFonts w:hint="eastAsia" w:ascii="仿宋" w:hAnsi="仿宋" w:eastAsia="仿宋" w:cs="仿宋"/>
          <w:color w:val="000000"/>
          <w:sz w:val="24"/>
          <w:szCs w:val="24"/>
          <w:highlight w:val="none"/>
        </w:rPr>
      </w:pPr>
    </w:p>
    <w:p w14:paraId="4672B7CD">
      <w:pPr>
        <w:spacing w:line="360" w:lineRule="auto"/>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兹委托受托人合法地代表我单位参加</w:t>
      </w:r>
      <w:r>
        <w:rPr>
          <w:rFonts w:hint="eastAsia" w:ascii="仿宋" w:hAnsi="仿宋" w:eastAsia="仿宋" w:cs="仿宋"/>
          <w:color w:val="000000"/>
          <w:sz w:val="24"/>
          <w:szCs w:val="24"/>
          <w:highlight w:val="none"/>
          <w:lang w:eastAsia="zh-CN"/>
        </w:rPr>
        <w:t>江苏省招标中心有限公司</w:t>
      </w:r>
      <w:r>
        <w:rPr>
          <w:rFonts w:hint="eastAsia" w:ascii="仿宋" w:hAnsi="仿宋" w:eastAsia="仿宋" w:cs="仿宋"/>
          <w:color w:val="000000"/>
          <w:sz w:val="24"/>
          <w:szCs w:val="24"/>
          <w:highlight w:val="none"/>
        </w:rPr>
        <w:t>组织的（</w:t>
      </w:r>
      <w:r>
        <w:rPr>
          <w:rFonts w:hint="eastAsia" w:ascii="仿宋" w:hAnsi="仿宋" w:eastAsia="仿宋" w:cs="仿宋"/>
          <w:color w:val="000000"/>
          <w:sz w:val="24"/>
          <w:szCs w:val="24"/>
          <w:highlight w:val="none"/>
          <w:lang w:val="en-US" w:eastAsia="zh-CN"/>
        </w:rPr>
        <w:t>项目</w:t>
      </w:r>
      <w:r>
        <w:rPr>
          <w:rFonts w:hint="eastAsia" w:ascii="仿宋" w:hAnsi="仿宋" w:eastAsia="仿宋" w:cs="仿宋"/>
          <w:color w:val="000000"/>
          <w:sz w:val="24"/>
          <w:szCs w:val="24"/>
          <w:highlight w:val="none"/>
        </w:rPr>
        <w:t>编号为：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）项目名称：</w:t>
      </w:r>
      <w:r>
        <w:rPr>
          <w:rFonts w:hint="eastAsia" w:ascii="仿宋" w:hAnsi="仿宋" w:eastAsia="仿宋" w:cs="仿宋"/>
          <w:color w:val="000000"/>
          <w:sz w:val="24"/>
          <w:szCs w:val="24"/>
          <w:highlight w:val="none"/>
          <w:lang w:eastAsia="zh-CN"/>
        </w:rPr>
        <w:t>江苏省司法厅委托项目</w:t>
      </w:r>
      <w:r>
        <w:rPr>
          <w:rFonts w:hint="eastAsia" w:ascii="仿宋" w:hAnsi="仿宋" w:eastAsia="仿宋" w:cs="仿宋"/>
          <w:color w:val="000000"/>
          <w:sz w:val="24"/>
          <w:szCs w:val="24"/>
          <w:highlight w:val="none"/>
        </w:rPr>
        <w:t>的采购活动，受托人有权在该磋商活动中，以我单位的名义签署磋商函和磋商文件，与采购代理机构协商、澄清、解释，质疑，签订合同书并执行一切与此有关的事项。</w:t>
      </w:r>
    </w:p>
    <w:p w14:paraId="6A3E6504">
      <w:pPr>
        <w:spacing w:line="360" w:lineRule="auto"/>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受托人在办理上述事宜过程中以其自己的名义所签署的所有文件我均予以承认。受托人无转委托权。</w:t>
      </w:r>
    </w:p>
    <w:p w14:paraId="628C051E">
      <w:pPr>
        <w:spacing w:line="360" w:lineRule="auto"/>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委托期限：至上述事宜处理完毕止。</w:t>
      </w:r>
    </w:p>
    <w:p w14:paraId="4277E5EE">
      <w:pPr>
        <w:spacing w:line="360" w:lineRule="auto"/>
        <w:jc w:val="left"/>
        <w:rPr>
          <w:rFonts w:hint="eastAsia" w:ascii="仿宋" w:hAnsi="仿宋" w:eastAsia="仿宋" w:cs="仿宋"/>
          <w:color w:val="000000"/>
          <w:sz w:val="24"/>
          <w:szCs w:val="24"/>
          <w:highlight w:val="none"/>
        </w:rPr>
      </w:pPr>
    </w:p>
    <w:p w14:paraId="5C799B52">
      <w:pPr>
        <w:spacing w:line="360" w:lineRule="auto"/>
        <w:jc w:val="righ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委托单位   （公章）：               </w:t>
      </w:r>
    </w:p>
    <w:p w14:paraId="5465323B">
      <w:pPr>
        <w:spacing w:line="360" w:lineRule="auto"/>
        <w:ind w:left="4080" w:hanging="4080"/>
        <w:jc w:val="righ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highlight w:val="none"/>
        </w:rPr>
        <w:t>法定代表人（签字或盖章）：</w:t>
      </w:r>
      <w:r>
        <w:rPr>
          <w:rFonts w:hint="eastAsia" w:ascii="仿宋" w:hAnsi="仿宋" w:eastAsia="仿宋" w:cs="仿宋"/>
          <w:color w:val="000000"/>
          <w:sz w:val="24"/>
          <w:szCs w:val="24"/>
          <w:highlight w:val="none"/>
        </w:rPr>
        <w:t xml:space="preserve">          </w:t>
      </w:r>
    </w:p>
    <w:p w14:paraId="57725487">
      <w:pPr>
        <w:spacing w:line="360" w:lineRule="auto"/>
        <w:ind w:left="4080" w:hanging="4080"/>
        <w:jc w:val="right"/>
        <w:rPr>
          <w:rFonts w:hint="eastAsia" w:ascii="仿宋" w:hAnsi="仿宋" w:eastAsia="仿宋" w:cs="仿宋"/>
          <w:color w:val="000000"/>
          <w:sz w:val="28"/>
          <w:szCs w:val="28"/>
          <w:highlight w:val="none"/>
        </w:rPr>
      </w:pPr>
      <w:r>
        <w:rPr>
          <w:rFonts w:hint="eastAsia" w:ascii="仿宋" w:hAnsi="仿宋" w:eastAsia="仿宋" w:cs="仿宋"/>
          <w:color w:val="000000"/>
          <w:sz w:val="24"/>
          <w:szCs w:val="24"/>
          <w:highlight w:val="none"/>
        </w:rPr>
        <w:t>年  月  日</w:t>
      </w:r>
    </w:p>
    <w:p w14:paraId="1960ED51">
      <w:pPr>
        <w:spacing w:line="0" w:lineRule="atLeast"/>
        <w:rPr>
          <w:rFonts w:hint="eastAsia" w:ascii="仿宋" w:hAnsi="仿宋" w:eastAsia="仿宋" w:cs="仿宋"/>
          <w:color w:val="000000"/>
          <w:sz w:val="24"/>
          <w:szCs w:val="24"/>
          <w:highlight w:val="none"/>
        </w:rPr>
      </w:pPr>
    </w:p>
    <w:p w14:paraId="061841BC">
      <w:pP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备注：</w:t>
      </w:r>
    </w:p>
    <w:p w14:paraId="024A4063">
      <w:pP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①供应商授权代表须在磋商截止时间前持授权书原件及授权代表身份证件办理签名报到。（磋商文件中须附授权代表及法人的身份证复印件）</w:t>
      </w:r>
    </w:p>
    <w:p w14:paraId="545B13E7">
      <w:pP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②非授权代表办理上述事宜，采购人及代理机构将拒绝。</w:t>
      </w:r>
    </w:p>
    <w:p w14:paraId="65F19870">
      <w:pP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③供应商法定代表人直接参加磋商的，无须提供法人授权委托书，但须持本人身份证件及营业执照复印件办理相关手续。</w:t>
      </w:r>
    </w:p>
    <w:p w14:paraId="48079F02">
      <w:pPr>
        <w:spacing w:line="360" w:lineRule="auto"/>
        <w:rPr>
          <w:rFonts w:hint="eastAsia" w:ascii="仿宋" w:hAnsi="仿宋" w:eastAsia="仿宋" w:cs="仿宋"/>
          <w:b/>
          <w:bCs/>
          <w:color w:val="000000"/>
          <w:sz w:val="28"/>
          <w:szCs w:val="28"/>
          <w:highlight w:val="none"/>
        </w:rPr>
      </w:pPr>
      <w:bookmarkStart w:id="267" w:name="_Toc30644"/>
      <w:r>
        <w:rPr>
          <w:rFonts w:hint="eastAsia" w:ascii="仿宋" w:hAnsi="仿宋" w:eastAsia="仿宋" w:cs="仿宋"/>
          <w:b/>
          <w:bCs/>
          <w:color w:val="000000"/>
          <w:sz w:val="28"/>
          <w:szCs w:val="28"/>
          <w:highlight w:val="none"/>
        </w:rPr>
        <w:br w:type="page" w:clear="all"/>
      </w:r>
      <w:bookmarkEnd w:id="267"/>
    </w:p>
    <w:p w14:paraId="6BC660EF">
      <w:pPr>
        <w:numPr>
          <w:ilvl w:val="1"/>
          <w:numId w:val="0"/>
        </w:numPr>
        <w:spacing w:line="360" w:lineRule="auto"/>
        <w:jc w:val="center"/>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附 件2: 具备履行合同所必需的设备和专业技术能力的书面声明</w:t>
      </w:r>
      <w:bookmarkEnd w:id="257"/>
      <w:bookmarkEnd w:id="258"/>
      <w:bookmarkEnd w:id="259"/>
      <w:bookmarkEnd w:id="260"/>
      <w:bookmarkEnd w:id="261"/>
      <w:bookmarkEnd w:id="262"/>
      <w:bookmarkEnd w:id="263"/>
      <w:bookmarkEnd w:id="264"/>
      <w:bookmarkEnd w:id="265"/>
    </w:p>
    <w:bookmarkEnd w:id="266"/>
    <w:p w14:paraId="1A489AE9">
      <w:pPr>
        <w:spacing w:line="360" w:lineRule="auto"/>
        <w:rPr>
          <w:rFonts w:hint="eastAsia" w:ascii="仿宋" w:hAnsi="仿宋" w:eastAsia="仿宋" w:cs="仿宋"/>
          <w:color w:val="000000"/>
          <w:sz w:val="24"/>
          <w:szCs w:val="24"/>
          <w:highlight w:val="none"/>
        </w:rPr>
      </w:pPr>
    </w:p>
    <w:p w14:paraId="12E65822">
      <w:pPr>
        <w:spacing w:line="360" w:lineRule="auto"/>
        <w:ind w:firstLine="49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我公司郑重声明：我公司具备履行本项采购合同所必需的设备和专业技术能力，为履行本项采购合同我公司具备如下主要设备和主要专业技术能力：</w:t>
      </w:r>
    </w:p>
    <w:p w14:paraId="33093C9D">
      <w:pPr>
        <w:spacing w:line="360" w:lineRule="auto"/>
        <w:ind w:firstLine="49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主要设备有：  。</w:t>
      </w:r>
    </w:p>
    <w:p w14:paraId="24D87437">
      <w:pPr>
        <w:spacing w:line="360" w:lineRule="auto"/>
        <w:ind w:firstLine="49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主要专业技术能力有：   。</w:t>
      </w:r>
    </w:p>
    <w:p w14:paraId="637397F8">
      <w:pPr>
        <w:spacing w:line="360" w:lineRule="auto"/>
        <w:rPr>
          <w:rFonts w:hint="eastAsia" w:ascii="仿宋" w:hAnsi="仿宋" w:eastAsia="仿宋" w:cs="仿宋"/>
          <w:color w:val="000000"/>
          <w:sz w:val="24"/>
          <w:szCs w:val="24"/>
          <w:highlight w:val="none"/>
        </w:rPr>
      </w:pPr>
    </w:p>
    <w:p w14:paraId="26EEFB90">
      <w:pPr>
        <w:pStyle w:val="191"/>
        <w:rPr>
          <w:rFonts w:hint="eastAsia" w:ascii="仿宋" w:hAnsi="仿宋" w:eastAsia="仿宋" w:cs="仿宋"/>
          <w:color w:val="000000"/>
          <w:sz w:val="24"/>
          <w:szCs w:val="24"/>
          <w:highlight w:val="none"/>
        </w:rPr>
      </w:pPr>
    </w:p>
    <w:p w14:paraId="16FB6666">
      <w:pPr>
        <w:rPr>
          <w:rFonts w:hint="eastAsia" w:ascii="仿宋" w:hAnsi="仿宋" w:eastAsia="仿宋" w:cs="仿宋"/>
          <w:color w:val="000000"/>
          <w:sz w:val="24"/>
          <w:szCs w:val="24"/>
          <w:highlight w:val="none"/>
        </w:rPr>
      </w:pPr>
    </w:p>
    <w:p w14:paraId="771896FF">
      <w:pPr>
        <w:pStyle w:val="191"/>
        <w:rPr>
          <w:rFonts w:hint="eastAsia" w:ascii="仿宋" w:hAnsi="仿宋" w:eastAsia="仿宋" w:cs="仿宋"/>
          <w:color w:val="000000"/>
          <w:sz w:val="24"/>
          <w:szCs w:val="24"/>
          <w:highlight w:val="none"/>
        </w:rPr>
      </w:pPr>
    </w:p>
    <w:p w14:paraId="17684B40">
      <w:pPr>
        <w:rPr>
          <w:rFonts w:hint="eastAsia" w:ascii="仿宋" w:hAnsi="仿宋" w:eastAsia="仿宋" w:cs="仿宋"/>
          <w:color w:val="000000"/>
          <w:sz w:val="24"/>
          <w:szCs w:val="24"/>
          <w:highlight w:val="none"/>
        </w:rPr>
      </w:pPr>
    </w:p>
    <w:p w14:paraId="5EE675E4">
      <w:pPr>
        <w:pStyle w:val="191"/>
        <w:rPr>
          <w:rFonts w:hint="eastAsia" w:ascii="仿宋" w:hAnsi="仿宋" w:eastAsia="仿宋" w:cs="仿宋"/>
          <w:color w:val="000000"/>
          <w:sz w:val="24"/>
          <w:szCs w:val="24"/>
          <w:highlight w:val="none"/>
        </w:rPr>
      </w:pPr>
    </w:p>
    <w:p w14:paraId="70D40F62">
      <w:pPr>
        <w:rPr>
          <w:rFonts w:hint="eastAsia" w:ascii="仿宋" w:hAnsi="仿宋" w:eastAsia="仿宋" w:cs="仿宋"/>
          <w:color w:val="000000"/>
          <w:highlight w:val="none"/>
        </w:rPr>
      </w:pPr>
    </w:p>
    <w:p w14:paraId="3BB3A180">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供应商全称（公章）：</w:t>
      </w:r>
    </w:p>
    <w:p w14:paraId="46805176">
      <w:pPr>
        <w:spacing w:line="360" w:lineRule="auto"/>
        <w:ind w:firstLine="4560"/>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rPr>
        <w:t>法定代表人或者授权代表（签字或盖章）：</w:t>
      </w:r>
    </w:p>
    <w:p w14:paraId="1AB56B4D">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日期： 年 月 日</w:t>
      </w:r>
    </w:p>
    <w:p w14:paraId="0B38D201">
      <w:pPr>
        <w:pStyle w:val="224"/>
        <w:spacing w:line="360" w:lineRule="auto"/>
        <w:ind w:firstLine="482"/>
        <w:rPr>
          <w:rFonts w:hint="eastAsia" w:ascii="仿宋" w:hAnsi="仿宋" w:eastAsia="仿宋" w:cs="仿宋"/>
          <w:color w:val="000000"/>
          <w:highlight w:val="none"/>
        </w:rPr>
      </w:pPr>
      <w:r>
        <w:rPr>
          <w:rFonts w:hint="eastAsia" w:ascii="仿宋" w:hAnsi="仿宋" w:eastAsia="仿宋" w:cs="仿宋"/>
          <w:color w:val="000000"/>
          <w:highlight w:val="none"/>
        </w:rPr>
        <w:br w:type="page" w:clear="all"/>
      </w:r>
    </w:p>
    <w:p w14:paraId="377F68F7">
      <w:pPr>
        <w:numPr>
          <w:ilvl w:val="1"/>
          <w:numId w:val="0"/>
        </w:numPr>
        <w:spacing w:line="360" w:lineRule="auto"/>
        <w:jc w:val="center"/>
        <w:rPr>
          <w:rFonts w:hint="eastAsia" w:ascii="仿宋" w:hAnsi="仿宋" w:eastAsia="仿宋" w:cs="仿宋"/>
          <w:b/>
          <w:bCs/>
          <w:color w:val="000000"/>
          <w:sz w:val="28"/>
          <w:szCs w:val="28"/>
          <w:highlight w:val="none"/>
        </w:rPr>
      </w:pPr>
      <w:bookmarkStart w:id="268" w:name="_Toc190"/>
      <w:bookmarkStart w:id="269" w:name="_Toc18188"/>
      <w:bookmarkStart w:id="270" w:name="_Toc15808"/>
      <w:bookmarkStart w:id="271" w:name="_Toc25170493"/>
      <w:bookmarkStart w:id="272" w:name="_Toc10944"/>
      <w:bookmarkStart w:id="273" w:name="_Toc22207"/>
      <w:bookmarkStart w:id="274" w:name="_Toc26453"/>
      <w:bookmarkStart w:id="275" w:name="_Toc30482"/>
      <w:bookmarkStart w:id="276" w:name="_Toc27202"/>
      <w:bookmarkStart w:id="277" w:name="_Toc3522"/>
      <w:bookmarkStart w:id="278" w:name="_Toc8367"/>
      <w:bookmarkStart w:id="279" w:name="_Toc8679"/>
      <w:r>
        <w:rPr>
          <w:rFonts w:hint="eastAsia" w:ascii="仿宋" w:hAnsi="仿宋" w:eastAsia="仿宋" w:cs="仿宋"/>
          <w:b/>
          <w:bCs/>
          <w:color w:val="000000"/>
          <w:sz w:val="28"/>
          <w:szCs w:val="28"/>
          <w:highlight w:val="none"/>
        </w:rPr>
        <w:t>附 件</w:t>
      </w:r>
      <w:bookmarkEnd w:id="268"/>
      <w:bookmarkEnd w:id="269"/>
      <w:r>
        <w:rPr>
          <w:rFonts w:hint="eastAsia" w:ascii="仿宋" w:hAnsi="仿宋" w:eastAsia="仿宋" w:cs="仿宋"/>
          <w:b/>
          <w:bCs/>
          <w:color w:val="000000"/>
          <w:sz w:val="28"/>
          <w:szCs w:val="28"/>
          <w:highlight w:val="none"/>
        </w:rPr>
        <w:t>3：三年内无重大违纪声明</w:t>
      </w:r>
      <w:bookmarkEnd w:id="270"/>
      <w:bookmarkEnd w:id="271"/>
      <w:bookmarkEnd w:id="272"/>
      <w:bookmarkEnd w:id="273"/>
      <w:bookmarkEnd w:id="274"/>
      <w:bookmarkEnd w:id="275"/>
      <w:bookmarkEnd w:id="276"/>
      <w:bookmarkEnd w:id="277"/>
      <w:bookmarkEnd w:id="278"/>
      <w:bookmarkEnd w:id="279"/>
    </w:p>
    <w:p w14:paraId="2F5EC8A0">
      <w:pPr>
        <w:spacing w:line="360" w:lineRule="auto"/>
        <w:jc w:val="center"/>
        <w:rPr>
          <w:rFonts w:hint="eastAsia" w:ascii="仿宋" w:hAnsi="仿宋" w:eastAsia="仿宋" w:cs="仿宋"/>
          <w:b/>
          <w:bCs/>
          <w:color w:val="000000"/>
          <w:sz w:val="36"/>
          <w:szCs w:val="36"/>
          <w:highlight w:val="none"/>
        </w:rPr>
      </w:pPr>
    </w:p>
    <w:p w14:paraId="737C006B">
      <w:pPr>
        <w:numPr>
          <w:ilvl w:val="1"/>
          <w:numId w:val="0"/>
        </w:numPr>
        <w:spacing w:line="360" w:lineRule="auto"/>
        <w:jc w:val="center"/>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声  明</w:t>
      </w:r>
    </w:p>
    <w:p w14:paraId="5D6E1509">
      <w:pPr>
        <w:spacing w:line="360" w:lineRule="auto"/>
        <w:ind w:firstLine="480"/>
        <w:rPr>
          <w:rFonts w:hint="eastAsia" w:ascii="仿宋" w:hAnsi="仿宋" w:eastAsia="仿宋" w:cs="仿宋"/>
          <w:color w:val="000000"/>
          <w:sz w:val="24"/>
          <w:szCs w:val="24"/>
          <w:highlight w:val="none"/>
        </w:rPr>
      </w:pPr>
    </w:p>
    <w:p w14:paraId="4A2D60E0">
      <w:pPr>
        <w:spacing w:line="360" w:lineRule="auto"/>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我公司郑重声明：参加本次采购活动前3年内，我公司在经营活动中没有因违法经营受到刑事处罚或者责令停产停业、吊销许可证或者执照、较大数额罚款等行政处罚。若采购单位在本项目采购过程中发现我公司近三年内在经营活动中有重大违法记录，我公司将无条件地退出本项目的磋商采购，并承担因此引起的一切后果。</w:t>
      </w:r>
    </w:p>
    <w:p w14:paraId="2D6622B2">
      <w:pPr>
        <w:spacing w:line="360" w:lineRule="auto"/>
        <w:rPr>
          <w:rFonts w:hint="eastAsia" w:ascii="仿宋" w:hAnsi="仿宋" w:eastAsia="仿宋" w:cs="仿宋"/>
          <w:color w:val="000000"/>
          <w:sz w:val="24"/>
          <w:szCs w:val="24"/>
          <w:highlight w:val="none"/>
        </w:rPr>
      </w:pPr>
    </w:p>
    <w:p w14:paraId="08ACA4FC">
      <w:pPr>
        <w:spacing w:line="360" w:lineRule="auto"/>
        <w:rPr>
          <w:rFonts w:hint="eastAsia" w:ascii="仿宋" w:hAnsi="仿宋" w:eastAsia="仿宋" w:cs="仿宋"/>
          <w:color w:val="000000"/>
          <w:sz w:val="24"/>
          <w:szCs w:val="24"/>
          <w:highlight w:val="none"/>
        </w:rPr>
      </w:pPr>
    </w:p>
    <w:p w14:paraId="1C2CED85">
      <w:pPr>
        <w:spacing w:line="360" w:lineRule="auto"/>
        <w:rPr>
          <w:rFonts w:hint="eastAsia" w:ascii="仿宋" w:hAnsi="仿宋" w:eastAsia="仿宋" w:cs="仿宋"/>
          <w:color w:val="000000"/>
          <w:sz w:val="24"/>
          <w:szCs w:val="24"/>
          <w:highlight w:val="none"/>
        </w:rPr>
      </w:pPr>
    </w:p>
    <w:p w14:paraId="7BF38A86">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供应商全称（公章）：</w:t>
      </w:r>
    </w:p>
    <w:p w14:paraId="2E0FCD3C">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highlight w:val="none"/>
        </w:rPr>
        <w:t>法定代表人或者授权代表（签字或盖章）：</w:t>
      </w:r>
    </w:p>
    <w:p w14:paraId="78C34BD3">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日期：</w:t>
      </w:r>
    </w:p>
    <w:p w14:paraId="1119775A">
      <w:pPr>
        <w:spacing w:line="360" w:lineRule="auto"/>
        <w:rPr>
          <w:rFonts w:hint="eastAsia" w:ascii="仿宋" w:hAnsi="仿宋" w:eastAsia="仿宋" w:cs="仿宋"/>
          <w:color w:val="000000"/>
          <w:sz w:val="24"/>
          <w:szCs w:val="24"/>
          <w:highlight w:val="none"/>
        </w:rPr>
      </w:pPr>
    </w:p>
    <w:p w14:paraId="5555329E">
      <w:pPr>
        <w:spacing w:line="360" w:lineRule="auto"/>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br w:type="page" w:clear="all"/>
      </w:r>
    </w:p>
    <w:p w14:paraId="54243280">
      <w:pPr>
        <w:numPr>
          <w:ilvl w:val="1"/>
          <w:numId w:val="0"/>
        </w:numPr>
        <w:spacing w:line="360" w:lineRule="auto"/>
        <w:jc w:val="center"/>
        <w:rPr>
          <w:rFonts w:hint="eastAsia" w:ascii="仿宋" w:hAnsi="仿宋" w:eastAsia="仿宋" w:cs="仿宋"/>
          <w:b/>
          <w:bCs/>
          <w:color w:val="000000"/>
          <w:sz w:val="28"/>
          <w:szCs w:val="28"/>
          <w:highlight w:val="none"/>
        </w:rPr>
      </w:pPr>
      <w:bookmarkStart w:id="280" w:name="_Toc26218"/>
      <w:bookmarkStart w:id="281" w:name="_Toc2697"/>
      <w:bookmarkStart w:id="282" w:name="_Toc14712"/>
      <w:bookmarkStart w:id="283" w:name="_Toc16486"/>
      <w:bookmarkStart w:id="284" w:name="_Toc25170494"/>
      <w:bookmarkStart w:id="285" w:name="_Toc4338"/>
      <w:bookmarkStart w:id="286" w:name="_Toc28142"/>
      <w:bookmarkStart w:id="287" w:name="_Toc11098"/>
      <w:bookmarkStart w:id="288" w:name="_Toc8074"/>
      <w:r>
        <w:rPr>
          <w:rFonts w:hint="eastAsia" w:ascii="仿宋" w:hAnsi="仿宋" w:eastAsia="仿宋" w:cs="仿宋"/>
          <w:b/>
          <w:bCs/>
          <w:color w:val="000000"/>
          <w:sz w:val="28"/>
          <w:szCs w:val="28"/>
          <w:highlight w:val="none"/>
        </w:rPr>
        <w:t>附 件4：中小企业声明函格式</w:t>
      </w:r>
      <w:bookmarkEnd w:id="280"/>
      <w:bookmarkEnd w:id="281"/>
      <w:bookmarkEnd w:id="282"/>
      <w:bookmarkEnd w:id="283"/>
      <w:bookmarkEnd w:id="284"/>
      <w:bookmarkEnd w:id="285"/>
      <w:bookmarkEnd w:id="286"/>
      <w:bookmarkEnd w:id="287"/>
      <w:bookmarkEnd w:id="288"/>
      <w:r>
        <w:rPr>
          <w:rFonts w:hint="eastAsia" w:ascii="仿宋" w:hAnsi="仿宋" w:eastAsia="仿宋" w:cs="仿宋"/>
          <w:b/>
          <w:bCs/>
          <w:color w:val="000000"/>
          <w:sz w:val="28"/>
          <w:szCs w:val="28"/>
          <w:highlight w:val="none"/>
          <w:lang w:eastAsia="zh-CN"/>
        </w:rPr>
        <w:t>（</w:t>
      </w:r>
      <w:r>
        <w:rPr>
          <w:rFonts w:hint="eastAsia" w:ascii="仿宋" w:hAnsi="仿宋" w:eastAsia="仿宋" w:cs="仿宋"/>
          <w:b/>
          <w:bCs/>
          <w:color w:val="000000"/>
          <w:sz w:val="28"/>
          <w:szCs w:val="28"/>
          <w:highlight w:val="none"/>
        </w:rPr>
        <w:t>如有</w:t>
      </w:r>
      <w:r>
        <w:rPr>
          <w:rFonts w:hint="eastAsia" w:ascii="仿宋" w:hAnsi="仿宋" w:eastAsia="仿宋" w:cs="仿宋"/>
          <w:b/>
          <w:bCs/>
          <w:color w:val="000000"/>
          <w:sz w:val="28"/>
          <w:szCs w:val="28"/>
          <w:highlight w:val="none"/>
          <w:lang w:eastAsia="zh-CN"/>
        </w:rPr>
        <w:t>）</w:t>
      </w:r>
    </w:p>
    <w:p w14:paraId="10577B70">
      <w:pPr>
        <w:keepNext w:val="0"/>
        <w:keepLines w:val="0"/>
        <w:pageBreakBefore w:val="0"/>
        <w:widowControl w:val="0"/>
        <w:spacing w:line="360" w:lineRule="auto"/>
        <w:jc w:val="center"/>
        <w:rPr>
          <w:rFonts w:hint="eastAsia" w:ascii="仿宋" w:hAnsi="仿宋" w:eastAsia="仿宋" w:cs="仿宋"/>
          <w:color w:val="000000"/>
          <w:sz w:val="24"/>
          <w:szCs w:val="24"/>
          <w:highlight w:val="none"/>
        </w:rPr>
      </w:pPr>
      <w:bookmarkStart w:id="289" w:name="_Toc11427"/>
      <w:bookmarkStart w:id="290" w:name="_Toc2531"/>
      <w:bookmarkStart w:id="291" w:name="_Toc11876"/>
      <w:bookmarkStart w:id="292" w:name="_Toc13641"/>
      <w:bookmarkStart w:id="293" w:name="_Toc6655"/>
      <w:bookmarkStart w:id="294" w:name="_Toc27056"/>
    </w:p>
    <w:p w14:paraId="796C634E">
      <w:pPr>
        <w:keepNext w:val="0"/>
        <w:keepLines w:val="0"/>
        <w:pageBreakBefore w:val="0"/>
        <w:widowControl w:val="0"/>
        <w:spacing w:line="360" w:lineRule="auto"/>
        <w:jc w:val="center"/>
        <w:rPr>
          <w:rFonts w:hint="eastAsia" w:ascii="仿宋" w:hAnsi="仿宋" w:eastAsia="仿宋" w:cs="仿宋"/>
          <w:color w:val="000000"/>
          <w:sz w:val="24"/>
          <w:szCs w:val="24"/>
          <w:highlight w:val="none"/>
          <w:lang w:eastAsia="zh-CN"/>
        </w:rPr>
      </w:pPr>
      <w:r>
        <w:rPr>
          <w:rFonts w:hint="eastAsia" w:ascii="仿宋" w:hAnsi="仿宋" w:eastAsia="仿宋" w:cs="仿宋"/>
          <w:b/>
          <w:bCs/>
          <w:color w:val="000000"/>
          <w:sz w:val="28"/>
          <w:szCs w:val="28"/>
          <w:highlight w:val="none"/>
        </w:rPr>
        <w:t>中小企业声明函</w:t>
      </w:r>
    </w:p>
    <w:p w14:paraId="15985F74">
      <w:pPr>
        <w:keepNext w:val="0"/>
        <w:keepLines w:val="0"/>
        <w:pageBreakBefore w:val="0"/>
        <w:widowControl w:val="0"/>
        <w:spacing w:line="360" w:lineRule="auto"/>
        <w:ind w:firstLine="504"/>
        <w:rPr>
          <w:rFonts w:hint="eastAsia" w:ascii="仿宋" w:hAnsi="仿宋" w:eastAsia="仿宋" w:cs="仿宋"/>
          <w:color w:val="000000"/>
          <w:sz w:val="24"/>
          <w:szCs w:val="24"/>
          <w:highlight w:val="none"/>
          <w:lang w:val="zh-CN"/>
        </w:rPr>
      </w:pPr>
    </w:p>
    <w:p w14:paraId="07CCBBD9">
      <w:pPr>
        <w:keepNext w:val="0"/>
        <w:keepLines w:val="0"/>
        <w:pageBreakBefore w:val="0"/>
        <w:widowControl w:val="0"/>
        <w:spacing w:line="360" w:lineRule="auto"/>
        <w:ind w:firstLine="504"/>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本公司（联合体）郑重声明，根据《政府采购促进中小企业发展管理办法》（财库〔2020〕46号）的规定，本公司（联合体）参加</w:t>
      </w:r>
      <w:r>
        <w:rPr>
          <w:rFonts w:hint="eastAsia" w:ascii="仿宋" w:hAnsi="仿宋" w:eastAsia="仿宋" w:cs="仿宋"/>
          <w:color w:val="000000"/>
          <w:sz w:val="24"/>
          <w:szCs w:val="24"/>
          <w:highlight w:val="none"/>
          <w:u w:val="single"/>
          <w:lang w:val="zh-CN"/>
        </w:rPr>
        <w:t>（单位名称）</w:t>
      </w:r>
      <w:r>
        <w:rPr>
          <w:rFonts w:hint="eastAsia" w:ascii="仿宋" w:hAnsi="仿宋" w:eastAsia="仿宋" w:cs="仿宋"/>
          <w:color w:val="000000"/>
          <w:sz w:val="24"/>
          <w:szCs w:val="24"/>
          <w:highlight w:val="none"/>
          <w:lang w:val="zh-CN"/>
        </w:rPr>
        <w:t>的</w:t>
      </w:r>
      <w:r>
        <w:rPr>
          <w:rFonts w:hint="eastAsia" w:ascii="仿宋" w:hAnsi="仿宋" w:eastAsia="仿宋" w:cs="仿宋"/>
          <w:color w:val="000000"/>
          <w:sz w:val="24"/>
          <w:szCs w:val="24"/>
          <w:highlight w:val="none"/>
          <w:u w:val="single"/>
          <w:lang w:val="zh-CN"/>
        </w:rPr>
        <w:t>（项目名称）</w:t>
      </w:r>
      <w:r>
        <w:rPr>
          <w:rFonts w:hint="eastAsia" w:ascii="仿宋" w:hAnsi="仿宋" w:eastAsia="仿宋" w:cs="仿宋"/>
          <w:color w:val="000000"/>
          <w:sz w:val="24"/>
          <w:szCs w:val="24"/>
          <w:highlight w:val="none"/>
          <w:lang w:val="zh-CN"/>
        </w:rPr>
        <w:t>采购活动，服务全部由符合政策要求的中小企业承接。相关企业（含联合体中的中小企业、签订分包意向协议的中小企业）的具体情况如下：</w:t>
      </w:r>
    </w:p>
    <w:p w14:paraId="4160CF40">
      <w:pPr>
        <w:keepNext w:val="0"/>
        <w:keepLines w:val="0"/>
        <w:pageBreakBefore w:val="0"/>
        <w:widowControl w:val="0"/>
        <w:spacing w:line="360" w:lineRule="auto"/>
        <w:ind w:firstLine="504"/>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1.</w:t>
      </w:r>
      <w:r>
        <w:rPr>
          <w:rFonts w:hint="eastAsia" w:ascii="仿宋" w:hAnsi="仿宋" w:eastAsia="仿宋" w:cs="仿宋"/>
          <w:color w:val="000000"/>
          <w:sz w:val="24"/>
          <w:szCs w:val="24"/>
          <w:highlight w:val="none"/>
          <w:u w:val="single"/>
          <w:lang w:val="zh-CN"/>
        </w:rPr>
        <w:t>（标的名称），</w:t>
      </w:r>
      <w:r>
        <w:rPr>
          <w:rFonts w:hint="eastAsia" w:ascii="仿宋" w:hAnsi="仿宋" w:eastAsia="仿宋" w:cs="仿宋"/>
          <w:color w:val="000000"/>
          <w:sz w:val="24"/>
          <w:szCs w:val="24"/>
          <w:highlight w:val="none"/>
          <w:lang w:val="zh-CN"/>
        </w:rPr>
        <w:t>属于</w:t>
      </w:r>
      <w:r>
        <w:rPr>
          <w:rFonts w:hint="eastAsia" w:ascii="仿宋" w:hAnsi="仿宋" w:eastAsia="仿宋" w:cs="仿宋"/>
          <w:color w:val="000000"/>
          <w:sz w:val="24"/>
          <w:szCs w:val="24"/>
          <w:highlight w:val="none"/>
          <w:u w:val="single"/>
          <w:lang w:val="zh-CN"/>
        </w:rPr>
        <w:t>（采购文件中明确的所属行业），</w:t>
      </w:r>
      <w:r>
        <w:rPr>
          <w:rFonts w:hint="eastAsia" w:ascii="仿宋" w:hAnsi="仿宋" w:eastAsia="仿宋" w:cs="仿宋"/>
          <w:color w:val="000000"/>
          <w:sz w:val="24"/>
          <w:szCs w:val="24"/>
          <w:highlight w:val="none"/>
          <w:lang w:val="zh-CN"/>
        </w:rPr>
        <w:t xml:space="preserve"> 承接企业为</w:t>
      </w:r>
      <w:r>
        <w:rPr>
          <w:rFonts w:hint="eastAsia" w:ascii="仿宋" w:hAnsi="仿宋" w:eastAsia="仿宋" w:cs="仿宋"/>
          <w:color w:val="000000"/>
          <w:sz w:val="24"/>
          <w:szCs w:val="24"/>
          <w:highlight w:val="none"/>
          <w:u w:val="single"/>
          <w:lang w:val="zh-CN"/>
        </w:rPr>
        <w:t>（企业名称），</w:t>
      </w:r>
      <w:r>
        <w:rPr>
          <w:rFonts w:hint="eastAsia" w:ascii="仿宋" w:hAnsi="仿宋" w:eastAsia="仿宋" w:cs="仿宋"/>
          <w:color w:val="000000"/>
          <w:sz w:val="24"/>
          <w:szCs w:val="24"/>
          <w:highlight w:val="none"/>
          <w:lang w:val="zh-CN"/>
        </w:rPr>
        <w:t>从业人员</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lang w:val="zh-CN"/>
        </w:rPr>
        <w:tab/>
      </w:r>
      <w:r>
        <w:rPr>
          <w:rFonts w:hint="eastAsia" w:ascii="仿宋" w:hAnsi="仿宋" w:eastAsia="仿宋" w:cs="仿宋"/>
          <w:color w:val="000000"/>
          <w:sz w:val="24"/>
          <w:szCs w:val="24"/>
          <w:highlight w:val="none"/>
          <w:lang w:val="zh-CN"/>
        </w:rPr>
        <w:t>人，营业收入为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lang w:val="zh-CN"/>
        </w:rPr>
        <w:t>万元，资产总额为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lang w:val="zh-CN"/>
        </w:rPr>
        <w:t>万元，属于</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lang w:val="zh-CN"/>
        </w:rPr>
        <w:t>（中型企业、小型企业、微型企业），</w:t>
      </w:r>
    </w:p>
    <w:p w14:paraId="7581092A">
      <w:pPr>
        <w:keepNext w:val="0"/>
        <w:keepLines w:val="0"/>
        <w:pageBreakBefore w:val="0"/>
        <w:widowControl w:val="0"/>
        <w:spacing w:line="360" w:lineRule="auto"/>
        <w:ind w:firstLine="504"/>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2.</w:t>
      </w:r>
      <w:r>
        <w:rPr>
          <w:rFonts w:hint="eastAsia" w:ascii="仿宋" w:hAnsi="仿宋" w:eastAsia="仿宋" w:cs="仿宋"/>
          <w:color w:val="000000"/>
          <w:sz w:val="24"/>
          <w:szCs w:val="24"/>
          <w:highlight w:val="none"/>
          <w:u w:val="single"/>
          <w:lang w:val="zh-CN"/>
        </w:rPr>
        <w:t>（标的名称），</w:t>
      </w:r>
      <w:r>
        <w:rPr>
          <w:rFonts w:hint="eastAsia" w:ascii="仿宋" w:hAnsi="仿宋" w:eastAsia="仿宋" w:cs="仿宋"/>
          <w:color w:val="000000"/>
          <w:sz w:val="24"/>
          <w:szCs w:val="24"/>
          <w:highlight w:val="none"/>
          <w:lang w:val="zh-CN"/>
        </w:rPr>
        <w:t>属于（采购文件中明确的所属行业）， 承接企业为</w:t>
      </w:r>
      <w:r>
        <w:rPr>
          <w:rFonts w:hint="eastAsia" w:ascii="仿宋" w:hAnsi="仿宋" w:eastAsia="仿宋" w:cs="仿宋"/>
          <w:color w:val="000000"/>
          <w:sz w:val="24"/>
          <w:szCs w:val="24"/>
          <w:highlight w:val="none"/>
          <w:u w:val="single"/>
          <w:lang w:val="zh-CN"/>
        </w:rPr>
        <w:t>（企业名称），</w:t>
      </w:r>
      <w:r>
        <w:rPr>
          <w:rFonts w:hint="eastAsia" w:ascii="仿宋" w:hAnsi="仿宋" w:eastAsia="仿宋" w:cs="仿宋"/>
          <w:color w:val="000000"/>
          <w:sz w:val="24"/>
          <w:szCs w:val="24"/>
          <w:highlight w:val="none"/>
          <w:lang w:val="zh-CN"/>
        </w:rPr>
        <w:t>从业人员</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lang w:val="zh-CN"/>
        </w:rPr>
        <w:tab/>
      </w:r>
      <w:r>
        <w:rPr>
          <w:rFonts w:hint="eastAsia" w:ascii="仿宋" w:hAnsi="仿宋" w:eastAsia="仿宋" w:cs="仿宋"/>
          <w:color w:val="000000"/>
          <w:sz w:val="24"/>
          <w:szCs w:val="24"/>
          <w:highlight w:val="none"/>
          <w:lang w:val="zh-CN"/>
        </w:rPr>
        <w:t>人，营业 收入为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lang w:val="zh-CN"/>
        </w:rPr>
        <w:t>万元，资产总额为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lang w:val="zh-CN"/>
        </w:rPr>
        <w:t>万元，属于</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lang w:val="zh-CN"/>
        </w:rPr>
        <w:t>（中型企业、小型企业、微型企业），</w:t>
      </w:r>
    </w:p>
    <w:p w14:paraId="12835466">
      <w:pPr>
        <w:keepNext w:val="0"/>
        <w:keepLines w:val="0"/>
        <w:pageBreakBefore w:val="0"/>
        <w:widowControl w:val="0"/>
        <w:spacing w:line="360" w:lineRule="auto"/>
        <w:ind w:firstLine="504"/>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ab/>
      </w:r>
    </w:p>
    <w:p w14:paraId="0387B970">
      <w:pPr>
        <w:keepNext w:val="0"/>
        <w:keepLines w:val="0"/>
        <w:pageBreakBefore w:val="0"/>
        <w:widowControl w:val="0"/>
        <w:spacing w:line="360" w:lineRule="auto"/>
        <w:ind w:firstLine="504"/>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以上企业，不属于大企业的分支机构，不存在控股股东为大企业的情形，也不存在与大企业的负责人为同一人的情形。</w:t>
      </w:r>
    </w:p>
    <w:p w14:paraId="0304D651">
      <w:pPr>
        <w:keepNext w:val="0"/>
        <w:keepLines w:val="0"/>
        <w:pageBreakBefore w:val="0"/>
        <w:widowControl w:val="0"/>
        <w:spacing w:line="360" w:lineRule="auto"/>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本企业对上述声明内容的真实性负责。如有虚假，将依 法承担相应责任。</w:t>
      </w:r>
    </w:p>
    <w:p w14:paraId="1845F77F">
      <w:pPr>
        <w:spacing w:line="360" w:lineRule="auto"/>
        <w:rPr>
          <w:rFonts w:hint="eastAsia" w:ascii="仿宋" w:hAnsi="仿宋" w:eastAsia="仿宋" w:cs="仿宋"/>
          <w:color w:val="000000"/>
          <w:sz w:val="24"/>
          <w:szCs w:val="24"/>
          <w:highlight w:val="none"/>
        </w:rPr>
      </w:pPr>
    </w:p>
    <w:p w14:paraId="62BADEC5">
      <w:pPr>
        <w:spacing w:line="360" w:lineRule="auto"/>
        <w:jc w:val="center"/>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rPr>
        <w:t xml:space="preserve">                          供应商全称（公章）：                          </w:t>
      </w:r>
    </w:p>
    <w:p w14:paraId="7019AEFF">
      <w:pPr>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日期：</w:t>
      </w:r>
    </w:p>
    <w:p w14:paraId="6D7FD35E">
      <w:pPr>
        <w:spacing w:line="360" w:lineRule="auto"/>
        <w:rPr>
          <w:rFonts w:hint="eastAsia" w:ascii="仿宋" w:hAnsi="仿宋" w:eastAsia="仿宋" w:cs="仿宋"/>
          <w:color w:val="000000"/>
          <w:sz w:val="24"/>
          <w:szCs w:val="24"/>
          <w:highlight w:val="none"/>
        </w:rPr>
      </w:pPr>
    </w:p>
    <w:p w14:paraId="4E873D0B">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说明：</w:t>
      </w:r>
    </w:p>
    <w:p w14:paraId="66743546">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1、供应商如不提供此声明函，将不被视为中小企业。</w:t>
      </w:r>
    </w:p>
    <w:p w14:paraId="7BC2670B">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r>
        <w:rPr>
          <w:rFonts w:hint="eastAsia" w:ascii="仿宋" w:hAnsi="仿宋" w:eastAsia="仿宋" w:cs="仿宋"/>
          <w:color w:val="000000"/>
          <w:sz w:val="24"/>
          <w:szCs w:val="24"/>
          <w:highlight w:val="none"/>
          <w:lang w:eastAsia="zh-CN"/>
        </w:rPr>
        <w:t>成交</w:t>
      </w:r>
      <w:r>
        <w:rPr>
          <w:rFonts w:hint="eastAsia" w:ascii="仿宋" w:hAnsi="仿宋" w:eastAsia="仿宋" w:cs="仿宋"/>
          <w:color w:val="000000"/>
          <w:sz w:val="24"/>
          <w:szCs w:val="24"/>
          <w:highlight w:val="none"/>
        </w:rPr>
        <w:t>供应商为小微企业的，此声明函将随</w:t>
      </w:r>
      <w:r>
        <w:rPr>
          <w:rFonts w:hint="eastAsia" w:ascii="仿宋" w:hAnsi="仿宋" w:eastAsia="仿宋" w:cs="仿宋"/>
          <w:color w:val="000000"/>
          <w:sz w:val="24"/>
          <w:szCs w:val="24"/>
          <w:highlight w:val="none"/>
          <w:lang w:eastAsia="zh-CN"/>
        </w:rPr>
        <w:t>成交</w:t>
      </w:r>
      <w:r>
        <w:rPr>
          <w:rFonts w:hint="eastAsia" w:ascii="仿宋" w:hAnsi="仿宋" w:eastAsia="仿宋" w:cs="仿宋"/>
          <w:color w:val="000000"/>
          <w:sz w:val="24"/>
          <w:szCs w:val="24"/>
          <w:highlight w:val="none"/>
        </w:rPr>
        <w:t>结果同时公告，接受社会监督。</w:t>
      </w:r>
    </w:p>
    <w:p w14:paraId="7B0EB44D">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3、“微型”或“小型”企业的划分具体以《政府采购促进中小企业发展管理办法》（财库</w:t>
      </w:r>
      <w:r>
        <w:rPr>
          <w:rFonts w:hint="eastAsia" w:ascii="仿宋" w:hAnsi="仿宋" w:eastAsia="仿宋" w:cs="仿宋"/>
          <w:color w:val="000000"/>
          <w:sz w:val="24"/>
          <w:szCs w:val="24"/>
          <w:highlight w:val="none"/>
          <w:lang w:eastAsia="zh-CN"/>
        </w:rPr>
        <w:t>〔2020〕46号</w:t>
      </w:r>
      <w:r>
        <w:rPr>
          <w:rFonts w:hint="eastAsia" w:ascii="仿宋" w:hAnsi="仿宋" w:eastAsia="仿宋" w:cs="仿宋"/>
          <w:color w:val="000000"/>
          <w:sz w:val="24"/>
          <w:szCs w:val="24"/>
          <w:highlight w:val="none"/>
        </w:rPr>
        <w:t>）和《工业和信息化部、国家统计局、国家发展和改革委员会、财政部关于印发中小企业划型标准规定的通知》（工信部联企业</w:t>
      </w:r>
      <w:r>
        <w:rPr>
          <w:rFonts w:hint="eastAsia" w:ascii="仿宋" w:hAnsi="仿宋" w:eastAsia="仿宋" w:cs="仿宋"/>
          <w:color w:val="000000"/>
          <w:sz w:val="24"/>
          <w:szCs w:val="24"/>
          <w:highlight w:val="none"/>
          <w:lang w:eastAsia="zh-CN"/>
        </w:rPr>
        <w:t>〔2011〕300号</w:t>
      </w:r>
      <w:r>
        <w:rPr>
          <w:rFonts w:hint="eastAsia" w:ascii="仿宋" w:hAnsi="仿宋" w:eastAsia="仿宋" w:cs="仿宋"/>
          <w:color w:val="000000"/>
          <w:sz w:val="24"/>
          <w:szCs w:val="24"/>
          <w:highlight w:val="none"/>
        </w:rPr>
        <w:t>）的规定为准。</w:t>
      </w:r>
    </w:p>
    <w:p w14:paraId="4B9FDB98">
      <w:pPr>
        <w:numPr>
          <w:ilvl w:val="1"/>
          <w:numId w:val="0"/>
        </w:numPr>
        <w:spacing w:line="360" w:lineRule="auto"/>
        <w:jc w:val="center"/>
        <w:rPr>
          <w:rFonts w:hint="eastAsia" w:ascii="仿宋" w:hAnsi="仿宋" w:eastAsia="仿宋" w:cs="仿宋"/>
          <w:b/>
          <w:bCs/>
          <w:color w:val="000000"/>
          <w:sz w:val="28"/>
          <w:szCs w:val="28"/>
          <w:highlight w:val="none"/>
        </w:rPr>
        <w:sectPr>
          <w:pgSz w:w="11906" w:h="16838"/>
          <w:pgMar w:top="1440" w:right="856" w:bottom="1440" w:left="1140" w:header="851" w:footer="992" w:gutter="0"/>
          <w:cols w:space="1701" w:num="1"/>
          <w:docGrid w:linePitch="360" w:charSpace="0"/>
        </w:sectPr>
      </w:pPr>
    </w:p>
    <w:p w14:paraId="19E85086">
      <w:pPr>
        <w:numPr>
          <w:ilvl w:val="1"/>
          <w:numId w:val="0"/>
        </w:numPr>
        <w:spacing w:line="360" w:lineRule="auto"/>
        <w:jc w:val="center"/>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附 件5：残疾人福利性单位声明函</w:t>
      </w:r>
      <w:bookmarkEnd w:id="289"/>
      <w:bookmarkEnd w:id="290"/>
      <w:bookmarkEnd w:id="291"/>
      <w:bookmarkEnd w:id="292"/>
      <w:bookmarkEnd w:id="293"/>
      <w:bookmarkEnd w:id="294"/>
    </w:p>
    <w:p w14:paraId="49A2D83A">
      <w:pPr>
        <w:spacing w:line="588" w:lineRule="exact"/>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本单位郑重声明，根据《财政部 民政部 中国残疾人联合会关于促进残疾人就业政府采购政策的通知》（财库</w:t>
      </w:r>
      <w:r>
        <w:rPr>
          <w:rFonts w:hint="eastAsia" w:ascii="仿宋" w:hAnsi="仿宋" w:eastAsia="仿宋" w:cs="仿宋"/>
          <w:color w:val="000000"/>
          <w:sz w:val="24"/>
          <w:szCs w:val="24"/>
          <w:highlight w:val="none"/>
          <w:lang w:eastAsia="zh-CN" w:bidi="ar"/>
        </w:rPr>
        <w:t>〔2017〕141号</w:t>
      </w:r>
      <w:r>
        <w:rPr>
          <w:rFonts w:hint="eastAsia" w:ascii="仿宋" w:hAnsi="仿宋" w:eastAsia="仿宋" w:cs="仿宋"/>
          <w:color w:val="000000"/>
          <w:sz w:val="24"/>
          <w:szCs w:val="24"/>
          <w:highlight w:val="none"/>
          <w:lang w:bidi="ar"/>
        </w:rPr>
        <w:t>）的规定，本单位为符合条件的残疾人福利性单位，且本单位参加</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lang w:bidi="ar"/>
        </w:rPr>
        <w:t>单位的采购文件编号为</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lang w:bidi="ar"/>
        </w:rPr>
        <w:t>的</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lang w:bidi="ar"/>
        </w:rPr>
        <w:t>项目采购活动提供本单位制造的货物（由本单位承担工程/提供服务），或者提供其他残疾人福利性单位制造的货物（不包括使用非残疾人福利性单位注册商标的货物）。</w:t>
      </w:r>
    </w:p>
    <w:p w14:paraId="40313957">
      <w:pPr>
        <w:spacing w:line="588" w:lineRule="exact"/>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本单位对上述声明的真实性负责。如有虚假，将依法承担相应责任。</w:t>
      </w:r>
    </w:p>
    <w:p w14:paraId="2FD916AF">
      <w:pPr>
        <w:spacing w:line="588" w:lineRule="exact"/>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 </w:t>
      </w:r>
    </w:p>
    <w:p w14:paraId="040F1065">
      <w:pPr>
        <w:spacing w:line="588" w:lineRule="exact"/>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（备注：1、供应商如不提供此声明函，将不享受相关优惠政策。2、成交供应商为残疾人福利单位的，此声明函将随成交结果同时公告，接受社会监督）</w:t>
      </w:r>
    </w:p>
    <w:p w14:paraId="5C2BEF6A">
      <w:pPr>
        <w:spacing w:line="588" w:lineRule="exact"/>
        <w:ind w:firstLine="624"/>
        <w:rPr>
          <w:rFonts w:hint="eastAsia" w:ascii="仿宋" w:hAnsi="仿宋" w:eastAsia="仿宋" w:cs="仿宋"/>
          <w:color w:val="000000"/>
          <w:spacing w:val="6"/>
          <w:sz w:val="30"/>
          <w:szCs w:val="30"/>
          <w:highlight w:val="none"/>
          <w:lang w:bidi="ar"/>
        </w:rPr>
      </w:pPr>
      <w:r>
        <w:rPr>
          <w:rFonts w:hint="eastAsia" w:ascii="仿宋" w:hAnsi="仿宋" w:eastAsia="仿宋" w:cs="仿宋"/>
          <w:color w:val="000000"/>
          <w:spacing w:val="6"/>
          <w:sz w:val="30"/>
          <w:szCs w:val="30"/>
          <w:highlight w:val="none"/>
          <w:lang w:bidi="ar"/>
        </w:rPr>
        <w:t xml:space="preserve"> </w:t>
      </w:r>
    </w:p>
    <w:p w14:paraId="14EC94EA">
      <w:pPr>
        <w:pStyle w:val="221"/>
        <w:rPr>
          <w:rFonts w:hint="eastAsia" w:ascii="仿宋" w:hAnsi="仿宋" w:eastAsia="仿宋" w:cs="仿宋"/>
          <w:color w:val="000000"/>
          <w:spacing w:val="6"/>
          <w:sz w:val="30"/>
          <w:szCs w:val="30"/>
          <w:highlight w:val="none"/>
          <w:lang w:bidi="ar"/>
        </w:rPr>
      </w:pPr>
    </w:p>
    <w:p w14:paraId="5CA0BA6F">
      <w:pPr>
        <w:pStyle w:val="221"/>
        <w:ind w:firstLine="0"/>
        <w:rPr>
          <w:rFonts w:hint="eastAsia" w:ascii="仿宋" w:hAnsi="仿宋" w:eastAsia="仿宋" w:cs="仿宋"/>
          <w:color w:val="000000"/>
          <w:spacing w:val="6"/>
          <w:sz w:val="30"/>
          <w:szCs w:val="30"/>
          <w:highlight w:val="none"/>
          <w:lang w:bidi="ar"/>
        </w:rPr>
      </w:pPr>
    </w:p>
    <w:p w14:paraId="7B9906FB">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6"/>
          <w:sz w:val="30"/>
          <w:szCs w:val="30"/>
          <w:highlight w:val="none"/>
          <w:lang w:bidi="ar"/>
        </w:rPr>
        <w:t xml:space="preserve">             </w:t>
      </w:r>
      <w:r>
        <w:rPr>
          <w:rFonts w:hint="eastAsia" w:ascii="仿宋" w:hAnsi="仿宋" w:eastAsia="仿宋" w:cs="仿宋"/>
          <w:color w:val="000000"/>
          <w:sz w:val="24"/>
          <w:szCs w:val="24"/>
          <w:highlight w:val="none"/>
          <w:lang w:bidi="ar"/>
        </w:rPr>
        <w:t xml:space="preserve">          </w:t>
      </w:r>
    </w:p>
    <w:p w14:paraId="6BD039AB">
      <w:pPr>
        <w:spacing w:line="360" w:lineRule="auto"/>
        <w:jc w:val="center"/>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rPr>
        <w:t xml:space="preserve">                          供应商全称（公章）：                            </w:t>
      </w:r>
    </w:p>
    <w:p w14:paraId="32DF834B">
      <w:pPr>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日期：</w:t>
      </w:r>
    </w:p>
    <w:p w14:paraId="4C69BFD2">
      <w:pPr>
        <w:spacing w:line="588" w:lineRule="exact"/>
        <w:ind w:right="1560" w:firstLine="562"/>
        <w:jc w:val="center"/>
        <w:rPr>
          <w:rFonts w:hint="eastAsia" w:ascii="仿宋" w:hAnsi="仿宋" w:eastAsia="仿宋" w:cs="仿宋"/>
          <w:b/>
          <w:bCs/>
          <w:color w:val="000000"/>
          <w:sz w:val="28"/>
          <w:szCs w:val="28"/>
          <w:highlight w:val="none"/>
          <w:lang w:bidi="ar"/>
        </w:rPr>
      </w:pPr>
    </w:p>
    <w:sectPr>
      <w:pgSz w:w="11906" w:h="16838"/>
      <w:pgMar w:top="1440" w:right="856" w:bottom="1440" w:left="114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Arial Unicode MS">
    <w:altName w:val="Arial"/>
    <w:panose1 w:val="020B0604020202020204"/>
    <w:charset w:val="00"/>
    <w:family w:val="auto"/>
    <w:pitch w:val="default"/>
    <w:sig w:usb0="00000000" w:usb1="00000000" w:usb2="00000000" w:usb3="00000000" w:csb0="00000000" w:csb1="00000000"/>
  </w:font>
  <w:font w:name="幼圆">
    <w:panose1 w:val="0201050906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60101010101"/>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Courier New">
    <w:panose1 w:val="02070309020205020404"/>
    <w:charset w:val="00"/>
    <w:family w:val="auto"/>
    <w:pitch w:val="default"/>
    <w:sig w:usb0="E0002EFF" w:usb1="C0007843" w:usb2="00000009" w:usb3="00000000" w:csb0="400001FF" w:csb1="FFFF0000"/>
  </w:font>
  <w:font w:name="华文细黑">
    <w:panose1 w:val="02010600040101010101"/>
    <w:charset w:val="86"/>
    <w:family w:val="auto"/>
    <w:pitch w:val="default"/>
    <w:sig w:usb0="00000287" w:usb1="080F0000" w:usb2="00000000" w:usb3="00000000" w:csb0="0004009F" w:csb1="DFD7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等线">
    <w:panose1 w:val="02010600030101010101"/>
    <w:charset w:val="86"/>
    <w:family w:val="auto"/>
    <w:pitch w:val="default"/>
    <w:sig w:usb0="A00002BF" w:usb1="38CF7CFA" w:usb2="00000016" w:usb3="00000000" w:csb0="0004000F" w:csb1="00000000"/>
  </w:font>
  <w:font w:name="Microsoft New Tai Lue">
    <w:panose1 w:val="020B0502040204020203"/>
    <w:charset w:val="00"/>
    <w:family w:val="auto"/>
    <w:pitch w:val="default"/>
    <w:sig w:usb0="00000003" w:usb1="00000000" w:usb2="80000000" w:usb3="00000000" w:csb0="00000001" w:csb1="00000000"/>
  </w:font>
  <w:font w:name="微软雅黑">
    <w:panose1 w:val="020B0503020204020204"/>
    <w:charset w:val="86"/>
    <w:family w:val="auto"/>
    <w:pitch w:val="default"/>
    <w:sig w:usb0="80000287" w:usb1="2ACF3C50" w:usb2="00000016" w:usb3="00000000" w:csb0="0004001F" w:csb1="00000000"/>
  </w:font>
  <w:font w:name="KSOF6398537F">
    <w:panose1 w:val="020B0604020202020204"/>
    <w:charset w:val="86"/>
    <w:family w:val="auto"/>
    <w:pitch w:val="default"/>
    <w:sig w:usb0="00000001" w:usb1="00000000" w:usb2="00000000" w:usb3="00000000" w:csb0="003E0001" w:csb1="00000000"/>
  </w:font>
  <w:font w:name="Arial Unicode MS">
    <w:altName w:val="宋体"/>
    <w:panose1 w:val="020B0604020202020204"/>
    <w:charset w:val="86"/>
    <w:family w:val="roman"/>
    <w:pitch w:val="default"/>
    <w:sig w:usb0="00000000" w:usb1="00000000"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AAB927">
    <w:pPr>
      <w:pStyle w:val="19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C91CA">
    <w:pPr>
      <w:pStyle w:val="19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D42657">
    <w:pPr>
      <w:pStyle w:val="199"/>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B47CD">
    <w:pPr>
      <w:pStyle w:val="235"/>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773DF188">
                          <w:pPr>
                            <w:pStyle w:val="235"/>
                            <w:tabs>
                              <w:tab w:val="clear" w:pos="4153"/>
                              <w:tab w:val="clear" w:pos="8306"/>
                            </w:tabs>
                            <w:jc w:val="center"/>
                          </w:pPr>
                          <w:r>
                            <w:fldChar w:fldCharType="begin"/>
                          </w:r>
                          <w:r>
                            <w:instrText xml:space="preserve"> PAGE  \* MERGEFORMAT </w:instrText>
                          </w:r>
                          <w:r>
                            <w:fldChar w:fldCharType="separate"/>
                          </w:r>
                          <w:r>
                            <w:t>1</w:t>
                          </w:r>
                          <w:r>
                            <w:fldChar w:fldCharType="end"/>
                          </w:r>
                        </w:p>
                        <w:p w14:paraId="07C22299"/>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0lY7tAAAAAFAQAADwAAAAAAAAABACAA&#10;AAAiAAAAZHJzL2Rvd25yZXYueG1sUEsBAhQAFAAAAAgAh07iQAg2Mu3cAQAAsAMAAA4AAAAAAAAA&#10;AQAgAAAAHwEAAGRycy9lMm9Eb2MueG1sUEsFBgAAAAAGAAYAWQEAAG0FAAAAAA==&#10;">
              <v:fill on="f" focussize="0,0"/>
              <v:stroke on="f" weight="0.5pt"/>
              <v:imagedata o:title=""/>
              <o:lock v:ext="edit" aspectratio="f"/>
              <v:textbox inset="0mm,0mm,0mm,0mm" style="mso-fit-shape-to-text:t;">
                <w:txbxContent>
                  <w:p w14:paraId="773DF188">
                    <w:pPr>
                      <w:pStyle w:val="235"/>
                      <w:tabs>
                        <w:tab w:val="clear" w:pos="4153"/>
                        <w:tab w:val="clear" w:pos="8306"/>
                      </w:tabs>
                      <w:jc w:val="center"/>
                    </w:pPr>
                    <w:r>
                      <w:fldChar w:fldCharType="begin"/>
                    </w:r>
                    <w:r>
                      <w:instrText xml:space="preserve"> PAGE  \* MERGEFORMAT </w:instrText>
                    </w:r>
                    <w:r>
                      <w:fldChar w:fldCharType="separate"/>
                    </w:r>
                    <w:r>
                      <w:t>1</w:t>
                    </w:r>
                    <w:r>
                      <w:fldChar w:fldCharType="end"/>
                    </w:r>
                  </w:p>
                  <w:p w14:paraId="07C22299"/>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35308">
    <w:pPr>
      <w:pStyle w:val="235"/>
      <w:jc w:val="center"/>
    </w:pPr>
  </w:p>
  <w:p w14:paraId="038DE90D">
    <w:pPr>
      <w:pStyle w:val="235"/>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8AB860">
    <w:pPr>
      <w:pStyle w:val="235"/>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16CBC8">
    <w:pPr>
      <w:pStyle w:val="199"/>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06426BFA">
                          <w:pPr>
                            <w:pStyle w:val="199"/>
                            <w:tabs>
                              <w:tab w:val="clear" w:pos="4153"/>
                              <w:tab w:val="clear" w:pos="8306"/>
                            </w:tabs>
                            <w:ind w:firstLine="360"/>
                          </w:pPr>
                          <w:r>
                            <w:fldChar w:fldCharType="begin"/>
                          </w:r>
                          <w:r>
                            <w:instrText xml:space="preserve"> PAGE  \* MERGEFORMAT </w:instrText>
                          </w:r>
                          <w:r>
                            <w:fldChar w:fldCharType="separate"/>
                          </w:r>
                          <w:r>
                            <w:t>34</w:t>
                          </w:r>
                          <w:r>
                            <w:fldChar w:fldCharType="end"/>
                          </w:r>
                        </w:p>
                        <w:p w14:paraId="494E80AF"/>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0lY7tAAAAAFAQAADwAAAAAAAAABACAA&#10;AAAiAAAAZHJzL2Rvd25yZXYueG1sUEsBAhQAFAAAAAgAh07iQN99ctTcAQAAsAMAAA4AAAAAAAAA&#10;AQAgAAAAHwEAAGRycy9lMm9Eb2MueG1sUEsFBgAAAAAGAAYAWQEAAG0FAAAAAA==&#10;">
              <v:fill on="f" focussize="0,0"/>
              <v:stroke on="f" weight="0.5pt"/>
              <v:imagedata o:title=""/>
              <o:lock v:ext="edit" aspectratio="f"/>
              <v:textbox inset="0mm,0mm,0mm,0mm" style="mso-fit-shape-to-text:t;">
                <w:txbxContent>
                  <w:p w14:paraId="06426BFA">
                    <w:pPr>
                      <w:pStyle w:val="199"/>
                      <w:tabs>
                        <w:tab w:val="clear" w:pos="4153"/>
                        <w:tab w:val="clear" w:pos="8306"/>
                      </w:tabs>
                      <w:ind w:firstLine="360"/>
                    </w:pPr>
                    <w:r>
                      <w:fldChar w:fldCharType="begin"/>
                    </w:r>
                    <w:r>
                      <w:instrText xml:space="preserve"> PAGE  \* MERGEFORMAT </w:instrText>
                    </w:r>
                    <w:r>
                      <w:fldChar w:fldCharType="separate"/>
                    </w:r>
                    <w:r>
                      <w:t>34</w:t>
                    </w:r>
                    <w:r>
                      <w:fldChar w:fldCharType="end"/>
                    </w:r>
                  </w:p>
                  <w:p w14:paraId="494E80AF"/>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C04F15">
    <w:pPr>
      <w:pStyle w:val="199"/>
      <w:ind w:firstLine="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0A1585D2">
                          <w:pPr>
                            <w:pStyle w:val="199"/>
                            <w:tabs>
                              <w:tab w:val="clear" w:pos="4153"/>
                              <w:tab w:val="clear" w:pos="8306"/>
                            </w:tabs>
                            <w:ind w:firstLine="360"/>
                          </w:pPr>
                          <w:r>
                            <w:fldChar w:fldCharType="begin"/>
                          </w:r>
                          <w:r>
                            <w:instrText xml:space="preserve"> PAGE  \* MERGEFORMAT </w:instrText>
                          </w:r>
                          <w:r>
                            <w:fldChar w:fldCharType="separate"/>
                          </w:r>
                          <w:r>
                            <w:t>42</w:t>
                          </w:r>
                          <w:r>
                            <w:fldChar w:fldCharType="end"/>
                          </w:r>
                        </w:p>
                        <w:p w14:paraId="0A7DF1B6"/>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zSVju0AAAAAUBAAAPAAAAAAAAAAEAIAAA&#10;ACIAAABkcnMvZG93bnJldi54bWxQSwECFAAUAAAACACHTuJArUadddsBAACwAwAADgAAAAAAAAAB&#10;ACAAAAAfAQAAZHJzL2Uyb0RvYy54bWxQSwUGAAAAAAYABgBZAQAAbAUAAAAA&#10;">
              <v:fill on="f" focussize="0,0"/>
              <v:stroke on="f" weight="0.5pt"/>
              <v:imagedata o:title=""/>
              <o:lock v:ext="edit" aspectratio="f"/>
              <v:textbox inset="0mm,0mm,0mm,0mm" style="mso-fit-shape-to-text:t;">
                <w:txbxContent>
                  <w:p w14:paraId="0A1585D2">
                    <w:pPr>
                      <w:pStyle w:val="199"/>
                      <w:tabs>
                        <w:tab w:val="clear" w:pos="4153"/>
                        <w:tab w:val="clear" w:pos="8306"/>
                      </w:tabs>
                      <w:ind w:firstLine="360"/>
                    </w:pPr>
                    <w:r>
                      <w:fldChar w:fldCharType="begin"/>
                    </w:r>
                    <w:r>
                      <w:instrText xml:space="preserve"> PAGE  \* MERGEFORMAT </w:instrText>
                    </w:r>
                    <w:r>
                      <w:fldChar w:fldCharType="separate"/>
                    </w:r>
                    <w:r>
                      <w:t>42</w:t>
                    </w:r>
                    <w:r>
                      <w:fldChar w:fldCharType="end"/>
                    </w:r>
                  </w:p>
                  <w:p w14:paraId="0A7DF1B6"/>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8017D8">
    <w:pPr>
      <w:pStyle w:val="200"/>
      <w:pBdr>
        <w:bottom w:val="single" w:color="000000" w:sz="4" w:space="1"/>
      </w:pBdr>
      <w:spacing w:line="240" w:lineRule="atLeast"/>
      <w:ind w:firstLine="0"/>
      <w:rPr>
        <w:rFonts w:hint="eastAsia" w:ascii="仿宋" w:hAnsi="仿宋" w:eastAsia="仿宋" w:cs="仿宋"/>
        <w:lang w:eastAsia="zh-CN"/>
      </w:rPr>
    </w:pPr>
    <w:r>
      <w:rPr>
        <w:rFonts w:hint="eastAsia" w:ascii="仿宋" w:hAnsi="仿宋" w:eastAsia="仿宋" w:cs="仿宋"/>
        <w:lang w:val="en-US" w:eastAsia="zh-CN"/>
      </w:rPr>
      <w:t xml:space="preserve">               </w:t>
    </w:r>
    <w:r>
      <w:rPr>
        <w:rFonts w:hint="eastAsia" w:ascii="仿宋" w:hAnsi="仿宋" w:eastAsia="仿宋" w:cs="仿宋"/>
      </w:rPr>
      <w:t xml:space="preserve">                                                         </w:t>
    </w:r>
    <w:r>
      <w:rPr>
        <w:rFonts w:hint="eastAsia" w:ascii="仿宋" w:hAnsi="仿宋" w:eastAsia="仿宋" w:cs="仿宋"/>
        <w:lang w:eastAsia="zh-CN"/>
      </w:rPr>
      <w:t>江苏省招标中心有限公司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23C140">
    <w:pPr>
      <w:pStyle w:val="20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02D5BD">
    <w:pPr>
      <w:pStyle w:val="200"/>
      <w:pBdr>
        <w:bottom w:val="none" w:color="000000" w:sz="0" w:space="1"/>
      </w:pBdr>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DB474F">
    <w:pPr>
      <w:pStyle w:val="234"/>
      <w:jc w:val="left"/>
      <w:rPr>
        <w:sz w:val="21"/>
      </w:rPr>
    </w:pPr>
    <w:r>
      <w:rPr>
        <w:rFonts w:hint="eastAsia"/>
        <w:sz w:val="21"/>
        <w:lang w:eastAsia="zh-CN"/>
      </w:rPr>
      <w:t>江苏省招标中心有限公司</w:t>
    </w:r>
    <w:r>
      <w:rPr>
        <w:rFonts w:hint="eastAsia"/>
        <w:sz w:val="21"/>
      </w:rPr>
      <w:t xml:space="preserve">                                           </w:t>
    </w:r>
  </w:p>
  <w:p w14:paraId="33CEBB73">
    <w:pPr>
      <w:pStyle w:val="234"/>
      <w:spacing w:line="40" w:lineRule="exact"/>
      <w:jc w:val="righ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46C2BF">
    <w:pPr>
      <w:pStyle w:val="200"/>
      <w:pBdr>
        <w:bottom w:val="single" w:color="000000" w:sz="4" w:space="1"/>
      </w:pBdr>
      <w:spacing w:line="240" w:lineRule="auto"/>
      <w:ind w:firstLine="0"/>
      <w:rPr>
        <w:rFonts w:hint="eastAsia" w:ascii="仿宋" w:hAnsi="仿宋" w:eastAsia="宋体"/>
        <w:lang w:eastAsia="zh-CN"/>
      </w:rPr>
    </w:pPr>
    <w:r>
      <w:rPr>
        <w:rFonts w:hint="eastAsia" w:ascii="仿宋" w:hAnsi="仿宋" w:eastAsia="仿宋" w:cs="仿宋"/>
        <w:lang w:val="en-US" w:eastAsia="zh-CN"/>
      </w:rPr>
      <w:t xml:space="preserve">               </w:t>
    </w:r>
    <w:r>
      <w:rPr>
        <w:rFonts w:hint="eastAsia" w:ascii="仿宋" w:hAnsi="仿宋" w:eastAsia="仿宋" w:cs="仿宋"/>
      </w:rPr>
      <w:t xml:space="preserve">    </w:t>
    </w:r>
    <w:r>
      <w:rPr>
        <w:rFonts w:hint="eastAsia"/>
      </w:rPr>
      <w:t xml:space="preserve">                                                       </w:t>
    </w:r>
    <w:r>
      <w:rPr>
        <w:rFonts w:hint="eastAsia" w:ascii="楷体" w:hAnsi="楷体" w:eastAsia="楷体"/>
        <w:lang w:eastAsia="zh-CN"/>
      </w:rPr>
      <w:t>江苏省招标中心有限公司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BF205925"/>
    <w:multiLevelType w:val="multilevel"/>
    <w:tmpl w:val="BF205925"/>
    <w:lvl w:ilvl="0" w:tentative="0">
      <w:start w:val="1"/>
      <w:numFmt w:val="japaneseCounting"/>
      <w:pStyle w:val="217"/>
      <w:lvlText w:val="%1、"/>
      <w:lvlJc w:val="left"/>
      <w:pPr>
        <w:tabs>
          <w:tab w:val="left" w:pos="720"/>
        </w:tabs>
        <w:ind w:left="720" w:hanging="720"/>
      </w:pPr>
      <w:rPr>
        <w:rFonts w:hint="eastAsia"/>
      </w:rPr>
    </w:lvl>
    <w:lvl w:ilvl="1" w:tentative="0">
      <w:start w:val="1"/>
      <w:numFmt w:val="chineseCountingThousand"/>
      <w:lvlText w:val="（%2）"/>
      <w:lvlJc w:val="left"/>
      <w:pPr>
        <w:tabs>
          <w:tab w:val="left" w:pos="780"/>
        </w:tabs>
        <w:ind w:left="780" w:hanging="780"/>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2">
    <w:nsid w:val="CF092B84"/>
    <w:multiLevelType w:val="multilevel"/>
    <w:tmpl w:val="CF092B84"/>
    <w:lvl w:ilvl="0" w:tentative="0">
      <w:start w:val="1"/>
      <w:numFmt w:val="decimal"/>
      <w:suff w:val="nothing"/>
      <w:lvlText w:val="第 %1 部分 "/>
      <w:lvlJc w:val="left"/>
      <w:rPr>
        <w:rFonts w:hint="eastAsia" w:ascii="黑体" w:hAnsi="宋体" w:eastAsia="黑体"/>
        <w:b/>
        <w:bCs/>
        <w:i w:val="0"/>
        <w:iCs w:val="0"/>
        <w:caps w:val="0"/>
        <w:smallCaps w:val="0"/>
        <w:strike w:val="0"/>
        <w:spacing w:val="0"/>
        <w:position w:val="0"/>
        <w:u w:val="none"/>
        <w:vertAlign w:val="baseline"/>
      </w:rPr>
    </w:lvl>
    <w:lvl w:ilvl="1" w:tentative="0">
      <w:start w:val="1"/>
      <w:numFmt w:val="decimal"/>
      <w:pStyle w:val="182"/>
      <w:suff w:val="nothing"/>
      <w:lvlText w:val="%1.%2 "/>
      <w:lvlJc w:val="left"/>
      <w:rPr>
        <w:rFonts w:hint="eastAsia"/>
      </w:rPr>
    </w:lvl>
    <w:lvl w:ilvl="2" w:tentative="0">
      <w:start w:val="1"/>
      <w:numFmt w:val="decimal"/>
      <w:suff w:val="nothing"/>
      <w:lvlText w:val=""/>
      <w:lvlJc w:val="left"/>
      <w:rPr>
        <w:rFonts w:hint="eastAsia" w:ascii="Arial Unicode MS" w:hAnsi="Arial Unicode MS" w:eastAsia="Arial Unicode MS"/>
        <w:sz w:val="24"/>
        <w:szCs w:val="24"/>
      </w:rPr>
    </w:lvl>
    <w:lvl w:ilvl="3" w:tentative="0">
      <w:start w:val="1"/>
      <w:numFmt w:val="decimal"/>
      <w:suff w:val="nothing"/>
      <w:lvlText w:val=""/>
      <w:lvlJc w:val="left"/>
      <w:rPr>
        <w:rFonts w:hint="eastAsia"/>
      </w:rPr>
    </w:lvl>
    <w:lvl w:ilvl="4" w:tentative="0">
      <w:start w:val="1"/>
      <w:numFmt w:val="decimal"/>
      <w:suff w:val="nothing"/>
      <w:lvlText w:val="%1.%2.%3.%4.%5 "/>
      <w:lvlJc w:val="left"/>
      <w:rPr>
        <w:rFonts w:hint="eastAsia"/>
        <w:sz w:val="28"/>
        <w:szCs w:val="28"/>
      </w:rPr>
    </w:lvl>
    <w:lvl w:ilvl="5" w:tentative="0">
      <w:start w:val="1"/>
      <w:numFmt w:val="decimal"/>
      <w:suff w:val="nothing"/>
      <w:lvlText w:val=""/>
      <w:lvlJc w:val="left"/>
      <w:rPr>
        <w:rFonts w:hint="eastAsia"/>
      </w:rPr>
    </w:lvl>
    <w:lvl w:ilvl="6" w:tentative="0">
      <w:start w:val="1"/>
      <w:numFmt w:val="decimal"/>
      <w:suff w:val="nothing"/>
      <w:lvlText w:val=""/>
      <w:lvlJc w:val="left"/>
      <w:rPr>
        <w:rFonts w:hint="eastAsia"/>
      </w:rPr>
    </w:lvl>
    <w:lvl w:ilvl="7" w:tentative="0">
      <w:start w:val="1"/>
      <w:numFmt w:val="decimal"/>
      <w:suff w:val="nothing"/>
      <w:lvlText w:val=""/>
      <w:lvlJc w:val="left"/>
      <w:rPr>
        <w:rFonts w:hint="eastAsia"/>
      </w:rPr>
    </w:lvl>
    <w:lvl w:ilvl="8" w:tentative="0">
      <w:start w:val="1"/>
      <w:numFmt w:val="decimal"/>
      <w:suff w:val="nothing"/>
      <w:lvlText w:val=""/>
      <w:lvlJc w:val="left"/>
      <w:rPr>
        <w:rFonts w:hint="eastAsia"/>
      </w:rPr>
    </w:lvl>
  </w:abstractNum>
  <w:abstractNum w:abstractNumId="3">
    <w:nsid w:val="0053208E"/>
    <w:multiLevelType w:val="multilevel"/>
    <w:tmpl w:val="0053208E"/>
    <w:lvl w:ilvl="0" w:tentative="0">
      <w:start w:val="1"/>
      <w:numFmt w:val="chineseCountingThousand"/>
      <w:pStyle w:val="181"/>
      <w:lvlText w:val="%1、"/>
      <w:lvlJc w:val="left"/>
      <w:pPr>
        <w:ind w:left="0" w:firstLine="0"/>
      </w:pPr>
      <w:rPr>
        <w:rFonts w:ascii="Times New Roman" w:hAnsi="Times New Roman" w:eastAsia="黑体"/>
        <w:b w:val="0"/>
        <w:i w:val="0"/>
        <w:sz w:val="30"/>
      </w:rPr>
    </w:lvl>
    <w:lvl w:ilvl="1" w:tentative="0">
      <w:start w:val="1"/>
      <w:numFmt w:val="chineseCountingThousand"/>
      <w:lvlText w:val="（%2）"/>
      <w:lvlJc w:val="left"/>
      <w:pPr>
        <w:ind w:left="2127" w:firstLine="0"/>
      </w:pPr>
      <w:rPr>
        <w:rFonts w:ascii="Times New Roman" w:hAnsi="Times New Roman" w:eastAsia="楷体"/>
        <w:b w:val="0"/>
        <w:i w:val="0"/>
        <w:sz w:val="30"/>
        <w:lang w:val="en-US"/>
      </w:rPr>
    </w:lvl>
    <w:lvl w:ilvl="2" w:tentative="0">
      <w:start w:val="1"/>
      <w:numFmt w:val="decimal"/>
      <w:lvlText w:val="%3."/>
      <w:lvlJc w:val="left"/>
      <w:pPr>
        <w:ind w:left="0" w:firstLine="0"/>
      </w:pPr>
      <w:rPr>
        <w:rFonts w:ascii="Times New Roman" w:hAnsi="Times New Roman" w:eastAsia="仿宋"/>
        <w:b/>
        <w:i w:val="0"/>
        <w:sz w:val="30"/>
      </w:rPr>
    </w:lvl>
    <w:lvl w:ilvl="3" w:tentative="0">
      <w:start w:val="1"/>
      <w:numFmt w:val="decimal"/>
      <w:lvlText w:val="（%4）"/>
      <w:lvlJc w:val="left"/>
      <w:pPr>
        <w:ind w:left="0" w:firstLine="0"/>
      </w:pPr>
      <w:rPr>
        <w:rFonts w:ascii="Times New Roman" w:hAnsi="Times New Roman" w:eastAsia="仿宋"/>
        <w:b w:val="0"/>
        <w:i w:val="0"/>
        <w:sz w:val="30"/>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0248C179"/>
    <w:multiLevelType w:val="multilevel"/>
    <w:tmpl w:val="0248C17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3D62ECE"/>
    <w:multiLevelType w:val="multilevel"/>
    <w:tmpl w:val="03D62ECE"/>
    <w:lvl w:ilvl="0" w:tentative="0">
      <w:start w:val="6"/>
      <w:numFmt w:val="chineseCounting"/>
      <w:suff w:val="nothing"/>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6">
    <w:nsid w:val="25B654F3"/>
    <w:multiLevelType w:val="multilevel"/>
    <w:tmpl w:val="25B654F3"/>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59ADCABA"/>
    <w:multiLevelType w:val="multilevel"/>
    <w:tmpl w:val="59ADCABA"/>
    <w:lvl w:ilvl="0" w:tentative="0">
      <w:start w:val="1"/>
      <w:numFmt w:val="chineseCounting"/>
      <w:lvlText w:val="%1、"/>
      <w:lvlJc w:val="left"/>
      <w:pPr>
        <w:tabs>
          <w:tab w:val="left" w:pos="420"/>
        </w:tabs>
        <w:ind w:left="2525" w:hanging="425"/>
      </w:pPr>
      <w:rPr>
        <w:rFonts w:hint="eastAsia" w:ascii="宋体" w:hAnsi="宋体" w:eastAsia="宋体" w:cs="Tahoma"/>
      </w:rPr>
    </w:lvl>
    <w:lvl w:ilvl="1" w:tentative="0">
      <w:start w:val="1"/>
      <w:numFmt w:val="decimal"/>
      <w:lvlText w:val="%2."/>
      <w:lvlJc w:val="left"/>
      <w:pPr>
        <w:tabs>
          <w:tab w:val="left" w:pos="420"/>
        </w:tabs>
        <w:ind w:left="987" w:hanging="567"/>
      </w:pPr>
      <w:rPr>
        <w:rFonts w:ascii="宋体" w:hAnsi="宋体" w:eastAsia="宋体" w:cs="Tahoma"/>
        <w:sz w:val="30"/>
        <w:szCs w:val="30"/>
      </w:rPr>
    </w:lvl>
    <w:lvl w:ilvl="2" w:tentative="0">
      <w:start w:val="1"/>
      <w:numFmt w:val="decimal"/>
      <w:lvlText w:val="%2.%3."/>
      <w:lvlJc w:val="left"/>
      <w:pPr>
        <w:tabs>
          <w:tab w:val="left" w:pos="420"/>
        </w:tabs>
        <w:ind w:left="709" w:hanging="709"/>
      </w:pPr>
      <w:rPr>
        <w:rFonts w:hint="eastAsia" w:ascii="宋体" w:hAnsi="宋体" w:eastAsia="宋体" w:cs="Tahoma"/>
      </w:rPr>
    </w:lvl>
    <w:lvl w:ilvl="3" w:tentative="0">
      <w:start w:val="1"/>
      <w:numFmt w:val="decimal"/>
      <w:lvlText w:val="%2.%3.%4."/>
      <w:lvlJc w:val="left"/>
      <w:pPr>
        <w:ind w:left="850" w:hanging="850"/>
      </w:pPr>
      <w:rPr>
        <w:rFonts w:hint="eastAsia" w:ascii="宋体" w:hAnsi="宋体" w:eastAsia="宋体" w:cs="Tahoma"/>
      </w:rPr>
    </w:lvl>
    <w:lvl w:ilvl="4" w:tentative="0">
      <w:start w:val="1"/>
      <w:numFmt w:val="decimal"/>
      <w:lvlText w:val="%2.%3.%4.%5."/>
      <w:lvlJc w:val="left"/>
      <w:pPr>
        <w:ind w:left="991" w:hanging="991"/>
      </w:pPr>
      <w:rPr>
        <w:rFonts w:hint="eastAsia" w:ascii="宋体" w:hAnsi="宋体" w:eastAsia="宋体" w:cs="Tahoma"/>
      </w:rPr>
    </w:lvl>
    <w:lvl w:ilvl="5" w:tentative="0">
      <w:start w:val="1"/>
      <w:numFmt w:val="decimal"/>
      <w:pStyle w:val="185"/>
      <w:lvlText w:val="%2.%3.%4.%5.%6."/>
      <w:lvlJc w:val="left"/>
      <w:pPr>
        <w:ind w:left="1134" w:hanging="1134"/>
      </w:pPr>
      <w:rPr>
        <w:rFonts w:hint="eastAsia" w:ascii="宋体" w:hAnsi="宋体" w:eastAsia="宋体" w:cs="Tahoma"/>
      </w:rPr>
    </w:lvl>
    <w:lvl w:ilvl="6" w:tentative="0">
      <w:start w:val="1"/>
      <w:numFmt w:val="decimal"/>
      <w:lvlText w:val="%2.%3.%4.%5.%6.%7."/>
      <w:lvlJc w:val="left"/>
      <w:pPr>
        <w:ind w:left="1275" w:hanging="1275"/>
      </w:pPr>
      <w:rPr>
        <w:rFonts w:hint="eastAsia" w:ascii="宋体" w:hAnsi="宋体" w:eastAsia="宋体" w:cs="Tahoma"/>
      </w:rPr>
    </w:lvl>
    <w:lvl w:ilvl="7" w:tentative="0">
      <w:start w:val="1"/>
      <w:numFmt w:val="decimal"/>
      <w:lvlText w:val="%2.%3.%4.%5.%6.%7.%8."/>
      <w:lvlJc w:val="left"/>
      <w:pPr>
        <w:ind w:left="1418" w:hanging="1418"/>
      </w:pPr>
      <w:rPr>
        <w:rFonts w:hint="eastAsia" w:ascii="宋体" w:hAnsi="宋体" w:eastAsia="宋体" w:cs="Tahoma"/>
      </w:rPr>
    </w:lvl>
    <w:lvl w:ilvl="8" w:tentative="0">
      <w:start w:val="1"/>
      <w:numFmt w:val="decimal"/>
      <w:lvlText w:val="%2.%3.%4.%5.%6.%7.%8.%9."/>
      <w:lvlJc w:val="left"/>
      <w:pPr>
        <w:ind w:left="1558" w:hanging="1558"/>
      </w:pPr>
      <w:rPr>
        <w:rFonts w:hint="eastAsia" w:ascii="宋体" w:hAnsi="宋体" w:eastAsia="宋体" w:cs="Tahoma"/>
      </w:rPr>
    </w:lvl>
  </w:abstractNum>
  <w:abstractNum w:abstractNumId="8">
    <w:nsid w:val="72183CF9"/>
    <w:multiLevelType w:val="multilevel"/>
    <w:tmpl w:val="72183CF9"/>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420"/>
  <w:characterSpacingControl w:val="doNotCompress"/>
  <w:compat>
    <w:balanceSingleByteDoubleByteWidth/>
    <w:ulTrailSpace/>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768505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13"/>
    <w:qFormat/>
    <w:uiPriority w:val="0"/>
    <w:pPr>
      <w:widowControl w:val="0"/>
      <w:jc w:val="both"/>
    </w:pPr>
    <w:rPr>
      <w:rFonts w:hint="default" w:ascii="Calibri" w:hAnsi="Calibri" w:eastAsia="宋体" w:cs="Calibri"/>
      <w:sz w:val="21"/>
      <w:szCs w:val="21"/>
      <w:lang w:val="en-US" w:eastAsia="zh-CN" w:bidi="ar-SA"/>
    </w:rPr>
  </w:style>
  <w:style w:type="paragraph" w:styleId="2">
    <w:name w:val="heading 1"/>
    <w:basedOn w:val="1"/>
    <w:next w:val="1"/>
    <w:link w:val="3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2"/>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179"/>
    <w:semiHidden/>
    <w:unhideWhenUsed/>
    <w:qFormat/>
    <w:uiPriority w:val="99"/>
    <w:pPr>
      <w:spacing w:after="0" w:line="240" w:lineRule="auto"/>
    </w:pPr>
    <w:rPr>
      <w:sz w:val="20"/>
    </w:rPr>
  </w:style>
  <w:style w:type="paragraph" w:styleId="17">
    <w:name w:val="footer"/>
    <w:basedOn w:val="1"/>
    <w:link w:val="52"/>
    <w:unhideWhenUsed/>
    <w:qFormat/>
    <w:uiPriority w:val="99"/>
    <w:pPr>
      <w:tabs>
        <w:tab w:val="center" w:pos="7143"/>
        <w:tab w:val="right" w:pos="14287"/>
      </w:tabs>
      <w:spacing w:after="0" w:line="240" w:lineRule="auto"/>
    </w:pPr>
  </w:style>
  <w:style w:type="paragraph" w:styleId="18">
    <w:name w:val="header"/>
    <w:basedOn w:val="1"/>
    <w:link w:val="50"/>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45"/>
    <w:qFormat/>
    <w:uiPriority w:val="11"/>
    <w:pPr>
      <w:spacing w:before="200" w:after="200"/>
    </w:pPr>
    <w:rPr>
      <w:sz w:val="24"/>
      <w:szCs w:val="24"/>
    </w:rPr>
  </w:style>
  <w:style w:type="paragraph" w:styleId="22">
    <w:name w:val="footnote text"/>
    <w:basedOn w:val="1"/>
    <w:link w:val="178"/>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link w:val="44"/>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themeColor="hyperlink"/>
      <w:u w:val="single"/>
    </w:rPr>
  </w:style>
  <w:style w:type="character" w:styleId="33">
    <w:name w:val="footnote reference"/>
    <w:unhideWhenUsed/>
    <w:qFormat/>
    <w:uiPriority w:val="99"/>
    <w:rPr>
      <w:vertAlign w:val="superscript"/>
    </w:rPr>
  </w:style>
  <w:style w:type="character" w:customStyle="1" w:styleId="34">
    <w:name w:val="Heading 1 Char"/>
    <w:link w:val="2"/>
    <w:qFormat/>
    <w:uiPriority w:val="9"/>
    <w:rPr>
      <w:rFonts w:ascii="Arial" w:hAnsi="Arial" w:eastAsia="Arial" w:cs="Arial"/>
      <w:sz w:val="40"/>
      <w:szCs w:val="40"/>
    </w:rPr>
  </w:style>
  <w:style w:type="character" w:customStyle="1" w:styleId="35">
    <w:name w:val="Heading 2 Char"/>
    <w:link w:val="3"/>
    <w:qFormat/>
    <w:uiPriority w:val="9"/>
    <w:rPr>
      <w:rFonts w:ascii="Arial" w:hAnsi="Arial" w:eastAsia="Arial" w:cs="Arial"/>
      <w:sz w:val="34"/>
    </w:rPr>
  </w:style>
  <w:style w:type="character" w:customStyle="1" w:styleId="36">
    <w:name w:val="Heading 3 Char"/>
    <w:link w:val="4"/>
    <w:qFormat/>
    <w:uiPriority w:val="9"/>
    <w:rPr>
      <w:rFonts w:ascii="Arial" w:hAnsi="Arial" w:eastAsia="Arial" w:cs="Arial"/>
      <w:sz w:val="30"/>
      <w:szCs w:val="30"/>
    </w:rPr>
  </w:style>
  <w:style w:type="character" w:customStyle="1" w:styleId="37">
    <w:name w:val="Heading 4 Char"/>
    <w:link w:val="5"/>
    <w:qFormat/>
    <w:uiPriority w:val="9"/>
    <w:rPr>
      <w:rFonts w:ascii="Arial" w:hAnsi="Arial" w:eastAsia="Arial" w:cs="Arial"/>
      <w:b/>
      <w:bCs/>
      <w:sz w:val="26"/>
      <w:szCs w:val="26"/>
    </w:rPr>
  </w:style>
  <w:style w:type="character" w:customStyle="1" w:styleId="38">
    <w:name w:val="Heading 5 Char"/>
    <w:link w:val="6"/>
    <w:qFormat/>
    <w:uiPriority w:val="9"/>
    <w:rPr>
      <w:rFonts w:ascii="Arial" w:hAnsi="Arial" w:eastAsia="Arial" w:cs="Arial"/>
      <w:b/>
      <w:bCs/>
      <w:sz w:val="24"/>
      <w:szCs w:val="24"/>
    </w:rPr>
  </w:style>
  <w:style w:type="character" w:customStyle="1" w:styleId="39">
    <w:name w:val="Heading 6 Char"/>
    <w:link w:val="7"/>
    <w:qFormat/>
    <w:uiPriority w:val="9"/>
    <w:rPr>
      <w:rFonts w:ascii="Arial" w:hAnsi="Arial" w:eastAsia="Arial" w:cs="Arial"/>
      <w:b/>
      <w:bCs/>
      <w:sz w:val="22"/>
      <w:szCs w:val="22"/>
    </w:rPr>
  </w:style>
  <w:style w:type="character" w:customStyle="1" w:styleId="40">
    <w:name w:val="Heading 7 Char"/>
    <w:link w:val="8"/>
    <w:qFormat/>
    <w:uiPriority w:val="9"/>
    <w:rPr>
      <w:rFonts w:ascii="Arial" w:hAnsi="Arial" w:eastAsia="Arial" w:cs="Arial"/>
      <w:b/>
      <w:bCs/>
      <w:i/>
      <w:iCs/>
      <w:sz w:val="22"/>
      <w:szCs w:val="22"/>
    </w:rPr>
  </w:style>
  <w:style w:type="character" w:customStyle="1" w:styleId="41">
    <w:name w:val="Heading 8 Char"/>
    <w:link w:val="9"/>
    <w:qFormat/>
    <w:uiPriority w:val="9"/>
    <w:rPr>
      <w:rFonts w:ascii="Arial" w:hAnsi="Arial" w:eastAsia="Arial" w:cs="Arial"/>
      <w:i/>
      <w:iCs/>
      <w:sz w:val="22"/>
      <w:szCs w:val="22"/>
    </w:rPr>
  </w:style>
  <w:style w:type="character" w:customStyle="1" w:styleId="42">
    <w:name w:val="Heading 9 Char"/>
    <w:link w:val="10"/>
    <w:qFormat/>
    <w:uiPriority w:val="9"/>
    <w:rPr>
      <w:rFonts w:ascii="Arial" w:hAnsi="Arial" w:eastAsia="Arial" w:cs="Arial"/>
      <w:i/>
      <w:iCs/>
      <w:sz w:val="21"/>
      <w:szCs w:val="21"/>
    </w:rPr>
  </w:style>
  <w:style w:type="paragraph" w:styleId="43">
    <w:name w:val="No Spacing"/>
    <w:qFormat/>
    <w:uiPriority w:val="1"/>
    <w:pPr>
      <w:spacing w:before="0" w:after="0" w:line="240" w:lineRule="auto"/>
    </w:pPr>
    <w:rPr>
      <w:rFonts w:hint="default" w:ascii="Times New Roman" w:hAnsi="Times New Roman" w:eastAsia="宋体" w:cs="Times New Roman"/>
    </w:rPr>
  </w:style>
  <w:style w:type="character" w:customStyle="1" w:styleId="44">
    <w:name w:val="Title Char"/>
    <w:link w:val="27"/>
    <w:qFormat/>
    <w:uiPriority w:val="10"/>
    <w:rPr>
      <w:sz w:val="48"/>
      <w:szCs w:val="48"/>
    </w:rPr>
  </w:style>
  <w:style w:type="character" w:customStyle="1" w:styleId="45">
    <w:name w:val="Subtitle Char"/>
    <w:link w:val="21"/>
    <w:qFormat/>
    <w:uiPriority w:val="11"/>
    <w:rPr>
      <w:sz w:val="24"/>
      <w:szCs w:val="24"/>
    </w:rPr>
  </w:style>
  <w:style w:type="paragraph" w:styleId="46">
    <w:name w:val="Quote"/>
    <w:basedOn w:val="1"/>
    <w:next w:val="1"/>
    <w:link w:val="47"/>
    <w:qFormat/>
    <w:uiPriority w:val="29"/>
    <w:pPr>
      <w:ind w:left="720" w:right="720"/>
    </w:pPr>
    <w:rPr>
      <w:i/>
    </w:rPr>
  </w:style>
  <w:style w:type="character" w:customStyle="1" w:styleId="47">
    <w:name w:val="Quote Char"/>
    <w:link w:val="46"/>
    <w:qFormat/>
    <w:uiPriority w:val="29"/>
    <w:rPr>
      <w:i/>
    </w:rPr>
  </w:style>
  <w:style w:type="paragraph" w:styleId="48">
    <w:name w:val="Intense Quote"/>
    <w:basedOn w:val="1"/>
    <w:next w:val="1"/>
    <w:link w:val="4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49">
    <w:name w:val="Intense Quote Char"/>
    <w:link w:val="48"/>
    <w:qFormat/>
    <w:uiPriority w:val="30"/>
    <w:rPr>
      <w:i/>
    </w:rPr>
  </w:style>
  <w:style w:type="character" w:customStyle="1" w:styleId="50">
    <w:name w:val="Header Char"/>
    <w:link w:val="18"/>
    <w:qFormat/>
    <w:uiPriority w:val="99"/>
  </w:style>
  <w:style w:type="character" w:customStyle="1" w:styleId="51">
    <w:name w:val="Footer Char"/>
    <w:link w:val="17"/>
    <w:qFormat/>
    <w:uiPriority w:val="99"/>
  </w:style>
  <w:style w:type="character" w:customStyle="1" w:styleId="52">
    <w:name w:val="Caption Char"/>
    <w:link w:val="17"/>
    <w:qFormat/>
    <w:uiPriority w:val="99"/>
  </w:style>
  <w:style w:type="table" w:customStyle="1" w:styleId="53">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4">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5">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6">
    <w:name w:val="Plain Table 3"/>
    <w:qFormat/>
    <w:uiPriority w:val="99"/>
    <w:pPr>
      <w:spacing w:after="0" w:line="240" w:lineRule="auto"/>
    </w:pP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Plain Table 4"/>
    <w:qFormat/>
    <w:uiPriority w:val="99"/>
    <w:pPr>
      <w:spacing w:after="0" w:line="240" w:lineRule="auto"/>
    </w:p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5"/>
    <w:qFormat/>
    <w:uiPriority w:val="99"/>
    <w:pPr>
      <w:spacing w:after="0" w:line="240" w:lineRule="auto"/>
    </w:pP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0">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1">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2">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3">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4">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5">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6">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8">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9">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0">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1">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2">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3">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5">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2">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8">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89">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0">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1">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2">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3">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4">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5">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6">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7">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98">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99">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0">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1">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2">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3">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4">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5">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6">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7">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08">
    <w:name w:val="List Table 1 Light"/>
    <w:qFormat/>
    <w:uiPriority w:val="99"/>
    <w:pPr>
      <w:spacing w:after="0" w:line="240" w:lineRule="auto"/>
    </w:pP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9">
    <w:name w:val="List Table 1 Light - Accent 1"/>
    <w:qFormat/>
    <w:uiPriority w:val="99"/>
    <w:pPr>
      <w:spacing w:after="0" w:line="240" w:lineRule="auto"/>
    </w:pP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0">
    <w:name w:val="List Table 1 Light - Accent 2"/>
    <w:qFormat/>
    <w:uiPriority w:val="99"/>
    <w:pPr>
      <w:spacing w:after="0" w:line="240" w:lineRule="auto"/>
    </w:pP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1">
    <w:name w:val="List Table 1 Light - Accent 3"/>
    <w:qFormat/>
    <w:uiPriority w:val="99"/>
    <w:pPr>
      <w:spacing w:after="0" w:line="240" w:lineRule="auto"/>
    </w:pP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2">
    <w:name w:val="List Table 1 Light - Accent 4"/>
    <w:qFormat/>
    <w:uiPriority w:val="99"/>
    <w:pPr>
      <w:spacing w:after="0" w:line="240" w:lineRule="auto"/>
    </w:pP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3">
    <w:name w:val="List Table 1 Light - Accent 5"/>
    <w:qFormat/>
    <w:uiPriority w:val="99"/>
    <w:pPr>
      <w:spacing w:after="0" w:line="240" w:lineRule="auto"/>
    </w:pP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4">
    <w:name w:val="List Table 1 Light - Accent 6"/>
    <w:qFormat/>
    <w:uiPriority w:val="99"/>
    <w:pPr>
      <w:spacing w:after="0" w:line="240" w:lineRule="auto"/>
    </w:pP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5">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6">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7">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8">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19">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0">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1">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2">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3">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4">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5">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6">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7">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8">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29">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0">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1">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2">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3">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4">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5">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6">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7">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8">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39">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0">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1">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2">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3">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4">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5">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6">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7">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48">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49">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0">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1">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2">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3">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4">
    <w:name w:val="List Table 7 Colorful - Accent 4"/>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5">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6">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7">
    <w:name w:val="Lined - Accent"/>
    <w:qFormat/>
    <w:uiPriority w:val="99"/>
    <w:pPr>
      <w:spacing w:after="0" w:line="240" w:lineRule="auto"/>
    </w:pPr>
    <w:rPr>
      <w:color w:val="404040"/>
    </w:rP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8">
    <w:name w:val="Lined - Accent 1"/>
    <w:qFormat/>
    <w:uiPriority w:val="99"/>
    <w:pPr>
      <w:spacing w:after="0" w:line="240" w:lineRule="auto"/>
    </w:pPr>
    <w:rPr>
      <w:color w:val="404040"/>
    </w:rP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59">
    <w:name w:val="Lined - Accent 2"/>
    <w:qFormat/>
    <w:uiPriority w:val="99"/>
    <w:pPr>
      <w:spacing w:after="0" w:line="240" w:lineRule="auto"/>
    </w:pPr>
    <w:rPr>
      <w:color w:val="404040"/>
    </w:rP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0">
    <w:name w:val="Lined - Accent 3"/>
    <w:qFormat/>
    <w:uiPriority w:val="99"/>
    <w:pPr>
      <w:spacing w:after="0" w:line="240" w:lineRule="auto"/>
    </w:pPr>
    <w:rPr>
      <w:color w:val="404040"/>
    </w:rP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1">
    <w:name w:val="Lined - Accent 4"/>
    <w:qFormat/>
    <w:uiPriority w:val="99"/>
    <w:pPr>
      <w:spacing w:after="0" w:line="240" w:lineRule="auto"/>
    </w:pPr>
    <w:rPr>
      <w:color w:val="404040"/>
    </w:rP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2">
    <w:name w:val="Lined - Accent 5"/>
    <w:uiPriority w:val="99"/>
    <w:pPr>
      <w:spacing w:after="0" w:line="240" w:lineRule="auto"/>
    </w:pPr>
    <w:rPr>
      <w:color w:val="404040"/>
    </w:rP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3">
    <w:name w:val="Lined - Accent 6"/>
    <w:uiPriority w:val="99"/>
    <w:pPr>
      <w:spacing w:after="0" w:line="240" w:lineRule="auto"/>
    </w:pPr>
    <w:rPr>
      <w:color w:val="404040"/>
    </w:rP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4">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2">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3">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4">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5">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6">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7">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8">
    <w:name w:val="Footnote Text Char"/>
    <w:link w:val="22"/>
    <w:qFormat/>
    <w:uiPriority w:val="99"/>
    <w:rPr>
      <w:sz w:val="18"/>
    </w:rPr>
  </w:style>
  <w:style w:type="character" w:customStyle="1" w:styleId="179">
    <w:name w:val="Endnote Text Char"/>
    <w:link w:val="16"/>
    <w:qFormat/>
    <w:uiPriority w:val="99"/>
    <w:rPr>
      <w:sz w:val="20"/>
    </w:rPr>
  </w:style>
  <w:style w:type="paragraph" w:customStyle="1" w:styleId="180">
    <w:name w:val="TOC Heading"/>
    <w:unhideWhenUsed/>
    <w:qFormat/>
    <w:uiPriority w:val="39"/>
    <w:rPr>
      <w:rFonts w:hint="default" w:ascii="Times New Roman" w:hAnsi="Times New Roman" w:eastAsia="宋体" w:cs="Times New Roman"/>
    </w:rPr>
  </w:style>
  <w:style w:type="paragraph" w:customStyle="1" w:styleId="181">
    <w:name w:val="标题 11"/>
    <w:basedOn w:val="1"/>
    <w:next w:val="1"/>
    <w:qFormat/>
    <w:uiPriority w:val="9"/>
    <w:pPr>
      <w:keepNext/>
      <w:keepLines/>
      <w:numPr>
        <w:ilvl w:val="0"/>
        <w:numId w:val="1"/>
      </w:numPr>
      <w:tabs>
        <w:tab w:val="left" w:pos="1276"/>
        <w:tab w:val="left" w:pos="1701"/>
      </w:tabs>
      <w:outlineLvl w:val="0"/>
    </w:pPr>
    <w:rPr>
      <w:rFonts w:ascii="Times New Roman" w:hAnsi="Times New Roman" w:eastAsia="黑体"/>
      <w:bCs/>
      <w:szCs w:val="44"/>
    </w:rPr>
  </w:style>
  <w:style w:type="paragraph" w:customStyle="1" w:styleId="182">
    <w:name w:val="标题 21"/>
    <w:basedOn w:val="1"/>
    <w:unhideWhenUsed/>
    <w:qFormat/>
    <w:uiPriority w:val="0"/>
    <w:pPr>
      <w:keepNext/>
      <w:keepLines/>
      <w:numPr>
        <w:ilvl w:val="1"/>
        <w:numId w:val="2"/>
      </w:numPr>
      <w:spacing w:before="260" w:after="260" w:line="415" w:lineRule="auto"/>
      <w:ind w:firstLine="200"/>
      <w:jc w:val="center"/>
      <w:outlineLvl w:val="1"/>
    </w:pPr>
    <w:rPr>
      <w:rFonts w:ascii="Arial" w:hAnsi="Arial" w:eastAsia="幼圆" w:cs="Arial"/>
      <w:b/>
      <w:bCs/>
      <w:sz w:val="44"/>
      <w:szCs w:val="44"/>
    </w:rPr>
  </w:style>
  <w:style w:type="paragraph" w:customStyle="1" w:styleId="183">
    <w:name w:val="标题 31"/>
    <w:basedOn w:val="1"/>
    <w:next w:val="1"/>
    <w:unhideWhenUsed/>
    <w:qFormat/>
    <w:uiPriority w:val="9"/>
    <w:pPr>
      <w:keepNext/>
      <w:keepLines/>
      <w:spacing w:before="260" w:after="260" w:line="416" w:lineRule="auto"/>
      <w:outlineLvl w:val="2"/>
    </w:pPr>
    <w:rPr>
      <w:b/>
      <w:bCs/>
      <w:sz w:val="32"/>
      <w:szCs w:val="32"/>
    </w:rPr>
  </w:style>
  <w:style w:type="paragraph" w:customStyle="1" w:styleId="184">
    <w:name w:val="标题 41"/>
    <w:basedOn w:val="1"/>
    <w:next w:val="1"/>
    <w:qFormat/>
    <w:uiPriority w:val="9"/>
    <w:pPr>
      <w:keepNext/>
      <w:keepLines/>
      <w:spacing w:line="376" w:lineRule="auto"/>
      <w:outlineLvl w:val="3"/>
    </w:pPr>
    <w:rPr>
      <w:rFonts w:ascii="Cambria" w:hAnsi="Cambria" w:cs="Times New Roman"/>
      <w:b/>
      <w:bCs/>
      <w:sz w:val="28"/>
      <w:szCs w:val="28"/>
    </w:rPr>
  </w:style>
  <w:style w:type="paragraph" w:customStyle="1" w:styleId="185">
    <w:name w:val="标题 61"/>
    <w:basedOn w:val="1"/>
    <w:next w:val="1"/>
    <w:unhideWhenUsed/>
    <w:qFormat/>
    <w:uiPriority w:val="0"/>
    <w:pPr>
      <w:keepNext/>
      <w:keepLines/>
      <w:numPr>
        <w:ilvl w:val="5"/>
        <w:numId w:val="3"/>
      </w:numPr>
      <w:tabs>
        <w:tab w:val="left" w:pos="420"/>
      </w:tabs>
      <w:spacing w:before="240" w:after="64" w:line="317" w:lineRule="auto"/>
      <w:outlineLvl w:val="5"/>
    </w:pPr>
    <w:rPr>
      <w:rFonts w:ascii="Arial" w:hAnsi="Arial" w:eastAsia="黑体"/>
      <w:b/>
      <w:sz w:val="24"/>
    </w:rPr>
  </w:style>
  <w:style w:type="character" w:customStyle="1" w:styleId="186">
    <w:name w:val="默认段落字体1"/>
    <w:link w:val="1"/>
    <w:unhideWhenUsed/>
    <w:qFormat/>
    <w:uiPriority w:val="1"/>
  </w:style>
  <w:style w:type="table" w:customStyle="1" w:styleId="187">
    <w:name w:val="普通表格1"/>
    <w:unhideWhenUsed/>
    <w:qFormat/>
    <w:uiPriority w:val="99"/>
  </w:style>
  <w:style w:type="paragraph" w:customStyle="1" w:styleId="188">
    <w:name w:val="正文缩进11"/>
    <w:basedOn w:val="1"/>
    <w:next w:val="1"/>
    <w:qFormat/>
    <w:uiPriority w:val="0"/>
    <w:pPr>
      <w:ind w:firstLine="420"/>
    </w:pPr>
    <w:rPr>
      <w:szCs w:val="20"/>
    </w:rPr>
  </w:style>
  <w:style w:type="paragraph" w:customStyle="1" w:styleId="189">
    <w:name w:val="批注文字1"/>
    <w:basedOn w:val="1"/>
    <w:link w:val="190"/>
    <w:unhideWhenUsed/>
    <w:qFormat/>
    <w:uiPriority w:val="99"/>
    <w:pPr>
      <w:jc w:val="left"/>
    </w:pPr>
  </w:style>
  <w:style w:type="character" w:customStyle="1" w:styleId="190">
    <w:name w:val="批注文字 Char"/>
    <w:basedOn w:val="186"/>
    <w:link w:val="189"/>
    <w:semiHidden/>
    <w:qFormat/>
    <w:uiPriority w:val="99"/>
    <w:rPr>
      <w:rFonts w:ascii="Calibri" w:hAnsi="Calibri" w:eastAsia="宋体" w:cs="Calibri"/>
      <w:sz w:val="21"/>
      <w:szCs w:val="21"/>
    </w:rPr>
  </w:style>
  <w:style w:type="paragraph" w:customStyle="1" w:styleId="191">
    <w:name w:val="正文文本11"/>
    <w:basedOn w:val="1"/>
    <w:qFormat/>
    <w:uiPriority w:val="1"/>
    <w:pPr>
      <w:jc w:val="left"/>
    </w:pPr>
    <w:rPr>
      <w:rFonts w:ascii="宋体" w:hAnsi="宋体" w:cs="宋体"/>
      <w:lang w:val="zh-CN" w:bidi="zh-CN"/>
    </w:rPr>
  </w:style>
  <w:style w:type="paragraph" w:customStyle="1" w:styleId="192">
    <w:name w:val="正文文本缩进1"/>
    <w:basedOn w:val="1"/>
    <w:next w:val="193"/>
    <w:qFormat/>
    <w:uiPriority w:val="0"/>
    <w:pPr>
      <w:ind w:firstLine="645"/>
    </w:pPr>
    <w:rPr>
      <w:rFonts w:ascii="Arial" w:hAnsi="Arial" w:eastAsia="仿宋_GB2312"/>
      <w:sz w:val="28"/>
    </w:rPr>
  </w:style>
  <w:style w:type="paragraph" w:customStyle="1" w:styleId="193">
    <w:name w:val="寄信人地址1"/>
    <w:basedOn w:val="1"/>
    <w:qFormat/>
    <w:uiPriority w:val="0"/>
    <w:rPr>
      <w:rFonts w:ascii="Arial" w:hAnsi="Arial"/>
    </w:rPr>
  </w:style>
  <w:style w:type="paragraph" w:customStyle="1" w:styleId="194">
    <w:name w:val="文本块1"/>
    <w:basedOn w:val="1"/>
    <w:unhideWhenUsed/>
    <w:qFormat/>
    <w:uiPriority w:val="99"/>
    <w:pPr>
      <w:spacing w:after="120"/>
      <w:ind w:left="1440" w:right="1440"/>
    </w:pPr>
  </w:style>
  <w:style w:type="paragraph" w:customStyle="1" w:styleId="195">
    <w:name w:val="索引 41"/>
    <w:basedOn w:val="1"/>
    <w:next w:val="1"/>
    <w:unhideWhenUsed/>
    <w:qFormat/>
    <w:uiPriority w:val="99"/>
    <w:pPr>
      <w:ind w:left="600"/>
    </w:pPr>
    <w:rPr>
      <w:rFonts w:ascii="Verdana" w:hAnsi="Verdana"/>
      <w:szCs w:val="20"/>
    </w:rPr>
  </w:style>
  <w:style w:type="paragraph" w:customStyle="1" w:styleId="196">
    <w:name w:val="纯文本1"/>
    <w:basedOn w:val="1"/>
    <w:qFormat/>
    <w:uiPriority w:val="0"/>
    <w:rPr>
      <w:rFonts w:hint="eastAsia" w:ascii="宋体" w:hAnsi="Courier New"/>
      <w:szCs w:val="20"/>
    </w:rPr>
  </w:style>
  <w:style w:type="paragraph" w:customStyle="1" w:styleId="197">
    <w:name w:val="批注框文本1"/>
    <w:basedOn w:val="1"/>
    <w:link w:val="198"/>
    <w:qFormat/>
    <w:uiPriority w:val="0"/>
    <w:rPr>
      <w:sz w:val="18"/>
      <w:szCs w:val="18"/>
    </w:rPr>
  </w:style>
  <w:style w:type="character" w:customStyle="1" w:styleId="198">
    <w:name w:val="批注框文本 Char"/>
    <w:basedOn w:val="186"/>
    <w:link w:val="197"/>
    <w:qFormat/>
    <w:uiPriority w:val="0"/>
    <w:rPr>
      <w:rFonts w:ascii="Calibri" w:hAnsi="Calibri" w:eastAsia="宋体" w:cs="Calibri"/>
      <w:sz w:val="18"/>
      <w:szCs w:val="18"/>
    </w:rPr>
  </w:style>
  <w:style w:type="paragraph" w:customStyle="1" w:styleId="199">
    <w:name w:val="页脚11"/>
    <w:basedOn w:val="1"/>
    <w:qFormat/>
    <w:uiPriority w:val="0"/>
    <w:pPr>
      <w:tabs>
        <w:tab w:val="center" w:pos="4153"/>
        <w:tab w:val="right" w:pos="8306"/>
      </w:tabs>
      <w:spacing w:line="360" w:lineRule="auto"/>
      <w:ind w:firstLine="200"/>
      <w:jc w:val="left"/>
    </w:pPr>
    <w:rPr>
      <w:rFonts w:ascii="Times New Roman" w:hAnsi="Times New Roman" w:cs="Times New Roman"/>
      <w:sz w:val="18"/>
      <w:szCs w:val="18"/>
    </w:rPr>
  </w:style>
  <w:style w:type="paragraph" w:customStyle="1" w:styleId="200">
    <w:name w:val="页眉11"/>
    <w:basedOn w:val="1"/>
    <w:qFormat/>
    <w:uiPriority w:val="0"/>
    <w:pPr>
      <w:pBdr>
        <w:bottom w:val="single" w:color="000000" w:sz="6" w:space="1"/>
      </w:pBdr>
      <w:tabs>
        <w:tab w:val="center" w:pos="4153"/>
        <w:tab w:val="right" w:pos="8306"/>
      </w:tabs>
      <w:spacing w:line="360" w:lineRule="auto"/>
      <w:ind w:firstLine="200"/>
      <w:jc w:val="center"/>
    </w:pPr>
    <w:rPr>
      <w:rFonts w:ascii="Times New Roman" w:hAnsi="Times New Roman" w:cs="Times New Roman"/>
      <w:sz w:val="18"/>
      <w:szCs w:val="18"/>
    </w:rPr>
  </w:style>
  <w:style w:type="paragraph" w:customStyle="1" w:styleId="201">
    <w:name w:val="目录 11"/>
    <w:basedOn w:val="1"/>
    <w:next w:val="1"/>
    <w:qFormat/>
    <w:uiPriority w:val="39"/>
    <w:pPr>
      <w:spacing w:before="120" w:after="120"/>
      <w:jc w:val="left"/>
    </w:pPr>
    <w:rPr>
      <w:rFonts w:ascii="Calibri" w:hAnsi="Calibri" w:cs="Calibri"/>
      <w:b/>
      <w:bCs/>
      <w:caps/>
      <w:sz w:val="20"/>
      <w:szCs w:val="20"/>
    </w:rPr>
  </w:style>
  <w:style w:type="paragraph" w:customStyle="1" w:styleId="202">
    <w:name w:val="目录 21"/>
    <w:basedOn w:val="1"/>
    <w:next w:val="1"/>
    <w:qFormat/>
    <w:uiPriority w:val="39"/>
    <w:pPr>
      <w:ind w:left="210"/>
      <w:jc w:val="left"/>
    </w:pPr>
    <w:rPr>
      <w:rFonts w:ascii="Calibri" w:hAnsi="Calibri" w:cs="Calibri"/>
      <w:smallCaps/>
      <w:sz w:val="20"/>
      <w:szCs w:val="20"/>
    </w:rPr>
  </w:style>
  <w:style w:type="paragraph" w:customStyle="1" w:styleId="203">
    <w:name w:val="正文文本 21"/>
    <w:basedOn w:val="1"/>
    <w:unhideWhenUsed/>
    <w:qFormat/>
    <w:uiPriority w:val="99"/>
    <w:pPr>
      <w:spacing w:after="120" w:line="480" w:lineRule="auto"/>
    </w:pPr>
  </w:style>
  <w:style w:type="paragraph" w:customStyle="1" w:styleId="204">
    <w:name w:val="信息标题1"/>
    <w:basedOn w:val="1"/>
    <w:qFormat/>
    <w:uiPriority w:val="0"/>
    <w:pPr>
      <w:pBdr>
        <w:top w:val="single" w:color="000000" w:sz="6" w:space="1"/>
        <w:left w:val="single" w:color="000000" w:sz="6" w:space="1"/>
        <w:bottom w:val="single" w:color="000000" w:sz="6" w:space="1"/>
        <w:right w:val="single" w:color="000000" w:sz="6" w:space="1"/>
      </w:pBdr>
      <w:shd w:val="pct20" w:color="auto" w:fill="auto"/>
      <w:ind w:left="500" w:hanging="1080"/>
    </w:pPr>
    <w:rPr>
      <w:rFonts w:ascii="Arial" w:hAnsi="Arial"/>
      <w:sz w:val="24"/>
    </w:rPr>
  </w:style>
  <w:style w:type="paragraph" w:customStyle="1" w:styleId="205">
    <w:name w:val="HTML 预设格式1"/>
    <w:basedOn w:val="1"/>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206">
    <w:name w:val="普通(网站)11"/>
    <w:basedOn w:val="1"/>
    <w:qFormat/>
    <w:uiPriority w:val="0"/>
    <w:pPr>
      <w:widowControl/>
      <w:spacing w:before="100" w:beforeAutospacing="1" w:after="100" w:afterAutospacing="1"/>
      <w:jc w:val="left"/>
    </w:pPr>
    <w:rPr>
      <w:rFonts w:ascii="宋体" w:hAnsi="宋体" w:cs="宋体"/>
      <w:sz w:val="24"/>
      <w:szCs w:val="24"/>
    </w:rPr>
  </w:style>
  <w:style w:type="paragraph" w:customStyle="1" w:styleId="207">
    <w:name w:val="批注主题1"/>
    <w:basedOn w:val="189"/>
    <w:next w:val="189"/>
    <w:link w:val="208"/>
    <w:qFormat/>
    <w:uiPriority w:val="0"/>
    <w:rPr>
      <w:b/>
      <w:bCs/>
    </w:rPr>
  </w:style>
  <w:style w:type="character" w:customStyle="1" w:styleId="208">
    <w:name w:val="批注主题 Char"/>
    <w:basedOn w:val="190"/>
    <w:link w:val="207"/>
    <w:qFormat/>
    <w:uiPriority w:val="0"/>
    <w:rPr>
      <w:rFonts w:ascii="Calibri" w:hAnsi="Calibri" w:eastAsia="宋体" w:cs="Calibri"/>
      <w:b/>
      <w:bCs/>
      <w:sz w:val="21"/>
      <w:szCs w:val="21"/>
    </w:rPr>
  </w:style>
  <w:style w:type="paragraph" w:customStyle="1" w:styleId="209">
    <w:name w:val="正文首行缩进 21"/>
    <w:basedOn w:val="192"/>
    <w:next w:val="1"/>
    <w:qFormat/>
    <w:uiPriority w:val="99"/>
    <w:pPr>
      <w:ind w:firstLine="420"/>
    </w:pPr>
  </w:style>
  <w:style w:type="table" w:customStyle="1" w:styleId="210">
    <w:name w:val="网格型1"/>
    <w:basedOn w:val="187"/>
    <w:qFormat/>
    <w:uiPriority w:val="39"/>
  </w:style>
  <w:style w:type="character" w:customStyle="1" w:styleId="211">
    <w:name w:val="要点1"/>
    <w:basedOn w:val="186"/>
    <w:link w:val="1"/>
    <w:qFormat/>
    <w:uiPriority w:val="0"/>
    <w:rPr>
      <w:b/>
      <w:bCs/>
    </w:rPr>
  </w:style>
  <w:style w:type="character" w:customStyle="1" w:styleId="212">
    <w:name w:val="超链接1"/>
    <w:basedOn w:val="186"/>
    <w:link w:val="1"/>
    <w:unhideWhenUsed/>
    <w:qFormat/>
    <w:uiPriority w:val="99"/>
    <w:rPr>
      <w:color w:val="0563C1"/>
      <w:u w:val="single"/>
    </w:rPr>
  </w:style>
  <w:style w:type="character" w:customStyle="1" w:styleId="213">
    <w:name w:val="批注引用1"/>
    <w:basedOn w:val="186"/>
    <w:link w:val="1"/>
    <w:qFormat/>
    <w:uiPriority w:val="0"/>
    <w:rPr>
      <w:sz w:val="21"/>
      <w:szCs w:val="21"/>
    </w:rPr>
  </w:style>
  <w:style w:type="paragraph" w:customStyle="1" w:styleId="214">
    <w:name w:val="列出段落1"/>
    <w:basedOn w:val="1"/>
    <w:qFormat/>
    <w:uiPriority w:val="99"/>
    <w:pPr>
      <w:ind w:firstLine="420"/>
    </w:pPr>
  </w:style>
  <w:style w:type="paragraph" w:customStyle="1" w:styleId="215">
    <w:name w:val="首行缩进"/>
    <w:basedOn w:val="1"/>
    <w:qFormat/>
    <w:uiPriority w:val="0"/>
    <w:pPr>
      <w:ind w:firstLine="480"/>
    </w:pPr>
    <w:rPr>
      <w:szCs w:val="20"/>
      <w:lang w:val="zh-CN"/>
    </w:rPr>
  </w:style>
  <w:style w:type="paragraph" w:customStyle="1" w:styleId="216">
    <w:name w:val="普通正文"/>
    <w:basedOn w:val="1"/>
    <w:qFormat/>
    <w:uiPriority w:val="99"/>
    <w:pPr>
      <w:spacing w:before="120" w:after="120" w:line="360" w:lineRule="auto"/>
      <w:ind w:firstLine="480"/>
      <w:jc w:val="left"/>
    </w:pPr>
    <w:rPr>
      <w:rFonts w:ascii="Arial" w:hAnsi="Arial" w:cs="Arial"/>
      <w:sz w:val="24"/>
      <w:szCs w:val="24"/>
    </w:rPr>
  </w:style>
  <w:style w:type="paragraph" w:customStyle="1" w:styleId="217">
    <w:name w:val="二级目录"/>
    <w:next w:val="1"/>
    <w:qFormat/>
    <w:uiPriority w:val="99"/>
    <w:pPr>
      <w:numPr>
        <w:ilvl w:val="0"/>
        <w:numId w:val="4"/>
      </w:numPr>
      <w:outlineLvl w:val="1"/>
    </w:pPr>
    <w:rPr>
      <w:rFonts w:hint="default" w:ascii="Calibri" w:hAnsi="Calibri" w:eastAsia="宋体" w:cs="Times New Roman"/>
      <w:b/>
      <w:bCs/>
      <w:sz w:val="28"/>
      <w:szCs w:val="28"/>
      <w:lang w:val="en-US" w:eastAsia="zh-CN" w:bidi="ar-SA"/>
    </w:rPr>
  </w:style>
  <w:style w:type="paragraph" w:customStyle="1" w:styleId="218">
    <w:name w:val="_Style 2"/>
    <w:basedOn w:val="1"/>
    <w:qFormat/>
    <w:uiPriority w:val="34"/>
    <w:pPr>
      <w:ind w:firstLine="420"/>
    </w:pPr>
    <w:rPr>
      <w:szCs w:val="24"/>
    </w:rPr>
  </w:style>
  <w:style w:type="paragraph" w:styleId="219">
    <w:name w:val="List Paragraph"/>
    <w:basedOn w:val="1"/>
    <w:qFormat/>
    <w:uiPriority w:val="34"/>
    <w:pPr>
      <w:ind w:firstLine="420"/>
    </w:pPr>
    <w:rPr>
      <w:rFonts w:ascii="Calibri" w:hAnsi="Calibri" w:eastAsia="宋体" w:cs="Times New Roman"/>
      <w:szCs w:val="22"/>
    </w:rPr>
  </w:style>
  <w:style w:type="paragraph" w:customStyle="1" w:styleId="220">
    <w:name w:val="样式1-i2正文"/>
    <w:basedOn w:val="1"/>
    <w:qFormat/>
    <w:uiPriority w:val="0"/>
    <w:pPr>
      <w:widowControl/>
      <w:spacing w:line="288" w:lineRule="auto"/>
      <w:ind w:firstLine="200"/>
      <w:jc w:val="left"/>
    </w:pPr>
    <w:rPr>
      <w:rFonts w:eastAsia="华文细黑" w:cs="宋体"/>
      <w:szCs w:val="22"/>
      <w:lang w:val="zh-TW" w:eastAsia="zh-TW"/>
    </w:rPr>
  </w:style>
  <w:style w:type="paragraph" w:customStyle="1" w:styleId="221">
    <w:name w:val="DAS正文"/>
    <w:qFormat/>
    <w:uiPriority w:val="0"/>
    <w:pPr>
      <w:widowControl w:val="0"/>
      <w:spacing w:line="360" w:lineRule="auto"/>
      <w:ind w:right="181" w:firstLine="480"/>
      <w:jc w:val="both"/>
    </w:pPr>
    <w:rPr>
      <w:rFonts w:hint="default" w:ascii="Verdana" w:hAnsi="Verdana" w:eastAsia="宋体" w:cs="Times New Roman"/>
      <w:sz w:val="21"/>
      <w:szCs w:val="24"/>
      <w:lang w:val="en-US" w:eastAsia="zh-CN" w:bidi="ar-SA"/>
    </w:rPr>
  </w:style>
  <w:style w:type="paragraph" w:customStyle="1" w:styleId="222">
    <w:name w:val="p15"/>
    <w:basedOn w:val="1"/>
    <w:unhideWhenUsed/>
    <w:qFormat/>
    <w:uiPriority w:val="99"/>
    <w:pPr>
      <w:widowControl/>
    </w:pPr>
    <w:rPr>
      <w:rFonts w:hint="eastAsia" w:ascii="宋体" w:hAnsi="宋体"/>
      <w:b/>
    </w:rPr>
  </w:style>
  <w:style w:type="paragraph" w:customStyle="1" w:styleId="223">
    <w:name w:val="HPC正文"/>
    <w:basedOn w:val="1"/>
    <w:qFormat/>
    <w:uiPriority w:val="0"/>
    <w:pPr>
      <w:spacing w:line="360" w:lineRule="auto"/>
      <w:ind w:firstLine="424"/>
    </w:pPr>
    <w:rPr>
      <w:sz w:val="24"/>
      <w:szCs w:val="24"/>
    </w:rPr>
  </w:style>
  <w:style w:type="paragraph" w:customStyle="1" w:styleId="224">
    <w:name w:val="Char1"/>
    <w:basedOn w:val="1"/>
    <w:qFormat/>
    <w:uiPriority w:val="99"/>
    <w:rPr>
      <w:rFonts w:ascii="Tahoma" w:hAnsi="Tahoma" w:cs="Tahoma"/>
      <w:sz w:val="24"/>
      <w:szCs w:val="24"/>
    </w:rPr>
  </w:style>
  <w:style w:type="paragraph" w:customStyle="1" w:styleId="225">
    <w:name w:val="招标"/>
    <w:basedOn w:val="1"/>
    <w:qFormat/>
    <w:uiPriority w:val="0"/>
    <w:pPr>
      <w:spacing w:line="400" w:lineRule="exact"/>
      <w:ind w:firstLine="420"/>
      <w:jc w:val="left"/>
    </w:pPr>
    <w:rPr>
      <w:rFonts w:ascii="宋体" w:hAnsi="宋体"/>
    </w:rPr>
  </w:style>
  <w:style w:type="paragraph" w:customStyle="1" w:styleId="226">
    <w:name w:val="修订1"/>
    <w:semiHidden/>
    <w:qFormat/>
    <w:uiPriority w:val="99"/>
    <w:rPr>
      <w:rFonts w:hint="default" w:ascii="Calibri" w:hAnsi="Calibri" w:eastAsia="宋体" w:cs="Calibri"/>
      <w:sz w:val="21"/>
      <w:szCs w:val="21"/>
      <w:lang w:val="en-US" w:eastAsia="zh-CN" w:bidi="ar-SA"/>
    </w:rPr>
  </w:style>
  <w:style w:type="paragraph" w:customStyle="1" w:styleId="227">
    <w:name w:val="_Style 3"/>
    <w:basedOn w:val="1"/>
    <w:next w:val="1"/>
    <w:qFormat/>
    <w:uiPriority w:val="99"/>
    <w:pPr>
      <w:widowControl/>
      <w:pBdr>
        <w:bottom w:val="single" w:color="000000" w:sz="6" w:space="1"/>
      </w:pBdr>
      <w:jc w:val="center"/>
    </w:pPr>
    <w:rPr>
      <w:rFonts w:ascii="Arial" w:hAnsi="Arial" w:cs="Arial"/>
      <w:vanish/>
      <w:sz w:val="16"/>
      <w:szCs w:val="16"/>
    </w:rPr>
  </w:style>
  <w:style w:type="paragraph" w:customStyle="1" w:styleId="228">
    <w:name w:val="一级目录"/>
    <w:next w:val="1"/>
    <w:qFormat/>
    <w:uiPriority w:val="99"/>
    <w:pPr>
      <w:jc w:val="center"/>
      <w:outlineLvl w:val="0"/>
    </w:pPr>
    <w:rPr>
      <w:rFonts w:hint="default" w:ascii="黑体" w:hAnsi="Times New Roman" w:eastAsia="黑体" w:cs="Times New Roman"/>
      <w:b/>
      <w:bCs/>
      <w:sz w:val="44"/>
      <w:szCs w:val="44"/>
      <w:lang w:val="en-US" w:eastAsia="zh-CN" w:bidi="ar-SA"/>
    </w:rPr>
  </w:style>
  <w:style w:type="paragraph" w:customStyle="1" w:styleId="229">
    <w:name w:val="报告正文"/>
    <w:basedOn w:val="1"/>
    <w:qFormat/>
    <w:uiPriority w:val="0"/>
    <w:pPr>
      <w:ind w:firstLine="560"/>
    </w:pPr>
    <w:rPr>
      <w:szCs w:val="20"/>
      <w:lang w:val="zh-CN"/>
    </w:rPr>
  </w:style>
  <w:style w:type="paragraph" w:customStyle="1" w:styleId="230">
    <w:name w:val="普通(网站)1"/>
    <w:basedOn w:val="1"/>
    <w:qFormat/>
    <w:uiPriority w:val="99"/>
    <w:pPr>
      <w:widowControl/>
      <w:spacing w:before="100" w:beforeAutospacing="1" w:after="100" w:afterAutospacing="1"/>
      <w:jc w:val="left"/>
    </w:pPr>
    <w:rPr>
      <w:rFonts w:ascii="Arial Unicode MS" w:hAnsi="Arial Unicode MS" w:eastAsia="Arial Unicode MS"/>
      <w:color w:val="000000"/>
      <w:sz w:val="24"/>
      <w:szCs w:val="24"/>
    </w:rPr>
  </w:style>
  <w:style w:type="paragraph" w:customStyle="1" w:styleId="231">
    <w:name w:val="正文缩进1"/>
    <w:basedOn w:val="1"/>
    <w:qFormat/>
    <w:uiPriority w:val="99"/>
    <w:pPr>
      <w:ind w:firstLine="420"/>
    </w:pPr>
    <w:rPr>
      <w:b/>
      <w:sz w:val="24"/>
    </w:rPr>
  </w:style>
  <w:style w:type="paragraph" w:customStyle="1" w:styleId="232">
    <w:name w:val="正文首行缩进1"/>
    <w:basedOn w:val="233"/>
    <w:qFormat/>
    <w:uiPriority w:val="0"/>
    <w:pPr>
      <w:spacing w:line="360" w:lineRule="auto"/>
      <w:ind w:firstLine="420"/>
    </w:pPr>
    <w:rPr>
      <w:rFonts w:ascii="Times New Roman"/>
      <w:szCs w:val="21"/>
    </w:rPr>
  </w:style>
  <w:style w:type="paragraph" w:customStyle="1" w:styleId="233">
    <w:name w:val="正文文本1"/>
    <w:basedOn w:val="1"/>
    <w:next w:val="1"/>
    <w:qFormat/>
    <w:uiPriority w:val="0"/>
    <w:rPr>
      <w:rFonts w:ascii="宋体"/>
      <w:sz w:val="28"/>
    </w:rPr>
  </w:style>
  <w:style w:type="paragraph" w:customStyle="1" w:styleId="234">
    <w:name w:val="页眉1"/>
    <w:basedOn w:val="1"/>
    <w:qFormat/>
    <w:uiPriority w:val="99"/>
    <w:pPr>
      <w:pBdr>
        <w:bottom w:val="single" w:color="000000" w:sz="6" w:space="1"/>
      </w:pBdr>
      <w:tabs>
        <w:tab w:val="center" w:pos="4153"/>
        <w:tab w:val="right" w:pos="8306"/>
      </w:tabs>
      <w:jc w:val="center"/>
    </w:pPr>
    <w:rPr>
      <w:sz w:val="18"/>
    </w:rPr>
  </w:style>
  <w:style w:type="paragraph" w:customStyle="1" w:styleId="235">
    <w:name w:val="页脚1"/>
    <w:basedOn w:val="1"/>
    <w:qFormat/>
    <w:uiPriority w:val="99"/>
    <w:pPr>
      <w:tabs>
        <w:tab w:val="center" w:pos="4153"/>
        <w:tab w:val="right" w:pos="8306"/>
      </w:tabs>
      <w:jc w:val="left"/>
    </w:pPr>
    <w:rPr>
      <w:sz w:val="18"/>
    </w:rPr>
  </w:style>
  <w:style w:type="paragraph" w:customStyle="1" w:styleId="236">
    <w:name w:val="列出段落11"/>
    <w:basedOn w:val="1"/>
    <w:qFormat/>
    <w:uiPriority w:val="0"/>
    <w:pPr>
      <w:ind w:firstLine="420"/>
    </w:pPr>
    <w:rPr>
      <w:rFonts w:ascii="Calibri" w:hAnsi="Calibri"/>
      <w:szCs w:val="22"/>
    </w:rPr>
  </w:style>
  <w:style w:type="paragraph" w:customStyle="1" w:styleId="237">
    <w:name w:val="*正文"/>
    <w:basedOn w:val="1"/>
    <w:qFormat/>
    <w:uiPriority w:val="0"/>
    <w:pPr>
      <w:spacing w:line="360" w:lineRule="auto"/>
    </w:pPr>
    <w:rPr>
      <w:rFonts w:hint="eastAsia" w:ascii="宋体" w:hAnsi="宋体"/>
      <w:sz w:val="24"/>
      <w:szCs w:val="21"/>
    </w:rPr>
  </w:style>
  <w:style w:type="paragraph" w:customStyle="1" w:styleId="238">
    <w:name w:val="正文 A"/>
    <w:next w:val="1"/>
    <w:qFormat/>
    <w:uiPriority w:val="0"/>
    <w:pPr>
      <w:framePr w:wrap="around" w:vAnchor="margin" w:hAnchor="text" w:yAlign="top"/>
      <w:widowControl w:val="0"/>
      <w:jc w:val="both"/>
    </w:pPr>
    <w:rPr>
      <w:rFonts w:hint="default" w:ascii="Times New Roman" w:hAnsi="Times New Roman" w:eastAsia="Arial Unicode MS" w:cs="Arial Unicode MS"/>
      <w:color w:val="000000"/>
      <w:sz w:val="21"/>
      <w:szCs w:val="21"/>
      <w:u w:val="none"/>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44</Pages>
  <Words>22763</Words>
  <Characters>23946</Characters>
  <TotalTime>1</TotalTime>
  <ScaleCrop>false</ScaleCrop>
  <LinksUpToDate>false</LinksUpToDate>
  <CharactersWithSpaces>24341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2023-12-29T03:34:00Z</dcterms:created>
  <dc:creator>张</dc:creator>
  <cp:lastModifiedBy>办公</cp:lastModifiedBy>
  <dcterms:modified xsi:type="dcterms:W3CDTF">2026-05-12T01:57:16Z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eyJoZGlkIjoiNGU4NjYyNjM2NmI3YzkyNjg5OTE0MDMyOGJhZTgxNDAiLCJ1c2VySWQiOiIxNTgwNzk3NTUyIn0=</vt:lpwstr>
  </property>
  <property fmtid="{D5CDD505-2E9C-101B-9397-08002B2CF9AE}" pid="3" name="KSOProductBuildVer">
    <vt:lpwstr>2052-12.1.0.25865</vt:lpwstr>
  </property>
  <property fmtid="{D5CDD505-2E9C-101B-9397-08002B2CF9AE}" pid="4" name="ICV">
    <vt:lpwstr>3317EBEAA6CD440383E3CD98855D7F88_12</vt:lpwstr>
  </property>
</Properties>
</file>