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0"/>
        <w:jc w:val="center"/>
        <w:shd w:val="clear" w:color="auto"/>
        <w:rPr>
          <w:rFonts w:hint="eastAsia" w:ascii="宋体" w:hAnsi="宋体" w:eastAsia="宋体" w:cs="宋体"/>
          <w:color w:val="auto"/>
          <w:spacing w:val="20"/>
          <w:sz w:val="84"/>
          <w:szCs w:val="84"/>
          <w:highlight w:val="none"/>
        </w:rPr>
        <w:outlineLvl w:val="9"/>
      </w:pPr>
      <w:r>
        <w:rPr>
          <w:rFonts w:hint="eastAsia" w:ascii="宋体" w:hAnsi="宋体" w:eastAsia="宋体" w:cs="宋体"/>
          <w:color w:val="auto"/>
          <w:spacing w:val="20"/>
          <w:sz w:val="84"/>
          <w:szCs w:val="84"/>
          <w:highlight w:val="none"/>
        </w:rPr>
      </w:r>
      <w:r/>
    </w:p>
    <w:p>
      <w:pPr>
        <w:ind w:firstLine="0"/>
        <w:jc w:val="center"/>
        <w:shd w:val="clear" w:color="auto"/>
        <w:rPr>
          <w:rFonts w:hint="eastAsia" w:ascii="宋体" w:hAnsi="宋体" w:eastAsia="宋体" w:cs="宋体"/>
          <w:color w:val="auto"/>
          <w:spacing w:val="20"/>
          <w:sz w:val="84"/>
          <w:szCs w:val="84"/>
          <w:highlight w:val="none"/>
        </w:rPr>
        <w:outlineLvl w:val="9"/>
      </w:pPr>
      <w:r>
        <w:rPr>
          <w:rFonts w:hint="eastAsia" w:ascii="宋体" w:hAnsi="宋体" w:eastAsia="宋体" w:cs="宋体"/>
          <w:color w:val="auto"/>
          <w:spacing w:val="20"/>
          <w:sz w:val="84"/>
          <w:szCs w:val="84"/>
          <w:highlight w:val="none"/>
        </w:rPr>
        <w:t xml:space="preserve">无锡市政府采购</w:t>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firstLine="0"/>
        <w:jc w:val="center"/>
        <w:shd w:val="clear" w:color="auto"/>
        <w:rPr>
          <w:rFonts w:hint="eastAsia" w:ascii="宋体" w:hAnsi="宋体" w:eastAsia="宋体" w:cs="宋体"/>
          <w:color w:val="auto"/>
          <w:spacing w:val="20"/>
          <w:sz w:val="52"/>
          <w:szCs w:val="52"/>
          <w:highlight w:val="none"/>
        </w:rPr>
        <w:outlineLvl w:val="9"/>
      </w:pPr>
      <w:r>
        <w:rPr>
          <w:rFonts w:hint="eastAsia" w:ascii="宋体" w:hAnsi="宋体" w:eastAsia="宋体" w:cs="宋体"/>
          <w:color w:val="auto"/>
          <w:spacing w:val="20"/>
          <w:sz w:val="52"/>
          <w:szCs w:val="52"/>
          <w:highlight w:val="none"/>
        </w:rPr>
        <w:t xml:space="preserve">公</w:t>
      </w:r>
      <w:r>
        <w:rPr>
          <w:rFonts w:hint="eastAsia" w:ascii="宋体" w:hAnsi="宋体" w:eastAsia="宋体" w:cs="宋体"/>
          <w:color w:val="auto"/>
          <w:spacing w:val="20"/>
          <w:sz w:val="52"/>
          <w:szCs w:val="52"/>
          <w:highlight w:val="none"/>
          <w:lang w:val="en-US" w:eastAsia="zh-CN"/>
        </w:rPr>
        <w:t xml:space="preserve"> </w:t>
      </w:r>
      <w:r>
        <w:rPr>
          <w:rFonts w:hint="eastAsia" w:ascii="宋体" w:hAnsi="宋体" w:eastAsia="宋体" w:cs="宋体"/>
          <w:color w:val="auto"/>
          <w:spacing w:val="20"/>
          <w:sz w:val="52"/>
          <w:szCs w:val="52"/>
          <w:highlight w:val="none"/>
        </w:rPr>
        <w:t xml:space="preserve">开</w:t>
      </w:r>
      <w:r/>
    </w:p>
    <w:p>
      <w:pPr>
        <w:ind w:firstLine="0"/>
        <w:jc w:val="center"/>
        <w:shd w:val="clear" w:color="auto"/>
        <w:rPr>
          <w:rFonts w:hint="eastAsia" w:ascii="宋体" w:hAnsi="宋体" w:eastAsia="宋体" w:cs="宋体"/>
          <w:color w:val="auto"/>
          <w:spacing w:val="20"/>
          <w:sz w:val="52"/>
          <w:szCs w:val="52"/>
          <w:highlight w:val="none"/>
        </w:rPr>
        <w:outlineLvl w:val="9"/>
      </w:pPr>
      <w:r>
        <w:rPr>
          <w:rFonts w:hint="eastAsia" w:ascii="宋体" w:hAnsi="宋体" w:eastAsia="宋体" w:cs="宋体"/>
          <w:color w:val="auto"/>
          <w:spacing w:val="20"/>
          <w:sz w:val="52"/>
          <w:szCs w:val="5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-114300</wp:posOffset>
                </wp:positionH>
                <wp:positionV relativeFrom="paragraph">
                  <wp:posOffset>198120</wp:posOffset>
                </wp:positionV>
                <wp:extent cx="635" cy="0"/>
                <wp:effectExtent l="0" t="0" r="0" b="0"/>
                <wp:wrapNone/>
                <wp:docPr id="2" name="直接连接符 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1" o:spid="_x0000_s1" style="position:absolute;left:0;text-align:left;z-index:251659264;mso-wrap-distance-left:9.0pt;mso-wrap-distance-top:0.0pt;mso-wrap-distance-right:9.0pt;mso-wrap-distance-bottom:0.0pt;visibility:visible;" from="-9.0pt,15.6pt" to="-8.9pt,15.6pt" filled="f" strokecolor="#000000" strokeweight="0.75pt">
                <v:stroke dashstyle="solid"/>
              </v:line>
            </w:pict>
          </mc:Fallback>
        </mc:AlternateContent>
      </w:r>
      <w:r>
        <w:rPr>
          <w:rFonts w:hint="eastAsia" w:ascii="宋体" w:hAnsi="宋体" w:eastAsia="宋体" w:cs="宋体"/>
          <w:color w:val="auto"/>
          <w:spacing w:val="20"/>
          <w:sz w:val="52"/>
          <w:szCs w:val="52"/>
          <w:highlight w:val="none"/>
        </w:rPr>
        <w:t xml:space="preserve">招</w:t>
      </w:r>
      <w:r>
        <w:rPr>
          <w:rFonts w:hint="eastAsia" w:ascii="宋体" w:hAnsi="宋体" w:eastAsia="宋体" w:cs="宋体"/>
          <w:color w:val="auto"/>
          <w:spacing w:val="20"/>
          <w:sz w:val="52"/>
          <w:szCs w:val="52"/>
          <w:highlight w:val="none"/>
          <w:lang w:val="en-US" w:eastAsia="zh-CN"/>
        </w:rPr>
        <w:t xml:space="preserve"> </w:t>
      </w:r>
      <w:r>
        <w:rPr>
          <w:rFonts w:hint="eastAsia" w:ascii="宋体" w:hAnsi="宋体" w:eastAsia="宋体" w:cs="宋体"/>
          <w:color w:val="auto"/>
          <w:spacing w:val="20"/>
          <w:sz w:val="52"/>
          <w:szCs w:val="52"/>
          <w:highlight w:val="none"/>
        </w:rPr>
        <w:t xml:space="preserve">标</w:t>
      </w:r>
      <w:r>
        <w:rPr>
          <w:rFonts w:hint="eastAsia" w:ascii="宋体" w:hAnsi="宋体" w:eastAsia="宋体" w:cs="宋体"/>
          <w:color w:val="auto"/>
          <w:spacing w:val="20"/>
          <w:sz w:val="52"/>
          <w:szCs w:val="52"/>
          <w:highlight w:val="none"/>
          <w:lang w:val="en-US" w:eastAsia="zh-CN"/>
        </w:rPr>
        <w:t xml:space="preserve"> </w:t>
      </w:r>
      <w:r>
        <w:rPr>
          <w:rFonts w:hint="eastAsia" w:ascii="宋体" w:hAnsi="宋体" w:eastAsia="宋体" w:cs="宋体"/>
          <w:color w:val="auto"/>
          <w:spacing w:val="20"/>
          <w:sz w:val="52"/>
          <w:szCs w:val="52"/>
          <w:highlight w:val="none"/>
        </w:rPr>
        <w:t xml:space="preserve">文</w:t>
      </w:r>
      <w:r>
        <w:rPr>
          <w:rFonts w:hint="eastAsia" w:ascii="宋体" w:hAnsi="宋体" w:eastAsia="宋体" w:cs="宋体"/>
          <w:color w:val="auto"/>
          <w:spacing w:val="20"/>
          <w:sz w:val="52"/>
          <w:szCs w:val="52"/>
          <w:highlight w:val="none"/>
          <w:lang w:val="en-US" w:eastAsia="zh-CN"/>
        </w:rPr>
        <w:t xml:space="preserve"> </w:t>
      </w:r>
      <w:r>
        <w:rPr>
          <w:rFonts w:hint="eastAsia" w:ascii="宋体" w:hAnsi="宋体" w:eastAsia="宋体" w:cs="宋体"/>
          <w:color w:val="auto"/>
          <w:spacing w:val="20"/>
          <w:sz w:val="52"/>
          <w:szCs w:val="52"/>
          <w:highlight w:val="none"/>
        </w:rPr>
        <w:t xml:space="preserve">件</w:t>
      </w:r>
      <w:r/>
    </w:p>
    <w:p>
      <w:pPr>
        <w:ind w:firstLine="0"/>
        <w:jc w:val="center"/>
        <w:shd w:val="clear" w:color="auto"/>
        <w:rPr>
          <w:rFonts w:hint="eastAsia" w:ascii="宋体" w:hAnsi="宋体" w:eastAsia="宋体" w:cs="宋体"/>
          <w:b/>
          <w:color w:val="auto"/>
          <w:sz w:val="32"/>
          <w:szCs w:val="32"/>
          <w:highlight w:val="none"/>
        </w:rPr>
        <w:outlineLvl w:val="9"/>
      </w:pPr>
      <w:r>
        <w:rPr>
          <w:rFonts w:hint="eastAsia" w:ascii="宋体" w:hAnsi="宋体" w:eastAsia="宋体" w:cs="宋体"/>
          <w:b/>
          <w:color w:val="auto"/>
          <w:sz w:val="32"/>
          <w:szCs w:val="32"/>
          <w:highlight w:val="none"/>
        </w:rPr>
        <w:t xml:space="preserve">（暗标）</w:t>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firstLine="600"/>
        <w:jc w:val="both"/>
        <w:spacing w:line="360" w:lineRule="auto"/>
        <w:shd w:val="clear" w:color="auto"/>
        <w:rPr>
          <w:rFonts w:hint="eastAsia" w:ascii="宋体" w:hAnsi="宋体" w:eastAsia="宋体" w:cs="宋体"/>
          <w:color w:val="auto"/>
          <w:sz w:val="30"/>
          <w:szCs w:val="30"/>
          <w:highlight w:val="none"/>
        </w:rPr>
        <w:outlineLvl w:val="9"/>
      </w:pPr>
      <w:r>
        <w:rPr>
          <w:rFonts w:hint="eastAsia" w:ascii="宋体" w:hAnsi="宋体" w:eastAsia="宋体" w:cs="宋体"/>
          <w:color w:val="auto"/>
          <w:sz w:val="30"/>
          <w:szCs w:val="30"/>
          <w:highlight w:val="none"/>
        </w:rPr>
      </w:r>
      <w:r/>
    </w:p>
    <w:p>
      <w:pPr>
        <w:pStyle w:val="932"/>
        <w:shd w:val="clear" w:color="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pStyle w:val="932"/>
        <w:shd w:val="clear" w:color="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r>
      <w:r/>
    </w:p>
    <w:p>
      <w:pPr>
        <w:ind w:left="420" w:firstLine="600"/>
        <w:jc w:val="both"/>
        <w:spacing w:after="120" w:line="360" w:lineRule="auto"/>
        <w:shd w:val="clear" w:color="auto"/>
        <w:rPr>
          <w:rFonts w:hint="eastAsia" w:ascii="宋体" w:hAnsi="宋体" w:eastAsia="宋体" w:cs="宋体"/>
          <w:color w:val="auto"/>
          <w:sz w:val="30"/>
          <w:szCs w:val="30"/>
          <w:highlight w:val="none"/>
          <w:lang w:eastAsia="zh-CN"/>
        </w:rPr>
        <w:outlineLvl w:val="9"/>
      </w:pPr>
      <w:r>
        <w:rPr>
          <w:rFonts w:hint="eastAsia" w:ascii="宋体" w:hAnsi="宋体" w:eastAsia="宋体" w:cs="宋体"/>
          <w:color w:val="auto"/>
          <w:sz w:val="30"/>
          <w:szCs w:val="30"/>
          <w:highlight w:val="none"/>
        </w:rPr>
        <w:t xml:space="preserve">政府采购编号：</w:t>
      </w:r>
      <w:r>
        <w:rPr>
          <w:rFonts w:hint="eastAsia" w:ascii="宋体" w:hAnsi="宋体" w:cs="宋体"/>
          <w:color w:val="auto"/>
          <w:sz w:val="30"/>
          <w:szCs w:val="30"/>
          <w:highlight w:val="none"/>
          <w:lang w:eastAsia="zh-CN"/>
        </w:rPr>
        <w:t xml:space="preserve">SZC-320214-WXZH-G2026-0003</w:t>
      </w:r>
      <w:r/>
    </w:p>
    <w:p>
      <w:pPr>
        <w:ind w:left="420" w:firstLine="600"/>
        <w:spacing w:after="120" w:line="360" w:lineRule="auto"/>
        <w:shd w:val="clear" w:color="auto"/>
        <w:rPr>
          <w:rFonts w:hint="eastAsia" w:ascii="宋体" w:hAnsi="宋体" w:eastAsia="宋体" w:cs="宋体"/>
          <w:color w:val="auto"/>
          <w:highlight w:val="none"/>
          <w:lang w:eastAsia="zh-CN"/>
        </w:rPr>
        <w:outlineLvl w:val="9"/>
      </w:pPr>
      <w:r>
        <w:rPr>
          <w:rFonts w:hint="eastAsia" w:ascii="宋体" w:hAnsi="宋体" w:eastAsia="宋体" w:cs="宋体"/>
          <w:color w:val="auto"/>
          <w:sz w:val="30"/>
          <w:szCs w:val="30"/>
          <w:highlight w:val="none"/>
        </w:rPr>
        <w:t xml:space="preserve">采购项目名称：</w:t>
      </w:r>
      <w:r>
        <w:rPr>
          <w:rFonts w:hint="eastAsia" w:ascii="宋体" w:hAnsi="宋体" w:cs="宋体"/>
          <w:color w:val="auto"/>
          <w:sz w:val="30"/>
          <w:szCs w:val="30"/>
          <w:highlight w:val="none"/>
          <w:lang w:eastAsia="zh-CN"/>
        </w:rPr>
        <w:t xml:space="preserve">2026-2029年度江溪街道公共绿化养护项目</w:t>
      </w:r>
      <w:r/>
    </w:p>
    <w:p>
      <w:pPr>
        <w:ind w:left="420" w:firstLine="600"/>
        <w:spacing w:after="120" w:line="360" w:lineRule="auto"/>
        <w:shd w:val="clear" w:color="auto"/>
        <w:rPr>
          <w:rFonts w:hint="eastAsia" w:ascii="宋体" w:hAnsi="宋体" w:eastAsia="宋体" w:cs="宋体"/>
          <w:color w:val="auto"/>
          <w:highlight w:val="none"/>
          <w:lang w:eastAsia="zh-CN"/>
        </w:rPr>
        <w:outlineLvl w:val="9"/>
      </w:pPr>
      <w:r>
        <w:rPr>
          <w:rFonts w:hint="eastAsia" w:ascii="宋体" w:hAnsi="宋体" w:eastAsia="宋体" w:cs="宋体"/>
          <w:color w:val="auto"/>
          <w:sz w:val="30"/>
          <w:szCs w:val="30"/>
          <w:highlight w:val="none"/>
        </w:rPr>
        <w:t xml:space="preserve">采   购   人：</w:t>
      </w:r>
      <w:r>
        <w:rPr>
          <w:rFonts w:hint="eastAsia" w:ascii="宋体" w:hAnsi="宋体" w:cs="宋体"/>
          <w:color w:val="auto"/>
          <w:sz w:val="30"/>
          <w:szCs w:val="30"/>
          <w:highlight w:val="none"/>
          <w:lang w:eastAsia="zh-CN"/>
        </w:rPr>
        <w:t xml:space="preserve">无锡市新吴区人民政府江溪街道办事处</w:t>
      </w:r>
      <w:r/>
    </w:p>
    <w:p>
      <w:pPr>
        <w:ind w:left="420" w:firstLine="600"/>
        <w:spacing w:after="120" w:line="360" w:lineRule="auto"/>
        <w:shd w:val="clear" w:color="auto"/>
        <w:rPr>
          <w:rFonts w:hint="eastAsia" w:ascii="宋体" w:hAnsi="宋体" w:eastAsia="宋体" w:cs="宋体"/>
          <w:color w:val="auto"/>
          <w:sz w:val="30"/>
          <w:szCs w:val="30"/>
          <w:highlight w:val="none"/>
        </w:rPr>
        <w:outlineLvl w:val="9"/>
      </w:pPr>
      <w:r>
        <w:rPr>
          <w:rFonts w:hint="eastAsia" w:ascii="宋体" w:hAnsi="宋体" w:eastAsia="宋体" w:cs="宋体"/>
          <w:color w:val="auto"/>
          <w:sz w:val="30"/>
          <w:szCs w:val="30"/>
          <w:highlight w:val="none"/>
        </w:rPr>
        <w:t xml:space="preserve">采购代理机构：</w:t>
      </w:r>
      <w:r>
        <w:rPr>
          <w:rFonts w:hint="eastAsia" w:ascii="宋体" w:hAnsi="宋体" w:cs="宋体"/>
          <w:color w:val="auto"/>
          <w:sz w:val="30"/>
          <w:szCs w:val="30"/>
          <w:highlight w:val="none"/>
          <w:lang w:eastAsia="zh-CN"/>
        </w:rPr>
        <w:t xml:space="preserve">江苏万力通项目管理有限公司</w:t>
      </w:r>
      <w:r/>
    </w:p>
    <w:p>
      <w:pPr>
        <w:ind w:left="420" w:firstLine="600"/>
        <w:jc w:val="center"/>
        <w:spacing w:after="120" w:line="360" w:lineRule="auto"/>
        <w:shd w:val="clear" w:color="auto"/>
        <w:rPr>
          <w:rFonts w:hint="eastAsia" w:ascii="宋体" w:hAnsi="宋体" w:eastAsia="宋体" w:cs="宋体"/>
          <w:color w:val="auto"/>
          <w:sz w:val="30"/>
          <w:szCs w:val="30"/>
          <w:highlight w:val="none"/>
        </w:rPr>
        <w:outlineLvl w:val="9"/>
      </w:pPr>
      <w:r>
        <w:rPr>
          <w:rFonts w:hint="eastAsia" w:ascii="宋体" w:hAnsi="宋体" w:eastAsia="宋体" w:cs="宋体"/>
          <w:color w:val="auto"/>
          <w:sz w:val="30"/>
          <w:szCs w:val="30"/>
          <w:highlight w:val="none"/>
          <w:lang w:eastAsia="zh-CN"/>
        </w:rPr>
        <w:t xml:space="preserve">二〇二</w:t>
      </w:r>
      <w:r>
        <w:rPr>
          <w:rFonts w:hint="eastAsia" w:ascii="宋体" w:hAnsi="宋体" w:eastAsia="宋体" w:cs="宋体"/>
          <w:color w:val="auto"/>
          <w:sz w:val="30"/>
          <w:szCs w:val="30"/>
          <w:highlight w:val="none"/>
          <w:lang w:val="en-US" w:eastAsia="zh-CN"/>
        </w:rPr>
        <w:t xml:space="preserve">六</w:t>
      </w:r>
      <w:r>
        <w:rPr>
          <w:rFonts w:hint="eastAsia" w:ascii="宋体" w:hAnsi="宋体" w:eastAsia="宋体" w:cs="宋体"/>
          <w:color w:val="auto"/>
          <w:sz w:val="30"/>
          <w:szCs w:val="30"/>
          <w:highlight w:val="none"/>
        </w:rPr>
        <w:t xml:space="preserve">年</w:t>
      </w:r>
      <w:r>
        <w:rPr>
          <w:rFonts w:hint="eastAsia" w:ascii="宋体" w:hAnsi="宋体" w:cs="宋体"/>
          <w:color w:val="auto"/>
          <w:sz w:val="30"/>
          <w:szCs w:val="30"/>
          <w:highlight w:val="none"/>
          <w:lang w:val="en-US" w:eastAsia="zh-CN"/>
        </w:rPr>
        <w:t xml:space="preserve">五</w:t>
      </w:r>
      <w:r>
        <w:rPr>
          <w:rFonts w:hint="eastAsia" w:ascii="宋体" w:hAnsi="宋体" w:eastAsia="宋体" w:cs="宋体"/>
          <w:color w:val="auto"/>
          <w:sz w:val="30"/>
          <w:szCs w:val="30"/>
          <w:highlight w:val="none"/>
          <w:lang w:val="en-US" w:eastAsia="zh-CN"/>
        </w:rPr>
        <w:t xml:space="preserve">月</w:t>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firstLine="0"/>
        <w:shd w:val="clear" w:color="auto"/>
        <w:widowControl/>
        <w:rPr>
          <w:rFonts w:hint="eastAsia" w:ascii="宋体" w:hAnsi="宋体" w:eastAsia="宋体" w:cs="宋体"/>
          <w:color w:val="auto"/>
          <w:sz w:val="40"/>
          <w:szCs w:val="40"/>
          <w:highlight w:val="none"/>
        </w:rPr>
        <w:outlineLvl w:val="9"/>
      </w:pPr>
      <w:r>
        <w:rPr>
          <w:rFonts w:hint="eastAsia" w:ascii="宋体" w:hAnsi="宋体" w:eastAsia="宋体" w:cs="宋体"/>
          <w:color w:val="auto"/>
          <w:sz w:val="40"/>
          <w:szCs w:val="40"/>
          <w:highlight w:val="none"/>
        </w:rPr>
        <w:br w:type="page" w:clear="all"/>
      </w:r>
      <w:r/>
    </w:p>
    <w:p>
      <w:pPr>
        <w:ind w:firstLine="600"/>
        <w:jc w:val="center"/>
        <w:spacing w:line="720" w:lineRule="auto"/>
        <w:shd w:val="clear" w:color="auto"/>
        <w:rPr>
          <w:rFonts w:hint="eastAsia" w:ascii="宋体" w:hAnsi="宋体" w:eastAsia="宋体" w:cs="宋体"/>
          <w:color w:val="auto"/>
          <w:sz w:val="40"/>
          <w:szCs w:val="40"/>
          <w:highlight w:val="none"/>
        </w:rPr>
      </w:pPr>
      <w:r>
        <w:rPr>
          <w:rFonts w:hint="eastAsia" w:ascii="宋体" w:hAnsi="宋体" w:eastAsia="宋体" w:cs="宋体"/>
          <w:color w:val="auto"/>
          <w:sz w:val="40"/>
          <w:szCs w:val="40"/>
          <w:highlight w:val="none"/>
        </w:rPr>
        <w:t xml:space="preserve">目录</w:t>
      </w:r>
      <w:r/>
    </w:p>
    <w:p>
      <w:pPr>
        <w:ind w:firstLine="450"/>
        <w:jc w:val="both"/>
        <w:spacing w:line="720" w:lineRule="auto"/>
        <w:shd w:val="clear" w:color="auto"/>
        <w:rPr>
          <w:rFonts w:hint="eastAsia" w:ascii="宋体" w:hAnsi="宋体" w:eastAsia="宋体" w:cs="宋体"/>
          <w:color w:val="auto"/>
          <w:sz w:val="30"/>
          <w:szCs w:val="30"/>
          <w:highlight w:val="none"/>
        </w:rPr>
        <w:outlineLvl w:val="9"/>
      </w:pPr>
      <w:r>
        <w:rPr>
          <w:rFonts w:hint="eastAsia" w:ascii="宋体" w:hAnsi="宋体" w:eastAsia="宋体" w:cs="宋体"/>
          <w:color w:val="auto"/>
          <w:sz w:val="30"/>
          <w:szCs w:val="30"/>
          <w:highlight w:val="none"/>
          <w:lang w:eastAsia="zh-CN"/>
        </w:rPr>
        <w:t xml:space="preserve">一、</w:t>
      </w:r>
      <w:r>
        <w:rPr>
          <w:rFonts w:hint="eastAsia" w:ascii="宋体" w:hAnsi="宋体" w:eastAsia="宋体" w:cs="宋体"/>
          <w:color w:val="auto"/>
          <w:sz w:val="30"/>
          <w:szCs w:val="30"/>
          <w:highlight w:val="none"/>
        </w:rPr>
        <w:t xml:space="preserve">投标邀请</w:t>
      </w:r>
      <w:r/>
    </w:p>
    <w:p>
      <w:pPr>
        <w:ind w:firstLine="450"/>
        <w:jc w:val="both"/>
        <w:spacing w:line="720" w:lineRule="auto"/>
        <w:shd w:val="clear" w:color="auto"/>
        <w:rPr>
          <w:rFonts w:hint="eastAsia" w:ascii="宋体" w:hAnsi="宋体" w:eastAsia="宋体" w:cs="宋体"/>
          <w:color w:val="auto"/>
          <w:sz w:val="30"/>
          <w:szCs w:val="30"/>
          <w:highlight w:val="none"/>
        </w:rPr>
        <w:outlineLvl w:val="9"/>
      </w:pPr>
      <w:r>
        <w:rPr>
          <w:rFonts w:hint="eastAsia" w:ascii="宋体" w:hAnsi="宋体" w:eastAsia="宋体" w:cs="宋体"/>
          <w:color w:val="auto"/>
          <w:sz w:val="30"/>
          <w:szCs w:val="30"/>
          <w:highlight w:val="none"/>
          <w:lang w:eastAsia="zh-CN"/>
        </w:rPr>
        <w:t xml:space="preserve">二、</w:t>
      </w:r>
      <w:r>
        <w:rPr>
          <w:rFonts w:hint="eastAsia" w:ascii="宋体" w:hAnsi="宋体" w:eastAsia="宋体" w:cs="宋体"/>
          <w:color w:val="auto"/>
          <w:sz w:val="30"/>
          <w:szCs w:val="30"/>
          <w:highlight w:val="none"/>
        </w:rPr>
        <w:t xml:space="preserve">投标供应商须知</w:t>
      </w:r>
      <w:r/>
    </w:p>
    <w:p>
      <w:pPr>
        <w:ind w:firstLine="450"/>
        <w:jc w:val="both"/>
        <w:spacing w:line="720" w:lineRule="auto"/>
        <w:shd w:val="clear" w:color="auto"/>
        <w:rPr>
          <w:rFonts w:hint="eastAsia" w:ascii="宋体" w:hAnsi="宋体" w:eastAsia="宋体" w:cs="宋体"/>
          <w:color w:val="auto"/>
          <w:sz w:val="30"/>
          <w:szCs w:val="30"/>
          <w:highlight w:val="none"/>
        </w:rPr>
        <w:outlineLvl w:val="9"/>
      </w:pPr>
      <w:r>
        <w:rPr>
          <w:rFonts w:hint="eastAsia" w:ascii="宋体" w:hAnsi="宋体" w:eastAsia="宋体" w:cs="宋体"/>
          <w:color w:val="auto"/>
          <w:sz w:val="30"/>
          <w:szCs w:val="30"/>
          <w:highlight w:val="none"/>
          <w:lang w:eastAsia="zh-CN"/>
        </w:rPr>
        <w:t xml:space="preserve">三、</w:t>
      </w:r>
      <w:r>
        <w:rPr>
          <w:rFonts w:hint="eastAsia" w:ascii="宋体" w:hAnsi="宋体" w:eastAsia="宋体" w:cs="宋体"/>
          <w:color w:val="auto"/>
          <w:sz w:val="30"/>
          <w:szCs w:val="30"/>
          <w:highlight w:val="none"/>
        </w:rPr>
        <w:t xml:space="preserve">采购需求</w:t>
      </w:r>
      <w:r/>
    </w:p>
    <w:p>
      <w:pPr>
        <w:ind w:firstLine="450"/>
        <w:jc w:val="both"/>
        <w:spacing w:line="720" w:lineRule="auto"/>
        <w:shd w:val="clear" w:color="auto"/>
        <w:rPr>
          <w:rFonts w:hint="eastAsia" w:ascii="宋体" w:hAnsi="宋体" w:eastAsia="宋体" w:cs="宋体"/>
          <w:color w:val="auto"/>
          <w:sz w:val="30"/>
          <w:szCs w:val="30"/>
          <w:highlight w:val="none"/>
        </w:rPr>
        <w:outlineLvl w:val="9"/>
      </w:pPr>
      <w:r>
        <w:rPr>
          <w:rFonts w:hint="eastAsia" w:ascii="宋体" w:hAnsi="宋体" w:eastAsia="宋体" w:cs="宋体"/>
          <w:color w:val="auto"/>
          <w:sz w:val="30"/>
          <w:szCs w:val="30"/>
          <w:highlight w:val="none"/>
          <w:lang w:eastAsia="zh-CN"/>
        </w:rPr>
        <w:t xml:space="preserve">四、</w:t>
      </w:r>
      <w:r>
        <w:rPr>
          <w:rFonts w:hint="eastAsia" w:ascii="宋体" w:hAnsi="宋体" w:eastAsia="宋体" w:cs="宋体"/>
          <w:color w:val="auto"/>
          <w:sz w:val="30"/>
          <w:szCs w:val="30"/>
          <w:highlight w:val="none"/>
        </w:rPr>
        <w:t xml:space="preserve">合同书（格式）</w:t>
      </w:r>
      <w:r/>
    </w:p>
    <w:p>
      <w:pPr>
        <w:ind w:firstLine="450"/>
        <w:jc w:val="both"/>
        <w:spacing w:line="720" w:lineRule="auto"/>
        <w:shd w:val="clear" w:color="auto"/>
        <w:rPr>
          <w:rFonts w:hint="eastAsia" w:ascii="宋体" w:hAnsi="宋体" w:eastAsia="宋体" w:cs="宋体"/>
          <w:color w:val="auto"/>
          <w:sz w:val="30"/>
          <w:szCs w:val="30"/>
          <w:highlight w:val="none"/>
        </w:rPr>
        <w:outlineLvl w:val="9"/>
      </w:pPr>
      <w:r>
        <w:rPr>
          <w:rFonts w:hint="eastAsia" w:ascii="宋体" w:hAnsi="宋体" w:eastAsia="宋体" w:cs="宋体"/>
          <w:color w:val="auto"/>
          <w:sz w:val="30"/>
          <w:szCs w:val="30"/>
          <w:highlight w:val="none"/>
          <w:lang w:eastAsia="zh-CN"/>
        </w:rPr>
        <w:t xml:space="preserve">五、</w:t>
      </w:r>
      <w:r>
        <w:rPr>
          <w:rFonts w:hint="eastAsia" w:ascii="宋体" w:hAnsi="宋体" w:eastAsia="宋体" w:cs="宋体"/>
          <w:color w:val="auto"/>
          <w:sz w:val="30"/>
          <w:szCs w:val="30"/>
          <w:highlight w:val="none"/>
        </w:rPr>
        <w:t xml:space="preserve"> 投标文件（格式）</w:t>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firstLine="0"/>
        <w:shd w:val="clear" w:color="auto"/>
        <w:widowControl/>
        <w:rPr>
          <w:rFonts w:hint="eastAsia" w:ascii="宋体" w:hAnsi="宋体" w:eastAsia="宋体" w:cs="宋体"/>
          <w:color w:val="auto"/>
          <w:highlight w:val="none"/>
        </w:rPr>
        <w:outlineLvl w:val="9"/>
      </w:pPr>
      <w:r>
        <w:rPr>
          <w:rFonts w:hint="eastAsia" w:ascii="宋体" w:hAnsi="宋体" w:eastAsia="宋体" w:cs="宋体"/>
          <w:color w:val="auto"/>
          <w:highlight w:val="none"/>
        </w:rPr>
        <w:br w:type="page" w:clear="all"/>
      </w:r>
      <w:r/>
    </w:p>
    <w:p>
      <w:pPr>
        <w:ind w:firstLine="0"/>
        <w:jc w:val="center"/>
        <w:spacing w:before="120" w:after="120"/>
        <w:shd w:val="clear" w:color="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一、投标邀请</w:t>
      </w:r>
      <w:r/>
    </w:p>
    <w:p>
      <w:pPr>
        <w:ind w:right="-92" w:firstLine="480"/>
        <w:jc w:val="both"/>
        <w:spacing w:line="360" w:lineRule="auto"/>
        <w:shd w:val="clear" w:color="auto"/>
        <w:widowControl/>
        <w:rPr>
          <w:rFonts w:hint="eastAsia" w:ascii="宋体" w:hAnsi="宋体" w:eastAsia="宋体" w:cs="宋体"/>
          <w:color w:val="auto"/>
          <w:highlight w:val="none"/>
          <w:u w:val="none"/>
        </w:rPr>
        <w:outlineLvl w:val="9"/>
      </w:pPr>
      <w:r>
        <w:rPr>
          <w:rFonts w:hint="eastAsia" w:ascii="宋体" w:hAnsi="宋体" w:eastAsia="宋体" w:cs="宋体"/>
          <w:color w:val="auto"/>
          <w:sz w:val="24"/>
          <w:szCs w:val="24"/>
          <w:highlight w:val="none"/>
          <w:u w:val="none"/>
        </w:rPr>
        <w:t xml:space="preserve">我公司受</w:t>
      </w:r>
      <w:r>
        <w:rPr>
          <w:rFonts w:hint="eastAsia" w:ascii="宋体" w:hAnsi="宋体" w:cs="宋体"/>
          <w:color w:val="auto"/>
          <w:sz w:val="24"/>
          <w:szCs w:val="24"/>
          <w:highlight w:val="none"/>
          <w:u w:val="none"/>
          <w:lang w:eastAsia="zh-CN"/>
        </w:rPr>
        <w:t xml:space="preserve">无锡市新吴区人民政府江溪街道办事处</w:t>
      </w:r>
      <w:r>
        <w:rPr>
          <w:rFonts w:hint="eastAsia" w:ascii="宋体" w:hAnsi="宋体" w:eastAsia="宋体" w:cs="宋体"/>
          <w:color w:val="auto"/>
          <w:sz w:val="24"/>
          <w:szCs w:val="24"/>
          <w:highlight w:val="none"/>
          <w:u w:val="none"/>
        </w:rPr>
        <w:t xml:space="preserve">的委托，就</w:t>
      </w:r>
      <w:r>
        <w:rPr>
          <w:rFonts w:hint="eastAsia" w:ascii="宋体" w:hAnsi="宋体" w:cs="宋体"/>
          <w:color w:val="auto"/>
          <w:sz w:val="24"/>
          <w:szCs w:val="24"/>
          <w:highlight w:val="none"/>
          <w:u w:val="none"/>
          <w:lang w:eastAsia="zh-CN"/>
        </w:rPr>
        <w:t xml:space="preserve">2026-2029年度江溪街道公共绿化养护项目</w:t>
      </w:r>
      <w:r>
        <w:rPr>
          <w:rFonts w:hint="eastAsia" w:ascii="宋体" w:hAnsi="宋体" w:eastAsia="宋体" w:cs="宋体"/>
          <w:color w:val="auto"/>
          <w:sz w:val="24"/>
          <w:szCs w:val="24"/>
          <w:highlight w:val="none"/>
          <w:u w:val="none"/>
        </w:rPr>
        <w:t xml:space="preserve">进行公开招标，欢迎</w:t>
      </w:r>
      <w:r>
        <w:rPr>
          <w:rFonts w:hint="eastAsia" w:ascii="宋体" w:hAnsi="宋体" w:cs="宋体"/>
          <w:color w:val="auto"/>
          <w:sz w:val="24"/>
          <w:szCs w:val="24"/>
          <w:highlight w:val="none"/>
          <w:u w:val="none"/>
          <w:lang w:eastAsia="zh-CN"/>
        </w:rPr>
        <w:t xml:space="preserve">贵</w:t>
      </w:r>
      <w:r>
        <w:rPr>
          <w:rFonts w:hint="eastAsia" w:ascii="宋体" w:hAnsi="宋体" w:eastAsia="宋体" w:cs="宋体"/>
          <w:color w:val="auto"/>
          <w:sz w:val="24"/>
          <w:szCs w:val="24"/>
          <w:highlight w:val="none"/>
          <w:u w:val="none"/>
        </w:rPr>
        <w:t xml:space="preserve">单位参加投标并提请注意下列附表中的相关事项：</w:t>
      </w:r>
      <w:r/>
    </w:p>
    <w:tbl>
      <w:tblPr>
        <w:tblStyle w:val="704"/>
        <w:tblW w:w="9239" w:type="dxa"/>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05"/>
        <w:gridCol w:w="8434"/>
      </w:tblGrid>
      <w:tr>
        <w:trPr>
          <w:trHeight w:val="90"/>
        </w:trPr>
        <w:tc>
          <w:tcPr>
            <w:tcW w:w="805" w:type="dxa"/>
            <w:textDirection w:val="lrTb"/>
            <w:noWrap w:val="false"/>
          </w:tcPr>
          <w:p>
            <w:pPr>
              <w:ind w:firstLine="0"/>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8434" w:type="dxa"/>
            <w:textDirection w:val="lrTb"/>
            <w:noWrap w:val="false"/>
          </w:tcPr>
          <w:p>
            <w:pPr>
              <w:ind w:firstLine="480"/>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内容</w:t>
            </w:r>
            <w:r/>
          </w:p>
        </w:tc>
      </w:tr>
      <w:tr>
        <w:trPr>
          <w:trHeight w:val="191"/>
        </w:trPr>
        <w:tc>
          <w:tcPr>
            <w:tcW w:w="805" w:type="dxa"/>
            <w:vAlign w:val="center"/>
            <w:textDirection w:val="lrTb"/>
            <w:noWrap w:val="false"/>
          </w:tcPr>
          <w:p>
            <w:pPr>
              <w:ind w:firstLine="0"/>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8434" w:type="dxa"/>
            <w:vAlign w:val="center"/>
            <w:textDirection w:val="lrTb"/>
            <w:noWrap w:val="false"/>
          </w:tcPr>
          <w:p>
            <w:pPr>
              <w:ind w:firstLine="0"/>
              <w:keepLines w:val="0"/>
              <w:keepNext w:val="0"/>
              <w:pageBreakBefore w:val="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采购项目名称：</w:t>
            </w:r>
            <w:r>
              <w:rPr>
                <w:rFonts w:hint="eastAsia" w:ascii="宋体" w:hAnsi="宋体" w:cs="宋体"/>
                <w:color w:val="auto"/>
                <w:sz w:val="24"/>
                <w:szCs w:val="24"/>
                <w:highlight w:val="none"/>
                <w:lang w:eastAsia="zh-CN"/>
              </w:rPr>
              <w:t xml:space="preserve">2026-2029年度江溪街道公共绿化养护项目</w:t>
            </w:r>
            <w:r/>
          </w:p>
          <w:p>
            <w:pPr>
              <w:ind w:firstLine="0"/>
              <w:keepLines w:val="0"/>
              <w:keepNext w:val="0"/>
              <w:pageBreakBefore w:val="0"/>
              <w:spacing w:line="360" w:lineRule="auto"/>
              <w:shd w:val="clear" w:color="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采购项目编号：</w:t>
            </w:r>
            <w:r>
              <w:rPr>
                <w:rFonts w:hint="eastAsia" w:ascii="宋体" w:hAnsi="宋体" w:cs="宋体"/>
                <w:color w:val="auto"/>
                <w:sz w:val="24"/>
                <w:szCs w:val="24"/>
                <w:highlight w:val="none"/>
                <w:lang w:eastAsia="zh-CN"/>
              </w:rPr>
              <w:t xml:space="preserve">SZC-320214-WXZH-G2026-0003</w:t>
            </w:r>
            <w:r/>
          </w:p>
          <w:p>
            <w:pPr>
              <w:ind w:firstLine="0"/>
              <w:keepLines w:val="0"/>
              <w:keepNext w:val="0"/>
              <w:pageBreakBefore w:val="0"/>
              <w:spacing w:line="360" w:lineRule="auto"/>
              <w:shd w:val="clear" w:color="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采购人：</w:t>
            </w:r>
            <w:r>
              <w:rPr>
                <w:rFonts w:hint="eastAsia" w:ascii="宋体" w:hAnsi="宋体" w:cs="宋体"/>
                <w:color w:val="auto"/>
                <w:sz w:val="24"/>
                <w:szCs w:val="24"/>
                <w:highlight w:val="none"/>
                <w:lang w:eastAsia="zh-CN"/>
              </w:rPr>
              <w:t xml:space="preserve">无锡市新吴区人民政府江溪街道办事处</w:t>
            </w:r>
            <w:r/>
          </w:p>
          <w:p>
            <w:pPr>
              <w:ind w:firstLine="0"/>
              <w:keepLines w:val="0"/>
              <w:keepNext w:val="0"/>
              <w:pageBreakBefore w:val="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采购方式：公开招标</w:t>
            </w:r>
            <w:r/>
          </w:p>
        </w:tc>
      </w:tr>
      <w:tr>
        <w:trPr>
          <w:trHeight w:val="191"/>
        </w:trPr>
        <w:tc>
          <w:tcPr>
            <w:tcW w:w="805" w:type="dxa"/>
            <w:vAlign w:val="center"/>
            <w:textDirection w:val="lrTb"/>
            <w:noWrap w:val="false"/>
          </w:tcPr>
          <w:p>
            <w:pPr>
              <w:ind w:firstLine="244"/>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8434" w:type="dxa"/>
            <w:vAlign w:val="center"/>
            <w:textDirection w:val="lrTb"/>
            <w:noWrap w:val="false"/>
          </w:tcPr>
          <w:p>
            <w:pPr>
              <w:ind w:firstLine="0"/>
              <w:keepLines w:val="0"/>
              <w:keepNext w:val="0"/>
              <w:pageBreakBefore w:val="0"/>
              <w:spacing w:line="360" w:lineRule="auto"/>
              <w:shd w:val="clear" w:color="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采购人：</w:t>
            </w:r>
            <w:r>
              <w:rPr>
                <w:rFonts w:hint="eastAsia" w:ascii="宋体" w:hAnsi="宋体" w:cs="宋体"/>
                <w:color w:val="auto"/>
                <w:sz w:val="24"/>
                <w:szCs w:val="24"/>
                <w:highlight w:val="none"/>
                <w:lang w:eastAsia="zh-CN"/>
              </w:rPr>
              <w:t xml:space="preserve">无锡市新吴区人民政府江溪街道办事处</w:t>
            </w:r>
            <w:r/>
          </w:p>
          <w:p>
            <w:pPr>
              <w:ind w:firstLine="0"/>
              <w:keepLines w:val="0"/>
              <w:keepNext w:val="0"/>
              <w:pageBreakBefore w:val="0"/>
              <w:spacing w:line="360" w:lineRule="auto"/>
              <w:shd w:val="clear" w:color="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采购人地址：</w:t>
            </w:r>
            <w:r>
              <w:rPr>
                <w:rFonts w:hint="eastAsia" w:ascii="宋体" w:hAnsi="宋体" w:cs="宋体"/>
                <w:color w:val="auto"/>
                <w:sz w:val="24"/>
                <w:szCs w:val="24"/>
                <w:highlight w:val="none"/>
                <w:lang w:eastAsia="zh-CN"/>
              </w:rPr>
              <w:t xml:space="preserve">无锡市新吴区苏巷路1号</w:t>
            </w:r>
            <w:r/>
          </w:p>
          <w:p>
            <w:pPr>
              <w:ind w:firstLine="0"/>
              <w:keepLines w:val="0"/>
              <w:keepNext w:val="0"/>
              <w:pageBreakBefore w:val="0"/>
              <w:spacing w:line="360" w:lineRule="auto"/>
              <w:shd w:val="clear" w:color="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采购代理机构：</w:t>
            </w:r>
            <w:r>
              <w:rPr>
                <w:rFonts w:hint="eastAsia" w:ascii="宋体" w:hAnsi="宋体" w:cs="宋体"/>
                <w:color w:val="auto"/>
                <w:sz w:val="24"/>
                <w:szCs w:val="24"/>
                <w:highlight w:val="none"/>
                <w:lang w:eastAsia="zh-CN"/>
              </w:rPr>
              <w:t xml:space="preserve">江苏万力通项目管理有限公司</w:t>
            </w:r>
            <w:r/>
          </w:p>
          <w:p>
            <w:pPr>
              <w:ind w:firstLine="0"/>
              <w:keepLines w:val="0"/>
              <w:keepNext w:val="0"/>
              <w:pageBreakBefore w:val="0"/>
              <w:spacing w:line="360" w:lineRule="auto"/>
              <w:shd w:val="clear" w:color="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代理机构地址：</w:t>
            </w:r>
            <w:r>
              <w:rPr>
                <w:rFonts w:hint="eastAsia" w:ascii="宋体" w:hAnsi="宋体" w:cs="宋体"/>
                <w:color w:val="auto"/>
                <w:sz w:val="24"/>
                <w:szCs w:val="24"/>
                <w:highlight w:val="none"/>
                <w:lang w:eastAsia="zh-CN"/>
              </w:rPr>
              <w:t xml:space="preserve">无锡市滨湖区华发传感大厦B座1106室</w:t>
            </w:r>
            <w:r/>
          </w:p>
        </w:tc>
      </w:tr>
      <w:tr>
        <w:trPr>
          <w:trHeight w:val="763"/>
        </w:trPr>
        <w:tc>
          <w:tcPr>
            <w:tcW w:w="805" w:type="dxa"/>
            <w:vAlign w:val="center"/>
            <w:textDirection w:val="lrTb"/>
            <w:noWrap w:val="false"/>
          </w:tcPr>
          <w:p>
            <w:pPr>
              <w:ind w:firstLine="244"/>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8434" w:type="dxa"/>
            <w:vAlign w:val="center"/>
            <w:textDirection w:val="lrTb"/>
            <w:noWrap w:val="false"/>
          </w:tcPr>
          <w:p>
            <w:pPr>
              <w:ind w:firstLine="0"/>
              <w:keepLines w:val="0"/>
              <w:keepNext w:val="0"/>
              <w:pageBreakBefore w:val="0"/>
              <w:spacing w:line="360" w:lineRule="auto"/>
              <w:shd w:val="clear" w:color="auto"/>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招标项目概况、要求：</w:t>
            </w:r>
            <w:r/>
          </w:p>
          <w:p>
            <w:pPr>
              <w:ind w:left="0" w:firstLine="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0"/>
                <w:highlight w:val="none"/>
                <w:lang w:val="en-US" w:eastAsia="zh-CN" w:bidi="ar-SA"/>
              </w:rPr>
              <w:t xml:space="preserve">1.项目概况：</w:t>
            </w:r>
            <w:r>
              <w:rPr>
                <w:rFonts w:hint="eastAsia" w:ascii="宋体" w:hAnsi="宋体" w:cs="宋体"/>
                <w:color w:val="auto"/>
                <w:sz w:val="24"/>
                <w:szCs w:val="24"/>
                <w:highlight w:val="none"/>
                <w:lang w:eastAsia="zh-CN"/>
              </w:rPr>
              <w:t xml:space="preserve">2026-2029年度江溪街道公共绿化养护项目</w:t>
            </w:r>
            <w:r>
              <w:rPr>
                <w:rFonts w:hint="eastAsia" w:ascii="宋体" w:hAnsi="宋体" w:eastAsia="宋体" w:cs="宋体"/>
                <w:color w:val="auto"/>
                <w:sz w:val="24"/>
                <w:highlight w:val="none"/>
              </w:rPr>
              <w:t xml:space="preserve">，</w:t>
            </w:r>
            <w:r/>
          </w:p>
          <w:p>
            <w:pPr>
              <w:ind w:firstLine="0"/>
              <w:keepLines w:val="0"/>
              <w:keepNext w:val="0"/>
              <w:pageBreakBefore w:val="0"/>
              <w:spacing w:line="360" w:lineRule="auto"/>
              <w:shd w:val="clear" w:color="auto"/>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2.服务期限：3年。</w:t>
            </w:r>
            <w:r/>
          </w:p>
          <w:p>
            <w:pPr>
              <w:ind w:firstLine="0"/>
              <w:keepLines w:val="0"/>
              <w:keepNext w:val="0"/>
              <w:pageBreakBefore w:val="0"/>
              <w:spacing w:line="360" w:lineRule="auto"/>
              <w:shd w:val="clear" w:color="auto"/>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3.本项目采购预算</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1500万元；</w:t>
            </w:r>
            <w:r>
              <w:rPr>
                <w:rFonts w:hint="eastAsia" w:ascii="宋体" w:hAnsi="宋体" w:eastAsia="宋体" w:cs="宋体"/>
                <w:bCs/>
                <w:color w:val="auto"/>
                <w:sz w:val="24"/>
                <w:szCs w:val="24"/>
                <w:highlight w:val="none"/>
              </w:rPr>
              <w:t xml:space="preserve">最高限价：</w:t>
            </w:r>
            <w:r>
              <w:rPr>
                <w:rFonts w:hint="eastAsia" w:ascii="宋体" w:hAnsi="宋体" w:eastAsia="宋体" w:cs="宋体"/>
                <w:color w:val="auto"/>
                <w:sz w:val="24"/>
                <w:szCs w:val="20"/>
                <w:highlight w:val="none"/>
                <w:lang w:val="en-US" w:eastAsia="zh-CN" w:bidi="ar-SA"/>
              </w:rPr>
              <w:t xml:space="preserve">13995683.93元</w:t>
            </w:r>
            <w:r>
              <w:rPr>
                <w:rFonts w:hint="eastAsia" w:ascii="宋体" w:hAnsi="宋体" w:cs="宋体"/>
                <w:bCs/>
                <w:color w:val="auto"/>
                <w:sz w:val="24"/>
                <w:szCs w:val="24"/>
                <w:highlight w:val="none"/>
                <w:lang w:eastAsia="zh-CN"/>
              </w:rPr>
              <w:t xml:space="preserve">。</w:t>
            </w:r>
            <w:r/>
          </w:p>
          <w:p>
            <w:pPr>
              <w:ind w:left="0" w:firstLine="0"/>
              <w:keepLines w:val="0"/>
              <w:keepNext w:val="0"/>
              <w:pageBreakBefore w:val="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0"/>
                <w:highlight w:val="none"/>
                <w:lang w:val="en-US" w:eastAsia="zh-CN" w:bidi="ar-SA"/>
              </w:rPr>
              <w:t xml:space="preserve">注：供应商投标报价不得超过上述最高限价，否则按无效标处理。</w:t>
            </w:r>
            <w:r/>
          </w:p>
          <w:p>
            <w:pPr>
              <w:ind w:left="0" w:firstLine="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最低作业人员配置要求、人工费占比标准详见下表：</w:t>
            </w:r>
            <w:r/>
          </w:p>
          <w:tbl>
            <w:tblPr>
              <w:tblStyle w:val="70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730"/>
              <w:gridCol w:w="3189"/>
            </w:tblGrid>
            <w:tr>
              <w:trPr>
                <w:trHeight w:val="469"/>
              </w:trPr>
              <w:tc>
                <w:tcPr>
                  <w:tcW w:w="3730" w:type="dxa"/>
                  <w:textDirection w:val="lrTb"/>
                  <w:noWrap/>
                </w:tcPr>
                <w:p>
                  <w:pPr>
                    <w:ind w:firstLine="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最低作业人员配置要求（人）</w:t>
                  </w:r>
                  <w:r/>
                </w:p>
              </w:tc>
              <w:tc>
                <w:tcPr>
                  <w:tcW w:w="3189" w:type="dxa"/>
                  <w:textDirection w:val="lrTb"/>
                  <w:noWrap/>
                </w:tcPr>
                <w:p>
                  <w:pPr>
                    <w:ind w:firstLine="0"/>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人工费占比标准（%）</w:t>
                  </w:r>
                  <w:r/>
                </w:p>
              </w:tc>
            </w:tr>
            <w:tr>
              <w:trPr>
                <w:trHeight w:val="479"/>
              </w:trPr>
              <w:tc>
                <w:tcPr>
                  <w:tcW w:w="3730" w:type="dxa"/>
                  <w:vAlign w:val="center"/>
                  <w:textDirection w:val="lrTb"/>
                  <w:noWrap/>
                </w:tcPr>
                <w:p>
                  <w:pPr>
                    <w:ind w:firstLine="0"/>
                    <w:jc w:val="center"/>
                    <w:keepLines w:val="0"/>
                    <w:keepNext w:val="0"/>
                    <w:pageBreakBefore w:val="0"/>
                    <w:spacing w:line="360" w:lineRule="auto"/>
                    <w:widowControl/>
                    <w:rPr>
                      <w:rFonts w:hint="default"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79</w:t>
                  </w:r>
                  <w:r/>
                </w:p>
              </w:tc>
              <w:tc>
                <w:tcPr>
                  <w:tcW w:w="3189" w:type="dxa"/>
                  <w:vAlign w:val="center"/>
                  <w:textDirection w:val="lrTb"/>
                  <w:noWrap/>
                </w:tcPr>
                <w:p>
                  <w:pPr>
                    <w:ind w:firstLine="0"/>
                    <w:jc w:val="center"/>
                    <w:keepLines w:val="0"/>
                    <w:keepNext w:val="0"/>
                    <w:pageBreakBefore w:val="0"/>
                    <w:spacing w:line="360" w:lineRule="auto"/>
                    <w:widowControl/>
                    <w:rPr>
                      <w:rFonts w:hint="default" w:ascii="宋体" w:hAnsi="宋体" w:eastAsia="宋体" w:cs="宋体"/>
                      <w:color w:val="auto"/>
                      <w:sz w:val="24"/>
                      <w:szCs w:val="24"/>
                      <w:highlight w:val="none"/>
                      <w:lang w:val="en-US" w:eastAsia="zh-CN"/>
                    </w:rPr>
                    <w:suppressLineNumbers w:val="0"/>
                  </w:pPr>
                  <w:r>
                    <w:rPr>
                      <w:rFonts w:hint="eastAsia" w:ascii="宋体" w:hAnsi="宋体" w:cs="宋体"/>
                      <w:color w:val="auto"/>
                      <w:sz w:val="24"/>
                      <w:szCs w:val="24"/>
                      <w:highlight w:val="none"/>
                      <w:lang w:val="en-US" w:eastAsia="zh-CN"/>
                    </w:rPr>
                    <w:t xml:space="preserve">69.83</w:t>
                  </w:r>
                  <w:r/>
                </w:p>
              </w:tc>
            </w:tr>
          </w:tbl>
          <w:p>
            <w:pPr>
              <w:ind w:firstLine="0"/>
              <w:keepLines w:val="0"/>
              <w:keepNext w:val="0"/>
              <w:pageBreakBefore w:val="0"/>
              <w:spacing w:line="360" w:lineRule="auto"/>
              <w:shd w:val="clear" w:color="auto"/>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5.质量要求：</w:t>
            </w:r>
            <w:r>
              <w:rPr>
                <w:rFonts w:hint="eastAsia" w:ascii="宋体" w:hAnsi="宋体" w:eastAsia="宋体" w:cs="宋体"/>
                <w:color w:val="auto"/>
                <w:sz w:val="24"/>
                <w:highlight w:val="none"/>
              </w:rPr>
              <w:t xml:space="preserve">《江苏省城市园林绿化养护管理规范及分级标准》壹级、贰级养护标准，具体养护标准详见</w:t>
            </w:r>
            <w:r>
              <w:rPr>
                <w:rFonts w:hint="eastAsia" w:ascii="宋体" w:hAnsi="宋体" w:eastAsia="宋体" w:cs="宋体"/>
                <w:color w:val="auto"/>
                <w:sz w:val="24"/>
                <w:szCs w:val="24"/>
                <w:highlight w:val="none"/>
              </w:rPr>
              <w:t xml:space="preserve">附件《</w:t>
            </w:r>
            <w:r>
              <w:rPr>
                <w:rFonts w:hint="eastAsia" w:ascii="宋体" w:hAnsi="宋体" w:cs="宋体"/>
                <w:color w:val="auto"/>
                <w:sz w:val="24"/>
                <w:szCs w:val="24"/>
                <w:highlight w:val="none"/>
                <w:lang w:eastAsia="zh-CN"/>
              </w:rPr>
              <w:t xml:space="preserve">2026-2029年度江溪街道公共绿化养护项目</w:t>
            </w:r>
            <w:r>
              <w:rPr>
                <w:rFonts w:hint="eastAsia" w:ascii="宋体" w:hAnsi="宋体" w:eastAsia="宋体" w:cs="宋体"/>
                <w:color w:val="auto"/>
                <w:sz w:val="24"/>
                <w:szCs w:val="24"/>
                <w:highlight w:val="none"/>
              </w:rPr>
              <w:t xml:space="preserve">养护清单》</w:t>
            </w:r>
            <w:r>
              <w:rPr>
                <w:rFonts w:hint="eastAsia" w:ascii="宋体" w:hAnsi="宋体" w:eastAsia="宋体" w:cs="宋体"/>
                <w:color w:val="auto"/>
                <w:sz w:val="24"/>
                <w:highlight w:val="none"/>
              </w:rPr>
              <w:t xml:space="preserve">、符合现行的绿地养护管理考核办法及以后修订的考核办法规定。</w:t>
            </w:r>
            <w:r/>
          </w:p>
          <w:p>
            <w:pPr>
              <w:ind w:firstLine="0"/>
              <w:keepLines w:val="0"/>
              <w:keepNext w:val="0"/>
              <w:pageBreakBefore w:val="0"/>
              <w:spacing w:line="360" w:lineRule="auto"/>
              <w:shd w:val="clear" w:color="auto"/>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6.服务响应时间：接到采购人通知后2小时内到达现场；</w:t>
            </w:r>
            <w:r/>
          </w:p>
          <w:p>
            <w:pPr>
              <w:ind w:firstLine="0"/>
              <w:keepLines w:val="0"/>
              <w:keepNext w:val="0"/>
              <w:pageBreakBefore w:val="0"/>
              <w:spacing w:line="360" w:lineRule="auto"/>
              <w:shd w:val="clear" w:color="auto"/>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7.本项目标的所属行业：其他未列明行业。</w:t>
            </w:r>
            <w:r/>
          </w:p>
          <w:p>
            <w:pPr>
              <w:ind w:firstLine="0"/>
              <w:keepLines w:val="0"/>
              <w:keepNext w:val="0"/>
              <w:pageBreakBefore w:val="0"/>
              <w:spacing w:line="360" w:lineRule="auto"/>
              <w:shd w:val="clear" w:color="auto"/>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8.本项目是否专门面向中小微企业：是。</w:t>
            </w:r>
            <w:r/>
          </w:p>
          <w:p>
            <w:pPr>
              <w:ind w:firstLine="0"/>
              <w:keepLines w:val="0"/>
              <w:keepNext w:val="0"/>
              <w:pageBreakBefore w:val="0"/>
              <w:spacing w:line="360" w:lineRule="auto"/>
              <w:shd w:val="clear" w:color="auto"/>
              <w:rPr>
                <w:rFonts w:hint="eastAsia" w:ascii="宋体" w:hAnsi="宋体" w:eastAsia="宋体" w:cs="宋体"/>
                <w:color w:val="auto"/>
                <w:sz w:val="24"/>
                <w:szCs w:val="20"/>
                <w:highlight w:val="none"/>
                <w:lang w:val="en-US" w:eastAsia="zh-CN" w:bidi="ar-SA"/>
              </w:rPr>
            </w:pPr>
            <w:r>
              <w:rPr>
                <w:rFonts w:hint="eastAsia" w:ascii="宋体" w:hAnsi="宋体" w:eastAsia="宋体" w:cs="宋体"/>
                <w:color w:val="auto"/>
                <w:sz w:val="24"/>
                <w:szCs w:val="20"/>
                <w:highlight w:val="none"/>
                <w:lang w:val="en-US" w:eastAsia="zh-CN" w:bidi="ar-SA"/>
              </w:rPr>
              <w:t xml:space="preserve">9.本项目是否接受联合体投标：否</w:t>
            </w:r>
            <w:r/>
          </w:p>
        </w:tc>
      </w:tr>
      <w:tr>
        <w:trPr>
          <w:trHeight w:val="1374"/>
        </w:trPr>
        <w:tc>
          <w:tcPr>
            <w:tcW w:w="805" w:type="dxa"/>
            <w:vAlign w:val="center"/>
            <w:textDirection w:val="lrTb"/>
            <w:noWrap w:val="false"/>
          </w:tcPr>
          <w:p>
            <w:pPr>
              <w:ind w:firstLine="0"/>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8434" w:type="dxa"/>
            <w:vAlign w:val="center"/>
            <w:textDirection w:val="lrTb"/>
            <w:noWrap w:val="false"/>
          </w:tcPr>
          <w:p>
            <w:pPr>
              <w:ind w:firstLine="0"/>
              <w:keepLines w:val="0"/>
              <w:keepNext w:val="0"/>
              <w:pageBreakBefore w:val="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投标供应商资格要求：</w:t>
            </w:r>
            <w:r/>
          </w:p>
          <w:p>
            <w:pPr>
              <w:ind w:firstLine="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符合《中华人民共和国政府采购法》第二十二条的规定；</w:t>
            </w:r>
            <w:r/>
          </w:p>
          <w:p>
            <w:pPr>
              <w:ind w:left="0" w:firstLine="0"/>
              <w:keepLines w:val="0"/>
              <w:keepNext w:val="0"/>
              <w:pageBreakBefore w:val="0"/>
              <w:spacing w:line="360" w:lineRule="auto"/>
              <w:shd w:val="clear" w:color="auto"/>
              <w:widowControl w:val="off"/>
              <w:rPr>
                <w:rFonts w:hint="eastAsia" w:ascii="宋体" w:hAnsi="宋体" w:eastAsia="宋体" w:cs="宋体"/>
                <w:color w:val="auto"/>
                <w:sz w:val="24"/>
                <w:szCs w:val="32"/>
                <w:highlight w:val="none"/>
                <w:lang w:eastAsia="zh-CN"/>
              </w:rPr>
              <w:outlineLvl w:val="9"/>
            </w:pPr>
            <w:r>
              <w:rPr>
                <w:rFonts w:hint="eastAsia" w:ascii="宋体" w:hAnsi="宋体" w:eastAsia="宋体" w:cs="宋体"/>
                <w:color w:val="auto"/>
                <w:sz w:val="24"/>
                <w:szCs w:val="32"/>
                <w:highlight w:val="none"/>
              </w:rPr>
              <w:t xml:space="preserve">（1）</w:t>
            </w:r>
            <w:r>
              <w:rPr>
                <w:rFonts w:hint="eastAsia" w:ascii="宋体" w:hAnsi="宋体" w:eastAsia="宋体" w:cs="宋体"/>
                <w:color w:val="auto"/>
                <w:sz w:val="24"/>
                <w:szCs w:val="24"/>
                <w:highlight w:val="none"/>
              </w:rPr>
              <w:t xml:space="preserve">关于资格的声明函</w:t>
            </w:r>
            <w:r>
              <w:rPr>
                <w:rFonts w:hint="eastAsia" w:ascii="宋体" w:hAnsi="宋体" w:eastAsia="宋体" w:cs="宋体"/>
                <w:color w:val="auto"/>
                <w:sz w:val="24"/>
                <w:szCs w:val="24"/>
                <w:highlight w:val="none"/>
                <w:lang w:eastAsia="zh-CN"/>
              </w:rPr>
              <w:t xml:space="preserve">；</w:t>
            </w:r>
            <w:r/>
          </w:p>
          <w:p>
            <w:pPr>
              <w:ind w:firstLine="0"/>
              <w:keepLines w:val="0"/>
              <w:keepNext w:val="0"/>
              <w:pageBreakBefore w:val="0"/>
              <w:spacing w:line="360" w:lineRule="auto"/>
              <w:shd w:val="clear" w:color="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rPr>
              <w:t xml:space="preserve">（2）投标供应商企业营业执照或事业单位法人证书或有关部门登记证明文件；</w:t>
            </w:r>
            <w:r/>
          </w:p>
          <w:p>
            <w:pPr>
              <w:ind w:firstLine="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（3）投标供应商法定代表人授权</w:t>
            </w:r>
            <w:r>
              <w:rPr>
                <w:rFonts w:hint="eastAsia" w:ascii="宋体" w:hAnsi="宋体" w:cs="宋体"/>
                <w:color w:val="auto"/>
                <w:sz w:val="24"/>
                <w:szCs w:val="24"/>
                <w:highlight w:val="none"/>
                <w:lang w:eastAsia="zh-CN"/>
              </w:rPr>
              <w:t xml:space="preserve">委托书</w:t>
            </w:r>
            <w:r>
              <w:rPr>
                <w:rFonts w:hint="eastAsia" w:ascii="宋体" w:hAnsi="宋体" w:eastAsia="宋体" w:cs="宋体"/>
                <w:color w:val="auto"/>
                <w:sz w:val="24"/>
                <w:szCs w:val="24"/>
                <w:highlight w:val="none"/>
              </w:rPr>
              <w:t xml:space="preserve">的扫描件；</w:t>
            </w:r>
            <w:r/>
          </w:p>
          <w:p>
            <w:pPr>
              <w:ind w:firstLine="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（4）投标供应商法定代表</w:t>
            </w:r>
            <w:r>
              <w:rPr>
                <w:rFonts w:hint="eastAsia" w:ascii="宋体" w:hAnsi="宋体" w:cs="宋体"/>
                <w:color w:val="auto"/>
                <w:sz w:val="24"/>
                <w:szCs w:val="24"/>
                <w:highlight w:val="none"/>
                <w:lang w:eastAsia="zh-CN"/>
              </w:rPr>
              <w:t xml:space="preserve">人</w:t>
            </w:r>
            <w:r>
              <w:rPr>
                <w:rFonts w:hint="eastAsia" w:ascii="宋体" w:hAnsi="宋体" w:eastAsia="宋体" w:cs="宋体"/>
                <w:color w:val="auto"/>
                <w:sz w:val="24"/>
                <w:szCs w:val="24"/>
                <w:highlight w:val="none"/>
              </w:rPr>
              <w:t xml:space="preserve">及法定代表人被授权代表身份证</w:t>
            </w:r>
            <w:r>
              <w:rPr>
                <w:rFonts w:hint="eastAsia" w:ascii="宋体" w:hAnsi="宋体" w:eastAsia="宋体" w:cs="宋体"/>
                <w:bCs/>
                <w:color w:val="auto"/>
                <w:sz w:val="24"/>
                <w:szCs w:val="32"/>
                <w:highlight w:val="none"/>
                <w:lang w:eastAsia="zh-CN"/>
              </w:rPr>
              <w:t xml:space="preserve">扫描件</w:t>
            </w:r>
            <w:r>
              <w:rPr>
                <w:rFonts w:hint="eastAsia" w:ascii="宋体" w:hAnsi="宋体" w:eastAsia="宋体" w:cs="宋体"/>
                <w:color w:val="auto"/>
                <w:sz w:val="24"/>
                <w:szCs w:val="24"/>
                <w:highlight w:val="none"/>
              </w:rPr>
              <w:t xml:space="preserve">；</w:t>
            </w:r>
            <w:r/>
          </w:p>
          <w:p>
            <w:pPr>
              <w:ind w:firstLine="0"/>
              <w:keepLines w:val="0"/>
              <w:keepNext w:val="0"/>
              <w:pageBreakBefore w:val="0"/>
              <w:spacing w:line="360" w:lineRule="auto"/>
              <w:shd w:val="clear" w:color="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（5）</w:t>
            </w:r>
            <w:r>
              <w:rPr>
                <w:rFonts w:ascii="宋体" w:hAnsi="宋体" w:eastAsia="宋体" w:cs="宋体"/>
                <w:color w:val="000000"/>
                <w:sz w:val="24"/>
                <w:highlight w:val="none"/>
              </w:rPr>
              <w:t xml:space="preserve">授权委托人与项目负责人应具备与本企业签订的劳动合同，法定的社保收缴部门出具</w:t>
            </w:r>
            <w:r>
              <w:rPr>
                <w:rFonts w:hint="eastAsia" w:ascii="宋体" w:hAnsi="宋体" w:cs="宋体"/>
                <w:color w:val="000000"/>
                <w:sz w:val="24"/>
                <w:highlight w:val="none"/>
                <w:lang w:eastAsia="zh-CN"/>
              </w:rPr>
              <w:t xml:space="preserve">的由</w:t>
            </w:r>
            <w:r>
              <w:rPr>
                <w:rFonts w:ascii="宋体" w:hAnsi="宋体" w:eastAsia="宋体" w:cs="宋体"/>
                <w:color w:val="000000"/>
                <w:sz w:val="24"/>
                <w:highlight w:val="none"/>
              </w:rPr>
              <w:t xml:space="preserve">供应商本企业为其依法缴纳的近一年中任意一个月（不含投标当月）的社会保障资金的相关材料（提供相关主管部门证明或银行代扣证明）扫描件[如投标供应商为新成立企业，社保缴费月数不足一年，则提供自公司成立以来至最近一个月（不含投标当月）的依法缴纳社会保障资金的相关材料]</w:t>
            </w:r>
            <w:r>
              <w:rPr>
                <w:rFonts w:hint="eastAsia" w:ascii="宋体" w:hAnsi="宋体" w:eastAsia="宋体" w:cs="宋体"/>
                <w:color w:val="auto"/>
                <w:sz w:val="24"/>
                <w:szCs w:val="24"/>
                <w:highlight w:val="none"/>
                <w:lang w:val="en-US" w:eastAsia="zh-CN"/>
              </w:rPr>
              <w:t xml:space="preserve">；</w:t>
            </w:r>
            <w:r/>
          </w:p>
          <w:p>
            <w:pPr>
              <w:ind w:firstLine="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）投标供应商</w:t>
            </w:r>
            <w:r>
              <w:rPr>
                <w:rFonts w:hint="eastAsia" w:ascii="宋体" w:hAnsi="宋体" w:eastAsia="宋体" w:cs="宋体"/>
                <w:color w:val="auto"/>
                <w:sz w:val="24"/>
                <w:szCs w:val="24"/>
                <w:highlight w:val="none"/>
                <w:lang w:eastAsia="zh-CN"/>
              </w:rPr>
              <w:t xml:space="preserve">近一年</w:t>
            </w:r>
            <w:r>
              <w:rPr>
                <w:rFonts w:hint="eastAsia" w:ascii="宋体" w:hAnsi="宋体" w:eastAsia="宋体" w:cs="宋体"/>
                <w:color w:val="auto"/>
                <w:sz w:val="24"/>
                <w:szCs w:val="24"/>
                <w:highlight w:val="none"/>
              </w:rPr>
              <w:t xml:space="preserve">中任意一个月份</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不含投标当月</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的财务状况报告（资产负债表和利润表）或由会计师事务所出具的</w:t>
            </w:r>
            <w:r>
              <w:rPr>
                <w:rFonts w:hint="eastAsia" w:ascii="宋体" w:hAnsi="宋体" w:eastAsia="宋体" w:cs="宋体"/>
                <w:color w:val="auto"/>
                <w:sz w:val="24"/>
                <w:szCs w:val="24"/>
                <w:highlight w:val="none"/>
                <w:lang w:val="en-US" w:eastAsia="zh-CN"/>
              </w:rPr>
              <w:t xml:space="preserve">2024</w:t>
            </w:r>
            <w:r>
              <w:rPr>
                <w:rFonts w:hint="eastAsia" w:ascii="宋体" w:hAnsi="宋体" w:eastAsia="宋体" w:cs="宋体"/>
                <w:color w:val="auto"/>
                <w:sz w:val="24"/>
                <w:szCs w:val="24"/>
                <w:highlight w:val="none"/>
              </w:rPr>
              <w:t xml:space="preserve">年度</w:t>
            </w:r>
            <w:r>
              <w:rPr>
                <w:rFonts w:hint="eastAsia" w:ascii="宋体" w:hAnsi="宋体" w:cs="宋体"/>
                <w:color w:val="auto"/>
                <w:sz w:val="24"/>
                <w:szCs w:val="24"/>
                <w:highlight w:val="none"/>
                <w:lang w:val="en-US" w:eastAsia="zh-CN"/>
              </w:rPr>
              <w:t xml:space="preserve">或2025年度</w:t>
            </w:r>
            <w:r>
              <w:rPr>
                <w:rFonts w:hint="eastAsia" w:ascii="宋体" w:hAnsi="宋体" w:eastAsia="宋体" w:cs="宋体"/>
                <w:color w:val="auto"/>
                <w:sz w:val="24"/>
                <w:szCs w:val="24"/>
                <w:highlight w:val="none"/>
              </w:rPr>
              <w:t xml:space="preserve">审计报告</w:t>
            </w:r>
            <w:r>
              <w:rPr>
                <w:rFonts w:hint="eastAsia" w:ascii="宋体" w:hAnsi="宋体" w:cs="宋体"/>
                <w:color w:val="auto"/>
                <w:sz w:val="24"/>
                <w:szCs w:val="24"/>
                <w:highlight w:val="none"/>
                <w:lang w:eastAsia="zh-CN"/>
              </w:rPr>
              <w:t xml:space="preserve">及</w:t>
            </w:r>
            <w:r>
              <w:rPr>
                <w:rFonts w:hint="eastAsia" w:ascii="宋体" w:hAnsi="宋体" w:eastAsia="宋体" w:cs="宋体"/>
                <w:color w:val="auto"/>
                <w:sz w:val="24"/>
                <w:szCs w:val="24"/>
                <w:highlight w:val="none"/>
              </w:rPr>
              <w:t xml:space="preserve">所附已审财务报告；</w:t>
            </w:r>
            <w:r/>
          </w:p>
          <w:p>
            <w:pPr>
              <w:ind w:firstLine="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）投标供应商</w:t>
            </w:r>
            <w:r>
              <w:rPr>
                <w:rFonts w:hint="eastAsia" w:ascii="宋体" w:hAnsi="宋体" w:eastAsia="宋体" w:cs="宋体"/>
                <w:color w:val="auto"/>
                <w:sz w:val="24"/>
                <w:szCs w:val="24"/>
                <w:highlight w:val="none"/>
                <w:lang w:eastAsia="zh-CN"/>
              </w:rPr>
              <w:t xml:space="preserve">近一年</w:t>
            </w:r>
            <w:r>
              <w:rPr>
                <w:rFonts w:hint="eastAsia" w:ascii="宋体" w:hAnsi="宋体" w:eastAsia="宋体" w:cs="宋体"/>
                <w:color w:val="auto"/>
                <w:sz w:val="24"/>
                <w:szCs w:val="24"/>
                <w:highlight w:val="none"/>
              </w:rPr>
              <w:t xml:space="preserve">中任意一个月份</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不含投标当月</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的依法缴纳税收的相关材料；</w:t>
            </w:r>
            <w:r/>
          </w:p>
          <w:p>
            <w:pPr>
              <w:ind w:firstLine="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）投标供应商</w:t>
            </w:r>
            <w:r>
              <w:rPr>
                <w:rFonts w:hint="eastAsia" w:ascii="宋体" w:hAnsi="宋体" w:eastAsia="宋体" w:cs="宋体"/>
                <w:color w:val="auto"/>
                <w:sz w:val="24"/>
                <w:szCs w:val="24"/>
                <w:highlight w:val="none"/>
                <w:lang w:eastAsia="zh-CN"/>
              </w:rPr>
              <w:t xml:space="preserve">近一年</w:t>
            </w:r>
            <w:r>
              <w:rPr>
                <w:rFonts w:hint="eastAsia" w:ascii="宋体" w:hAnsi="宋体" w:eastAsia="宋体" w:cs="宋体"/>
                <w:color w:val="auto"/>
                <w:sz w:val="24"/>
                <w:szCs w:val="24"/>
                <w:highlight w:val="none"/>
              </w:rPr>
              <w:t xml:space="preserve">中任意一个月份</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不含投标当月</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的依法缴纳社会保障资金的相关材料；</w:t>
            </w:r>
            <w:r/>
          </w:p>
          <w:p>
            <w:pPr>
              <w:ind w:firstLine="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）承诺书；</w:t>
            </w:r>
            <w:r/>
          </w:p>
          <w:p>
            <w:pPr>
              <w:ind w:left="0" w:firstLine="0"/>
              <w:keepLines w:val="0"/>
              <w:keepNext w:val="0"/>
              <w:pageBreakBefore w:val="0"/>
              <w:spacing w:line="360" w:lineRule="auto"/>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（二）落实政府采购政策需满足的资格要求：</w:t>
            </w:r>
            <w:r/>
          </w:p>
          <w:p>
            <w:pPr>
              <w:ind w:left="0" w:firstLine="0"/>
              <w:keepLines w:val="0"/>
              <w:keepNext w:val="0"/>
              <w:pageBreakBefore w:val="0"/>
              <w:spacing w:line="360" w:lineRule="auto"/>
              <w:shd w:val="clear" w:color="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供应商必须是中小微企业或监狱企业或残疾人福利性单位；供应商如为中小微企业的提供《中小企业声明函》；如为监狱和戒毒企业的，按照财政部</w:t>
            </w:r>
            <w:r>
              <w:rPr>
                <w:rFonts w:hint="eastAsia" w:ascii="宋体" w:hAnsi="宋体" w:cs="宋体"/>
                <w:color w:val="auto"/>
                <w:sz w:val="24"/>
                <w:szCs w:val="24"/>
                <w:highlight w:val="none"/>
                <w:lang w:eastAsia="zh-CN"/>
              </w:rPr>
              <w:t xml:space="preserve">、司法部《</w:t>
            </w:r>
            <w:r>
              <w:rPr>
                <w:rFonts w:hint="eastAsia" w:ascii="宋体" w:hAnsi="宋体" w:eastAsia="宋体" w:cs="宋体"/>
                <w:color w:val="auto"/>
                <w:sz w:val="24"/>
                <w:szCs w:val="24"/>
                <w:highlight w:val="none"/>
              </w:rPr>
              <w:t xml:space="preserve">关于政府采购支持监狱企业发展有关问题》（财库〔2014〕68号）的规定提供由省级以上监狱管理局、戒毒管理局（含新疆生产建设兵团）出具的属于监狱企业的证明文件原件扫描件；如为残疾人福利性单位的提供《残疾人福利性单位声明函》</w:t>
            </w:r>
            <w:r>
              <w:rPr>
                <w:rFonts w:hint="eastAsia" w:ascii="宋体" w:hAnsi="宋体" w:eastAsia="宋体" w:cs="宋体"/>
                <w:color w:val="auto"/>
                <w:sz w:val="24"/>
                <w:szCs w:val="24"/>
                <w:highlight w:val="none"/>
                <w:lang w:eastAsia="zh-CN"/>
              </w:rPr>
              <w:t xml:space="preserve">。</w:t>
            </w:r>
            <w:r/>
          </w:p>
          <w:p>
            <w:pPr>
              <w:numPr>
                <w:ilvl w:val="0"/>
                <w:numId w:val="0"/>
              </w:numPr>
              <w:ind w:firstLine="0"/>
              <w:keepLines w:val="0"/>
              <w:keepNext w:val="0"/>
              <w:pageBreakBefore w:val="0"/>
              <w:spacing w:line="360" w:lineRule="auto"/>
              <w:shd w:val="clear" w:color="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（三）</w:t>
            </w:r>
            <w:r>
              <w:rPr>
                <w:rFonts w:hint="eastAsia" w:ascii="宋体" w:hAnsi="宋体" w:eastAsia="宋体" w:cs="宋体"/>
                <w:color w:val="auto"/>
                <w:sz w:val="24"/>
                <w:szCs w:val="24"/>
                <w:highlight w:val="none"/>
              </w:rPr>
              <w:t xml:space="preserve">本项目的特定资格要求：</w:t>
            </w:r>
            <w:r/>
          </w:p>
          <w:p>
            <w:pPr>
              <w:ind w:firstLine="0"/>
              <w:keepLines w:val="0"/>
              <w:keepNext w:val="0"/>
              <w:pageBreakBefore w:val="0"/>
              <w:spacing w:line="360" w:lineRule="auto"/>
              <w:shd w:val="clear" w:color="auto"/>
              <w:rPr>
                <w:rFonts w:hint="eastAsia" w:ascii="宋体" w:hAnsi="宋体" w:eastAsia="宋体" w:cs="宋体"/>
                <w:bCs/>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投标供应商拟派驻本项目的项目负责人要求：项目负责人必须具备园林绿化专业中级及以上职称；【园林绿化专业是指：与园林绿化工程规划、设计、施工及养护管理相关的专业，包括园林（含园林规划设计、园林植物、风景园林、园林绿化等）、园艺、城市规划、景观、植物（含植保、森保等），职称证书无法显示专业的以毕业证书或职称申报表上所填专业为准，提供毕业证书或职称申报表原件的扫描件】</w:t>
            </w:r>
            <w:r/>
          </w:p>
          <w:p>
            <w:pPr>
              <w:ind w:firstLine="0"/>
              <w:keepLines w:val="0"/>
              <w:keepNext w:val="0"/>
              <w:pageBreakBefore w:val="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未被“信用中国”网站（</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"http://www.creditchina.gov.cn"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www.creditchina.gov.cn</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）、中国政府采购网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www.ccgp.gov.cn</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列入失信被执行人、重大税收违法案件当事人名单、政府采购严重违法失信行为记录名单；</w:t>
            </w:r>
            <w:r/>
          </w:p>
          <w:p>
            <w:pPr>
              <w:numPr>
                <w:ilvl w:val="0"/>
                <w:numId w:val="5"/>
              </w:numPr>
              <w:ind w:firstLine="0"/>
              <w:keepLines w:val="0"/>
              <w:keepNext w:val="0"/>
              <w:pageBreakBefore w:val="0"/>
              <w:spacing w:line="360" w:lineRule="auto"/>
              <w:shd w:val="clear" w:color="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本项目</w:t>
            </w:r>
            <w:r>
              <w:rPr>
                <w:rFonts w:hint="eastAsia" w:ascii="宋体" w:hAnsi="宋体" w:eastAsia="宋体" w:cs="宋体"/>
                <w:color w:val="auto"/>
                <w:sz w:val="24"/>
                <w:szCs w:val="24"/>
                <w:highlight w:val="none"/>
                <w:u w:val="single"/>
                <w:lang w:val="en-US" w:eastAsia="zh-CN"/>
              </w:rPr>
              <w:t xml:space="preserve">不接受</w:t>
            </w:r>
            <w:r>
              <w:rPr>
                <w:rFonts w:hint="eastAsia" w:ascii="宋体" w:hAnsi="宋体" w:eastAsia="宋体" w:cs="宋体"/>
                <w:color w:val="auto"/>
                <w:sz w:val="24"/>
                <w:szCs w:val="24"/>
                <w:highlight w:val="none"/>
                <w:lang w:val="en-US" w:eastAsia="zh-CN"/>
              </w:rPr>
              <w:t xml:space="preserve">联合体投标。</w:t>
            </w:r>
            <w:r/>
          </w:p>
          <w:p>
            <w:pPr>
              <w:ind w:left="0" w:firstLine="0"/>
              <w:keepLines w:val="0"/>
              <w:keepNext w:val="0"/>
              <w:pageBreakBefore w:val="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w:t>
            </w:r>
            <w:r/>
          </w:p>
          <w:p>
            <w:pPr>
              <w:ind w:firstLine="0"/>
              <w:jc w:val="left"/>
              <w:keepLines w:val="0"/>
              <w:keepNext w:val="0"/>
              <w:pageBreakBefore w:val="0"/>
              <w:spacing w:line="360" w:lineRule="auto"/>
              <w:shd w:val="clear" w:color="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1）按照《</w:t>
            </w:r>
            <w:r>
              <w:rPr>
                <w:rFonts w:hint="eastAsia" w:ascii="宋体" w:hAnsi="宋体" w:cs="宋体"/>
                <w:b/>
                <w:bCs/>
                <w:color w:val="auto"/>
                <w:sz w:val="24"/>
                <w:szCs w:val="24"/>
                <w:highlight w:val="none"/>
                <w:lang w:eastAsia="zh-CN"/>
              </w:rPr>
              <w:t xml:space="preserve">中华人民共和国政府采购法实施条例》的释义</w:t>
            </w:r>
            <w:r>
              <w:rPr>
                <w:rFonts w:hint="eastAsia" w:ascii="宋体" w:hAnsi="宋体" w:eastAsia="宋体" w:cs="宋体"/>
                <w:b/>
                <w:bCs/>
                <w:color w:val="auto"/>
                <w:sz w:val="24"/>
                <w:szCs w:val="24"/>
                <w:highlight w:val="none"/>
              </w:rPr>
              <w:t xml:space="preserve">，法人的分支机构由于其不能独立承担民事责任，不能以分支机构的身份参加政府采购，只能以法人身份参加。但银行、保险、石油石化、电力、电信等有行业特殊情况的，可以分支机构</w:t>
            </w:r>
            <w:r>
              <w:rPr>
                <w:rFonts w:hint="eastAsia" w:ascii="宋体" w:hAnsi="宋体" w:cs="宋体"/>
                <w:b/>
                <w:bCs/>
                <w:color w:val="auto"/>
                <w:sz w:val="24"/>
                <w:szCs w:val="24"/>
                <w:highlight w:val="none"/>
                <w:lang w:eastAsia="zh-CN"/>
              </w:rPr>
              <w:t xml:space="preserve">的身份参加</w:t>
            </w:r>
            <w:r>
              <w:rPr>
                <w:rFonts w:hint="eastAsia" w:ascii="宋体" w:hAnsi="宋体" w:eastAsia="宋体" w:cs="宋体"/>
                <w:b/>
                <w:bCs/>
                <w:color w:val="auto"/>
                <w:sz w:val="24"/>
                <w:szCs w:val="24"/>
                <w:highlight w:val="none"/>
              </w:rPr>
              <w:t xml:space="preserve">政府采购和签订合同。</w:t>
            </w:r>
            <w:r/>
          </w:p>
          <w:p>
            <w:pPr>
              <w:ind w:firstLine="0"/>
              <w:jc w:val="left"/>
              <w:keepLines w:val="0"/>
              <w:keepNext w:val="0"/>
              <w:pageBreakBefore w:val="0"/>
              <w:spacing w:line="360" w:lineRule="auto"/>
              <w:shd w:val="clear" w:color="auto"/>
              <w:rPr>
                <w:rFonts w:hint="eastAsia" w:ascii="宋体" w:hAnsi="宋体" w:eastAsia="宋体" w:cs="宋体"/>
                <w:color w:val="auto"/>
                <w:highlight w:val="none"/>
              </w:rPr>
            </w:pPr>
            <w:r>
              <w:rPr>
                <w:rFonts w:hint="eastAsia" w:ascii="宋体" w:hAnsi="宋体" w:eastAsia="宋体" w:cs="宋体"/>
                <w:b/>
                <w:bCs/>
                <w:color w:val="auto"/>
                <w:sz w:val="24"/>
                <w:szCs w:val="24"/>
                <w:highlight w:val="none"/>
              </w:rPr>
              <w:t xml:space="preserve">2）重大违法记录是指投标供应商因违法经营受到刑事处罚或者责令停产停业、吊销许可证或者执照、较大数额罚款等行政处罚。</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根据财库</w:t>
            </w:r>
            <w:r>
              <w:rPr>
                <w:rFonts w:hint="eastAsia" w:ascii="宋体" w:hAnsi="宋体" w:eastAsia="宋体" w:cs="宋体"/>
                <w:b/>
                <w:bCs/>
                <w:color w:val="auto"/>
                <w:sz w:val="24"/>
                <w:szCs w:val="24"/>
                <w:highlight w:val="none"/>
                <w:lang w:eastAsia="zh-CN"/>
              </w:rPr>
              <w:t xml:space="preserve">〔2022〕3号</w:t>
            </w:r>
            <w:r>
              <w:rPr>
                <w:rFonts w:hint="eastAsia" w:ascii="宋体" w:hAnsi="宋体" w:eastAsia="宋体" w:cs="宋体"/>
                <w:b/>
                <w:bCs/>
                <w:color w:val="auto"/>
                <w:sz w:val="24"/>
                <w:szCs w:val="24"/>
                <w:highlight w:val="none"/>
              </w:rPr>
              <w:t xml:space="preserve">文，较大数额罚款认定为200万元以上的罚款，法律、行政法规以及国务院有关部门明确规定相关领域“较大数额罚款”标准高于200万元的，从其规定。</w:t>
            </w:r>
            <w:r>
              <w:rPr>
                <w:rFonts w:hint="eastAsia" w:ascii="宋体" w:hAnsi="宋体" w:eastAsia="宋体" w:cs="宋体"/>
                <w:b/>
                <w:bCs/>
                <w:color w:val="auto"/>
                <w:sz w:val="24"/>
                <w:szCs w:val="24"/>
                <w:highlight w:val="none"/>
                <w:lang w:eastAsia="zh-CN"/>
              </w:rPr>
              <w:t xml:space="preserve">）</w:t>
            </w:r>
            <w:r/>
          </w:p>
        </w:tc>
      </w:tr>
      <w:tr>
        <w:trPr>
          <w:trHeight w:val="90"/>
        </w:trPr>
        <w:tc>
          <w:tcPr>
            <w:tcW w:w="805" w:type="dxa"/>
            <w:vAlign w:val="center"/>
            <w:textDirection w:val="lrTb"/>
            <w:noWrap w:val="false"/>
          </w:tcPr>
          <w:p>
            <w:pPr>
              <w:ind w:firstLine="0"/>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8434" w:type="dxa"/>
            <w:vAlign w:val="center"/>
            <w:textDirection w:val="lrTb"/>
            <w:noWrap w:val="false"/>
          </w:tcPr>
          <w:p>
            <w:pPr>
              <w:ind w:firstLine="79"/>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资金来源：财政资金</w:t>
            </w:r>
            <w:r/>
          </w:p>
        </w:tc>
      </w:tr>
      <w:tr>
        <w:trPr>
          <w:trHeight w:val="380"/>
        </w:trPr>
        <w:tc>
          <w:tcPr>
            <w:tcW w:w="805" w:type="dxa"/>
            <w:vAlign w:val="center"/>
            <w:textDirection w:val="lrTb"/>
            <w:noWrap w:val="false"/>
          </w:tcPr>
          <w:p>
            <w:pPr>
              <w:ind w:firstLine="244"/>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8434" w:type="dxa"/>
            <w:vAlign w:val="center"/>
            <w:textDirection w:val="lrTb"/>
            <w:noWrap w:val="false"/>
          </w:tcPr>
          <w:p>
            <w:pPr>
              <w:ind w:firstLine="79"/>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1.供应商主体信息库注册：</w:t>
            </w:r>
            <w:r/>
          </w:p>
          <w:p>
            <w:pPr>
              <w:ind w:firstLine="79"/>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（1）请有意参加本项目采购活动的供应商按以下流程进行操作：</w:t>
            </w:r>
            <w:r/>
          </w:p>
          <w:p>
            <w:pPr>
              <w:ind w:firstLine="79"/>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①访问“无锡政府采购网”点击“江苏省政府采购（苏采云）平台”（以下简称“苏采云”）进行账号注册，注册完成后需在系统中填写资质信息并提交审核。也可以直接通过http://jszfcg.jsczt.cn/进入注册界面。</w:t>
            </w:r>
            <w:r/>
          </w:p>
          <w:p>
            <w:pPr>
              <w:ind w:firstLine="79"/>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②办理“意源”CA数字证书和“方正”电子签章（办理地址：无锡市滨湖区观山路199号12号楼二楼9号、10号窗口），办理指南链接：http://jsxcmm.com/help/help.html。</w:t>
            </w:r>
            <w:r/>
          </w:p>
          <w:p>
            <w:pPr>
              <w:ind w:firstLine="79"/>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③CA驱动下载：</w:t>
            </w:r>
            <w:r/>
          </w:p>
          <w:p>
            <w:pPr>
              <w:ind w:firstLine="79"/>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在“江苏省政府采购（苏采云）平台”</w:t>
            </w:r>
            <w:r>
              <w:rPr>
                <w:rFonts w:hint="eastAsia" w:ascii="宋体" w:hAnsi="宋体" w:eastAsia="宋体" w:cs="宋体"/>
                <w:color w:val="auto"/>
                <w:sz w:val="24"/>
                <w:szCs w:val="24"/>
                <w:highlight w:val="none"/>
                <w:lang w:eastAsia="zh-CN"/>
              </w:rPr>
              <w:t xml:space="preserve">账号登录</w:t>
            </w:r>
            <w:r>
              <w:rPr>
                <w:rFonts w:hint="eastAsia" w:ascii="宋体" w:hAnsi="宋体" w:eastAsia="宋体" w:cs="宋体"/>
                <w:color w:val="auto"/>
                <w:sz w:val="24"/>
                <w:szCs w:val="24"/>
                <w:highlight w:val="none"/>
              </w:rPr>
              <w:t xml:space="preserve">页面，点击“驱动下载”链接中的“政务CA、方正签章控件驱动安装包及安装说明”可以直接下载驱动安装包，安装包中附有驱动安装手册。</w:t>
            </w:r>
            <w:r/>
          </w:p>
          <w:p>
            <w:pPr>
              <w:ind w:firstLine="79"/>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技术服务电话：0510-81827781（服务时间：工作日 9:00-11:30，13:00-17:00）</w:t>
            </w:r>
            <w:r/>
          </w:p>
          <w:p>
            <w:pPr>
              <w:ind w:firstLine="79"/>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（2）完成苏采云注册的供应商方可在苏采云中进行CA绑定。登录“江苏省政府采购（苏采云）平台”，插入CA后，点击【账号设置】——【绑定CA】。</w:t>
            </w:r>
            <w:r/>
          </w:p>
          <w:p>
            <w:pPr>
              <w:ind w:firstLine="79"/>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（3）供应商应按上述要求提供相关材料及注册登记信息，所提供的材料</w:t>
            </w:r>
            <w:r>
              <w:rPr>
                <w:rFonts w:hint="eastAsia" w:ascii="宋体" w:hAnsi="宋体" w:cs="宋体"/>
                <w:color w:val="auto"/>
                <w:sz w:val="24"/>
                <w:szCs w:val="24"/>
                <w:highlight w:val="none"/>
                <w:lang w:eastAsia="zh-CN"/>
              </w:rPr>
              <w:t xml:space="preserve">应</w:t>
            </w:r>
            <w:r>
              <w:rPr>
                <w:rFonts w:hint="eastAsia" w:ascii="宋体" w:hAnsi="宋体" w:eastAsia="宋体" w:cs="宋体"/>
                <w:color w:val="auto"/>
                <w:sz w:val="24"/>
                <w:szCs w:val="24"/>
                <w:highlight w:val="none"/>
              </w:rPr>
              <w:t xml:space="preserve">是真实的、准确的，若有违背，供应商自行承担</w:t>
            </w:r>
            <w:r>
              <w:rPr>
                <w:rFonts w:hint="eastAsia" w:ascii="宋体" w:hAnsi="宋体" w:cs="宋体"/>
                <w:color w:val="auto"/>
                <w:sz w:val="24"/>
                <w:szCs w:val="24"/>
                <w:highlight w:val="none"/>
                <w:lang w:eastAsia="zh-CN"/>
              </w:rPr>
              <w:t xml:space="preserve">由此</w:t>
            </w:r>
            <w:r>
              <w:rPr>
                <w:rFonts w:hint="eastAsia" w:ascii="宋体" w:hAnsi="宋体" w:eastAsia="宋体" w:cs="宋体"/>
                <w:color w:val="auto"/>
                <w:sz w:val="24"/>
                <w:szCs w:val="24"/>
                <w:highlight w:val="none"/>
              </w:rPr>
              <w:t xml:space="preserve">产生的一切后果。</w:t>
            </w:r>
            <w:r/>
          </w:p>
          <w:p>
            <w:pPr>
              <w:ind w:firstLine="79"/>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如供应商未按上述要求操作，由此所产生的损失及风险由供应商自行承担。具体操作步骤详见《“苏采云”系统供应商操作手册》（以下简称《操作手册》），下载地址：无锡市政府采购网——资料下载——苏采云——</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"http://cz.wuxi.gov.cn/doc/2023/10/11/4080287.shtml" \t "_blank"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“苏采云”系统供应商操作手册</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w:t>
            </w:r>
            <w:r/>
          </w:p>
          <w:p>
            <w:pPr>
              <w:ind w:firstLine="79"/>
              <w:spacing w:line="360" w:lineRule="auto"/>
              <w:shd w:val="clear" w:color="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技术支持QQ：田女士：3071474382；王先生：897651173。</w:t>
            </w:r>
            <w:r/>
          </w:p>
          <w:p>
            <w:pPr>
              <w:ind w:firstLine="79"/>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2.完成项目报名，获取采购文件：</w:t>
            </w:r>
            <w:r/>
          </w:p>
          <w:p>
            <w:pPr>
              <w:ind w:firstLine="79"/>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（1）潜在投标供应商可在项目招标公告附件中查看公开招标文件，如确定投标，必须在苏采云平台（</w:t>
            </w:r>
            <w:r>
              <w:rPr>
                <w:rFonts w:hint="eastAsia" w:ascii="宋体" w:hAnsi="宋体" w:eastAsia="宋体" w:cs="宋体"/>
                <w:color w:val="auto"/>
                <w:sz w:val="24"/>
                <w:szCs w:val="24"/>
                <w:highlight w:val="none"/>
                <w:lang w:eastAsia="zh-CN"/>
              </w:rPr>
              <w:t xml:space="preserve">http://jszfcg.jsczt.cn/</w:t>
            </w:r>
            <w:r>
              <w:rPr>
                <w:rFonts w:hint="eastAsia" w:ascii="宋体" w:hAnsi="宋体" w:eastAsia="宋体" w:cs="宋体"/>
                <w:color w:val="auto"/>
                <w:sz w:val="24"/>
                <w:szCs w:val="24"/>
                <w:highlight w:val="none"/>
              </w:rPr>
              <w:t xml:space="preserve">）中免费下载公开招标文件（无锡政府采购网--江苏省政府采购（苏采云）平台或“政府采购客户端（苏采云）</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免费下载文件</w:t>
            </w:r>
            <w:r>
              <w:rPr>
                <w:rFonts w:hint="eastAsia" w:ascii="宋体" w:hAnsi="宋体" w:cs="宋体"/>
                <w:color w:val="auto"/>
                <w:sz w:val="24"/>
                <w:szCs w:val="24"/>
                <w:highlight w:val="none"/>
                <w:lang w:eastAsia="zh-CN"/>
              </w:rPr>
              <w:t xml:space="preserve">，路径为</w:t>
            </w:r>
            <w:r>
              <w:rPr>
                <w:rFonts w:hint="eastAsia" w:ascii="宋体" w:hAnsi="宋体" w:eastAsia="宋体" w:cs="宋体"/>
                <w:color w:val="auto"/>
                <w:sz w:val="24"/>
                <w:szCs w:val="24"/>
                <w:highlight w:val="none"/>
              </w:rPr>
              <w:t xml:space="preserve">“项目参与”——找到需要获取招标文件的项目，点击“我要参与”——“参与投标”——“下载文件”），完成项目报名，将苏采云平台中下载的招标文件（后缀名为“.kedt”）导入到“政府采购客户端”，离线按要求编制并加密投标文件（使用“CA数字证书”），导出加密的投标文件（后缀名为zip，不得超过150M）并在苏采云平台上传该加密的投标文件，对招标文件各项内容做出实质性响应，否则其投标文件无效。</w:t>
            </w:r>
            <w:r/>
          </w:p>
          <w:p>
            <w:pPr>
              <w:ind w:firstLine="79"/>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（2）招标文件（后缀名为“.kedt”）、“苏采云”系统供应商操作手册及政府采购客户端工具也可通过“苏采云”系统--已参与项目--报名详情页面内相应链接进行下载。</w:t>
            </w:r>
            <w:r/>
          </w:p>
          <w:p>
            <w:pPr>
              <w:ind w:firstLine="79"/>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（3）政府采购客户端工具及“苏采云”系统供应商操作手册可</w:t>
            </w:r>
            <w:r>
              <w:rPr>
                <w:rFonts w:hint="eastAsia" w:ascii="宋体" w:hAnsi="宋体" w:cs="宋体"/>
                <w:color w:val="auto"/>
                <w:sz w:val="24"/>
                <w:szCs w:val="24"/>
                <w:highlight w:val="none"/>
                <w:lang w:eastAsia="zh-CN"/>
              </w:rPr>
              <w:t xml:space="preserve">通过</w:t>
            </w:r>
            <w:r>
              <w:rPr>
                <w:rFonts w:hint="eastAsia" w:ascii="宋体" w:hAnsi="宋体" w:eastAsia="宋体" w:cs="宋体"/>
                <w:color w:val="auto"/>
                <w:sz w:val="24"/>
                <w:szCs w:val="24"/>
                <w:highlight w:val="none"/>
              </w:rPr>
              <w:t xml:space="preserve">江苏政府采购网--办事指南--“资料下载”进行下载《“苏采云”系统供应商操作手册及政府采购客户端工具》</w:t>
            </w:r>
            <w:r>
              <w:rPr>
                <w:rFonts w:hint="eastAsia" w:ascii="宋体" w:hAnsi="宋体" w:cs="宋体"/>
                <w:color w:val="auto"/>
                <w:sz w:val="24"/>
                <w:szCs w:val="24"/>
                <w:highlight w:val="none"/>
                <w:lang w:eastAsia="zh-CN"/>
              </w:rPr>
              <w:t xml:space="preserve">，或</w:t>
            </w:r>
            <w:r>
              <w:rPr>
                <w:rFonts w:hint="eastAsia" w:ascii="宋体" w:hAnsi="宋体" w:eastAsia="宋体" w:cs="宋体"/>
                <w:color w:val="auto"/>
                <w:sz w:val="24"/>
                <w:szCs w:val="24"/>
                <w:highlight w:val="none"/>
              </w:rPr>
              <w:t xml:space="preserve">可至无锡政府采购网--下载专区--“苏采云”栏目下载《“苏采云”系统供应商操作手册》。</w:t>
            </w:r>
            <w:r/>
          </w:p>
          <w:p>
            <w:pPr>
              <w:ind w:firstLine="79"/>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zh-CN"/>
              </w:rPr>
              <w:t xml:space="preserve">本项目为线上不见面采购，无需到开标现场也无需递交纸质文件。</w:t>
            </w:r>
            <w:r>
              <w:rPr>
                <w:rFonts w:hint="eastAsia" w:ascii="宋体" w:hAnsi="宋体" w:eastAsia="宋体" w:cs="宋体"/>
                <w:color w:val="auto"/>
                <w:sz w:val="24"/>
                <w:szCs w:val="24"/>
                <w:highlight w:val="none"/>
              </w:rPr>
              <w:t xml:space="preserve">供应商应承担其编制投标文件以及递交投标文件所涉及的一切费用。无论投标结果如何，采购人对上述费用不负任何责任。</w:t>
            </w:r>
            <w:r/>
          </w:p>
        </w:tc>
      </w:tr>
      <w:tr>
        <w:trPr>
          <w:trHeight w:val="238"/>
        </w:trPr>
        <w:tc>
          <w:tcPr>
            <w:tcW w:w="805" w:type="dxa"/>
            <w:vAlign w:val="center"/>
            <w:textDirection w:val="lrTb"/>
            <w:noWrap w:val="false"/>
          </w:tcPr>
          <w:p>
            <w:pPr>
              <w:ind w:firstLine="244"/>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W w:w="8434" w:type="dxa"/>
            <w:vAlign w:val="center"/>
            <w:textDirection w:val="lrTb"/>
            <w:noWrap w:val="false"/>
          </w:tcPr>
          <w:p>
            <w:pPr>
              <w:ind w:firstLine="0"/>
              <w:jc w:val="both"/>
              <w:spacing w:line="360" w:lineRule="auto"/>
              <w:rPr>
                <w:rFonts w:hint="default" w:ascii="宋体" w:hAnsi="宋体" w:eastAsia="宋体" w:cs="Times New Roman"/>
                <w:color w:val="auto"/>
                <w:sz w:val="24"/>
                <w:szCs w:val="20"/>
                <w:highlight w:val="none"/>
              </w:rPr>
              <w:outlineLvl w:val="9"/>
            </w:pPr>
            <w:r>
              <w:rPr>
                <w:rFonts w:hint="eastAsia" w:ascii="宋体" w:hAnsi="宋体" w:eastAsia="宋体" w:cs="宋体"/>
                <w:color w:val="auto"/>
                <w:sz w:val="24"/>
                <w:szCs w:val="20"/>
                <w:highlight w:val="none"/>
                <w:lang w:val="en-US" w:eastAsia="zh-CN"/>
              </w:rPr>
              <w:t xml:space="preserve">供应商</w:t>
            </w:r>
            <w:r>
              <w:rPr>
                <w:rFonts w:hint="eastAsia" w:ascii="宋体" w:hAnsi="宋体" w:eastAsia="宋体" w:cs="Times New Roman"/>
                <w:color w:val="auto"/>
                <w:sz w:val="24"/>
                <w:szCs w:val="20"/>
                <w:highlight w:val="none"/>
              </w:rPr>
              <w:t xml:space="preserve">对招标文件提出修改、澄清要求的截止时间：20</w:t>
            </w:r>
            <w:r>
              <w:rPr>
                <w:rFonts w:hint="default" w:ascii="宋体" w:hAnsi="宋体" w:eastAsia="宋体" w:cs="Times New Roman"/>
                <w:color w:val="auto"/>
                <w:sz w:val="24"/>
                <w:szCs w:val="20"/>
                <w:highlight w:val="none"/>
              </w:rPr>
              <w:t xml:space="preserve">2</w:t>
            </w:r>
            <w:r>
              <w:rPr>
                <w:rFonts w:hint="eastAsia" w:ascii="宋体" w:hAnsi="宋体" w:eastAsia="宋体" w:cs="Times New Roman"/>
                <w:color w:val="auto"/>
                <w:sz w:val="24"/>
                <w:szCs w:val="20"/>
                <w:highlight w:val="none"/>
                <w:lang w:val="en-US" w:eastAsia="zh-CN"/>
              </w:rPr>
              <w:t xml:space="preserve">6</w:t>
            </w:r>
            <w:r>
              <w:rPr>
                <w:rFonts w:hint="eastAsia" w:ascii="宋体" w:hAnsi="宋体" w:eastAsia="宋体" w:cs="Times New Roman"/>
                <w:color w:val="auto"/>
                <w:sz w:val="24"/>
                <w:szCs w:val="20"/>
                <w:highlight w:val="none"/>
              </w:rPr>
              <w:t xml:space="preserve">年</w:t>
            </w:r>
            <w:r>
              <w:rPr>
                <w:rFonts w:hint="eastAsia" w:ascii="宋体" w:hAnsi="宋体" w:cs="Times New Roman"/>
                <w:color w:val="auto"/>
                <w:sz w:val="24"/>
                <w:szCs w:val="20"/>
                <w:highlight w:val="none"/>
                <w:lang w:val="en-US" w:eastAsia="zh-CN"/>
              </w:rPr>
              <w:t xml:space="preserve">5</w:t>
            </w:r>
            <w:r>
              <w:rPr>
                <w:rFonts w:hint="eastAsia" w:ascii="宋体" w:hAnsi="宋体" w:eastAsia="宋体" w:cs="Times New Roman"/>
                <w:color w:val="auto"/>
                <w:sz w:val="24"/>
                <w:szCs w:val="20"/>
                <w:highlight w:val="none"/>
              </w:rPr>
              <w:t xml:space="preserve">月</w:t>
            </w:r>
            <w:r>
              <w:rPr>
                <w:rFonts w:hint="eastAsia" w:ascii="宋体" w:hAnsi="宋体" w:cs="Times New Roman"/>
                <w:color w:val="auto"/>
                <w:sz w:val="24"/>
                <w:szCs w:val="20"/>
                <w:highlight w:val="none"/>
                <w:lang w:val="en-US" w:eastAsia="zh-CN"/>
              </w:rPr>
              <w:t xml:space="preserve">27</w:t>
            </w:r>
            <w:r>
              <w:rPr>
                <w:rFonts w:hint="eastAsia" w:ascii="宋体" w:hAnsi="宋体" w:eastAsia="宋体" w:cs="Times New Roman"/>
                <w:color w:val="auto"/>
                <w:sz w:val="24"/>
                <w:szCs w:val="20"/>
                <w:highlight w:val="none"/>
              </w:rPr>
              <w:t xml:space="preserve">日</w:t>
            </w:r>
            <w:r>
              <w:rPr>
                <w:rFonts w:hint="eastAsia" w:ascii="宋体" w:hAnsi="宋体" w:cs="Times New Roman"/>
                <w:color w:val="auto"/>
                <w:sz w:val="24"/>
                <w:szCs w:val="20"/>
                <w:highlight w:val="none"/>
                <w:lang w:val="en-US" w:eastAsia="zh-CN"/>
              </w:rPr>
              <w:t xml:space="preserve">10</w:t>
            </w:r>
            <w:r>
              <w:rPr>
                <w:rFonts w:hint="eastAsia" w:ascii="宋体" w:hAnsi="宋体" w:eastAsia="宋体" w:cs="Times New Roman"/>
                <w:color w:val="auto"/>
                <w:sz w:val="24"/>
                <w:szCs w:val="20"/>
                <w:highlight w:val="none"/>
                <w:lang w:val="en-US" w:eastAsia="zh-CN"/>
              </w:rPr>
              <w:t xml:space="preserve">:</w:t>
            </w:r>
            <w:r>
              <w:rPr>
                <w:rFonts w:hint="eastAsia" w:ascii="宋体" w:hAnsi="宋体" w:cs="Times New Roman"/>
                <w:color w:val="auto"/>
                <w:sz w:val="24"/>
                <w:szCs w:val="20"/>
                <w:highlight w:val="none"/>
                <w:lang w:val="en-US" w:eastAsia="zh-CN"/>
              </w:rPr>
              <w:t xml:space="preserve">00</w:t>
            </w:r>
            <w:r>
              <w:rPr>
                <w:rFonts w:hint="eastAsia" w:ascii="宋体" w:hAnsi="宋体" w:eastAsia="宋体" w:cs="Times New Roman"/>
                <w:color w:val="auto"/>
                <w:sz w:val="24"/>
                <w:szCs w:val="20"/>
                <w:highlight w:val="none"/>
              </w:rPr>
              <w:t xml:space="preserve">，以书面传真形式和电子邮件形式发送给采购代理机构。</w:t>
            </w:r>
            <w:r/>
          </w:p>
          <w:p>
            <w:pPr>
              <w:ind w:left="0" w:firstLine="0"/>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Times New Roman"/>
                <w:color w:val="auto"/>
                <w:sz w:val="24"/>
                <w:szCs w:val="20"/>
                <w:highlight w:val="none"/>
              </w:rPr>
              <w:t xml:space="preserve">采购人对招标文件修改、澄清的截止时间：</w:t>
            </w:r>
            <w:r>
              <w:rPr>
                <w:rFonts w:hint="eastAsia" w:ascii="宋体" w:hAnsi="宋体" w:eastAsia="宋体" w:cs="Times New Roman"/>
                <w:color w:val="auto"/>
                <w:sz w:val="24"/>
                <w:szCs w:val="24"/>
                <w:highlight w:val="none"/>
              </w:rPr>
              <w:t xml:space="preserve">提交投标文件截止时间前15天，</w:t>
            </w:r>
            <w:r>
              <w:rPr>
                <w:rFonts w:hint="eastAsia" w:ascii="宋体" w:hAnsi="宋体" w:eastAsia="宋体" w:cs="Times New Roman"/>
                <w:color w:val="auto"/>
                <w:sz w:val="24"/>
                <w:szCs w:val="20"/>
                <w:highlight w:val="none"/>
              </w:rPr>
              <w:t xml:space="preserve">以</w:t>
            </w:r>
            <w:r>
              <w:rPr>
                <w:rFonts w:hint="eastAsia" w:ascii="宋体" w:hAnsi="宋体" w:eastAsia="宋体" w:cs="宋体"/>
                <w:color w:val="auto"/>
                <w:sz w:val="24"/>
                <w:szCs w:val="20"/>
                <w:highlight w:val="none"/>
              </w:rPr>
              <w:t xml:space="preserve">书面</w:t>
            </w:r>
            <w:r>
              <w:rPr>
                <w:rFonts w:hint="eastAsia" w:ascii="宋体" w:hAnsi="宋体" w:eastAsia="宋体" w:cs="Times New Roman"/>
                <w:color w:val="auto"/>
                <w:sz w:val="24"/>
                <w:szCs w:val="20"/>
                <w:highlight w:val="none"/>
              </w:rPr>
              <w:t xml:space="preserve">（或电子邮件）</w:t>
            </w:r>
            <w:r>
              <w:rPr>
                <w:rFonts w:hint="eastAsia" w:ascii="宋体" w:hAnsi="宋体" w:eastAsia="宋体" w:cs="宋体"/>
                <w:color w:val="auto"/>
                <w:sz w:val="24"/>
                <w:szCs w:val="20"/>
                <w:highlight w:val="none"/>
              </w:rPr>
              <w:t xml:space="preserve">形式通知所有</w:t>
            </w:r>
            <w:r>
              <w:rPr>
                <w:rFonts w:hint="eastAsia" w:ascii="宋体" w:hAnsi="宋体" w:eastAsia="宋体" w:cs="Times New Roman"/>
                <w:bCs/>
                <w:color w:val="auto"/>
                <w:sz w:val="24"/>
                <w:szCs w:val="24"/>
                <w:highlight w:val="none"/>
              </w:rPr>
              <w:t xml:space="preserve">获取招标文件的潜在</w:t>
            </w:r>
            <w:r>
              <w:rPr>
                <w:rFonts w:hint="eastAsia" w:ascii="宋体" w:hAnsi="宋体" w:eastAsia="宋体" w:cs="宋体"/>
                <w:color w:val="auto"/>
                <w:sz w:val="24"/>
                <w:szCs w:val="20"/>
                <w:highlight w:val="none"/>
              </w:rPr>
              <w:t xml:space="preserve">供应商</w:t>
            </w:r>
            <w:r>
              <w:rPr>
                <w:rFonts w:hint="eastAsia" w:ascii="宋体" w:hAnsi="宋体" w:eastAsia="宋体" w:cs="Times New Roman"/>
                <w:color w:val="auto"/>
                <w:sz w:val="24"/>
                <w:szCs w:val="20"/>
                <w:highlight w:val="none"/>
              </w:rPr>
              <w:t xml:space="preserve">并发布更正公告。</w:t>
            </w:r>
            <w:r/>
          </w:p>
        </w:tc>
      </w:tr>
      <w:tr>
        <w:trPr>
          <w:trHeight w:val="90"/>
        </w:trPr>
        <w:tc>
          <w:tcPr>
            <w:tcW w:w="805" w:type="dxa"/>
            <w:vAlign w:val="center"/>
            <w:textDirection w:val="lrTb"/>
            <w:noWrap w:val="false"/>
          </w:tcPr>
          <w:p>
            <w:pPr>
              <w:ind w:firstLine="244"/>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W w:w="8434" w:type="dxa"/>
            <w:vAlign w:val="center"/>
            <w:textDirection w:val="lrTb"/>
            <w:noWrap w:val="false"/>
          </w:tcPr>
          <w:p>
            <w:pPr>
              <w:ind w:firstLine="79"/>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本项目免收投标保证金。</w:t>
            </w:r>
            <w:r/>
          </w:p>
        </w:tc>
      </w:tr>
      <w:tr>
        <w:trPr>
          <w:trHeight w:val="90"/>
        </w:trPr>
        <w:tc>
          <w:tcPr>
            <w:tcW w:w="805" w:type="dxa"/>
            <w:vAlign w:val="center"/>
            <w:textDirection w:val="lrTb"/>
            <w:noWrap w:val="false"/>
          </w:tcPr>
          <w:p>
            <w:pPr>
              <w:ind w:firstLine="244"/>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tcW w:w="8434" w:type="dxa"/>
            <w:vAlign w:val="center"/>
            <w:textDirection w:val="lrTb"/>
            <w:noWrap w:val="false"/>
          </w:tcPr>
          <w:p>
            <w:pPr>
              <w:ind w:firstLine="79"/>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投标有效期：开标之日起90天</w:t>
            </w:r>
            <w:r/>
          </w:p>
        </w:tc>
      </w:tr>
      <w:tr>
        <w:trPr>
          <w:trHeight w:val="475"/>
        </w:trPr>
        <w:tc>
          <w:tcPr>
            <w:tcW w:w="805" w:type="dxa"/>
            <w:vAlign w:val="center"/>
            <w:textDirection w:val="lrTb"/>
            <w:noWrap w:val="false"/>
          </w:tcPr>
          <w:p>
            <w:pPr>
              <w:ind w:firstLine="0"/>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W w:w="8434" w:type="dxa"/>
            <w:vAlign w:val="center"/>
            <w:textDirection w:val="lrTb"/>
            <w:noWrap w:val="false"/>
          </w:tcPr>
          <w:p>
            <w:pPr>
              <w:ind w:firstLine="0"/>
              <w:jc w:val="both"/>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outlineLvl w:val="9"/>
            </w:pPr>
            <w:r>
              <w:rPr>
                <w:rFonts w:hint="eastAsia" w:ascii="宋体" w:hAnsi="宋体" w:eastAsia="宋体" w:cs="宋体"/>
                <w:color w:val="000000" w:themeColor="text1"/>
                <w:sz w:val="24"/>
                <w:szCs w:val="24"/>
                <w:highlight w:val="none"/>
                <w14:textFill>
                  <w14:solidFill>
                    <w14:schemeClr w14:val="tx1"/>
                  </w14:solidFill>
                </w14:textFill>
              </w:rPr>
              <w:t xml:space="preserve">踏勘现场：由投标供应商自行组织踏勘现场。</w:t>
            </w:r>
            <w:r/>
          </w:p>
          <w:p>
            <w:pPr>
              <w:ind w:firstLine="79"/>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网上投标截止时间：</w:t>
            </w:r>
            <w:r>
              <w:rPr>
                <w:rFonts w:hint="eastAsia" w:ascii="宋体" w:hAnsi="宋体" w:eastAsia="宋体" w:cs="宋体"/>
                <w:color w:val="000000" w:themeColor="text1"/>
                <w:sz w:val="24"/>
                <w:szCs w:val="24"/>
                <w:highlight w:val="none"/>
                <w:u w:val="single"/>
                <w:lang w:bidi="ar"/>
                <w14:textFill>
                  <w14:solidFill>
                    <w14:schemeClr w14:val="tx1"/>
                  </w14:solidFill>
                </w14:textFill>
              </w:rPr>
              <w:t xml:space="preserve">202</w:t>
            </w:r>
            <w:r>
              <w:rPr>
                <w:rFonts w:hint="eastAsia" w:ascii="宋体" w:hAnsi="宋体" w:eastAsia="宋体" w:cs="宋体"/>
                <w:color w:val="000000" w:themeColor="text1"/>
                <w:sz w:val="24"/>
                <w:szCs w:val="24"/>
                <w:highlight w:val="none"/>
                <w:u w:val="single"/>
                <w:lang w:val="en-US" w:eastAsia="zh-CN" w:bidi="ar"/>
                <w14:textFill>
                  <w14:solidFill>
                    <w14:schemeClr w14:val="tx1"/>
                  </w14:solidFill>
                </w14:textFill>
              </w:rPr>
              <w:t xml:space="preserve">6</w:t>
            </w:r>
            <w:r>
              <w:rPr>
                <w:rFonts w:hint="eastAsia" w:ascii="宋体" w:hAnsi="宋体" w:eastAsia="宋体" w:cs="宋体"/>
                <w:color w:val="000000" w:themeColor="text1"/>
                <w:sz w:val="24"/>
                <w:szCs w:val="24"/>
                <w:highlight w:val="none"/>
                <w:u w:val="single"/>
                <w:lang w:bidi="ar"/>
                <w14:textFill>
                  <w14:solidFill>
                    <w14:schemeClr w14:val="tx1"/>
                  </w14:solidFill>
                </w14:textFill>
              </w:rPr>
              <w:t xml:space="preserve">年</w:t>
            </w:r>
            <w:r>
              <w:rPr>
                <w:rFonts w:hint="eastAsia" w:ascii="宋体" w:hAnsi="宋体" w:cs="宋体"/>
                <w:color w:val="000000" w:themeColor="text1"/>
                <w:sz w:val="24"/>
                <w:szCs w:val="24"/>
                <w:highlight w:val="none"/>
                <w:u w:val="single"/>
                <w:lang w:val="en-US" w:eastAsia="zh-CN" w:bidi="ar"/>
                <w14:textFill>
                  <w14:solidFill>
                    <w14:schemeClr w14:val="tx1"/>
                  </w14:solidFill>
                </w14:textFill>
              </w:rPr>
              <w:t xml:space="preserve">6</w:t>
            </w:r>
            <w:r>
              <w:rPr>
                <w:rFonts w:hint="eastAsia" w:ascii="宋体" w:hAnsi="宋体" w:eastAsia="宋体" w:cs="宋体"/>
                <w:color w:val="000000" w:themeColor="text1"/>
                <w:sz w:val="24"/>
                <w:szCs w:val="24"/>
                <w:highlight w:val="none"/>
                <w:u w:val="single"/>
                <w:lang w:bidi="ar"/>
                <w14:textFill>
                  <w14:solidFill>
                    <w14:schemeClr w14:val="tx1"/>
                  </w14:solidFill>
                </w14:textFill>
              </w:rPr>
              <w:t xml:space="preserve">月</w:t>
            </w:r>
            <w:r>
              <w:rPr>
                <w:rFonts w:hint="eastAsia" w:ascii="宋体" w:hAnsi="宋体" w:cs="宋体"/>
                <w:color w:val="000000" w:themeColor="text1"/>
                <w:sz w:val="24"/>
                <w:szCs w:val="24"/>
                <w:highlight w:val="none"/>
                <w:u w:val="single"/>
                <w:lang w:val="en-US" w:eastAsia="zh-CN" w:bidi="ar"/>
                <w14:textFill>
                  <w14:solidFill>
                    <w14:schemeClr w14:val="tx1"/>
                  </w14:solidFill>
                </w14:textFill>
              </w:rPr>
              <w:t xml:space="preserve">11</w:t>
            </w:r>
            <w:r>
              <w:rPr>
                <w:rFonts w:hint="eastAsia" w:ascii="宋体" w:hAnsi="宋体" w:eastAsia="宋体" w:cs="宋体"/>
                <w:color w:val="000000" w:themeColor="text1"/>
                <w:sz w:val="24"/>
                <w:szCs w:val="24"/>
                <w:highlight w:val="none"/>
                <w:u w:val="single"/>
                <w:lang w:bidi="ar"/>
                <w14:textFill>
                  <w14:solidFill>
                    <w14:schemeClr w14:val="tx1"/>
                  </w14:solidFill>
                </w14:textFill>
              </w:rPr>
              <w:t xml:space="preserve">日</w:t>
            </w:r>
            <w:r>
              <w:rPr>
                <w:rFonts w:hint="eastAsia" w:ascii="宋体" w:hAnsi="宋体" w:cs="宋体"/>
                <w:color w:val="000000" w:themeColor="text1"/>
                <w:sz w:val="24"/>
                <w:szCs w:val="24"/>
                <w:highlight w:val="none"/>
                <w:u w:val="single"/>
                <w:lang w:eastAsia="zh-CN" w:bidi="ar"/>
                <w14:textFill>
                  <w14:solidFill>
                    <w14:schemeClr w14:val="tx1"/>
                  </w14:solidFill>
                </w14:textFill>
              </w:rPr>
              <w:t xml:space="preserve">9</w:t>
            </w:r>
            <w:r>
              <w:rPr>
                <w:rFonts w:hint="eastAsia" w:ascii="宋体" w:hAnsi="宋体" w:eastAsia="宋体" w:cs="宋体"/>
                <w:color w:val="000000" w:themeColor="text1"/>
                <w:sz w:val="24"/>
                <w:szCs w:val="24"/>
                <w:highlight w:val="none"/>
                <w:u w:val="single"/>
                <w:lang w:bidi="ar"/>
                <w14:textFill>
                  <w14:solidFill>
                    <w14:schemeClr w14:val="tx1"/>
                  </w14:solidFill>
                </w14:textFill>
              </w:rPr>
              <w:t xml:space="preserve">:</w:t>
            </w:r>
            <w:r>
              <w:rPr>
                <w:rFonts w:hint="eastAsia" w:ascii="宋体" w:hAnsi="宋体" w:eastAsia="宋体" w:cs="宋体"/>
                <w:color w:val="000000" w:themeColor="text1"/>
                <w:sz w:val="24"/>
                <w:szCs w:val="24"/>
                <w:highlight w:val="none"/>
                <w:u w:val="single"/>
                <w:lang w:val="en-US" w:eastAsia="zh-CN" w:bidi="ar"/>
                <w14:textFill>
                  <w14:solidFill>
                    <w14:schemeClr w14:val="tx1"/>
                  </w14:solidFill>
                </w14:textFill>
              </w:rPr>
              <w:t xml:space="preserve">3</w:t>
            </w:r>
            <w:r>
              <w:rPr>
                <w:rFonts w:hint="eastAsia" w:ascii="宋体" w:hAnsi="宋体" w:eastAsia="宋体" w:cs="宋体"/>
                <w:color w:val="000000" w:themeColor="text1"/>
                <w:sz w:val="24"/>
                <w:szCs w:val="24"/>
                <w:highlight w:val="none"/>
                <w:u w:val="single"/>
                <w:lang w:bidi="ar"/>
                <w14:textFill>
                  <w14:solidFill>
                    <w14:schemeClr w14:val="tx1"/>
                  </w14:solidFill>
                </w14:textFill>
              </w:rPr>
              <w:t xml:space="preserve">0</w:t>
            </w:r>
            <w:r>
              <w:rPr>
                <w:rFonts w:hint="eastAsia" w:ascii="宋体" w:hAnsi="宋体" w:eastAsia="宋体" w:cs="宋体"/>
                <w:color w:val="000000" w:themeColor="text1"/>
                <w:sz w:val="24"/>
                <w:szCs w:val="24"/>
                <w:highlight w:val="none"/>
                <w14:textFill>
                  <w14:solidFill>
                    <w14:schemeClr w14:val="tx1"/>
                  </w14:solidFill>
                </w14:textFill>
              </w:rPr>
              <w:t xml:space="preserve">（北京时间）</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投标截止时间后的投标文件恕不接受。</w:t>
            </w:r>
            <w:r/>
          </w:p>
          <w:p>
            <w:pPr>
              <w:ind w:firstLine="79"/>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投标及开标地点：网上线上投标。</w:t>
            </w:r>
            <w:r/>
          </w:p>
          <w:p>
            <w:pPr>
              <w:ind w:firstLine="79"/>
              <w:spacing w:line="360" w:lineRule="auto"/>
              <w:shd w:val="clear" w:color="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项目进行线上不见面采购活动，供应商准备好制作标书的笔记本电脑、CA锁（政务CA），登录苏采云网上开标大厅，等待开标流程进入“解锁环境”，点击“点击立即解密”进行标书解密，解锁完成后及时关注开标大厅，请在规定时间内登录网上开标大厅参与采购活动（具体操作流程详见《“苏采云”系统供应商操作手册》）。</w:t>
            </w:r>
            <w:r/>
          </w:p>
          <w:p>
            <w:pPr>
              <w:ind w:firstLine="79"/>
              <w:spacing w:line="360" w:lineRule="auto"/>
              <w:shd w:val="clear" w:color="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网上解密时间：</w:t>
            </w:r>
            <w:r>
              <w:rPr>
                <w:rFonts w:hint="eastAsia" w:ascii="宋体" w:hAnsi="宋体" w:eastAsia="宋体" w:cs="宋体"/>
                <w:color w:val="000000" w:themeColor="text1"/>
                <w:sz w:val="24"/>
                <w:szCs w:val="24"/>
                <w:highlight w:val="none"/>
                <w:u w:val="single"/>
                <w:lang w:bidi="ar"/>
                <w14:textFill>
                  <w14:solidFill>
                    <w14:schemeClr w14:val="tx1"/>
                  </w14:solidFill>
                </w14:textFill>
              </w:rPr>
              <w:t xml:space="preserve">202</w:t>
            </w:r>
            <w:r>
              <w:rPr>
                <w:rFonts w:hint="eastAsia" w:ascii="宋体" w:hAnsi="宋体" w:eastAsia="宋体" w:cs="宋体"/>
                <w:color w:val="000000" w:themeColor="text1"/>
                <w:sz w:val="24"/>
                <w:szCs w:val="24"/>
                <w:highlight w:val="none"/>
                <w:u w:val="single"/>
                <w:lang w:val="en-US" w:eastAsia="zh-CN" w:bidi="ar"/>
                <w14:textFill>
                  <w14:solidFill>
                    <w14:schemeClr w14:val="tx1"/>
                  </w14:solidFill>
                </w14:textFill>
              </w:rPr>
              <w:t xml:space="preserve">6</w:t>
            </w:r>
            <w:r>
              <w:rPr>
                <w:rFonts w:hint="eastAsia" w:ascii="宋体" w:hAnsi="宋体" w:eastAsia="宋体" w:cs="宋体"/>
                <w:color w:val="000000" w:themeColor="text1"/>
                <w:sz w:val="24"/>
                <w:szCs w:val="24"/>
                <w:highlight w:val="none"/>
                <w:u w:val="single"/>
                <w:lang w:bidi="ar"/>
                <w14:textFill>
                  <w14:solidFill>
                    <w14:schemeClr w14:val="tx1"/>
                  </w14:solidFill>
                </w14:textFill>
              </w:rPr>
              <w:t xml:space="preserve">年</w:t>
            </w:r>
            <w:r>
              <w:rPr>
                <w:rFonts w:hint="eastAsia" w:ascii="宋体" w:hAnsi="宋体" w:cs="宋体"/>
                <w:color w:val="000000" w:themeColor="text1"/>
                <w:sz w:val="24"/>
                <w:szCs w:val="24"/>
                <w:highlight w:val="none"/>
                <w:u w:val="single"/>
                <w:lang w:val="en-US" w:eastAsia="zh-CN" w:bidi="ar"/>
                <w14:textFill>
                  <w14:solidFill>
                    <w14:schemeClr w14:val="tx1"/>
                  </w14:solidFill>
                </w14:textFill>
              </w:rPr>
              <w:t xml:space="preserve">6</w:t>
            </w:r>
            <w:r>
              <w:rPr>
                <w:rFonts w:hint="eastAsia" w:ascii="宋体" w:hAnsi="宋体" w:eastAsia="宋体" w:cs="宋体"/>
                <w:color w:val="000000" w:themeColor="text1"/>
                <w:sz w:val="24"/>
                <w:szCs w:val="24"/>
                <w:highlight w:val="none"/>
                <w:u w:val="single"/>
                <w:lang w:bidi="ar"/>
                <w14:textFill>
                  <w14:solidFill>
                    <w14:schemeClr w14:val="tx1"/>
                  </w14:solidFill>
                </w14:textFill>
              </w:rPr>
              <w:t xml:space="preserve">月</w:t>
            </w:r>
            <w:r>
              <w:rPr>
                <w:rFonts w:hint="eastAsia" w:ascii="宋体" w:hAnsi="宋体" w:cs="宋体"/>
                <w:color w:val="000000" w:themeColor="text1"/>
                <w:sz w:val="24"/>
                <w:szCs w:val="24"/>
                <w:highlight w:val="none"/>
                <w:u w:val="single"/>
                <w:lang w:val="en-US" w:eastAsia="zh-CN" w:bidi="ar"/>
                <w14:textFill>
                  <w14:solidFill>
                    <w14:schemeClr w14:val="tx1"/>
                  </w14:solidFill>
                </w14:textFill>
              </w:rPr>
              <w:t xml:space="preserve">11</w:t>
            </w:r>
            <w:r>
              <w:rPr>
                <w:rFonts w:hint="eastAsia" w:ascii="宋体" w:hAnsi="宋体" w:eastAsia="宋体" w:cs="宋体"/>
                <w:color w:val="000000" w:themeColor="text1"/>
                <w:sz w:val="24"/>
                <w:szCs w:val="24"/>
                <w:highlight w:val="none"/>
                <w:u w:val="single"/>
                <w:lang w:bidi="ar"/>
                <w14:textFill>
                  <w14:solidFill>
                    <w14:schemeClr w14:val="tx1"/>
                  </w14:solidFill>
                </w14:textFill>
              </w:rPr>
              <w:t xml:space="preserve">日</w:t>
            </w:r>
            <w:r>
              <w:rPr>
                <w:rFonts w:hint="eastAsia" w:ascii="宋体" w:hAnsi="宋体" w:eastAsia="宋体" w:cs="宋体"/>
                <w:color w:val="000000" w:themeColor="text1"/>
                <w:sz w:val="24"/>
                <w:szCs w:val="24"/>
                <w:highlight w:val="none"/>
                <w:u w:val="single"/>
                <w:lang w:val="en-US" w:eastAsia="zh-CN" w:bidi="ar"/>
                <w14:textFill>
                  <w14:solidFill>
                    <w14:schemeClr w14:val="tx1"/>
                  </w14:solidFill>
                </w14:textFill>
              </w:rPr>
              <w:t xml:space="preserve">09</w:t>
            </w:r>
            <w:r>
              <w:rPr>
                <w:rFonts w:hint="eastAsia" w:ascii="宋体" w:hAnsi="宋体" w:eastAsia="宋体" w:cs="宋体"/>
                <w:color w:val="000000" w:themeColor="text1"/>
                <w:sz w:val="24"/>
                <w:szCs w:val="24"/>
                <w:highlight w:val="none"/>
                <w:u w:val="single"/>
                <w:lang w:bidi="ar"/>
                <w14:textFill>
                  <w14:solidFill>
                    <w14:schemeClr w14:val="tx1"/>
                  </w14:solidFill>
                </w14:textFill>
              </w:rPr>
              <w:t xml:space="preserve">:</w:t>
            </w:r>
            <w:r>
              <w:rPr>
                <w:rFonts w:hint="eastAsia" w:ascii="宋体" w:hAnsi="宋体" w:eastAsia="宋体" w:cs="宋体"/>
                <w:color w:val="000000" w:themeColor="text1"/>
                <w:sz w:val="24"/>
                <w:szCs w:val="24"/>
                <w:highlight w:val="none"/>
                <w:u w:val="single"/>
                <w:lang w:val="en-US" w:eastAsia="zh-CN" w:bidi="ar"/>
                <w14:textFill>
                  <w14:solidFill>
                    <w14:schemeClr w14:val="tx1"/>
                  </w14:solidFill>
                </w14:textFill>
              </w:rPr>
              <w:t xml:space="preserve">3</w:t>
            </w:r>
            <w:r>
              <w:rPr>
                <w:rFonts w:hint="eastAsia" w:ascii="宋体" w:hAnsi="宋体" w:eastAsia="宋体" w:cs="宋体"/>
                <w:color w:val="000000" w:themeColor="text1"/>
                <w:sz w:val="24"/>
                <w:szCs w:val="24"/>
                <w:highlight w:val="none"/>
                <w:u w:val="single"/>
                <w:lang w:bidi="ar"/>
                <w14:textFill>
                  <w14:solidFill>
                    <w14:schemeClr w14:val="tx1"/>
                  </w14:solidFill>
                </w14:textFill>
              </w:rPr>
              <w:t xml:space="preserve">0</w:t>
            </w:r>
            <w:r>
              <w:rPr>
                <w:rFonts w:hint="eastAsia" w:ascii="宋体" w:hAnsi="宋体" w:eastAsia="宋体" w:cs="宋体"/>
                <w:color w:val="000000" w:themeColor="text1"/>
                <w:sz w:val="24"/>
                <w:szCs w:val="24"/>
                <w:highlight w:val="none"/>
                <w14:textFill>
                  <w14:solidFill>
                    <w14:schemeClr w14:val="tx1"/>
                  </w14:solidFill>
                </w14:textFill>
              </w:rPr>
              <w:t xml:space="preserve">。</w:t>
            </w:r>
            <w:r/>
          </w:p>
        </w:tc>
      </w:tr>
      <w:tr>
        <w:trPr>
          <w:trHeight w:val="96"/>
        </w:trPr>
        <w:tc>
          <w:tcPr>
            <w:tcW w:w="805" w:type="dxa"/>
            <w:vAlign w:val="center"/>
            <w:textDirection w:val="lrTb"/>
            <w:noWrap w:val="false"/>
          </w:tcPr>
          <w:p>
            <w:pPr>
              <w:ind w:firstLine="0"/>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r/>
          </w:p>
        </w:tc>
        <w:tc>
          <w:tcPr>
            <w:tcW w:w="8434" w:type="dxa"/>
            <w:vAlign w:val="center"/>
            <w:textDirection w:val="lrTb"/>
            <w:noWrap w:val="false"/>
          </w:tcPr>
          <w:p>
            <w:pPr>
              <w:pStyle w:val="711"/>
              <w:ind w:left="-61" w:firstLine="0"/>
              <w:jc w:val="left"/>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评审时间：</w:t>
            </w:r>
            <w:r>
              <w:rPr>
                <w:rFonts w:hint="eastAsia" w:ascii="宋体" w:hAnsi="宋体" w:eastAsia="宋体" w:cs="宋体"/>
                <w:color w:val="auto"/>
                <w:sz w:val="24"/>
                <w:szCs w:val="24"/>
                <w:highlight w:val="none"/>
                <w:u w:val="single"/>
                <w:lang w:bidi="ar"/>
              </w:rPr>
              <w:t xml:space="preserve">202</w:t>
            </w:r>
            <w:r>
              <w:rPr>
                <w:rFonts w:hint="eastAsia" w:ascii="宋体" w:hAnsi="宋体" w:eastAsia="宋体" w:cs="宋体"/>
                <w:color w:val="auto"/>
                <w:sz w:val="24"/>
                <w:szCs w:val="24"/>
                <w:highlight w:val="none"/>
                <w:u w:val="single"/>
                <w:lang w:val="en-US" w:eastAsia="zh-CN" w:bidi="ar"/>
              </w:rPr>
              <w:t xml:space="preserve">6</w:t>
            </w:r>
            <w:r>
              <w:rPr>
                <w:rFonts w:hint="eastAsia" w:ascii="宋体" w:hAnsi="宋体" w:eastAsia="宋体" w:cs="宋体"/>
                <w:color w:val="auto"/>
                <w:sz w:val="24"/>
                <w:szCs w:val="24"/>
                <w:highlight w:val="none"/>
                <w:u w:val="single"/>
                <w:lang w:bidi="ar"/>
              </w:rPr>
              <w:t xml:space="preserve">年</w:t>
            </w:r>
            <w:r>
              <w:rPr>
                <w:rFonts w:hint="eastAsia" w:ascii="宋体" w:hAnsi="宋体" w:eastAsia="宋体" w:cs="宋体"/>
                <w:color w:val="auto"/>
                <w:sz w:val="24"/>
                <w:szCs w:val="24"/>
                <w:highlight w:val="none"/>
                <w:u w:val="single"/>
                <w:lang w:val="en-US" w:eastAsia="zh-CN" w:bidi="ar"/>
              </w:rPr>
              <w:t xml:space="preserve">6</w:t>
            </w:r>
            <w:r>
              <w:rPr>
                <w:rFonts w:hint="eastAsia" w:ascii="宋体" w:hAnsi="宋体" w:eastAsia="宋体" w:cs="宋体"/>
                <w:color w:val="auto"/>
                <w:sz w:val="24"/>
                <w:szCs w:val="24"/>
                <w:highlight w:val="none"/>
                <w:u w:val="single"/>
                <w:lang w:bidi="ar"/>
              </w:rPr>
              <w:t xml:space="preserve">月</w:t>
            </w:r>
            <w:r>
              <w:rPr>
                <w:rFonts w:hint="eastAsia" w:ascii="宋体" w:hAnsi="宋体" w:eastAsia="宋体" w:cs="宋体"/>
                <w:color w:val="auto"/>
                <w:sz w:val="24"/>
                <w:szCs w:val="24"/>
                <w:highlight w:val="none"/>
                <w:u w:val="single"/>
                <w:lang w:val="en-US" w:eastAsia="zh-CN" w:bidi="ar"/>
              </w:rPr>
              <w:t xml:space="preserve">11</w:t>
            </w:r>
            <w:r>
              <w:rPr>
                <w:rFonts w:hint="eastAsia" w:ascii="宋体" w:hAnsi="宋体" w:eastAsia="宋体" w:cs="宋体"/>
                <w:color w:val="auto"/>
                <w:sz w:val="24"/>
                <w:szCs w:val="24"/>
                <w:highlight w:val="none"/>
                <w:u w:val="single"/>
                <w:lang w:bidi="ar"/>
              </w:rPr>
              <w:t xml:space="preserve">日</w:t>
            </w:r>
            <w:r>
              <w:rPr>
                <w:rFonts w:hint="eastAsia" w:ascii="宋体" w:hAnsi="宋体" w:eastAsia="宋体" w:cs="宋体"/>
                <w:color w:val="auto"/>
                <w:sz w:val="24"/>
                <w:szCs w:val="24"/>
                <w:highlight w:val="none"/>
                <w:u w:val="none"/>
                <w:lang w:eastAsia="zh-CN" w:bidi="ar"/>
              </w:rPr>
              <w:t xml:space="preserve">，</w:t>
            </w:r>
            <w:r>
              <w:rPr>
                <w:rFonts w:hint="eastAsia" w:ascii="宋体" w:hAnsi="宋体" w:eastAsia="宋体" w:cs="宋体"/>
                <w:color w:val="auto"/>
                <w:sz w:val="24"/>
                <w:szCs w:val="24"/>
                <w:highlight w:val="none"/>
                <w:lang w:val="zh-CN"/>
              </w:rPr>
              <w:t xml:space="preserve">唱标结束后。</w:t>
            </w:r>
            <w:r/>
          </w:p>
          <w:p>
            <w:pPr>
              <w:ind w:left="-23" w:firstLine="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评审地点：无锡市公共资源交易中心新吴分中心评标室（交大联云科技园停车场）</w:t>
            </w:r>
            <w:r/>
          </w:p>
        </w:tc>
      </w:tr>
      <w:tr>
        <w:trPr>
          <w:trHeight w:val="90"/>
        </w:trPr>
        <w:tc>
          <w:tcPr>
            <w:tcW w:w="805" w:type="dxa"/>
            <w:vAlign w:val="center"/>
            <w:textDirection w:val="lrTb"/>
            <w:noWrap w:val="false"/>
          </w:tcPr>
          <w:p>
            <w:pPr>
              <w:ind w:firstLine="0"/>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p>
        </w:tc>
        <w:tc>
          <w:tcPr>
            <w:tcW w:w="8434" w:type="dxa"/>
            <w:vAlign w:val="center"/>
            <w:textDirection w:val="lrTb"/>
            <w:noWrap w:val="false"/>
          </w:tcPr>
          <w:p>
            <w:pPr>
              <w:ind w:firstLine="0"/>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中标供应商</w:t>
            </w:r>
            <w:r>
              <w:rPr>
                <w:rFonts w:hint="eastAsia" w:ascii="宋体" w:hAnsi="宋体" w:eastAsia="宋体" w:cs="宋体"/>
                <w:color w:val="auto"/>
                <w:sz w:val="24"/>
                <w:szCs w:val="24"/>
                <w:highlight w:val="none"/>
              </w:rPr>
              <w:t xml:space="preserve">确定时间：</w:t>
            </w:r>
            <w:r>
              <w:rPr>
                <w:rFonts w:hint="eastAsia" w:ascii="宋体" w:hAnsi="宋体" w:eastAsia="宋体" w:cs="宋体"/>
                <w:color w:val="auto"/>
                <w:sz w:val="24"/>
                <w:szCs w:val="24"/>
                <w:highlight w:val="none"/>
                <w:u w:val="single"/>
                <w:lang w:bidi="ar"/>
              </w:rPr>
              <w:t xml:space="preserve">202</w:t>
            </w:r>
            <w:r>
              <w:rPr>
                <w:rFonts w:hint="eastAsia" w:ascii="宋体" w:hAnsi="宋体" w:eastAsia="宋体" w:cs="宋体"/>
                <w:color w:val="auto"/>
                <w:sz w:val="24"/>
                <w:szCs w:val="24"/>
                <w:highlight w:val="none"/>
                <w:u w:val="single"/>
                <w:lang w:val="en-US" w:eastAsia="zh-CN" w:bidi="ar"/>
              </w:rPr>
              <w:t xml:space="preserve">6</w:t>
            </w:r>
            <w:r>
              <w:rPr>
                <w:rFonts w:hint="eastAsia" w:ascii="宋体" w:hAnsi="宋体" w:eastAsia="宋体" w:cs="宋体"/>
                <w:color w:val="auto"/>
                <w:sz w:val="24"/>
                <w:szCs w:val="24"/>
                <w:highlight w:val="none"/>
                <w:u w:val="single"/>
                <w:lang w:bidi="ar"/>
              </w:rPr>
              <w:t xml:space="preserve">年</w:t>
            </w:r>
            <w:r>
              <w:rPr>
                <w:rFonts w:hint="eastAsia" w:ascii="宋体" w:hAnsi="宋体" w:cs="宋体"/>
                <w:color w:val="auto"/>
                <w:sz w:val="24"/>
                <w:szCs w:val="24"/>
                <w:highlight w:val="none"/>
                <w:u w:val="single"/>
                <w:lang w:val="en-US" w:eastAsia="zh-CN" w:bidi="ar"/>
              </w:rPr>
              <w:t xml:space="preserve">6</w:t>
            </w:r>
            <w:r>
              <w:rPr>
                <w:rFonts w:hint="eastAsia" w:ascii="宋体" w:hAnsi="宋体" w:eastAsia="宋体" w:cs="宋体"/>
                <w:color w:val="auto"/>
                <w:sz w:val="24"/>
                <w:szCs w:val="24"/>
                <w:highlight w:val="none"/>
                <w:u w:val="single"/>
                <w:lang w:bidi="ar"/>
              </w:rPr>
              <w:t xml:space="preserve">月</w:t>
            </w:r>
            <w:r>
              <w:rPr>
                <w:rFonts w:hint="eastAsia" w:ascii="宋体" w:hAnsi="宋体" w:cs="宋体"/>
                <w:color w:val="auto"/>
                <w:sz w:val="24"/>
                <w:szCs w:val="24"/>
                <w:highlight w:val="none"/>
                <w:u w:val="single"/>
                <w:lang w:val="en-US" w:eastAsia="zh-CN" w:bidi="ar"/>
              </w:rPr>
              <w:t xml:space="preserve">11</w:t>
            </w:r>
            <w:r>
              <w:rPr>
                <w:rFonts w:hint="eastAsia" w:ascii="宋体" w:hAnsi="宋体" w:eastAsia="宋体" w:cs="宋体"/>
                <w:color w:val="auto"/>
                <w:sz w:val="24"/>
                <w:szCs w:val="24"/>
                <w:highlight w:val="none"/>
                <w:u w:val="single"/>
                <w:lang w:bidi="ar"/>
              </w:rPr>
              <w:t xml:space="preserve">日</w:t>
            </w:r>
            <w:r>
              <w:rPr>
                <w:rFonts w:hint="eastAsia" w:ascii="宋体" w:hAnsi="宋体" w:cs="宋体"/>
                <w:color w:val="auto"/>
                <w:sz w:val="24"/>
                <w:szCs w:val="24"/>
                <w:highlight w:val="none"/>
                <w:u w:val="none"/>
                <w:lang w:eastAsia="zh-CN" w:bidi="ar"/>
              </w:rPr>
              <w:t xml:space="preserve">，评审</w:t>
            </w:r>
            <w:r>
              <w:rPr>
                <w:rFonts w:hint="eastAsia" w:ascii="宋体" w:hAnsi="宋体" w:eastAsia="宋体" w:cs="宋体"/>
                <w:color w:val="auto"/>
                <w:sz w:val="24"/>
                <w:szCs w:val="24"/>
                <w:highlight w:val="none"/>
              </w:rPr>
              <w:t xml:space="preserve">结束</w:t>
            </w:r>
            <w:r>
              <w:rPr>
                <w:rFonts w:hint="eastAsia" w:ascii="宋体" w:hAnsi="宋体" w:cs="宋体"/>
                <w:color w:val="auto"/>
                <w:sz w:val="24"/>
                <w:szCs w:val="24"/>
                <w:highlight w:val="none"/>
                <w:lang w:eastAsia="zh-CN"/>
              </w:rPr>
              <w:t xml:space="preserve">后。</w:t>
            </w:r>
            <w:r/>
          </w:p>
        </w:tc>
      </w:tr>
      <w:tr>
        <w:trPr>
          <w:trHeight w:val="427"/>
        </w:trPr>
        <w:tc>
          <w:tcPr>
            <w:tcW w:w="805" w:type="dxa"/>
            <w:vAlign w:val="center"/>
            <w:textDirection w:val="lrTb"/>
            <w:noWrap w:val="false"/>
          </w:tcPr>
          <w:p>
            <w:pPr>
              <w:ind w:firstLine="0"/>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w:t>
            </w:r>
            <w:r/>
          </w:p>
        </w:tc>
        <w:tc>
          <w:tcPr>
            <w:tcW w:w="8434" w:type="dxa"/>
            <w:vAlign w:val="center"/>
            <w:textDirection w:val="lrTb"/>
            <w:noWrap w:val="false"/>
          </w:tcPr>
          <w:p>
            <w:pPr>
              <w:ind w:firstLine="0"/>
              <w:jc w:val="both"/>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投标文件制作份数要求：</w:t>
            </w:r>
            <w:r/>
          </w:p>
          <w:p>
            <w:pPr>
              <w:ind w:firstLine="0"/>
              <w:jc w:val="both"/>
              <w:spacing w:line="360" w:lineRule="auto"/>
              <w:rPr>
                <w:rFonts w:hint="default" w:ascii="宋体" w:hAnsi="宋体" w:eastAsia="宋体" w:cs="Times New Roman"/>
                <w:color w:val="auto"/>
                <w:sz w:val="24"/>
                <w:szCs w:val="24"/>
                <w:highlight w:val="none"/>
              </w:rPr>
              <w:outlineLvl w:val="9"/>
            </w:pPr>
            <w:r>
              <w:rPr>
                <w:rFonts w:hint="eastAsia" w:ascii="宋体" w:hAnsi="宋体" w:eastAsia="宋体" w:cs="Times New Roman"/>
                <w:color w:val="auto"/>
                <w:sz w:val="24"/>
                <w:szCs w:val="24"/>
                <w:highlight w:val="none"/>
              </w:rPr>
              <w:t xml:space="preserve">1.因本项目作为采用线上电子开评标（网上不见面开标），供应商在苏采云系统规定的时间内对投标文件进行解密。</w:t>
            </w:r>
            <w:r/>
          </w:p>
          <w:p>
            <w:pPr>
              <w:ind w:firstLine="0"/>
              <w:jc w:val="both"/>
              <w:spacing w:line="360" w:lineRule="auto"/>
              <w:rPr>
                <w:rFonts w:hint="default" w:ascii="宋体" w:hAnsi="宋体" w:eastAsia="宋体" w:cs="Times New Roman"/>
                <w:color w:val="auto"/>
                <w:sz w:val="24"/>
                <w:szCs w:val="24"/>
                <w:highlight w:val="none"/>
              </w:rPr>
              <w:outlineLvl w:val="9"/>
            </w:pPr>
            <w:r>
              <w:rPr>
                <w:rFonts w:hint="eastAsia" w:ascii="宋体" w:hAnsi="宋体" w:eastAsia="宋体" w:cs="Times New Roman"/>
                <w:color w:val="auto"/>
                <w:sz w:val="24"/>
                <w:szCs w:val="24"/>
                <w:highlight w:val="none"/>
              </w:rPr>
              <w:t xml:space="preserve">2.中标供应商在收到中标通知书后与采购人签订合同前，必须提供与系统中电子投标文件一致的纸质投标文件一式</w:t>
            </w:r>
            <w:r>
              <w:rPr>
                <w:rFonts w:hint="eastAsia" w:ascii="宋体" w:hAnsi="宋体" w:eastAsia="宋体" w:cs="Times New Roman"/>
                <w:color w:val="auto"/>
                <w:sz w:val="24"/>
                <w:szCs w:val="24"/>
                <w:highlight w:val="none"/>
                <w:lang w:val="en-US" w:eastAsia="zh-CN"/>
              </w:rPr>
              <w:t xml:space="preserve">三</w:t>
            </w:r>
            <w:r>
              <w:rPr>
                <w:rFonts w:hint="eastAsia" w:ascii="宋体" w:hAnsi="宋体" w:eastAsia="宋体" w:cs="Times New Roman"/>
                <w:color w:val="auto"/>
                <w:sz w:val="24"/>
                <w:szCs w:val="24"/>
                <w:highlight w:val="none"/>
              </w:rPr>
              <w:t xml:space="preserve">份。</w:t>
            </w:r>
            <w:r/>
          </w:p>
          <w:p>
            <w:pPr>
              <w:ind w:firstLine="0"/>
              <w:jc w:val="both"/>
              <w:spacing w:line="360" w:lineRule="auto"/>
              <w:rPr>
                <w:rFonts w:hint="default"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3.供应商请仔细阅读供应商注册流程和公开招标文件中关于电子开评标等相关事项，如有问题可发送邮件或电话咨询。</w:t>
            </w:r>
            <w:r/>
          </w:p>
          <w:p>
            <w:pPr>
              <w:ind w:left="0" w:firstLine="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4.本次采购采用“苏采云”系统进行采购活动，招标文件发布、报价、评审和中标结果发布全程电子化。</w:t>
            </w:r>
            <w:r/>
          </w:p>
        </w:tc>
      </w:tr>
      <w:tr>
        <w:trPr>
          <w:trHeight w:val="90"/>
        </w:trPr>
        <w:tc>
          <w:tcPr>
            <w:tcW w:w="805" w:type="dxa"/>
            <w:vAlign w:val="center"/>
            <w:textDirection w:val="lrTb"/>
            <w:noWrap w:val="false"/>
          </w:tcPr>
          <w:p>
            <w:pPr>
              <w:ind w:firstLine="0"/>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w:t>
            </w:r>
            <w:r/>
          </w:p>
        </w:tc>
        <w:tc>
          <w:tcPr>
            <w:tcW w:w="8434" w:type="dxa"/>
            <w:vAlign w:val="center"/>
            <w:textDirection w:val="lrTb"/>
            <w:noWrap w:val="false"/>
          </w:tcPr>
          <w:p>
            <w:pPr>
              <w:ind w:firstLine="79"/>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网上投标解密时间：</w:t>
            </w:r>
            <w:r>
              <w:rPr>
                <w:rFonts w:hint="eastAsia" w:ascii="宋体" w:hAnsi="宋体" w:eastAsia="宋体" w:cs="宋体"/>
                <w:color w:val="auto"/>
                <w:sz w:val="24"/>
                <w:szCs w:val="24"/>
                <w:highlight w:val="none"/>
                <w:u w:val="single"/>
                <w:lang w:bidi="ar"/>
              </w:rPr>
              <w:t xml:space="preserve">202</w:t>
            </w:r>
            <w:r>
              <w:rPr>
                <w:rFonts w:hint="eastAsia" w:ascii="宋体" w:hAnsi="宋体" w:eastAsia="宋体" w:cs="宋体"/>
                <w:color w:val="auto"/>
                <w:sz w:val="24"/>
                <w:szCs w:val="24"/>
                <w:highlight w:val="none"/>
                <w:u w:val="single"/>
                <w:lang w:val="en-US" w:eastAsia="zh-CN" w:bidi="ar"/>
              </w:rPr>
              <w:t xml:space="preserve">6</w:t>
            </w:r>
            <w:r>
              <w:rPr>
                <w:rFonts w:hint="eastAsia" w:ascii="宋体" w:hAnsi="宋体" w:eastAsia="宋体" w:cs="宋体"/>
                <w:color w:val="auto"/>
                <w:sz w:val="24"/>
                <w:szCs w:val="24"/>
                <w:highlight w:val="none"/>
                <w:u w:val="single"/>
                <w:lang w:bidi="ar"/>
              </w:rPr>
              <w:t xml:space="preserve">年</w:t>
            </w:r>
            <w:r>
              <w:rPr>
                <w:rFonts w:hint="eastAsia" w:ascii="宋体" w:hAnsi="宋体" w:cs="宋体"/>
                <w:color w:val="auto"/>
                <w:sz w:val="24"/>
                <w:szCs w:val="24"/>
                <w:highlight w:val="none"/>
                <w:u w:val="single"/>
                <w:lang w:val="en-US" w:eastAsia="zh-CN" w:bidi="ar"/>
              </w:rPr>
              <w:t xml:space="preserve">6</w:t>
            </w:r>
            <w:r>
              <w:rPr>
                <w:rFonts w:hint="eastAsia" w:ascii="宋体" w:hAnsi="宋体" w:eastAsia="宋体" w:cs="宋体"/>
                <w:color w:val="auto"/>
                <w:sz w:val="24"/>
                <w:szCs w:val="24"/>
                <w:highlight w:val="none"/>
                <w:u w:val="single"/>
                <w:lang w:bidi="ar"/>
              </w:rPr>
              <w:t xml:space="preserve">月</w:t>
            </w:r>
            <w:r>
              <w:rPr>
                <w:rFonts w:hint="eastAsia" w:ascii="宋体" w:hAnsi="宋体" w:cs="宋体"/>
                <w:color w:val="auto"/>
                <w:sz w:val="24"/>
                <w:szCs w:val="24"/>
                <w:highlight w:val="none"/>
                <w:u w:val="single"/>
                <w:lang w:val="en-US" w:eastAsia="zh-CN" w:bidi="ar"/>
              </w:rPr>
              <w:t xml:space="preserve">11</w:t>
            </w:r>
            <w:r>
              <w:rPr>
                <w:rFonts w:hint="eastAsia" w:ascii="宋体" w:hAnsi="宋体" w:eastAsia="宋体" w:cs="宋体"/>
                <w:color w:val="auto"/>
                <w:sz w:val="24"/>
                <w:szCs w:val="24"/>
                <w:highlight w:val="none"/>
                <w:u w:val="single"/>
                <w:lang w:bidi="ar"/>
              </w:rPr>
              <w:t xml:space="preserve">日</w:t>
            </w:r>
            <w:r>
              <w:rPr>
                <w:rFonts w:hint="eastAsia" w:ascii="宋体" w:hAnsi="宋体" w:cs="宋体"/>
                <w:color w:val="auto"/>
                <w:sz w:val="24"/>
                <w:szCs w:val="24"/>
                <w:highlight w:val="none"/>
                <w:u w:val="none"/>
                <w:lang w:eastAsia="zh-CN" w:bidi="ar"/>
              </w:rPr>
              <w:t xml:space="preserve">，解密</w:t>
            </w:r>
            <w:r>
              <w:rPr>
                <w:rFonts w:hint="eastAsia" w:ascii="宋体" w:hAnsi="宋体" w:eastAsia="宋体" w:cs="宋体"/>
                <w:color w:val="auto"/>
                <w:sz w:val="24"/>
                <w:szCs w:val="24"/>
                <w:highlight w:val="none"/>
              </w:rPr>
              <w:t xml:space="preserve">后半小时。</w:t>
            </w:r>
            <w:r/>
          </w:p>
        </w:tc>
      </w:tr>
      <w:tr>
        <w:trPr>
          <w:trHeight w:val="90"/>
        </w:trPr>
        <w:tc>
          <w:tcPr>
            <w:tcW w:w="805" w:type="dxa"/>
            <w:vAlign w:val="center"/>
            <w:textDirection w:val="lrTb"/>
            <w:noWrap w:val="false"/>
          </w:tcPr>
          <w:p>
            <w:pPr>
              <w:ind w:firstLine="0"/>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w:t>
            </w:r>
            <w:r/>
          </w:p>
        </w:tc>
        <w:tc>
          <w:tcPr>
            <w:tcW w:w="8434" w:type="dxa"/>
            <w:vAlign w:val="center"/>
            <w:textDirection w:val="lrTb"/>
            <w:noWrap w:val="false"/>
          </w:tcPr>
          <w:p>
            <w:pPr>
              <w:ind w:firstLine="0"/>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本次采购采用江苏省政府采购（苏采云）平台进行招标投标活动，招标、投标、评标和中标结果发布全程电子化。</w:t>
            </w:r>
            <w:r/>
          </w:p>
        </w:tc>
      </w:tr>
      <w:tr>
        <w:trPr>
          <w:cantSplit/>
          <w:trHeight w:val="522"/>
        </w:trPr>
        <w:tc>
          <w:tcPr>
            <w:tcW w:w="805" w:type="dxa"/>
            <w:vAlign w:val="center"/>
            <w:textDirection w:val="lrTb"/>
            <w:noWrap w:val="false"/>
          </w:tcPr>
          <w:p>
            <w:pPr>
              <w:ind w:firstLine="0"/>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w:t>
            </w:r>
            <w:r/>
          </w:p>
        </w:tc>
        <w:tc>
          <w:tcPr>
            <w:tcW w:w="8434" w:type="dxa"/>
            <w:vAlign w:val="center"/>
            <w:textDirection w:val="lrTb"/>
            <w:noWrap w:val="false"/>
          </w:tcPr>
          <w:p>
            <w:pPr>
              <w:ind w:firstLine="0"/>
              <w:spacing w:line="360" w:lineRule="auto"/>
              <w:shd w:val="clear" w:color="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采购人：</w:t>
            </w:r>
            <w:r>
              <w:rPr>
                <w:rFonts w:hint="eastAsia" w:ascii="宋体" w:hAnsi="宋体" w:cs="宋体"/>
                <w:color w:val="auto"/>
                <w:sz w:val="24"/>
                <w:szCs w:val="24"/>
                <w:highlight w:val="none"/>
                <w:lang w:eastAsia="zh-CN"/>
              </w:rPr>
              <w:t xml:space="preserve">无锡市新吴区人民政府江溪街道办事处</w:t>
            </w:r>
            <w:r/>
          </w:p>
          <w:p>
            <w:pPr>
              <w:ind w:firstLine="0"/>
              <w:spacing w:line="360" w:lineRule="auto"/>
              <w:shd w:val="clear" w:color="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联系人：</w:t>
            </w:r>
            <w:r>
              <w:rPr>
                <w:rFonts w:hint="eastAsia" w:ascii="宋体" w:hAnsi="宋体" w:cs="宋体"/>
                <w:color w:val="auto"/>
                <w:sz w:val="24"/>
                <w:szCs w:val="24"/>
                <w:highlight w:val="none"/>
                <w:lang w:val="en-US" w:eastAsia="zh-CN"/>
              </w:rPr>
              <w:t xml:space="preserve">周晓静</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highlight w:val="none"/>
                <w:lang w:val="en-US" w:eastAsia="zh-CN"/>
              </w:rPr>
              <w:t xml:space="preserve"> </w:t>
            </w:r>
            <w:r/>
          </w:p>
          <w:p>
            <w:pPr>
              <w:ind w:firstLine="0"/>
              <w:spacing w:line="360" w:lineRule="auto"/>
              <w:shd w:val="clear" w:color="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联系电话：0510-</w:t>
            </w:r>
            <w:r>
              <w:rPr>
                <w:rFonts w:hint="eastAsia" w:ascii="宋体" w:hAnsi="宋体" w:cs="宋体"/>
                <w:color w:val="auto"/>
                <w:sz w:val="24"/>
                <w:szCs w:val="24"/>
                <w:highlight w:val="none"/>
                <w:lang w:val="en-US" w:eastAsia="zh-CN"/>
              </w:rPr>
              <w:t xml:space="preserve">82110033</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highlight w:val="none"/>
                <w:lang w:val="en-US" w:eastAsia="zh-CN"/>
              </w:rPr>
              <w:t xml:space="preserve">  </w:t>
            </w:r>
            <w:r/>
          </w:p>
          <w:p>
            <w:pPr>
              <w:ind w:firstLine="0"/>
              <w:spacing w:line="360" w:lineRule="auto"/>
              <w:shd w:val="clear" w:color="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采购代理机构：</w:t>
            </w:r>
            <w:r>
              <w:rPr>
                <w:rFonts w:hint="eastAsia" w:ascii="宋体" w:hAnsi="宋体" w:cs="宋体"/>
                <w:color w:val="auto"/>
                <w:sz w:val="24"/>
                <w:szCs w:val="24"/>
                <w:highlight w:val="none"/>
                <w:lang w:eastAsia="zh-CN"/>
              </w:rPr>
              <w:t xml:space="preserve">江苏万力通项目管理有限公司</w:t>
            </w:r>
            <w:r/>
          </w:p>
          <w:p>
            <w:pPr>
              <w:ind w:firstLine="0"/>
              <w:spacing w:line="360" w:lineRule="auto"/>
              <w:shd w:val="clear" w:color="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联系人：</w:t>
            </w:r>
            <w:r>
              <w:rPr>
                <w:rFonts w:hint="eastAsia" w:ascii="宋体" w:hAnsi="宋体" w:cs="宋体"/>
                <w:color w:val="auto"/>
                <w:sz w:val="24"/>
                <w:szCs w:val="24"/>
                <w:highlight w:val="none"/>
                <w:lang w:val="en-US" w:eastAsia="zh-CN"/>
              </w:rPr>
              <w:t xml:space="preserve">殷铭</w:t>
            </w:r>
            <w:r/>
          </w:p>
          <w:p>
            <w:pPr>
              <w:ind w:firstLine="0"/>
              <w:spacing w:line="360" w:lineRule="auto"/>
              <w:shd w:val="clear" w:color="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联系电话：</w:t>
            </w:r>
            <w:r>
              <w:rPr>
                <w:rFonts w:hint="eastAsia" w:ascii="宋体" w:hAnsi="宋体" w:cs="宋体"/>
                <w:color w:val="auto"/>
                <w:sz w:val="24"/>
                <w:szCs w:val="24"/>
                <w:highlight w:val="none"/>
                <w:lang w:val="en-US" w:eastAsia="zh-CN"/>
              </w:rPr>
              <w:t xml:space="preserve">18912375285</w:t>
            </w:r>
            <w:r/>
          </w:p>
          <w:p>
            <w:pPr>
              <w:ind w:firstLine="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电子邮件地址：</w:t>
            </w:r>
            <w:r>
              <w:rPr>
                <w:rFonts w:hint="eastAsia" w:ascii="宋体" w:hAnsi="宋体" w:cs="宋体"/>
                <w:color w:val="auto"/>
                <w:sz w:val="24"/>
                <w:szCs w:val="24"/>
                <w:highlight w:val="none"/>
                <w:lang w:val="en-US" w:eastAsia="zh-CN"/>
              </w:rPr>
              <w:t xml:space="preserve">845514286</w:t>
            </w:r>
            <w:r>
              <w:rPr>
                <w:rFonts w:hint="eastAsia" w:ascii="宋体" w:hAnsi="宋体" w:eastAsia="宋体" w:cs="宋体"/>
                <w:color w:val="auto"/>
                <w:sz w:val="24"/>
                <w:szCs w:val="24"/>
                <w:highlight w:val="none"/>
              </w:rPr>
              <w:t xml:space="preserve">@qq.com</w:t>
            </w:r>
            <w:r/>
          </w:p>
          <w:p>
            <w:pPr>
              <w:ind w:firstLine="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联系地址：</w:t>
            </w:r>
            <w:r>
              <w:rPr>
                <w:rFonts w:hint="eastAsia" w:ascii="宋体" w:hAnsi="宋体" w:cs="宋体"/>
                <w:color w:val="auto"/>
                <w:sz w:val="24"/>
                <w:szCs w:val="24"/>
                <w:highlight w:val="none"/>
                <w:lang w:eastAsia="zh-CN"/>
              </w:rPr>
              <w:t xml:space="preserve">无锡市滨湖区华发传感大厦B座1106室</w:t>
            </w:r>
            <w:r/>
          </w:p>
          <w:p>
            <w:pPr>
              <w:ind w:firstLine="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邮政编码：214000</w:t>
            </w:r>
            <w:r/>
          </w:p>
          <w:p>
            <w:pPr>
              <w:ind w:firstLine="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有关本次采购活动程序方面的问题，可来人、来函（传真）或电话联系。</w:t>
            </w:r>
            <w:r/>
          </w:p>
        </w:tc>
      </w:tr>
      <w:tr>
        <w:trPr>
          <w:cantSplit/>
          <w:trHeight w:val="286"/>
        </w:trPr>
        <w:tc>
          <w:tcPr>
            <w:tcW w:w="805" w:type="dxa"/>
            <w:vAlign w:val="center"/>
            <w:textDirection w:val="lrTb"/>
            <w:noWrap w:val="false"/>
          </w:tcPr>
          <w:p>
            <w:pPr>
              <w:ind w:firstLine="0"/>
              <w:jc w:val="center"/>
              <w:shd w:val="clear" w:color="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17</w:t>
            </w:r>
            <w:r/>
          </w:p>
        </w:tc>
        <w:tc>
          <w:tcPr>
            <w:tcW w:w="8434" w:type="dxa"/>
            <w:vAlign w:val="center"/>
            <w:textDirection w:val="lrTb"/>
            <w:noWrap w:val="false"/>
          </w:tcPr>
          <w:p>
            <w:pPr>
              <w:ind w:firstLine="0"/>
              <w:jc w:val="both"/>
              <w:spacing w:line="360" w:lineRule="auto"/>
              <w:rPr>
                <w:rFonts w:hint="default" w:ascii="宋体" w:hAnsi="宋体" w:eastAsia="宋体" w:cs="宋体"/>
                <w:b w:val="0"/>
                <w:bCs w:val="0"/>
                <w:color w:val="auto"/>
                <w:sz w:val="24"/>
                <w:szCs w:val="24"/>
                <w:highlight w:val="none"/>
              </w:rPr>
              <w:outlineLvl w:val="9"/>
            </w:pPr>
            <w:r>
              <w:rPr>
                <w:rFonts w:hint="eastAsia" w:ascii="宋体" w:hAnsi="宋体" w:eastAsia="宋体" w:cs="宋体"/>
                <w:b w:val="0"/>
                <w:bCs w:val="0"/>
                <w:color w:val="auto"/>
                <w:sz w:val="24"/>
                <w:szCs w:val="24"/>
                <w:highlight w:val="none"/>
              </w:rPr>
              <w:t xml:space="preserve">特别提醒：</w:t>
            </w:r>
            <w:r/>
          </w:p>
          <w:p>
            <w:pPr>
              <w:ind w:firstLine="0"/>
              <w:spacing w:line="360" w:lineRule="auto"/>
              <w:shd w:val="clear" w:color="auto"/>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rPr>
              <w:t xml:space="preserve">若</w:t>
            </w:r>
            <w:r>
              <w:rPr>
                <w:rFonts w:hint="eastAsia" w:ascii="宋体" w:hAnsi="宋体" w:cs="宋体"/>
                <w:b w:val="0"/>
                <w:bCs w:val="0"/>
                <w:color w:val="auto"/>
                <w:sz w:val="24"/>
                <w:szCs w:val="24"/>
                <w:highlight w:val="none"/>
                <w:lang w:eastAsia="zh-CN"/>
              </w:rPr>
              <w:t xml:space="preserve">在资格</w:t>
            </w:r>
            <w:r>
              <w:rPr>
                <w:rFonts w:hint="eastAsia" w:ascii="宋体" w:hAnsi="宋体" w:eastAsia="宋体" w:cs="宋体"/>
                <w:b w:val="0"/>
                <w:bCs w:val="0"/>
                <w:color w:val="auto"/>
                <w:sz w:val="24"/>
                <w:szCs w:val="24"/>
                <w:highlight w:val="none"/>
              </w:rPr>
              <w:t xml:space="preserve">审查中或评审过程中，采购人/代理机构/评标委员会对投标文件存在疑问，投标供应商被授权代表须在接到在线询标函后在规定时间内，在开标界面在线以澄清函回复并加盖公章或签电子公章；若投标供应商被授权代表未在规定时间内按上述要求作出回复，则视为投标供应商默认资审结果或评审结果。</w:t>
            </w:r>
            <w:r/>
          </w:p>
        </w:tc>
      </w:tr>
    </w:tbl>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firstLine="600"/>
        <w:shd w:val="clear" w:color="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br w:type="page" w:clear="all"/>
      </w:r>
      <w:r/>
    </w:p>
    <w:p>
      <w:pPr>
        <w:ind w:firstLine="600"/>
        <w:jc w:val="center"/>
        <w:shd w:val="clear" w:color="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二、投标供应商须知</w:t>
      </w:r>
      <w:r/>
    </w:p>
    <w:p>
      <w:pPr>
        <w:ind w:left="0"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1"/>
      </w:pPr>
      <w:r/>
      <w:bookmarkStart w:id="0" w:name="三．项目技术配置和有关说明"/>
      <w:r/>
      <w:bookmarkEnd w:id="0"/>
      <w:r/>
      <w:bookmarkStart w:id="1" w:name="四．合同书"/>
      <w:r/>
      <w:bookmarkEnd w:id="1"/>
      <w:r>
        <w:rPr>
          <w:rFonts w:hint="eastAsia" w:ascii="宋体" w:hAnsi="宋体" w:eastAsia="宋体" w:cs="宋体"/>
          <w:color w:val="auto"/>
          <w:sz w:val="24"/>
          <w:szCs w:val="24"/>
          <w:highlight w:val="none"/>
        </w:rPr>
        <w:t xml:space="preserve">（一）遵循原则：</w:t>
      </w:r>
      <w:r/>
    </w:p>
    <w:p>
      <w:pPr>
        <w:ind w:left="0"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eastAsia="zh-CN"/>
        </w:rPr>
        <w:t xml:space="preserve">遵循公开</w:t>
      </w:r>
      <w:r>
        <w:rPr>
          <w:rFonts w:hint="eastAsia" w:ascii="宋体" w:hAnsi="宋体" w:eastAsia="宋体" w:cs="宋体"/>
          <w:color w:val="auto"/>
          <w:sz w:val="24"/>
          <w:szCs w:val="24"/>
          <w:highlight w:val="none"/>
        </w:rPr>
        <w:t xml:space="preserve">透明原则、公平竞争原则、公正原则和诚实信用原则。</w:t>
      </w:r>
      <w:r/>
    </w:p>
    <w:p>
      <w:pPr>
        <w:ind w:left="0"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（二）招标文件：</w:t>
      </w:r>
      <w:r/>
    </w:p>
    <w:p>
      <w:pPr>
        <w:pStyle w:val="906"/>
        <w:ind w:left="0" w:firstLine="480"/>
        <w:keepLines w:val="0"/>
        <w:keepNext w:val="0"/>
        <w:pageBreakBefore w:val="0"/>
        <w:spacing w:line="360" w:lineRule="auto"/>
        <w:shd w:val="clear" w:color="auto"/>
        <w:widowControl w:val="off"/>
        <w:rPr>
          <w:rFonts w:hint="eastAsia" w:ascii="宋体" w:hAnsi="宋体" w:eastAsia="宋体" w:cs="宋体"/>
          <w:bCs/>
          <w:color w:val="auto"/>
          <w:sz w:val="24"/>
          <w:szCs w:val="24"/>
          <w:highlight w:val="none"/>
        </w:rPr>
        <w:outlineLvl w:val="9"/>
      </w:pPr>
      <w:r>
        <w:rPr>
          <w:rFonts w:hint="eastAsia" w:ascii="宋体" w:hAnsi="宋体" w:eastAsia="宋体" w:cs="宋体"/>
          <w:color w:val="auto"/>
          <w:sz w:val="24"/>
          <w:szCs w:val="24"/>
          <w:highlight w:val="none"/>
        </w:rPr>
        <w:t xml:space="preserve">1.招标文件包括本文件目录所列全部内容，投标供应商应仔细阅读，并在投标文件中充分响应招标文件的所有要求。</w:t>
      </w:r>
      <w:r/>
    </w:p>
    <w:p>
      <w:pPr>
        <w:pStyle w:val="906"/>
        <w:ind w:left="0"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.投标供应商应在苏采云平台（</w:t>
      </w:r>
      <w:r>
        <w:rPr>
          <w:rFonts w:hint="eastAsia" w:ascii="宋体" w:hAnsi="宋体" w:eastAsia="宋体" w:cs="宋体"/>
          <w:color w:val="auto"/>
          <w:sz w:val="24"/>
          <w:szCs w:val="24"/>
          <w:highlight w:val="none"/>
          <w:lang w:eastAsia="zh-CN"/>
        </w:rPr>
        <w:t xml:space="preserve">http://jszfcg.jsczt.cn/</w:t>
      </w:r>
      <w:r>
        <w:rPr>
          <w:rFonts w:hint="eastAsia" w:ascii="宋体" w:hAnsi="宋体" w:eastAsia="宋体" w:cs="宋体"/>
          <w:color w:val="auto"/>
          <w:sz w:val="24"/>
          <w:szCs w:val="24"/>
          <w:highlight w:val="none"/>
        </w:rPr>
        <w:t xml:space="preserve">）下载招标文件及有关资料，按要求制作、上传投标文件，对招标文件各项内容做出实质性响应，否则投标无效。</w:t>
      </w:r>
      <w:r/>
    </w:p>
    <w:p>
      <w:pPr>
        <w:pStyle w:val="906"/>
        <w:ind w:left="0"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.投标供应商一旦参加本项目投标，即表明承诺接受了本招标文件中的所有条件和规定。</w:t>
      </w:r>
      <w:r/>
    </w:p>
    <w:p>
      <w:pPr>
        <w:pStyle w:val="906"/>
        <w:ind w:left="0"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.招标文件仅作为本次招投标使用。</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（三）招标文件的解释：</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本文件的最终解释权归采购人。</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（四）招标文件的补充或修正：</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eastAsia="zh-CN"/>
        </w:rPr>
        <w:t xml:space="preserve">江苏万力通项目管理有限公司</w:t>
      </w:r>
      <w:r>
        <w:rPr>
          <w:rFonts w:hint="eastAsia" w:ascii="宋体" w:hAnsi="宋体" w:eastAsia="宋体" w:cs="宋体"/>
          <w:color w:val="auto"/>
          <w:sz w:val="24"/>
          <w:szCs w:val="24"/>
          <w:highlight w:val="none"/>
        </w:rPr>
        <w:t xml:space="preserve">可在投标截止时间十五日前对招标文件进行必要的澄清或者修改，</w:t>
      </w:r>
      <w:r>
        <w:rPr>
          <w:rFonts w:hint="eastAsia" w:ascii="宋体" w:hAnsi="宋体" w:cs="宋体"/>
          <w:color w:val="auto"/>
          <w:sz w:val="24"/>
          <w:szCs w:val="24"/>
          <w:highlight w:val="none"/>
          <w:lang w:eastAsia="zh-CN"/>
        </w:rPr>
        <w:t xml:space="preserve">若不足</w:t>
      </w:r>
      <w:r>
        <w:rPr>
          <w:rFonts w:hint="eastAsia" w:ascii="宋体" w:hAnsi="宋体" w:eastAsia="宋体" w:cs="宋体"/>
          <w:color w:val="auto"/>
          <w:sz w:val="24"/>
          <w:szCs w:val="24"/>
          <w:highlight w:val="none"/>
        </w:rPr>
        <w:t xml:space="preserve">15</w:t>
      </w:r>
      <w:r>
        <w:rPr>
          <w:rFonts w:hint="eastAsia" w:ascii="宋体" w:hAnsi="宋体" w:cs="宋体"/>
          <w:color w:val="auto"/>
          <w:sz w:val="24"/>
          <w:szCs w:val="24"/>
          <w:highlight w:val="none"/>
          <w:lang w:eastAsia="zh-CN"/>
        </w:rPr>
        <w:t xml:space="preserve">日</w:t>
      </w:r>
      <w:r>
        <w:rPr>
          <w:rFonts w:hint="eastAsia" w:ascii="宋体" w:hAnsi="宋体" w:eastAsia="宋体" w:cs="宋体"/>
          <w:color w:val="auto"/>
          <w:sz w:val="24"/>
          <w:szCs w:val="24"/>
          <w:highlight w:val="none"/>
        </w:rPr>
        <w:t xml:space="preserve">，将顺延提交投标文件的截止时间。</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2.如需对招标文件进行澄清或修正，</w:t>
      </w:r>
      <w:r>
        <w:rPr>
          <w:rFonts w:hint="eastAsia" w:ascii="宋体" w:hAnsi="宋体" w:cs="宋体"/>
          <w:color w:val="auto"/>
          <w:sz w:val="24"/>
          <w:szCs w:val="24"/>
          <w:highlight w:val="none"/>
          <w:lang w:eastAsia="zh-CN"/>
        </w:rPr>
        <w:t xml:space="preserve">江苏万力通项目管理有限公司</w:t>
      </w:r>
      <w:r>
        <w:rPr>
          <w:rFonts w:hint="eastAsia" w:ascii="宋体" w:hAnsi="宋体" w:eastAsia="宋体" w:cs="宋体"/>
          <w:color w:val="auto"/>
          <w:sz w:val="24"/>
          <w:szCs w:val="24"/>
          <w:highlight w:val="none"/>
        </w:rPr>
        <w:t xml:space="preserve">将在江苏政府采购网发布更正公告，该澄清或修正的内容为招标文件的组成部分。</w:t>
      </w: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应在投标截止时间前登录投标客户端或关注原招标公告媒体上发布的相关更正公告。因</w:t>
      </w: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未尽注意义务，未及时更新上传投标文件或</w:t>
      </w:r>
      <w:r>
        <w:rPr>
          <w:rFonts w:hint="eastAsia" w:ascii="宋体" w:hAnsi="宋体" w:eastAsia="宋体" w:cs="宋体"/>
          <w:color w:val="auto"/>
          <w:sz w:val="24"/>
          <w:szCs w:val="24"/>
          <w:highlight w:val="none"/>
          <w:lang w:eastAsia="zh-CN"/>
        </w:rPr>
        <w:t xml:space="preserve">全面</w:t>
      </w:r>
      <w:r>
        <w:rPr>
          <w:rFonts w:hint="eastAsia" w:ascii="宋体" w:hAnsi="宋体" w:eastAsia="宋体" w:cs="宋体"/>
          <w:color w:val="auto"/>
          <w:sz w:val="24"/>
          <w:szCs w:val="24"/>
          <w:highlight w:val="none"/>
        </w:rPr>
        <w:t xml:space="preserve">关注更正公告</w:t>
      </w:r>
      <w:r>
        <w:rPr>
          <w:rFonts w:hint="eastAsia" w:ascii="宋体" w:hAnsi="宋体" w:cs="宋体"/>
          <w:color w:val="auto"/>
          <w:sz w:val="24"/>
          <w:szCs w:val="24"/>
          <w:highlight w:val="none"/>
          <w:lang w:eastAsia="zh-CN"/>
        </w:rPr>
        <w:t xml:space="preserve">，导致</w:t>
      </w:r>
      <w:r>
        <w:rPr>
          <w:rFonts w:hint="eastAsia" w:ascii="宋体" w:hAnsi="宋体" w:eastAsia="宋体" w:cs="宋体"/>
          <w:color w:val="auto"/>
          <w:sz w:val="24"/>
          <w:szCs w:val="24"/>
          <w:highlight w:val="none"/>
        </w:rPr>
        <w:t xml:space="preserve">其提交的投标材料不符合招标文件要求而造成的损失及风险（包括但不限于未中标）</w:t>
      </w:r>
      <w:r>
        <w:rPr>
          <w:rFonts w:hint="eastAsia" w:ascii="宋体" w:hAnsi="宋体" w:cs="宋体"/>
          <w:color w:val="auto"/>
          <w:sz w:val="24"/>
          <w:szCs w:val="24"/>
          <w:highlight w:val="none"/>
          <w:lang w:eastAsia="zh-CN"/>
        </w:rPr>
        <w:t xml:space="preserve">，由</w:t>
      </w: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自行承担。</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供应商认为招标文件使自己的权益受到损害的，可以自获取招标文件之日或者招标公告期限届满之日（公告期限届满后获取招标文件的，以公告期限届满之日为准）起7个工作日内，以书面形式向采购人、采购代理机构提出质疑。针对同一采购程序环节的质疑，须在法定质疑期内一次性提出。质疑函的质疑事项应具体、明确，并有必要的事实依据和法律依据（格式详见中国政府采购网《</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"http://download.ccgp.gov.cn/2018/zhiyihanfanben.zip" \t "_blank" </w:instrText>
      </w:r>
      <w:r>
        <w:rPr>
          <w:rFonts w:hint="eastAsia" w:ascii="宋体" w:hAnsi="宋体" w:eastAsia="宋体" w:cs="宋体"/>
          <w:color w:val="auto"/>
          <w:highlight w:val="none"/>
        </w:rPr>
        <w:fldChar w:fldCharType="separate"/>
      </w:r>
      <w:r>
        <w:rPr>
          <w:rFonts w:hint="eastAsia" w:ascii="宋体" w:hAnsi="宋体" w:eastAsia="宋体" w:cs="宋体"/>
          <w:color w:val="auto"/>
          <w:sz w:val="24"/>
          <w:szCs w:val="24"/>
          <w:highlight w:val="none"/>
        </w:rPr>
        <w:t xml:space="preserve">政府采购供应商质疑函范本</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eastAsia="zh-CN"/>
        </w:rPr>
        <w:t xml:space="preserve">江苏万力通项目管理有限公司</w:t>
      </w:r>
      <w:r>
        <w:rPr>
          <w:rFonts w:hint="eastAsia" w:ascii="宋体" w:hAnsi="宋体" w:eastAsia="宋体" w:cs="宋体"/>
          <w:color w:val="auto"/>
          <w:sz w:val="24"/>
          <w:szCs w:val="24"/>
          <w:highlight w:val="none"/>
        </w:rPr>
        <w:t xml:space="preserve">将在收到符合上述要求的书面质疑后七个工作日内，对质疑内容</w:t>
      </w:r>
      <w:r>
        <w:rPr>
          <w:rFonts w:hint="eastAsia" w:ascii="宋体" w:hAnsi="宋体" w:eastAsia="宋体" w:cs="宋体"/>
          <w:color w:val="auto"/>
          <w:sz w:val="24"/>
          <w:szCs w:val="24"/>
          <w:highlight w:val="none"/>
          <w:lang w:eastAsia="zh-CN"/>
        </w:rPr>
        <w:t xml:space="preserve">作出</w:t>
      </w:r>
      <w:r>
        <w:rPr>
          <w:rFonts w:hint="eastAsia" w:ascii="宋体" w:hAnsi="宋体" w:eastAsia="宋体" w:cs="宋体"/>
          <w:color w:val="auto"/>
          <w:sz w:val="24"/>
          <w:szCs w:val="24"/>
          <w:highlight w:val="none"/>
        </w:rPr>
        <w:t xml:space="preserve">答复。</w:t>
      </w: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在法定质疑期限外送达的质疑函或法定质疑期限内送达的质疑函不符合上述要求的均为无效质疑，</w:t>
      </w:r>
      <w:r>
        <w:rPr>
          <w:rFonts w:hint="eastAsia" w:ascii="宋体" w:hAnsi="宋体" w:cs="宋体"/>
          <w:color w:val="auto"/>
          <w:sz w:val="24"/>
          <w:szCs w:val="24"/>
          <w:highlight w:val="none"/>
          <w:lang w:eastAsia="zh-CN"/>
        </w:rPr>
        <w:t xml:space="preserve">江苏万力通项目管理有限公司</w:t>
      </w:r>
      <w:r>
        <w:rPr>
          <w:rFonts w:hint="eastAsia" w:ascii="宋体" w:hAnsi="宋体" w:eastAsia="宋体" w:cs="宋体"/>
          <w:color w:val="auto"/>
          <w:sz w:val="24"/>
          <w:szCs w:val="24"/>
          <w:highlight w:val="none"/>
        </w:rPr>
        <w:t xml:space="preserve">对无效质疑不予受理。</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（五）质疑与投诉：</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1.质疑的提出和答复、投诉的提起和处理须按《政府采购质疑和投诉办法》（中华人民共和国财政部令第94号）相关规定执行。</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2.质疑的提出</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2.1提出质疑的供应商应当是参与所质疑项目采购活动的供应商。</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2.2潜在供应商已依法获取其可质疑的招标文件的，可以对该文件提出质疑。对招标文件提出质疑的，应当在获取招标文件或者招标文件公告期限届满之日起7个工作日内</w:t>
      </w:r>
      <w:r>
        <w:rPr>
          <w:rFonts w:hint="eastAsia" w:ascii="宋体" w:hAnsi="宋体" w:cs="宋体"/>
          <w:color w:val="auto"/>
          <w:sz w:val="24"/>
          <w:szCs w:val="24"/>
          <w:highlight w:val="none"/>
          <w:lang w:eastAsia="zh-CN"/>
        </w:rPr>
        <w:t xml:space="preserve">，以</w:t>
      </w:r>
      <w:r>
        <w:rPr>
          <w:rFonts w:hint="eastAsia" w:ascii="宋体" w:hAnsi="宋体" w:eastAsia="宋体" w:cs="宋体"/>
          <w:color w:val="auto"/>
          <w:sz w:val="24"/>
          <w:szCs w:val="24"/>
          <w:highlight w:val="none"/>
        </w:rPr>
        <w:t xml:space="preserve">书面形式提出。</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2.3供应商认为招标文件、采购过程、中标或者成交结果使自己的权益受到损害的，可以在知道或者应知其权益受到损害之日起7个工作日内，以书面形式向采购人提出质疑。供应商须在法定质疑期内一次性提出针对同一采购程序环节的质疑。</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2.4供应商提出质疑应当提交质疑函和必要的证明材料。质疑函应当包括下列内容：</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（1）供应商的姓名或者名称、地址、邮编、联系人及联系电话；</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（2）质疑项目的名称、编号；</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（3）具体、明确的质疑事项和与质疑事项相关的请求；</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（4）事实依据；</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（5）必要的法律依据；</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（6）提出质疑的日期。</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2.5供应商为自然人的，质疑函应当由本人签字；供应商为法人或者其他组织的，应当由法定代表人、主要负责人，或者其授权代表签字或者盖章，并加盖公章。质疑函须原件递交。</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2.6供应商可以委托代理人进行质疑和投诉。其授权委托书应当载明代理人的姓名或者名称、代理事项、具体权限、期限和相关事项。供应商为自然人的，质疑函应当由本人签字；供应商为法人或者其他组织的，应当由法定代表人、主要负责人签字或者盖章，并加盖公章。</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2.7以联合体形式参加政府采购活动的，其投诉应当由组成联合体的所有供应商共同提出。</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质疑的受理与答复</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3.1采购人负责供应商质疑答复。</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3.2质疑函由采购人办理签收手续。</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3.3质疑函接收单位信息：</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接收单位：</w:t>
      </w:r>
      <w:r>
        <w:rPr>
          <w:rFonts w:hint="eastAsia" w:ascii="宋体" w:hAnsi="宋体" w:cs="宋体"/>
          <w:color w:val="auto"/>
          <w:sz w:val="24"/>
          <w:szCs w:val="24"/>
          <w:highlight w:val="none"/>
          <w:lang w:eastAsia="zh-CN"/>
        </w:rPr>
        <w:t xml:space="preserve">江苏万力通项目管理有限公司</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地址：</w:t>
      </w:r>
      <w:r>
        <w:rPr>
          <w:rFonts w:hint="eastAsia" w:ascii="宋体" w:hAnsi="宋体" w:cs="宋体"/>
          <w:color w:val="auto"/>
          <w:sz w:val="24"/>
          <w:szCs w:val="24"/>
          <w:highlight w:val="none"/>
          <w:lang w:eastAsia="zh-CN"/>
        </w:rPr>
        <w:t xml:space="preserve">无锡市滨湖区华发传感大厦B座1106室</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rPr>
        <w:t xml:space="preserve">邮编：214</w:t>
      </w:r>
      <w:r>
        <w:rPr>
          <w:rFonts w:hint="eastAsia" w:ascii="宋体" w:hAnsi="宋体" w:eastAsia="宋体" w:cs="宋体"/>
          <w:color w:val="auto"/>
          <w:sz w:val="24"/>
          <w:szCs w:val="24"/>
          <w:highlight w:val="none"/>
          <w:lang w:val="en-US" w:eastAsia="zh-CN"/>
        </w:rPr>
        <w:t xml:space="preserve">000</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联系人：</w:t>
      </w:r>
      <w:r>
        <w:rPr>
          <w:rFonts w:hint="eastAsia" w:ascii="宋体" w:hAnsi="宋体" w:cs="宋体"/>
          <w:color w:val="auto"/>
          <w:sz w:val="24"/>
          <w:szCs w:val="24"/>
          <w:highlight w:val="none"/>
          <w:lang w:val="en-US" w:eastAsia="zh-CN"/>
        </w:rPr>
        <w:t xml:space="preserve">殷铭</w:t>
      </w:r>
      <w:r/>
    </w:p>
    <w:p>
      <w:pPr>
        <w:ind w:firstLine="480"/>
        <w:keepLines w:val="0"/>
        <w:keepNext w:val="0"/>
        <w:pageBreakBefore w:val="0"/>
        <w:spacing w:line="360" w:lineRule="auto"/>
        <w:shd w:val="clear" w:color="auto"/>
        <w:rPr>
          <w:rFonts w:hint="default"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rPr>
        <w:t xml:space="preserve">电话：</w:t>
      </w:r>
      <w:r>
        <w:rPr>
          <w:rFonts w:hint="eastAsia" w:ascii="宋体" w:hAnsi="宋体" w:cs="宋体"/>
          <w:color w:val="auto"/>
          <w:sz w:val="24"/>
          <w:szCs w:val="24"/>
          <w:highlight w:val="none"/>
          <w:lang w:val="en-US" w:eastAsia="zh-CN"/>
        </w:rPr>
        <w:t xml:space="preserve">18912375285</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3.4采购人应当在收到质疑函后7个工作日内作出答复，并以书面形式通知质疑供应商和其他有关供应商。</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3.5采购人处理的其他要求按《政府采购质疑和投诉办法》（中华人民共和国财政部令第94号）相关规定执行。</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投诉的提起</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4.1质疑供应商对采购人的答复不满意，或者采购人未在规定时间内作出答复的，可以在答复期满后15个工作日内向采购人所属预算级次的财政部门提起投诉。</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4.2供应商投诉时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应当提交投诉书和必要的证明材料，并按照被投诉采购人（以下简称被投诉人）和与投诉事项有关的供应商数量提供投诉书的副本。投诉书应当包括下列内容：</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（1）投诉人和被投诉人的姓名或者名称、通讯地址、邮编、联系人及联系电话；</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（2）质疑和质疑答复情况说明及相关证明材料；</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（3）具体、明确的投诉事项和与投诉事项相关的投诉请求；</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（4）事实依据；</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（5）法律依据；</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（6）提起投诉的日期。</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4.3投诉人为自然人的，投诉书应当由本人签字；投诉人为法人或者其他组织的，投诉书应当由法定代表人、主要负责人，或者其授权代表签字或者盖章，并加盖公章。</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4.4投诉人提起投诉应当符合下列条件：</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（1）提起投诉前已依法进行质疑；</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（2）投诉书内容符合本办法的规定；</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（3）在投诉有效期限内提起投诉；</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（4）同一投诉事项未经财政部门投诉处理；</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（5）财政部规定的其他条件。</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4.5供应商投诉的事项不得超出已质疑事项的范围，但基于质疑答复内容提出的投诉事项除外。</w:t>
      </w:r>
      <w:r/>
    </w:p>
    <w:p>
      <w:pPr>
        <w:ind w:firstLine="480"/>
        <w:keepLines w:val="0"/>
        <w:keepNext w:val="0"/>
        <w:pageBreakBefore w:val="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5.</w:t>
      </w:r>
      <w:r>
        <w:rPr>
          <w:rFonts w:hint="eastAsia" w:ascii="宋体" w:hAnsi="宋体" w:eastAsia="宋体" w:cs="宋体"/>
          <w:color w:val="auto"/>
          <w:sz w:val="24"/>
          <w:szCs w:val="24"/>
          <w:highlight w:val="none"/>
        </w:rPr>
        <w:t xml:space="preserve">由采购人所属预算级次的财政部门根据《政府采购质疑和投诉办法》（中华人民共和国财政部令第94号）相关规定进行投诉处理。</w:t>
      </w:r>
      <w:r/>
    </w:p>
    <w:p>
      <w:pPr>
        <w:ind w:firstLine="480"/>
        <w:keepLines w:val="0"/>
        <w:keepNext w:val="0"/>
        <w:pageBreakBefore w:val="0"/>
        <w:spacing w:line="360" w:lineRule="auto"/>
        <w:shd w:val="clear" w:color="auto"/>
        <w:widowControl w:val="off"/>
        <w:rPr>
          <w:rFonts w:hint="eastAsia" w:ascii="宋体" w:hAnsi="宋体" w:eastAsia="宋体" w:cs="宋体"/>
          <w:color w:val="auto"/>
          <w:highlight w:val="none"/>
        </w:rPr>
        <w:outlineLvl w:val="1"/>
      </w:pPr>
      <w:r>
        <w:rPr>
          <w:rFonts w:hint="eastAsia" w:ascii="宋体" w:hAnsi="宋体" w:eastAsia="宋体" w:cs="宋体"/>
          <w:color w:val="auto"/>
          <w:sz w:val="24"/>
          <w:szCs w:val="24"/>
          <w:highlight w:val="none"/>
        </w:rPr>
        <w:t xml:space="preserve">（六）投标文件的组成（</w:t>
      </w:r>
      <w:r>
        <w:rPr>
          <w:rFonts w:hint="eastAsia" w:ascii="宋体" w:hAnsi="宋体" w:eastAsia="宋体" w:cs="宋体"/>
          <w:b/>
          <w:color w:val="auto"/>
          <w:sz w:val="24"/>
          <w:szCs w:val="24"/>
          <w:highlight w:val="none"/>
        </w:rPr>
        <w:t xml:space="preserve">相应内容上传至投标客户端</w:t>
      </w:r>
      <w:r>
        <w:rPr>
          <w:rFonts w:hint="eastAsia" w:ascii="宋体" w:hAnsi="宋体" w:eastAsia="宋体" w:cs="宋体"/>
          <w:color w:val="auto"/>
          <w:sz w:val="24"/>
          <w:szCs w:val="24"/>
          <w:highlight w:val="none"/>
        </w:rPr>
        <w:t xml:space="preserve">）：</w:t>
      </w:r>
      <w:r/>
    </w:p>
    <w:p>
      <w:pPr>
        <w:ind w:firstLine="482"/>
        <w:keepLines w:val="0"/>
        <w:keepNext w:val="0"/>
        <w:pageBreakBefore w:val="0"/>
        <w:spacing w:line="360" w:lineRule="auto"/>
        <w:shd w:val="clear" w:color="auto"/>
        <w:widowControl w:val="off"/>
        <w:tabs>
          <w:tab w:val="left" w:pos="420" w:leader="none"/>
          <w:tab w:val="left" w:pos="1155"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投标文件由商务部分、技术文件部分组成。</w:t>
      </w:r>
      <w:r/>
    </w:p>
    <w:p>
      <w:pPr>
        <w:ind w:firstLine="482"/>
        <w:keepLines w:val="0"/>
        <w:keepNext w:val="0"/>
        <w:pageBreakBefore w:val="0"/>
        <w:spacing w:line="360" w:lineRule="auto"/>
        <w:shd w:val="clear" w:color="auto"/>
        <w:widowControl w:val="off"/>
        <w:tabs>
          <w:tab w:val="left" w:pos="420" w:leader="none"/>
          <w:tab w:val="left" w:pos="1155"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第一部分：商务标部分</w:t>
      </w:r>
      <w:r/>
    </w:p>
    <w:p>
      <w:pPr>
        <w:ind w:firstLine="482"/>
        <w:keepLines w:val="0"/>
        <w:keepNext w:val="0"/>
        <w:pageBreakBefore w:val="0"/>
        <w:spacing w:line="360" w:lineRule="auto"/>
        <w:shd w:val="clear" w:color="auto"/>
        <w:widowControl w:val="off"/>
        <w:tabs>
          <w:tab w:val="left" w:pos="420" w:leader="none"/>
          <w:tab w:val="left" w:pos="1155"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1.投标函（格式见附件）</w:t>
      </w:r>
      <w:r/>
    </w:p>
    <w:p>
      <w:pPr>
        <w:ind w:firstLine="482"/>
        <w:keepLines w:val="0"/>
        <w:keepNext w:val="0"/>
        <w:pageBreakBefore w:val="0"/>
        <w:spacing w:line="360" w:lineRule="auto"/>
        <w:shd w:val="clear" w:color="auto"/>
        <w:widowControl w:val="off"/>
        <w:tabs>
          <w:tab w:val="left" w:pos="420" w:leader="none"/>
          <w:tab w:val="left" w:pos="1155"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2.证明文件：</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32"/>
          <w:highlight w:val="none"/>
        </w:rPr>
        <w:outlineLvl w:val="9"/>
      </w:pPr>
      <w:r>
        <w:rPr>
          <w:rFonts w:hint="eastAsia" w:ascii="宋体" w:hAnsi="宋体" w:eastAsia="宋体" w:cs="宋体"/>
          <w:color w:val="auto"/>
          <w:sz w:val="24"/>
          <w:szCs w:val="24"/>
          <w:highlight w:val="none"/>
        </w:rPr>
        <w:t xml:space="preserve">第一部分：资格、资信证明文件（</w:t>
      </w:r>
      <w:r>
        <w:rPr>
          <w:rFonts w:hint="eastAsia" w:ascii="宋体" w:hAnsi="宋体" w:eastAsia="宋体" w:cs="宋体"/>
          <w:b/>
          <w:color w:val="auto"/>
          <w:sz w:val="24"/>
          <w:szCs w:val="24"/>
          <w:highlight w:val="none"/>
        </w:rPr>
        <w:t xml:space="preserve">扫描后上传，身份证应为正、反面</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32"/>
          <w:highlight w:val="none"/>
          <w:lang w:eastAsia="zh-CN"/>
        </w:rPr>
        <w:outlineLvl w:val="9"/>
      </w:pPr>
      <w:r>
        <w:rPr>
          <w:rFonts w:hint="eastAsia" w:ascii="宋体" w:hAnsi="宋体" w:eastAsia="宋体" w:cs="宋体"/>
          <w:color w:val="auto"/>
          <w:sz w:val="24"/>
          <w:szCs w:val="32"/>
          <w:highlight w:val="none"/>
        </w:rPr>
        <w:t xml:space="preserve">（1）</w:t>
      </w:r>
      <w:r>
        <w:rPr>
          <w:rFonts w:hint="eastAsia" w:ascii="宋体" w:hAnsi="宋体" w:eastAsia="宋体" w:cs="宋体"/>
          <w:color w:val="auto"/>
          <w:sz w:val="24"/>
          <w:szCs w:val="24"/>
          <w:highlight w:val="none"/>
        </w:rPr>
        <w:t xml:space="preserve">关于资格的声明函</w:t>
      </w:r>
      <w:r>
        <w:rPr>
          <w:rFonts w:hint="eastAsia" w:ascii="宋体" w:hAnsi="宋体" w:eastAsia="宋体" w:cs="宋体"/>
          <w:color w:val="auto"/>
          <w:sz w:val="24"/>
          <w:szCs w:val="32"/>
          <w:highlight w:val="none"/>
        </w:rPr>
        <w:t xml:space="preserve">（</w:t>
      </w:r>
      <w:r>
        <w:rPr>
          <w:rFonts w:hint="eastAsia" w:ascii="宋体" w:hAnsi="宋体" w:eastAsia="宋体" w:cs="宋体"/>
          <w:b/>
          <w:bCs/>
          <w:color w:val="auto"/>
          <w:sz w:val="24"/>
          <w:szCs w:val="32"/>
          <w:highlight w:val="none"/>
        </w:rPr>
        <w:t xml:space="preserve">格式见附件</w:t>
      </w:r>
      <w:r>
        <w:rPr>
          <w:rFonts w:hint="eastAsia" w:ascii="宋体" w:hAnsi="宋体" w:eastAsia="宋体" w:cs="宋体"/>
          <w:color w:val="auto"/>
          <w:sz w:val="24"/>
          <w:szCs w:val="32"/>
          <w:highlight w:val="none"/>
        </w:rPr>
        <w:t xml:space="preserve">）</w:t>
      </w:r>
      <w:r>
        <w:rPr>
          <w:rFonts w:hint="eastAsia" w:ascii="宋体" w:hAnsi="宋体" w:cs="宋体"/>
          <w:color w:val="auto"/>
          <w:sz w:val="24"/>
          <w:szCs w:val="32"/>
          <w:highlight w:val="none"/>
          <w:lang w:eastAsia="zh-CN"/>
        </w:rPr>
        <w:t xml:space="preserve">；</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lang w:val="zh-CN"/>
        </w:rPr>
        <w:outlineLvl w:val="9"/>
      </w:pPr>
      <w:r>
        <w:rPr>
          <w:rFonts w:hint="eastAsia" w:ascii="宋体" w:hAnsi="宋体" w:eastAsia="宋体" w:cs="宋体"/>
          <w:color w:val="auto"/>
          <w:sz w:val="24"/>
          <w:szCs w:val="24"/>
          <w:highlight w:val="none"/>
        </w:rPr>
        <w:t xml:space="preserve">（2）投标供应商企业营业执照或事业单位法人证书或有关部门登记证明文件</w:t>
      </w:r>
      <w:r>
        <w:rPr>
          <w:rFonts w:hint="eastAsia" w:ascii="宋体" w:hAnsi="宋体" w:eastAsia="宋体" w:cs="宋体"/>
          <w:bCs/>
          <w:color w:val="auto"/>
          <w:sz w:val="24"/>
          <w:szCs w:val="24"/>
          <w:highlight w:val="none"/>
          <w:lang w:eastAsia="zh-CN"/>
        </w:rPr>
        <w:t xml:space="preserve">扫描件</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（3）投标供应商法定代表人授权委托书的原件的扫描件（格式见附件，法定代表人亲自参加投标的除外）；</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（4）投标供应商法定代表人身份证及法定代表人被授权代表身份证</w:t>
      </w:r>
      <w:r>
        <w:rPr>
          <w:rFonts w:hint="eastAsia" w:ascii="宋体" w:hAnsi="宋体" w:eastAsia="宋体" w:cs="宋体"/>
          <w:bCs/>
          <w:color w:val="auto"/>
          <w:sz w:val="24"/>
          <w:szCs w:val="32"/>
          <w:highlight w:val="none"/>
          <w:lang w:eastAsia="zh-CN"/>
        </w:rPr>
        <w:t xml:space="preserve">扫描件</w:t>
      </w:r>
      <w:r>
        <w:rPr>
          <w:rFonts w:hint="eastAsia" w:ascii="宋体" w:hAnsi="宋体" w:eastAsia="宋体" w:cs="宋体"/>
          <w:color w:val="auto"/>
          <w:sz w:val="24"/>
          <w:szCs w:val="24"/>
          <w:highlight w:val="none"/>
        </w:rPr>
        <w:t xml:space="preserve">（法定代表人亲自参与投标的除外）；</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（5）授权委托人与项目负责人应具备与本企业签订的劳动合同，</w:t>
      </w:r>
      <w:r>
        <w:rPr>
          <w:rFonts w:hint="eastAsia" w:ascii="宋体" w:hAnsi="宋体" w:eastAsia="宋体" w:cs="宋体"/>
          <w:b w:val="0"/>
          <w:bCs w:val="0"/>
          <w:color w:val="auto"/>
          <w:sz w:val="24"/>
          <w:szCs w:val="24"/>
          <w:highlight w:val="none"/>
          <w:lang w:val="en-US" w:eastAsia="zh-CN"/>
        </w:rPr>
        <w:t xml:space="preserve">法定的社保收缴部门出具</w:t>
      </w:r>
      <w:r>
        <w:rPr>
          <w:rFonts w:hint="eastAsia" w:ascii="宋体" w:hAnsi="宋体" w:cs="宋体"/>
          <w:b w:val="0"/>
          <w:bCs w:val="0"/>
          <w:color w:val="auto"/>
          <w:sz w:val="24"/>
          <w:szCs w:val="24"/>
          <w:highlight w:val="none"/>
          <w:lang w:val="en-US" w:eastAsia="zh-CN"/>
        </w:rPr>
        <w:t xml:space="preserve">的由</w:t>
      </w:r>
      <w:r>
        <w:rPr>
          <w:rFonts w:hint="eastAsia" w:ascii="宋体" w:hAnsi="宋体" w:eastAsia="宋体" w:cs="宋体"/>
          <w:b w:val="0"/>
          <w:bCs w:val="0"/>
          <w:color w:val="auto"/>
          <w:sz w:val="24"/>
          <w:szCs w:val="24"/>
          <w:highlight w:val="none"/>
          <w:lang w:val="en-US" w:eastAsia="zh-CN"/>
        </w:rPr>
        <w:t xml:space="preserve">供应商本企业为其依法缴纳的近一年中任意一个月（不含投标当月）的社会保障资金的相关材料（提供相关主管部门证明或银行代扣证明）扫描件[如投标供应商为新成立企业，社保缴费月数不足一年，则提供自公司成立以来至最近一个月（不含投标当月）的依法缴纳社会保障资金的相关材料]</w:t>
      </w:r>
      <w:r>
        <w:rPr>
          <w:rFonts w:hint="eastAsia" w:ascii="宋体" w:hAnsi="宋体" w:eastAsia="宋体" w:cs="宋体"/>
          <w:color w:val="auto"/>
          <w:sz w:val="24"/>
          <w:szCs w:val="24"/>
          <w:highlight w:val="none"/>
          <w:lang w:val="en-US" w:eastAsia="zh-CN"/>
        </w:rPr>
        <w:t xml:space="preserve">；</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）投标供应商</w:t>
      </w:r>
      <w:r>
        <w:rPr>
          <w:rFonts w:hint="eastAsia" w:ascii="宋体" w:hAnsi="宋体" w:eastAsia="宋体" w:cs="宋体"/>
          <w:color w:val="auto"/>
          <w:sz w:val="24"/>
          <w:szCs w:val="24"/>
          <w:highlight w:val="none"/>
          <w:lang w:eastAsia="zh-CN"/>
        </w:rPr>
        <w:t xml:space="preserve">近一年</w:t>
      </w:r>
      <w:r>
        <w:rPr>
          <w:rFonts w:hint="eastAsia" w:ascii="宋体" w:hAnsi="宋体" w:eastAsia="宋体" w:cs="宋体"/>
          <w:color w:val="auto"/>
          <w:sz w:val="24"/>
          <w:szCs w:val="24"/>
          <w:highlight w:val="none"/>
        </w:rPr>
        <w:t xml:space="preserve">中任意一个月份</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不含投标当月</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的财务状况报告（资产负债表和利润表）或由会计师事务所出具的</w:t>
      </w:r>
      <w:r>
        <w:rPr>
          <w:rFonts w:hint="eastAsia" w:ascii="宋体" w:hAnsi="宋体" w:eastAsia="宋体" w:cs="宋体"/>
          <w:color w:val="auto"/>
          <w:sz w:val="24"/>
          <w:szCs w:val="24"/>
          <w:highlight w:val="none"/>
          <w:lang w:val="en-US" w:eastAsia="zh-CN"/>
        </w:rPr>
        <w:t xml:space="preserve">2024</w:t>
      </w:r>
      <w:r>
        <w:rPr>
          <w:rFonts w:hint="eastAsia" w:ascii="宋体" w:hAnsi="宋体" w:eastAsia="宋体" w:cs="宋体"/>
          <w:color w:val="auto"/>
          <w:sz w:val="24"/>
          <w:szCs w:val="24"/>
          <w:highlight w:val="none"/>
        </w:rPr>
        <w:t xml:space="preserve">年度</w:t>
      </w:r>
      <w:r>
        <w:rPr>
          <w:rFonts w:hint="eastAsia" w:ascii="宋体" w:hAnsi="宋体" w:cs="宋体"/>
          <w:color w:val="auto"/>
          <w:sz w:val="24"/>
          <w:szCs w:val="24"/>
          <w:highlight w:val="none"/>
          <w:lang w:val="en-US" w:eastAsia="zh-CN"/>
        </w:rPr>
        <w:t xml:space="preserve">或2025年度</w:t>
      </w:r>
      <w:r>
        <w:rPr>
          <w:rFonts w:hint="eastAsia" w:ascii="宋体" w:hAnsi="宋体" w:eastAsia="宋体" w:cs="宋体"/>
          <w:color w:val="auto"/>
          <w:sz w:val="24"/>
          <w:szCs w:val="24"/>
          <w:highlight w:val="none"/>
        </w:rPr>
        <w:t xml:space="preserve">审计报告和所附已</w:t>
      </w:r>
      <w:r>
        <w:rPr>
          <w:rFonts w:hint="eastAsia" w:ascii="宋体" w:hAnsi="宋体" w:eastAsia="宋体" w:cs="宋体"/>
          <w:color w:val="auto"/>
          <w:sz w:val="24"/>
          <w:szCs w:val="24"/>
          <w:highlight w:val="none"/>
          <w:lang w:eastAsia="zh-CN"/>
        </w:rPr>
        <w:t xml:space="preserve">审计</w:t>
      </w:r>
      <w:r>
        <w:rPr>
          <w:rFonts w:hint="eastAsia" w:ascii="宋体" w:hAnsi="宋体" w:eastAsia="宋体" w:cs="宋体"/>
          <w:color w:val="auto"/>
          <w:sz w:val="24"/>
          <w:szCs w:val="24"/>
          <w:highlight w:val="none"/>
        </w:rPr>
        <w:t xml:space="preserve">财务报告，提供上述资料</w:t>
      </w:r>
      <w:r>
        <w:rPr>
          <w:rFonts w:hint="eastAsia" w:ascii="宋体" w:hAnsi="宋体" w:eastAsia="宋体" w:cs="宋体"/>
          <w:bCs/>
          <w:color w:val="auto"/>
          <w:sz w:val="24"/>
          <w:szCs w:val="24"/>
          <w:highlight w:val="none"/>
          <w:lang w:eastAsia="zh-CN"/>
        </w:rPr>
        <w:t xml:space="preserve">扫描件</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）投标供应商</w:t>
      </w:r>
      <w:r>
        <w:rPr>
          <w:rFonts w:hint="eastAsia" w:ascii="宋体" w:hAnsi="宋体" w:eastAsia="宋体" w:cs="宋体"/>
          <w:color w:val="auto"/>
          <w:sz w:val="24"/>
          <w:szCs w:val="24"/>
          <w:highlight w:val="none"/>
          <w:lang w:eastAsia="zh-CN"/>
        </w:rPr>
        <w:t xml:space="preserve">近一年</w:t>
      </w:r>
      <w:r>
        <w:rPr>
          <w:rFonts w:hint="eastAsia" w:ascii="宋体" w:hAnsi="宋体" w:eastAsia="宋体" w:cs="宋体"/>
          <w:color w:val="auto"/>
          <w:sz w:val="24"/>
          <w:szCs w:val="24"/>
          <w:highlight w:val="none"/>
        </w:rPr>
        <w:t xml:space="preserve">中任意一个月份</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不含投标当月</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的依法缴纳税收的相关材料（提供相关主管部门证明或银行代扣证明）</w:t>
      </w:r>
      <w:r>
        <w:rPr>
          <w:rFonts w:hint="eastAsia" w:ascii="宋体" w:hAnsi="宋体" w:eastAsia="宋体" w:cs="宋体"/>
          <w:bCs/>
          <w:color w:val="auto"/>
          <w:sz w:val="24"/>
          <w:szCs w:val="24"/>
          <w:highlight w:val="none"/>
          <w:lang w:eastAsia="zh-CN"/>
        </w:rPr>
        <w:t xml:space="preserve">扫描件</w:t>
      </w:r>
      <w:r>
        <w:rPr>
          <w:rFonts w:hint="eastAsia" w:ascii="宋体" w:hAnsi="宋体" w:eastAsia="宋体" w:cs="宋体"/>
          <w:bCs/>
          <w:color w:val="auto"/>
          <w:sz w:val="24"/>
          <w:szCs w:val="24"/>
          <w:highlight w:val="none"/>
          <w:lang w:val="en-US" w:eastAsia="zh-CN"/>
        </w:rPr>
        <w:t xml:space="preserve">（个人所得税除外）</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）投标供应商</w:t>
      </w:r>
      <w:r>
        <w:rPr>
          <w:rFonts w:hint="eastAsia" w:ascii="宋体" w:hAnsi="宋体" w:eastAsia="宋体" w:cs="宋体"/>
          <w:color w:val="auto"/>
          <w:sz w:val="24"/>
          <w:szCs w:val="24"/>
          <w:highlight w:val="none"/>
          <w:lang w:eastAsia="zh-CN"/>
        </w:rPr>
        <w:t xml:space="preserve">近一年</w:t>
      </w:r>
      <w:r>
        <w:rPr>
          <w:rFonts w:hint="eastAsia" w:ascii="宋体" w:hAnsi="宋体" w:eastAsia="宋体" w:cs="宋体"/>
          <w:color w:val="auto"/>
          <w:sz w:val="24"/>
          <w:szCs w:val="24"/>
          <w:highlight w:val="none"/>
        </w:rPr>
        <w:t xml:space="preserve">中任意一个月份</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不含投标当月</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的依法缴纳社会保障资金的相关材料（提供相关主管部门证明或银行代扣证明）</w:t>
      </w:r>
      <w:r>
        <w:rPr>
          <w:rFonts w:hint="eastAsia" w:ascii="宋体" w:hAnsi="宋体" w:eastAsia="宋体" w:cs="宋体"/>
          <w:bCs/>
          <w:color w:val="auto"/>
          <w:sz w:val="24"/>
          <w:szCs w:val="24"/>
          <w:highlight w:val="none"/>
          <w:lang w:eastAsia="zh-CN"/>
        </w:rPr>
        <w:t xml:space="preserve">扫描件</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）承诺书（</w:t>
      </w:r>
      <w:r>
        <w:rPr>
          <w:rFonts w:hint="eastAsia" w:ascii="宋体" w:hAnsi="宋体" w:eastAsia="宋体" w:cs="宋体"/>
          <w:b/>
          <w:bCs/>
          <w:color w:val="auto"/>
          <w:sz w:val="24"/>
          <w:szCs w:val="24"/>
          <w:highlight w:val="none"/>
        </w:rPr>
        <w:t xml:space="preserve">格式见附件</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投标供应商</w:t>
      </w:r>
      <w:r>
        <w:rPr>
          <w:rFonts w:hint="eastAsia" w:ascii="宋体" w:hAnsi="宋体" w:eastAsia="宋体" w:cs="宋体"/>
          <w:color w:val="auto"/>
          <w:sz w:val="24"/>
          <w:szCs w:val="24"/>
          <w:highlight w:val="none"/>
          <w:lang w:val="en-US" w:eastAsia="zh-CN"/>
        </w:rPr>
        <w:t xml:space="preserve">的中小企业声明函（格式见附件）或残疾人福利性单位声明函（格式见附件）或由省级以上监狱管理局、戒毒管理局出具的属于监狱、戒毒企业的证明文件（如是）</w:t>
      </w:r>
      <w:r>
        <w:rPr>
          <w:rFonts w:hint="eastAsia" w:ascii="宋体" w:hAnsi="宋体" w:cs="宋体"/>
          <w:color w:val="auto"/>
          <w:sz w:val="24"/>
          <w:szCs w:val="24"/>
          <w:highlight w:val="none"/>
          <w:lang w:val="en-US" w:eastAsia="zh-CN"/>
        </w:rPr>
        <w:t xml:space="preserve">。</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（11）投标供应商特定资格条件证明材料扫描件（详见投标邀请中本项目的特定资格要求）</w:t>
      </w:r>
      <w:r>
        <w:rPr>
          <w:rFonts w:hint="eastAsia" w:ascii="宋体" w:hAnsi="宋体" w:cs="宋体"/>
          <w:color w:val="auto"/>
          <w:sz w:val="24"/>
          <w:szCs w:val="24"/>
          <w:highlight w:val="none"/>
          <w:lang w:val="en-US" w:eastAsia="zh-CN"/>
        </w:rPr>
        <w:t xml:space="preserve">。</w:t>
      </w:r>
      <w:r/>
    </w:p>
    <w:p>
      <w:pPr>
        <w:ind w:firstLine="482"/>
        <w:keepLines w:val="0"/>
        <w:keepNext w:val="0"/>
        <w:pageBreakBefore w:val="0"/>
        <w:spacing w:line="360" w:lineRule="auto"/>
        <w:shd w:val="clear" w:color="auto"/>
        <w:rPr>
          <w:rFonts w:hint="eastAsia" w:ascii="宋体" w:hAnsi="宋体" w:eastAsia="宋体" w:cs="宋体"/>
          <w:b/>
          <w:color w:val="auto"/>
          <w:sz w:val="24"/>
          <w:szCs w:val="24"/>
          <w:highlight w:val="none"/>
        </w:rPr>
      </w:pPr>
      <w:r>
        <w:rPr>
          <w:rFonts w:hint="eastAsia" w:ascii="宋体" w:hAnsi="宋体" w:eastAsia="宋体" w:cs="宋体"/>
          <w:b/>
          <w:color w:val="auto"/>
          <w:sz w:val="24"/>
          <w:highlight w:val="none"/>
        </w:rPr>
        <w:t xml:space="preserve">注：</w:t>
      </w:r>
      <w:r>
        <w:rPr>
          <w:rFonts w:hint="eastAsia" w:ascii="宋体" w:hAnsi="宋体" w:eastAsia="宋体" w:cs="宋体"/>
          <w:b/>
          <w:color w:val="auto"/>
          <w:sz w:val="24"/>
          <w:szCs w:val="24"/>
          <w:highlight w:val="none"/>
        </w:rPr>
        <w:t xml:space="preserve">上述资格证明文件投标供应商必须按要求全部提供。如正在年检（或换证），则必须提供法定年检（或换证）单位出具的有效证明，否则</w:t>
      </w:r>
      <w:r>
        <w:rPr>
          <w:rFonts w:hint="eastAsia" w:ascii="宋体" w:hAnsi="宋体" w:eastAsia="宋体" w:cs="宋体"/>
          <w:b/>
          <w:color w:val="auto"/>
          <w:sz w:val="24"/>
          <w:szCs w:val="24"/>
          <w:highlight w:val="none"/>
          <w:lang w:val="en-US" w:eastAsia="zh-CN"/>
        </w:rPr>
        <w:t xml:space="preserve">投标</w:t>
      </w:r>
      <w:r>
        <w:rPr>
          <w:rFonts w:hint="eastAsia" w:ascii="宋体" w:hAnsi="宋体" w:eastAsia="宋体" w:cs="宋体"/>
          <w:b/>
          <w:color w:val="auto"/>
          <w:sz w:val="24"/>
          <w:szCs w:val="24"/>
          <w:highlight w:val="none"/>
        </w:rPr>
        <w:t xml:space="preserve">文件无效。如上述资格证明文件遇有国家相关政策规定可不具备的</w:t>
      </w:r>
      <w:r>
        <w:rPr>
          <w:rFonts w:hint="eastAsia" w:ascii="宋体" w:hAnsi="宋体" w:cs="宋体"/>
          <w:b/>
          <w:color w:val="auto"/>
          <w:sz w:val="24"/>
          <w:szCs w:val="24"/>
          <w:highlight w:val="none"/>
          <w:lang w:eastAsia="zh-CN"/>
        </w:rPr>
        <w:t xml:space="preserve">情况，</w:t>
      </w:r>
      <w:r>
        <w:rPr>
          <w:rFonts w:hint="eastAsia" w:ascii="宋体" w:hAnsi="宋体" w:eastAsia="宋体" w:cs="宋体"/>
          <w:b/>
          <w:color w:val="auto"/>
          <w:sz w:val="24"/>
          <w:szCs w:val="24"/>
          <w:highlight w:val="none"/>
        </w:rPr>
        <w:t xml:space="preserve">必须提供相关政策规定或相关单位出具的有效证明。投标供应商法定代表人或法定代表人授权代表为外籍、港、澳、台地区人士的，其身份证明须提供有效的护照</w:t>
      </w:r>
      <w:r>
        <w:rPr>
          <w:rFonts w:hint="eastAsia" w:ascii="宋体" w:hAnsi="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港澳同胞来往内地通行证、台湾同胞来往大陆通行证，</w:t>
      </w:r>
      <w:r>
        <w:rPr>
          <w:rFonts w:hint="eastAsia" w:ascii="宋体" w:hAnsi="宋体" w:eastAsia="宋体" w:cs="宋体"/>
          <w:b/>
          <w:color w:val="auto"/>
          <w:sz w:val="24"/>
          <w:szCs w:val="24"/>
          <w:highlight w:val="none"/>
          <w:lang w:eastAsia="zh-CN"/>
        </w:rPr>
        <w:t xml:space="preserve">或其他可以</w:t>
      </w:r>
      <w:r>
        <w:rPr>
          <w:rFonts w:hint="eastAsia" w:ascii="宋体" w:hAnsi="宋体" w:eastAsia="宋体" w:cs="宋体"/>
          <w:b/>
          <w:color w:val="auto"/>
          <w:sz w:val="24"/>
          <w:szCs w:val="24"/>
          <w:highlight w:val="none"/>
        </w:rPr>
        <w:t xml:space="preserve">在中国大陆有效居留的许可证明。</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32"/>
          <w:highlight w:val="none"/>
        </w:rPr>
        <w:outlineLvl w:val="9"/>
      </w:pPr>
      <w:r>
        <w:rPr>
          <w:rFonts w:hint="eastAsia" w:ascii="宋体" w:hAnsi="宋体" w:eastAsia="宋体" w:cs="宋体"/>
          <w:color w:val="auto"/>
          <w:sz w:val="24"/>
          <w:szCs w:val="24"/>
          <w:highlight w:val="none"/>
        </w:rPr>
        <w:t xml:space="preserve">第二部分：补充性文件</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投标供应商简介和经营情况说明表（格式</w:t>
      </w:r>
      <w:r>
        <w:rPr>
          <w:rFonts w:hint="eastAsia" w:ascii="宋体" w:hAnsi="宋体" w:eastAsia="宋体" w:cs="宋体"/>
          <w:color w:val="auto"/>
          <w:sz w:val="24"/>
          <w:szCs w:val="24"/>
          <w:highlight w:val="none"/>
        </w:rPr>
        <w:t xml:space="preserve">见附件</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（2）投标供应商认为有必要提供的其他资料（参照评分标准要求）</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市场监管总局关于发布参与实施政府采购节能产品、环境标志产品认证机构名录的公告》（2019年第16号）中确认发布的参与实施政府采购节能产品、环境标志产品认证机构名录中认证机构出具的有效的节能产品认证证书、环境标志产品认证证书原件扫描件（</w:t>
      </w:r>
      <w:r>
        <w:rPr>
          <w:rFonts w:hint="eastAsia" w:ascii="宋体" w:hAnsi="宋体" w:eastAsia="宋体" w:cs="宋体"/>
          <w:color w:val="auto"/>
          <w:sz w:val="24"/>
          <w:szCs w:val="24"/>
          <w:highlight w:val="none"/>
          <w:lang w:eastAsia="zh-CN"/>
        </w:rPr>
        <w:t xml:space="preserve">如有</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投标偏离表（格式见附件</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3.开标一览表（格式见附件）；</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4.明细报价表（格式见附件）；</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人员配置表（格式见附件）；</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投入本项目的车辆和设备明细表（格式见附件）</w:t>
      </w:r>
      <w:r/>
    </w:p>
    <w:p>
      <w:pPr>
        <w:ind w:firstLine="482"/>
        <w:keepLines w:val="0"/>
        <w:keepNext w:val="0"/>
        <w:pageBreakBefore w:val="0"/>
        <w:spacing w:line="360" w:lineRule="auto"/>
        <w:shd w:val="clear" w:color="auto"/>
        <w:tabs>
          <w:tab w:val="left" w:pos="525" w:leader="none"/>
        </w:tabs>
        <w:rPr>
          <w:rFonts w:hint="eastAsia" w:ascii="宋体" w:hAnsi="宋体" w:eastAsia="宋体" w:cs="宋体"/>
          <w:b/>
          <w:bCs/>
          <w:color w:val="auto"/>
          <w:sz w:val="24"/>
          <w:highlight w:val="none"/>
          <w:lang w:val="en-US"/>
        </w:rPr>
      </w:pPr>
      <w:r>
        <w:rPr>
          <w:rFonts w:hint="eastAsia" w:ascii="宋体" w:hAnsi="宋体" w:eastAsia="宋体" w:cs="宋体"/>
          <w:b/>
          <w:bCs/>
          <w:color w:val="auto"/>
          <w:sz w:val="24"/>
          <w:highlight w:val="none"/>
        </w:rPr>
        <w:t xml:space="preserve">第二部分：技术</w:t>
      </w:r>
      <w:r>
        <w:rPr>
          <w:rFonts w:hint="eastAsia" w:ascii="宋体" w:hAnsi="宋体" w:eastAsia="宋体" w:cs="宋体"/>
          <w:b/>
          <w:bCs/>
          <w:color w:val="auto"/>
          <w:sz w:val="24"/>
          <w:highlight w:val="none"/>
          <w:lang w:eastAsia="zh-CN"/>
        </w:rPr>
        <w:t xml:space="preserve">标部分（</w:t>
      </w:r>
      <w:r>
        <w:rPr>
          <w:rFonts w:hint="eastAsia" w:ascii="宋体" w:hAnsi="宋体" w:eastAsia="宋体" w:cs="宋体"/>
          <w:b/>
          <w:bCs/>
          <w:color w:val="auto"/>
          <w:sz w:val="24"/>
          <w:highlight w:val="none"/>
          <w:lang w:val="en-US" w:eastAsia="zh-CN"/>
        </w:rPr>
        <w:t xml:space="preserve">暗标）</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lang w:val="en-US"/>
        </w:rPr>
        <w:outlineLvl w:val="9"/>
      </w:pPr>
      <w:r>
        <w:rPr>
          <w:rFonts w:hint="eastAsia" w:ascii="宋体" w:hAnsi="宋体" w:eastAsia="宋体" w:cs="宋体"/>
          <w:color w:val="auto"/>
          <w:sz w:val="24"/>
          <w:szCs w:val="24"/>
          <w:highlight w:val="none"/>
          <w:lang w:val="en-US" w:eastAsia="zh-CN"/>
        </w:rPr>
        <w:t xml:space="preserve">技术文件部分详见评分标准</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（七）投标文件的要求：</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1.所有文件、往来函件均应使用简体中文（规格、型号辅助符号除外）</w:t>
      </w:r>
      <w:r>
        <w:rPr>
          <w:rFonts w:hint="eastAsia" w:ascii="宋体" w:hAnsi="宋体" w:cs="宋体"/>
          <w:color w:val="auto"/>
          <w:sz w:val="24"/>
          <w:szCs w:val="24"/>
          <w:highlight w:val="none"/>
          <w:lang w:eastAsia="zh-CN"/>
        </w:rPr>
        <w:t xml:space="preserve">；</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2.投标文件由投标供应商按给定格式如实填写（编写），须有法人（盖章）、法定代表人或法定代表人授权代表签字或盖章，方为有效</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未尽事宜可自行补充。</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highlight w:val="none"/>
        </w:rPr>
        <w:t xml:space="preserve">如无特别说明，投标供应商报价一律以人民币</w:t>
      </w:r>
      <w:r>
        <w:rPr>
          <w:rFonts w:hint="eastAsia" w:ascii="宋体" w:hAnsi="宋体" w:cs="宋体"/>
          <w:color w:val="auto"/>
          <w:sz w:val="24"/>
          <w:highlight w:val="none"/>
          <w:lang w:eastAsia="zh-CN"/>
        </w:rPr>
        <w:t xml:space="preserve">为</w:t>
      </w:r>
      <w:r>
        <w:rPr>
          <w:rFonts w:hint="eastAsia" w:ascii="宋体" w:hAnsi="宋体" w:eastAsia="宋体" w:cs="宋体"/>
          <w:color w:val="auto"/>
          <w:sz w:val="24"/>
          <w:highlight w:val="none"/>
        </w:rPr>
        <w:t xml:space="preserve">结算货币，结算单位为“元”</w:t>
      </w:r>
      <w:r>
        <w:rPr>
          <w:rFonts w:hint="eastAsia" w:ascii="宋体" w:hAnsi="宋体" w:cs="宋体"/>
          <w:color w:val="auto"/>
          <w:sz w:val="24"/>
          <w:highlight w:val="none"/>
          <w:lang w:eastAsia="zh-CN"/>
        </w:rPr>
        <w:t xml:space="preserve">；</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4.投标费用自理</w:t>
      </w:r>
      <w:r>
        <w:rPr>
          <w:rFonts w:hint="eastAsia" w:ascii="宋体" w:hAnsi="宋体" w:cs="宋体"/>
          <w:color w:val="auto"/>
          <w:sz w:val="24"/>
          <w:szCs w:val="24"/>
          <w:highlight w:val="none"/>
          <w:lang w:eastAsia="zh-CN"/>
        </w:rPr>
        <w:t xml:space="preserve">；</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5.投标供应商应由其法定代表人或法定代表人授权代表在规定的网上投标时间内，凭CA数字证书</w:t>
      </w:r>
      <w:r>
        <w:rPr>
          <w:rFonts w:hint="eastAsia" w:ascii="宋体" w:hAnsi="宋体" w:eastAsia="宋体" w:cs="宋体"/>
          <w:color w:val="auto"/>
          <w:sz w:val="24"/>
          <w:szCs w:val="24"/>
          <w:highlight w:val="none"/>
          <w:lang w:eastAsia="zh-CN"/>
        </w:rPr>
        <w:t xml:space="preserve">登录</w:t>
      </w:r>
      <w:r>
        <w:rPr>
          <w:rFonts w:hint="eastAsia" w:ascii="宋体" w:hAnsi="宋体" w:eastAsia="宋体" w:cs="宋体"/>
          <w:color w:val="auto"/>
          <w:sz w:val="24"/>
          <w:szCs w:val="24"/>
          <w:highlight w:val="none"/>
        </w:rPr>
        <w:t xml:space="preserve">苏采云平台获取招标文件，在投标客户端制作投标文件（电子数据），并在投标截止时间之前上传投标文件</w:t>
      </w:r>
      <w:r>
        <w:rPr>
          <w:rFonts w:hint="eastAsia" w:ascii="宋体" w:hAnsi="宋体" w:cs="宋体"/>
          <w:color w:val="auto"/>
          <w:sz w:val="24"/>
          <w:szCs w:val="24"/>
          <w:highlight w:val="none"/>
          <w:lang w:eastAsia="zh-CN"/>
        </w:rPr>
        <w:t xml:space="preserve">；</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6.投标供应商应对CA数字证书妥善保管，如被他人盗用</w:t>
      </w:r>
      <w:r>
        <w:rPr>
          <w:rFonts w:hint="eastAsia" w:ascii="宋体" w:hAnsi="宋体" w:cs="宋体"/>
          <w:color w:val="auto"/>
          <w:sz w:val="24"/>
          <w:szCs w:val="24"/>
          <w:highlight w:val="none"/>
          <w:lang w:eastAsia="zh-CN"/>
        </w:rPr>
        <w:t xml:space="preserve">进行投标</w:t>
      </w:r>
      <w:r>
        <w:rPr>
          <w:rFonts w:hint="eastAsia" w:ascii="宋体" w:hAnsi="宋体" w:eastAsia="宋体" w:cs="宋体"/>
          <w:color w:val="auto"/>
          <w:sz w:val="24"/>
          <w:szCs w:val="24"/>
          <w:highlight w:val="none"/>
        </w:rPr>
        <w:t xml:space="preserve">，后果自负</w:t>
      </w:r>
      <w:r>
        <w:rPr>
          <w:rFonts w:hint="eastAsia" w:ascii="宋体" w:hAnsi="宋体" w:cs="宋体"/>
          <w:color w:val="auto"/>
          <w:sz w:val="24"/>
          <w:szCs w:val="24"/>
          <w:highlight w:val="none"/>
          <w:lang w:eastAsia="zh-CN"/>
        </w:rPr>
        <w:t xml:space="preserve">；</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7.投标供应商</w:t>
      </w:r>
      <w:r>
        <w:rPr>
          <w:rFonts w:hint="eastAsia" w:ascii="宋体" w:hAnsi="宋体" w:cs="宋体"/>
          <w:color w:val="auto"/>
          <w:sz w:val="24"/>
          <w:szCs w:val="24"/>
          <w:highlight w:val="none"/>
          <w:lang w:eastAsia="zh-CN"/>
        </w:rPr>
        <w:t xml:space="preserve">应按</w:t>
      </w:r>
      <w:r>
        <w:rPr>
          <w:rFonts w:hint="eastAsia" w:ascii="宋体" w:hAnsi="宋体" w:eastAsia="宋体" w:cs="宋体"/>
          <w:color w:val="auto"/>
          <w:sz w:val="24"/>
          <w:szCs w:val="24"/>
          <w:highlight w:val="none"/>
        </w:rPr>
        <w:t xml:space="preserve">招标文件规定的网上解密时间进行解密，如未按时解密</w:t>
      </w:r>
      <w:r>
        <w:rPr>
          <w:rFonts w:hint="eastAsia" w:ascii="宋体" w:hAnsi="宋体" w:cs="宋体"/>
          <w:color w:val="auto"/>
          <w:sz w:val="24"/>
          <w:szCs w:val="24"/>
          <w:highlight w:val="none"/>
          <w:lang w:eastAsia="zh-CN"/>
        </w:rPr>
        <w:t xml:space="preserve">，后果自负；</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8.投标供应商应当对招标文件提出的要求和条件作出实质性响应，并在电子投标系统</w:t>
      </w:r>
      <w:r>
        <w:rPr>
          <w:rFonts w:hint="eastAsia" w:ascii="宋体" w:hAnsi="宋体" w:cs="宋体"/>
          <w:color w:val="auto"/>
          <w:sz w:val="24"/>
          <w:szCs w:val="24"/>
          <w:highlight w:val="none"/>
          <w:lang w:eastAsia="zh-CN"/>
        </w:rPr>
        <w:t xml:space="preserve">中逐条</w:t>
      </w:r>
      <w:r>
        <w:rPr>
          <w:rFonts w:hint="eastAsia" w:ascii="宋体" w:hAnsi="宋体" w:eastAsia="宋体" w:cs="宋体"/>
          <w:color w:val="auto"/>
          <w:sz w:val="24"/>
          <w:szCs w:val="24"/>
          <w:highlight w:val="none"/>
        </w:rPr>
        <w:t xml:space="preserve">应答</w:t>
      </w:r>
      <w:r>
        <w:rPr>
          <w:rFonts w:hint="eastAsia" w:ascii="宋体" w:hAnsi="宋体" w:cs="宋体"/>
          <w:color w:val="auto"/>
          <w:sz w:val="24"/>
          <w:szCs w:val="24"/>
          <w:highlight w:val="none"/>
          <w:lang w:eastAsia="zh-CN"/>
        </w:rPr>
        <w:t xml:space="preserve">；</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9.投标供应商</w:t>
      </w:r>
      <w:r>
        <w:rPr>
          <w:rFonts w:hint="eastAsia" w:ascii="宋体" w:hAnsi="宋体" w:cs="宋体"/>
          <w:color w:val="auto"/>
          <w:sz w:val="24"/>
          <w:szCs w:val="24"/>
          <w:highlight w:val="none"/>
          <w:lang w:eastAsia="zh-CN"/>
        </w:rPr>
        <w:t xml:space="preserve">应将</w:t>
      </w:r>
      <w:r>
        <w:rPr>
          <w:rFonts w:hint="eastAsia" w:ascii="宋体" w:hAnsi="宋体" w:eastAsia="宋体" w:cs="宋体"/>
          <w:color w:val="auto"/>
          <w:sz w:val="24"/>
          <w:szCs w:val="24"/>
          <w:highlight w:val="none"/>
        </w:rPr>
        <w:t xml:space="preserve">要求提供的资格证明文件（如资质证书、资格证书）、技术资料（如白皮书、彩页、手册、业绩、报告等）扫描</w:t>
      </w:r>
      <w:r>
        <w:rPr>
          <w:rFonts w:hint="eastAsia" w:ascii="宋体" w:hAnsi="宋体" w:cs="宋体"/>
          <w:color w:val="auto"/>
          <w:sz w:val="24"/>
          <w:szCs w:val="24"/>
          <w:highlight w:val="none"/>
          <w:lang w:eastAsia="zh-CN"/>
        </w:rPr>
        <w:t xml:space="preserve">后上传</w:t>
      </w:r>
      <w:r>
        <w:rPr>
          <w:rFonts w:hint="eastAsia" w:ascii="宋体" w:hAnsi="宋体" w:eastAsia="宋体" w:cs="宋体"/>
          <w:color w:val="auto"/>
          <w:sz w:val="24"/>
          <w:szCs w:val="24"/>
          <w:highlight w:val="none"/>
        </w:rPr>
        <w:t xml:space="preserve">至投标系统</w:t>
      </w:r>
      <w:r>
        <w:rPr>
          <w:rFonts w:hint="eastAsia" w:ascii="宋体" w:hAnsi="宋体" w:cs="宋体"/>
          <w:color w:val="auto"/>
          <w:sz w:val="24"/>
          <w:szCs w:val="24"/>
          <w:highlight w:val="none"/>
          <w:lang w:eastAsia="zh-CN"/>
        </w:rPr>
        <w:t xml:space="preserve">；</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.投标供应商进行网上投标</w:t>
      </w:r>
      <w:r>
        <w:rPr>
          <w:rFonts w:hint="eastAsia" w:ascii="宋体" w:hAnsi="宋体" w:cs="宋体"/>
          <w:color w:val="auto"/>
          <w:sz w:val="24"/>
          <w:szCs w:val="24"/>
          <w:highlight w:val="none"/>
          <w:lang w:eastAsia="zh-CN"/>
        </w:rPr>
        <w:t xml:space="preserve">，请</w:t>
      </w:r>
      <w:r>
        <w:rPr>
          <w:rFonts w:hint="eastAsia" w:ascii="宋体" w:hAnsi="宋体" w:eastAsia="宋体" w:cs="宋体"/>
          <w:color w:val="auto"/>
          <w:sz w:val="24"/>
          <w:szCs w:val="24"/>
          <w:highlight w:val="none"/>
        </w:rPr>
        <w:t xml:space="preserve">参照《政府采购项目电子交易管理操作指南-供应商》</w:t>
      </w:r>
      <w:r>
        <w:rPr>
          <w:rFonts w:hint="eastAsia" w:ascii="宋体" w:hAnsi="宋体" w:cs="宋体"/>
          <w:color w:val="auto"/>
          <w:sz w:val="24"/>
          <w:szCs w:val="24"/>
          <w:highlight w:val="none"/>
          <w:lang w:eastAsia="zh-CN"/>
        </w:rPr>
        <w:t xml:space="preserve">；</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.因投标供应商原因造成投标文件未解密的，视为撤销其投标文件</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部分投标文件未解密的，其他投标文件的开标可以继续进行</w:t>
      </w:r>
      <w:r>
        <w:rPr>
          <w:rFonts w:hint="eastAsia" w:ascii="宋体" w:hAnsi="宋体" w:cs="宋体"/>
          <w:color w:val="auto"/>
          <w:sz w:val="24"/>
          <w:szCs w:val="24"/>
          <w:highlight w:val="none"/>
          <w:lang w:eastAsia="zh-CN"/>
        </w:rPr>
        <w:t xml:space="preserve">；</w:t>
      </w:r>
      <w:r/>
    </w:p>
    <w:p>
      <w:pPr>
        <w:ind w:firstLine="480"/>
        <w:keepLines w:val="0"/>
        <w:keepNext w:val="0"/>
        <w:pageBreakBefore w:val="0"/>
        <w:spacing w:line="360" w:lineRule="auto"/>
        <w:shd w:val="clear" w:color="auto"/>
        <w:tabs>
          <w:tab w:val="left" w:pos="525" w:leader="none"/>
          <w:tab w:val="left" w:pos="1050" w:leader="none"/>
        </w:tabs>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12.</w:t>
      </w:r>
      <w:r>
        <w:rPr>
          <w:rFonts w:hint="eastAsia" w:ascii="宋体" w:hAnsi="宋体" w:eastAsia="宋体" w:cs="宋体"/>
          <w:b/>
          <w:color w:val="auto"/>
          <w:sz w:val="24"/>
          <w:szCs w:val="24"/>
          <w:highlight w:val="none"/>
        </w:rPr>
        <w:t xml:space="preserve">暗标部分响应文件的要求</w:t>
      </w:r>
      <w:r>
        <w:rPr>
          <w:rFonts w:hint="eastAsia" w:ascii="宋体" w:hAnsi="宋体" w:cs="宋体"/>
          <w:b/>
          <w:color w:val="auto"/>
          <w:sz w:val="24"/>
          <w:szCs w:val="24"/>
          <w:highlight w:val="none"/>
          <w:lang w:eastAsia="zh-CN"/>
        </w:rPr>
        <w:t xml:space="preserve">：；</w:t>
      </w:r>
      <w:r/>
    </w:p>
    <w:p>
      <w:pPr>
        <w:ind w:firstLine="482"/>
        <w:jc w:val="both"/>
        <w:spacing w:line="500" w:lineRule="exact"/>
        <w:rPr>
          <w:rFonts w:hint="eastAsia" w:ascii="宋体" w:hAnsi="宋体" w:eastAsia="宋体" w:cs="Times New Roman"/>
          <w:b/>
          <w:color w:val="auto"/>
          <w:sz w:val="24"/>
          <w:highlight w:val="none"/>
        </w:rPr>
        <w:outlineLvl w:val="9"/>
      </w:pPr>
      <w:r>
        <w:rPr>
          <w:rFonts w:hint="eastAsia" w:ascii="宋体" w:hAnsi="宋体" w:eastAsia="宋体" w:cs="Times New Roman"/>
          <w:b/>
          <w:color w:val="auto"/>
          <w:sz w:val="24"/>
          <w:highlight w:val="none"/>
          <w:lang w:val="en-US" w:eastAsia="zh-CN"/>
        </w:rPr>
        <w:t xml:space="preserve">12.</w:t>
      </w:r>
      <w:r>
        <w:rPr>
          <w:rFonts w:hint="eastAsia" w:ascii="宋体" w:hAnsi="宋体" w:eastAsia="宋体" w:cs="Times New Roman"/>
          <w:b/>
          <w:color w:val="auto"/>
          <w:sz w:val="24"/>
          <w:highlight w:val="none"/>
        </w:rPr>
        <w:t xml:space="preserve">1技术部分不得出现能够体现投标人身份、名称的相关描述、材料、文件等内容；</w:t>
      </w:r>
      <w:r/>
    </w:p>
    <w:p>
      <w:pPr>
        <w:ind w:firstLine="482"/>
        <w:jc w:val="both"/>
        <w:spacing w:line="500" w:lineRule="exact"/>
        <w:rPr>
          <w:rFonts w:hint="eastAsia" w:ascii="宋体" w:hAnsi="宋体" w:eastAsia="宋体" w:cs="Times New Roman"/>
          <w:b/>
          <w:color w:val="auto"/>
          <w:sz w:val="24"/>
          <w:highlight w:val="none"/>
        </w:rPr>
        <w:outlineLvl w:val="9"/>
      </w:pPr>
      <w:r>
        <w:rPr>
          <w:rFonts w:hint="eastAsia" w:ascii="宋体" w:hAnsi="宋体" w:eastAsia="宋体" w:cs="Times New Roman"/>
          <w:b/>
          <w:color w:val="auto"/>
          <w:sz w:val="24"/>
          <w:highlight w:val="none"/>
          <w:lang w:val="en-US" w:eastAsia="zh-CN"/>
        </w:rPr>
        <w:t xml:space="preserve">12</w:t>
      </w:r>
      <w:r>
        <w:rPr>
          <w:rFonts w:hint="eastAsia" w:ascii="宋体" w:hAnsi="宋体" w:eastAsia="宋体" w:cs="Times New Roman"/>
          <w:b/>
          <w:color w:val="auto"/>
          <w:sz w:val="24"/>
          <w:highlight w:val="none"/>
        </w:rPr>
        <w:t xml:space="preserve">.2技术部分不得更改，不得在其中涂改、标注或做任何可以辨认投标人及所属人员身份的名称、印章、商标等标记；</w:t>
      </w:r>
      <w:r/>
    </w:p>
    <w:p>
      <w:pPr>
        <w:ind w:firstLine="482"/>
        <w:jc w:val="both"/>
        <w:spacing w:line="500" w:lineRule="exact"/>
        <w:rPr>
          <w:rFonts w:hint="eastAsia" w:ascii="宋体" w:hAnsi="宋体" w:eastAsia="宋体" w:cs="Times New Roman"/>
          <w:b/>
          <w:color w:val="auto"/>
          <w:sz w:val="24"/>
          <w:highlight w:val="none"/>
        </w:rPr>
        <w:outlineLvl w:val="9"/>
      </w:pPr>
      <w:r>
        <w:rPr>
          <w:rFonts w:hint="eastAsia" w:ascii="宋体" w:hAnsi="宋体" w:eastAsia="宋体" w:cs="Times New Roman"/>
          <w:b/>
          <w:color w:val="auto"/>
          <w:sz w:val="24"/>
          <w:highlight w:val="none"/>
          <w:lang w:val="en-US" w:eastAsia="zh-CN"/>
        </w:rPr>
        <w:t xml:space="preserve">12</w:t>
      </w:r>
      <w:r>
        <w:rPr>
          <w:rFonts w:hint="eastAsia" w:ascii="宋体" w:hAnsi="宋体" w:eastAsia="宋体" w:cs="Times New Roman"/>
          <w:b/>
          <w:color w:val="auto"/>
          <w:sz w:val="24"/>
          <w:highlight w:val="none"/>
        </w:rPr>
        <w:t xml:space="preserve">.3技术部分应当版面整洁、字迹清楚、不许批注</w:t>
      </w:r>
      <w:r>
        <w:rPr>
          <w:rFonts w:hint="eastAsia" w:ascii="宋体" w:hAnsi="宋体" w:eastAsia="宋体" w:cs="Times New Roman"/>
          <w:b/>
          <w:color w:val="auto"/>
          <w:sz w:val="24"/>
          <w:highlight w:val="none"/>
          <w:lang w:eastAsia="zh-CN"/>
        </w:rPr>
        <w:t xml:space="preserve">、</w:t>
      </w:r>
      <w:r>
        <w:rPr>
          <w:rFonts w:hint="eastAsia" w:ascii="宋体" w:hAnsi="宋体" w:eastAsia="宋体" w:cs="宋体"/>
          <w:b/>
          <w:bCs/>
          <w:color w:val="auto"/>
          <w:sz w:val="24"/>
          <w:highlight w:val="none"/>
          <w:lang w:val="en-US" w:eastAsia="zh-CN"/>
        </w:rPr>
        <w:t xml:space="preserve">不得出现彩色文字或彩色图片，不得</w:t>
      </w:r>
      <w:r>
        <w:rPr>
          <w:rFonts w:hint="eastAsia" w:ascii="宋体" w:hAnsi="宋体" w:eastAsia="宋体" w:cs="Times New Roman"/>
          <w:b/>
          <w:color w:val="auto"/>
          <w:sz w:val="24"/>
          <w:highlight w:val="none"/>
        </w:rPr>
        <w:t xml:space="preserve">进行底纹、阴影、水印等特殊设置，不得采用任何不符合常规、有别于其他投标人的特殊做法；</w:t>
      </w:r>
      <w:r/>
    </w:p>
    <w:p>
      <w:pPr>
        <w:ind w:firstLine="482"/>
        <w:jc w:val="both"/>
        <w:spacing w:line="500" w:lineRule="exact"/>
        <w:rPr>
          <w:rFonts w:hint="eastAsia" w:eastAsia="宋体"/>
          <w:highlight w:val="none"/>
          <w:lang w:val="en-US" w:eastAsia="zh-CN"/>
        </w:rPr>
        <w:outlineLvl w:val="9"/>
      </w:pPr>
      <w:r>
        <w:rPr>
          <w:rFonts w:hint="eastAsia" w:ascii="宋体" w:hAnsi="宋体" w:eastAsia="宋体" w:cs="Times New Roman"/>
          <w:b/>
          <w:color w:val="auto"/>
          <w:sz w:val="24"/>
          <w:highlight w:val="none"/>
          <w:lang w:val="en-US" w:eastAsia="zh-CN"/>
        </w:rPr>
        <w:t xml:space="preserve">12</w:t>
      </w:r>
      <w:r>
        <w:rPr>
          <w:rFonts w:hint="eastAsia" w:ascii="宋体" w:hAnsi="宋体" w:eastAsia="宋体" w:cs="Times New Roman"/>
          <w:b/>
          <w:color w:val="auto"/>
          <w:sz w:val="24"/>
          <w:highlight w:val="none"/>
        </w:rPr>
        <w:t xml:space="preserve">.4</w:t>
      </w:r>
      <w:r>
        <w:rPr>
          <w:rFonts w:hint="eastAsia" w:ascii="宋体" w:hAnsi="宋体" w:eastAsia="宋体" w:cs="Times New Roman"/>
          <w:b/>
          <w:color w:val="auto"/>
          <w:sz w:val="24"/>
          <w:highlight w:val="none"/>
          <w:lang w:eastAsia="zh-CN"/>
        </w:rPr>
        <w:t xml:space="preserve">技术部分不得</w:t>
      </w:r>
      <w:r>
        <w:rPr>
          <w:rFonts w:hint="eastAsia" w:ascii="宋体" w:hAnsi="宋体" w:eastAsia="宋体" w:cs="Times New Roman"/>
          <w:b/>
          <w:color w:val="auto"/>
          <w:sz w:val="24"/>
          <w:highlight w:val="none"/>
        </w:rPr>
        <w:t xml:space="preserve">有其他体现投标人身份的内容</w:t>
      </w:r>
      <w:r>
        <w:rPr>
          <w:rFonts w:hint="eastAsia" w:ascii="宋体" w:hAnsi="宋体" w:cs="Times New Roman"/>
          <w:b/>
          <w:color w:val="auto"/>
          <w:sz w:val="24"/>
          <w:highlight w:val="none"/>
          <w:lang w:eastAsia="zh-CN"/>
        </w:rPr>
        <w:t xml:space="preserve">。；</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（八）报价要求：</w:t>
      </w:r>
      <w:r/>
    </w:p>
    <w:p>
      <w:pPr>
        <w:ind w:firstLine="360"/>
        <w:keepLines w:val="0"/>
        <w:keepNext w:val="0"/>
        <w:pageBreakBefore w:val="0"/>
        <w:spacing w:line="360"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1.本项目经济标内报价</w:t>
      </w:r>
      <w:r>
        <w:rPr>
          <w:rFonts w:hint="eastAsia" w:ascii="宋体" w:hAnsi="宋体" w:cs="宋体"/>
          <w:color w:val="auto"/>
          <w:sz w:val="24"/>
          <w:szCs w:val="22"/>
          <w:highlight w:val="none"/>
          <w:lang w:eastAsia="zh-CN"/>
        </w:rPr>
        <w:t xml:space="preserve">应根据</w:t>
      </w:r>
      <w:r>
        <w:rPr>
          <w:rFonts w:hint="eastAsia" w:ascii="宋体" w:hAnsi="宋体" w:eastAsia="宋体" w:cs="宋体"/>
          <w:color w:val="auto"/>
          <w:sz w:val="24"/>
          <w:szCs w:val="22"/>
          <w:highlight w:val="none"/>
        </w:rPr>
        <w:t xml:space="preserve">招标文件提供的养护量清单</w:t>
      </w:r>
      <w:r>
        <w:rPr>
          <w:rFonts w:hint="eastAsia" w:ascii="宋体" w:hAnsi="宋体" w:cs="宋体"/>
          <w:color w:val="auto"/>
          <w:sz w:val="24"/>
          <w:szCs w:val="22"/>
          <w:highlight w:val="none"/>
          <w:lang w:eastAsia="zh-CN"/>
        </w:rPr>
        <w:t xml:space="preserve">、</w:t>
      </w:r>
      <w:r>
        <w:rPr>
          <w:rFonts w:hint="eastAsia" w:ascii="宋体" w:hAnsi="宋体" w:eastAsia="宋体" w:cs="宋体"/>
          <w:color w:val="auto"/>
          <w:sz w:val="24"/>
          <w:szCs w:val="22"/>
          <w:highlight w:val="none"/>
        </w:rPr>
        <w:t xml:space="preserve">有关规定并结合市场因素</w:t>
      </w:r>
      <w:r>
        <w:rPr>
          <w:rFonts w:hint="eastAsia" w:ascii="宋体" w:hAnsi="宋体" w:cs="宋体"/>
          <w:color w:val="auto"/>
          <w:sz w:val="24"/>
          <w:szCs w:val="22"/>
          <w:highlight w:val="none"/>
          <w:lang w:eastAsia="zh-CN"/>
        </w:rPr>
        <w:t xml:space="preserve">，采取</w:t>
      </w:r>
      <w:r>
        <w:rPr>
          <w:rFonts w:hint="eastAsia" w:ascii="宋体" w:hAnsi="宋体" w:eastAsia="宋体" w:cs="宋体"/>
          <w:color w:val="auto"/>
          <w:sz w:val="24"/>
          <w:szCs w:val="22"/>
          <w:highlight w:val="none"/>
        </w:rPr>
        <w:t xml:space="preserve">综合单价的形式</w:t>
      </w:r>
      <w:r>
        <w:rPr>
          <w:rFonts w:hint="eastAsia" w:ascii="宋体" w:hAnsi="宋体" w:cs="宋体"/>
          <w:color w:val="auto"/>
          <w:sz w:val="24"/>
          <w:szCs w:val="22"/>
          <w:highlight w:val="none"/>
          <w:lang w:eastAsia="zh-CN"/>
        </w:rPr>
        <w:t xml:space="preserve">进行报价</w:t>
      </w:r>
      <w:r>
        <w:rPr>
          <w:rFonts w:hint="eastAsia" w:ascii="宋体" w:hAnsi="宋体" w:eastAsia="宋体" w:cs="宋体"/>
          <w:color w:val="auto"/>
          <w:sz w:val="24"/>
          <w:szCs w:val="22"/>
          <w:highlight w:val="none"/>
        </w:rPr>
        <w:t xml:space="preserve">。供应商投标报价</w:t>
      </w:r>
      <w:r>
        <w:rPr>
          <w:rFonts w:hint="eastAsia" w:ascii="宋体" w:hAnsi="宋体" w:cs="宋体"/>
          <w:color w:val="auto"/>
          <w:sz w:val="24"/>
          <w:szCs w:val="22"/>
          <w:highlight w:val="none"/>
          <w:lang w:eastAsia="zh-CN"/>
        </w:rPr>
        <w:t xml:space="preserve">为</w:t>
      </w:r>
      <w:r>
        <w:rPr>
          <w:rFonts w:hint="eastAsia" w:ascii="宋体" w:hAnsi="宋体" w:eastAsia="宋体" w:cs="宋体"/>
          <w:color w:val="auto"/>
          <w:sz w:val="24"/>
          <w:szCs w:val="22"/>
          <w:highlight w:val="none"/>
        </w:rPr>
        <w:t xml:space="preserve">合同期绿化养护服务费</w:t>
      </w:r>
      <w:r>
        <w:rPr>
          <w:rFonts w:hint="eastAsia" w:ascii="宋体" w:hAnsi="宋体" w:cs="宋体"/>
          <w:color w:val="auto"/>
          <w:sz w:val="24"/>
          <w:szCs w:val="22"/>
          <w:highlight w:val="none"/>
          <w:lang w:eastAsia="zh-CN"/>
        </w:rPr>
        <w:t xml:space="preserve">总金额，</w:t>
      </w:r>
      <w:r>
        <w:rPr>
          <w:rFonts w:hint="eastAsia" w:ascii="宋体" w:hAnsi="宋体" w:eastAsia="宋体" w:cs="宋体"/>
          <w:color w:val="auto"/>
          <w:sz w:val="24"/>
          <w:szCs w:val="22"/>
          <w:highlight w:val="none"/>
        </w:rPr>
        <w:t xml:space="preserve">报价必须是唯一的，任何有选择的报价将不予接受。除非合同中另有规定，具有标价的养护量清单中所报的综合单价和合价，</w:t>
      </w:r>
      <w:r>
        <w:rPr>
          <w:rFonts w:hint="eastAsia" w:ascii="宋体" w:hAnsi="宋体" w:eastAsia="宋体" w:cs="宋体"/>
          <w:bCs/>
          <w:color w:val="auto"/>
          <w:sz w:val="24"/>
          <w:szCs w:val="24"/>
          <w:highlight w:val="none"/>
          <w:lang w:bidi="ar"/>
        </w:rPr>
        <w:t xml:space="preserve">合同价款包括人员费用（工资、福利、培训、社会保险、人身意外伤害险、服装费、高温费、劳保用品费等）、养护所用设备工具购置及维修费用、养护所用材料消耗费用、管理费用、利润、税金、政策性文件规定及合同包含的所有风险（包括但不</w:t>
      </w:r>
      <w:r>
        <w:rPr>
          <w:rFonts w:hint="eastAsia" w:ascii="宋体" w:hAnsi="宋体" w:cs="宋体"/>
          <w:bCs/>
          <w:color w:val="auto"/>
          <w:sz w:val="24"/>
          <w:szCs w:val="24"/>
          <w:highlight w:val="none"/>
          <w:lang w:eastAsia="zh-CN" w:bidi="ar"/>
        </w:rPr>
        <w:t xml:space="preserve">限于</w:t>
      </w:r>
      <w:r>
        <w:rPr>
          <w:rFonts w:hint="eastAsia" w:ascii="宋体" w:hAnsi="宋体" w:eastAsia="宋体" w:cs="宋体"/>
          <w:bCs/>
          <w:color w:val="auto"/>
          <w:sz w:val="24"/>
          <w:szCs w:val="24"/>
          <w:highlight w:val="none"/>
          <w:lang w:bidi="ar"/>
        </w:rPr>
        <w:t xml:space="preserve">最低工资调整、物价上涨等）、责任等各项应有费用</w:t>
      </w:r>
      <w:r>
        <w:rPr>
          <w:rFonts w:hint="eastAsia" w:ascii="宋体" w:hAnsi="宋体" w:eastAsia="宋体" w:cs="宋体"/>
          <w:bCs/>
          <w:color w:val="auto"/>
          <w:sz w:val="24"/>
          <w:szCs w:val="24"/>
          <w:highlight w:val="none"/>
          <w:lang w:eastAsia="zh-CN" w:bidi="ar"/>
        </w:rPr>
        <w:t xml:space="preserve">，</w:t>
      </w:r>
      <w:r>
        <w:rPr>
          <w:rFonts w:hint="eastAsia" w:ascii="宋体" w:hAnsi="宋体" w:eastAsia="宋体" w:cs="宋体"/>
          <w:bCs/>
          <w:color w:val="auto"/>
          <w:sz w:val="24"/>
          <w:szCs w:val="24"/>
          <w:highlight w:val="none"/>
          <w:lang w:val="en-US" w:eastAsia="zh-CN" w:bidi="ar"/>
        </w:rPr>
        <w:t xml:space="preserve">包括但不限于以下费用</w:t>
      </w:r>
      <w:r>
        <w:rPr>
          <w:rFonts w:hint="eastAsia" w:ascii="宋体" w:hAnsi="宋体" w:cs="宋体"/>
          <w:bCs/>
          <w:color w:val="auto"/>
          <w:sz w:val="24"/>
          <w:szCs w:val="24"/>
          <w:highlight w:val="none"/>
          <w:lang w:val="en-US" w:eastAsia="zh-CN" w:bidi="ar"/>
        </w:rPr>
        <w:t xml:space="preserve">：</w:t>
      </w:r>
      <w:r/>
    </w:p>
    <w:p>
      <w:pPr>
        <w:ind w:firstLine="360"/>
        <w:keepLines w:val="0"/>
        <w:keepNext w:val="0"/>
        <w:pageBreakBefore w:val="0"/>
        <w:spacing w:line="360"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1）人工费：包括按各级绿地最大管养面积应配备的绿化管理养护工人和管理人员的全部工资（符合无锡市最低工资标准</w:t>
      </w:r>
      <w:r>
        <w:rPr>
          <w:rFonts w:hint="eastAsia" w:ascii="宋体" w:hAnsi="宋体" w:eastAsia="宋体" w:cs="宋体"/>
          <w:color w:val="auto"/>
          <w:sz w:val="24"/>
          <w:szCs w:val="22"/>
          <w:highlight w:val="none"/>
          <w:lang w:val="en-US" w:eastAsia="zh-CN"/>
        </w:rPr>
        <w:t xml:space="preserve">2660</w:t>
      </w:r>
      <w:r>
        <w:rPr>
          <w:rFonts w:hint="eastAsia" w:ascii="宋体" w:hAnsi="宋体" w:eastAsia="宋体" w:cs="宋体"/>
          <w:color w:val="auto"/>
          <w:sz w:val="24"/>
          <w:szCs w:val="22"/>
          <w:highlight w:val="none"/>
        </w:rPr>
        <w:t xml:space="preserve">元/月/人）、奖金、房补、劳保福利、社保、医</w:t>
      </w:r>
      <w:r>
        <w:rPr>
          <w:rFonts w:hint="eastAsia" w:ascii="宋体" w:hAnsi="宋体" w:eastAsia="宋体" w:cs="宋体"/>
          <w:color w:val="auto"/>
          <w:sz w:val="24"/>
          <w:szCs w:val="22"/>
          <w:highlight w:val="none"/>
          <w:lang w:eastAsia="zh-CN"/>
        </w:rPr>
        <w:t xml:space="preserve">疗保</w:t>
      </w:r>
      <w:r>
        <w:rPr>
          <w:rFonts w:hint="eastAsia" w:ascii="宋体" w:hAnsi="宋体" w:eastAsia="宋体" w:cs="宋体"/>
          <w:color w:val="auto"/>
          <w:sz w:val="24"/>
          <w:szCs w:val="22"/>
          <w:highlight w:val="none"/>
        </w:rPr>
        <w:t xml:space="preserve">险、工</w:t>
      </w:r>
      <w:r>
        <w:rPr>
          <w:rFonts w:hint="eastAsia" w:ascii="宋体" w:hAnsi="宋体" w:eastAsia="宋体" w:cs="宋体"/>
          <w:color w:val="auto"/>
          <w:sz w:val="24"/>
          <w:szCs w:val="22"/>
          <w:highlight w:val="none"/>
          <w:lang w:eastAsia="zh-CN"/>
        </w:rPr>
        <w:t xml:space="preserve">伤保</w:t>
      </w:r>
      <w:r>
        <w:rPr>
          <w:rFonts w:hint="eastAsia" w:ascii="宋体" w:hAnsi="宋体" w:eastAsia="宋体" w:cs="宋体"/>
          <w:color w:val="auto"/>
          <w:sz w:val="24"/>
          <w:szCs w:val="22"/>
          <w:highlight w:val="none"/>
        </w:rPr>
        <w:t xml:space="preserve">险等，教育培训费</w:t>
      </w:r>
      <w:r>
        <w:rPr>
          <w:rFonts w:hint="eastAsia" w:ascii="宋体" w:hAnsi="宋体" w:cs="宋体"/>
          <w:color w:val="auto"/>
          <w:sz w:val="24"/>
          <w:szCs w:val="22"/>
          <w:highlight w:val="none"/>
          <w:lang w:eastAsia="zh-CN"/>
        </w:rPr>
        <w:t xml:space="preserve">、</w:t>
      </w:r>
      <w:r>
        <w:rPr>
          <w:rFonts w:hint="eastAsia" w:ascii="宋体" w:hAnsi="宋体" w:eastAsia="宋体" w:cs="宋体"/>
          <w:color w:val="auto"/>
          <w:sz w:val="24"/>
          <w:szCs w:val="22"/>
          <w:highlight w:val="none"/>
        </w:rPr>
        <w:t xml:space="preserve">暂住费及处理一切伤亡事故等的费用</w:t>
      </w:r>
      <w:r>
        <w:rPr>
          <w:rFonts w:hint="eastAsia" w:ascii="宋体" w:hAnsi="宋体" w:cs="宋体"/>
          <w:color w:val="auto"/>
          <w:sz w:val="24"/>
          <w:szCs w:val="22"/>
          <w:highlight w:val="none"/>
          <w:lang w:eastAsia="zh-CN"/>
        </w:rPr>
        <w:t xml:space="preserve">；</w:t>
      </w:r>
      <w:r/>
    </w:p>
    <w:p>
      <w:pPr>
        <w:ind w:firstLine="360"/>
        <w:keepLines w:val="0"/>
        <w:keepNext w:val="0"/>
        <w:pageBreakBefore w:val="0"/>
        <w:spacing w:line="360"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2）药物和肥料费：绿地植物病虫害防治需要的药物和施用各类有机、无机肥料所需的费用</w:t>
      </w:r>
      <w:r>
        <w:rPr>
          <w:rFonts w:hint="eastAsia" w:ascii="宋体" w:hAnsi="宋体" w:cs="宋体"/>
          <w:color w:val="auto"/>
          <w:sz w:val="24"/>
          <w:szCs w:val="22"/>
          <w:highlight w:val="none"/>
          <w:lang w:eastAsia="zh-CN"/>
        </w:rPr>
        <w:t xml:space="preserve">；</w:t>
      </w:r>
      <w:r/>
    </w:p>
    <w:p>
      <w:pPr>
        <w:ind w:firstLine="360"/>
        <w:keepLines w:val="0"/>
        <w:keepNext w:val="0"/>
        <w:pageBreakBefore w:val="0"/>
        <w:spacing w:line="360"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3）工具费：包括购买锄头、铲、钎、草剪、枝剪、高枝剪、竹扫把、竹耙、</w:t>
      </w:r>
      <w:r>
        <w:rPr>
          <w:rFonts w:hint="eastAsia" w:ascii="宋体" w:hAnsi="宋体" w:eastAsia="宋体" w:cs="宋体"/>
          <w:color w:val="auto"/>
          <w:sz w:val="24"/>
          <w:szCs w:val="22"/>
          <w:highlight w:val="none"/>
          <w:lang w:eastAsia="zh-CN"/>
        </w:rPr>
        <w:t xml:space="preserve">手锯</w:t>
      </w:r>
      <w:r>
        <w:rPr>
          <w:rFonts w:hint="eastAsia" w:ascii="宋体" w:hAnsi="宋体" w:eastAsia="宋体" w:cs="宋体"/>
          <w:color w:val="auto"/>
          <w:sz w:val="24"/>
          <w:szCs w:val="22"/>
          <w:highlight w:val="none"/>
        </w:rPr>
        <w:t xml:space="preserve">、油锯片、砍刀等的费用</w:t>
      </w:r>
      <w:r>
        <w:rPr>
          <w:rFonts w:hint="eastAsia" w:ascii="宋体" w:hAnsi="宋体" w:cs="宋体"/>
          <w:color w:val="auto"/>
          <w:sz w:val="24"/>
          <w:szCs w:val="22"/>
          <w:highlight w:val="none"/>
          <w:lang w:eastAsia="zh-CN"/>
        </w:rPr>
        <w:t xml:space="preserve">；</w:t>
      </w:r>
      <w:r/>
    </w:p>
    <w:p>
      <w:pPr>
        <w:ind w:firstLine="360"/>
        <w:keepLines w:val="0"/>
        <w:keepNext w:val="0"/>
        <w:pageBreakBefore w:val="0"/>
        <w:spacing w:line="360"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4）安全文明生产装备费：包括工人工作服装（冬夏装各3套）、反光衣、安全筒、警示牌、快速干道作业车辆的警示指向灯等，以及采购人要求的车辆、人员定位设备和视频记录设备等</w:t>
      </w:r>
      <w:r>
        <w:rPr>
          <w:rFonts w:hint="eastAsia" w:ascii="宋体" w:hAnsi="宋体" w:cs="宋体"/>
          <w:color w:val="auto"/>
          <w:sz w:val="24"/>
          <w:szCs w:val="22"/>
          <w:highlight w:val="none"/>
          <w:lang w:eastAsia="zh-CN"/>
        </w:rPr>
        <w:t xml:space="preserve">；</w:t>
      </w:r>
      <w:r/>
    </w:p>
    <w:p>
      <w:pPr>
        <w:ind w:firstLine="360"/>
        <w:keepLines w:val="0"/>
        <w:keepNext w:val="0"/>
        <w:pageBreakBefore w:val="0"/>
        <w:spacing w:line="360"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5）材料费：护树设施包括购买护树桩、护树板、护树带、铁丝、护树竹等的费用</w:t>
      </w:r>
      <w:r>
        <w:rPr>
          <w:rFonts w:hint="eastAsia" w:ascii="宋体" w:hAnsi="宋体" w:cs="宋体"/>
          <w:color w:val="auto"/>
          <w:sz w:val="24"/>
          <w:szCs w:val="22"/>
          <w:highlight w:val="none"/>
          <w:lang w:eastAsia="zh-CN"/>
        </w:rPr>
        <w:t xml:space="preserve">；</w:t>
      </w:r>
      <w:r>
        <w:rPr>
          <w:rFonts w:hint="eastAsia" w:ascii="宋体" w:hAnsi="宋体" w:eastAsia="宋体" w:cs="宋体"/>
          <w:color w:val="auto"/>
          <w:sz w:val="24"/>
          <w:szCs w:val="22"/>
          <w:highlight w:val="none"/>
        </w:rPr>
        <w:t xml:space="preserve">供水设施包括活动喷头（架）及水龙头、自动喷头、电磁阀、快速取水器、水管及管件、水表等的维修更换费用</w:t>
      </w:r>
      <w:r>
        <w:rPr>
          <w:rFonts w:hint="eastAsia" w:ascii="宋体" w:hAnsi="宋体" w:cs="宋体"/>
          <w:color w:val="auto"/>
          <w:sz w:val="24"/>
          <w:szCs w:val="22"/>
          <w:highlight w:val="none"/>
          <w:lang w:eastAsia="zh-CN"/>
        </w:rPr>
        <w:t xml:space="preserve">；</w:t>
      </w:r>
      <w:r>
        <w:rPr>
          <w:rFonts w:hint="eastAsia" w:ascii="宋体" w:hAnsi="宋体" w:eastAsia="宋体" w:cs="宋体"/>
          <w:color w:val="auto"/>
          <w:sz w:val="24"/>
          <w:szCs w:val="22"/>
          <w:highlight w:val="none"/>
          <w:lang w:eastAsia="zh-CN"/>
        </w:rPr>
        <w:t xml:space="preserve">其他包括</w:t>
      </w:r>
      <w:r>
        <w:rPr>
          <w:rFonts w:hint="eastAsia" w:ascii="宋体" w:hAnsi="宋体" w:eastAsia="宋体" w:cs="宋体"/>
          <w:color w:val="auto"/>
          <w:sz w:val="24"/>
          <w:szCs w:val="22"/>
          <w:highlight w:val="none"/>
        </w:rPr>
        <w:t xml:space="preserve">园林设施、小品的</w:t>
      </w:r>
      <w:r>
        <w:rPr>
          <w:rFonts w:hint="eastAsia" w:ascii="宋体" w:hAnsi="宋体" w:cs="宋体"/>
          <w:color w:val="auto"/>
          <w:sz w:val="24"/>
          <w:szCs w:val="22"/>
          <w:highlight w:val="none"/>
          <w:lang w:val="en-US" w:eastAsia="zh-CN"/>
        </w:rPr>
        <w:t xml:space="preserve">日常养护</w:t>
      </w:r>
      <w:r>
        <w:rPr>
          <w:rFonts w:hint="eastAsia" w:ascii="宋体" w:hAnsi="宋体" w:eastAsia="宋体" w:cs="宋体"/>
          <w:color w:val="auto"/>
          <w:sz w:val="24"/>
          <w:szCs w:val="22"/>
          <w:highlight w:val="none"/>
        </w:rPr>
        <w:t xml:space="preserve">。</w:t>
      </w:r>
      <w:r>
        <w:rPr>
          <w:rFonts w:hint="eastAsia" w:ascii="宋体" w:hAnsi="宋体" w:eastAsia="宋体" w:cs="宋体"/>
          <w:color w:val="auto"/>
          <w:sz w:val="24"/>
          <w:highlight w:val="none"/>
        </w:rPr>
        <w:t xml:space="preserve">树木保存率98%以外</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行道树保存率为100%</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正常死亡树木的清理和补植的人工及材料费用；</w:t>
      </w:r>
      <w:r/>
    </w:p>
    <w:p>
      <w:pPr>
        <w:ind w:firstLine="360"/>
        <w:keepLines w:val="0"/>
        <w:keepNext w:val="0"/>
        <w:pageBreakBefore w:val="0"/>
        <w:spacing w:line="360"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6）机械设备费：巡查车、货车、水车、升降车、吊车、抑尘车等运行所需的耗油、保险、养路、修理、统一标识等费用</w:t>
      </w:r>
      <w:r>
        <w:rPr>
          <w:rFonts w:hint="eastAsia" w:ascii="宋体" w:hAnsi="宋体" w:eastAsia="宋体" w:cs="宋体"/>
          <w:color w:val="auto"/>
          <w:sz w:val="24"/>
          <w:szCs w:val="22"/>
          <w:highlight w:val="none"/>
          <w:lang w:eastAsia="zh-CN"/>
        </w:rPr>
        <w:t xml:space="preserve">，以</w:t>
      </w:r>
      <w:r>
        <w:rPr>
          <w:rFonts w:hint="eastAsia" w:ascii="宋体" w:hAnsi="宋体" w:eastAsia="宋体" w:cs="宋体"/>
          <w:color w:val="auto"/>
          <w:sz w:val="24"/>
          <w:szCs w:val="22"/>
          <w:highlight w:val="none"/>
        </w:rPr>
        <w:t xml:space="preserve">及使用剪草机（车）、割灌机、疏草机、打孔机、绿篱剪、油锯等所需的耗油、修理等费用。</w:t>
      </w:r>
      <w:r/>
    </w:p>
    <w:p>
      <w:pPr>
        <w:ind w:firstLine="360"/>
        <w:keepLines w:val="0"/>
        <w:keepNext w:val="0"/>
        <w:pageBreakBefore w:val="0"/>
        <w:spacing w:line="360"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7）垃圾处理费：生活垃圾处理以及园林废弃物的收运和处置等费用。</w:t>
      </w:r>
      <w:r/>
    </w:p>
    <w:p>
      <w:pPr>
        <w:ind w:firstLine="360"/>
        <w:keepLines w:val="0"/>
        <w:keepNext w:val="0"/>
        <w:pageBreakBefore w:val="0"/>
        <w:spacing w:line="360"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8）人为破坏防损费：包括人为破坏、车祸、盗窃苗木、景观设施等造成的损坏恢复费用。</w:t>
      </w:r>
      <w:r/>
    </w:p>
    <w:p>
      <w:pPr>
        <w:ind w:firstLine="360"/>
        <w:keepLines w:val="0"/>
        <w:keepNext w:val="0"/>
        <w:pageBreakBefore w:val="0"/>
        <w:spacing w:line="360"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9）固定资产折旧费。</w:t>
      </w:r>
      <w:r/>
    </w:p>
    <w:p>
      <w:pPr>
        <w:ind w:firstLine="360"/>
        <w:keepLines w:val="0"/>
        <w:keepNext w:val="0"/>
        <w:pageBreakBefore w:val="0"/>
        <w:spacing w:line="360"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10）</w:t>
      </w:r>
      <w:r>
        <w:rPr>
          <w:rFonts w:hint="eastAsia" w:ascii="宋体" w:hAnsi="宋体" w:eastAsia="宋体" w:cs="宋体"/>
          <w:color w:val="auto"/>
          <w:sz w:val="24"/>
          <w:szCs w:val="22"/>
          <w:highlight w:val="none"/>
          <w:lang w:eastAsia="zh-CN"/>
        </w:rPr>
        <w:t xml:space="preserve">其他</w:t>
      </w:r>
      <w:r>
        <w:rPr>
          <w:rFonts w:hint="eastAsia" w:ascii="宋体" w:hAnsi="宋体" w:eastAsia="宋体" w:cs="宋体"/>
          <w:color w:val="auto"/>
          <w:sz w:val="24"/>
          <w:szCs w:val="22"/>
          <w:highlight w:val="none"/>
        </w:rPr>
        <w:t xml:space="preserve">业务和管理费：</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（1）高架绿化、水生植物等特殊要求而发生的用水增加，高架养护作业应服从交警部门相关规定；</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rPr>
        <w:t xml:space="preserve">）每年开展生物防治防虫挂管及跟踪记录管理工作以及天牛类蛀干害虫的药剂防治工作及柳絮防治工作；</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）绿地内植物生长需要的肥料费用；</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）有水体周围植物养护的，需自行考虑植物修剪清理所需的船只等工具以及相应的安全措施；</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rPr>
        <w:t xml:space="preserve">）因交警交通管制对养护作业的要求导致成本增加；</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rPr>
        <w:t xml:space="preserve">）一般自然灾害引起的应急抢险费用及灾后补植的人工及材料费以及因恶劣天气增加的养护费用；</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7</w:t>
      </w:r>
      <w:r>
        <w:rPr>
          <w:rFonts w:hint="eastAsia" w:ascii="宋体" w:hAnsi="宋体" w:eastAsia="宋体" w:cs="宋体"/>
          <w:color w:val="auto"/>
          <w:sz w:val="24"/>
          <w:highlight w:val="none"/>
        </w:rPr>
        <w:t xml:space="preserve">）处理市民投诉、毁绿、占绿等一般社会问题的相关费用；</w:t>
      </w:r>
      <w:r/>
    </w:p>
    <w:p>
      <w:pPr>
        <w:ind w:firstLine="480"/>
        <w:keepLines w:val="0"/>
        <w:keepNext w:val="0"/>
        <w:pageBreakBefore w:val="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8</w:t>
      </w:r>
      <w:r>
        <w:rPr>
          <w:rFonts w:hint="eastAsia" w:ascii="宋体" w:hAnsi="宋体" w:eastAsia="宋体" w:cs="宋体"/>
          <w:color w:val="auto"/>
          <w:sz w:val="24"/>
          <w:highlight w:val="none"/>
        </w:rPr>
        <w:t xml:space="preserve">）养护服务单位为养护巡查配备装备（如GPS定位等）的所有设备的费用</w:t>
      </w:r>
      <w:r>
        <w:rPr>
          <w:rFonts w:hint="eastAsia" w:ascii="宋体" w:hAnsi="宋体" w:eastAsia="宋体" w:cs="宋体"/>
          <w:color w:val="auto"/>
          <w:sz w:val="24"/>
          <w:highlight w:val="none"/>
          <w:lang w:eastAsia="zh-CN"/>
        </w:rPr>
        <w:t xml:space="preserve">；</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9</w:t>
      </w:r>
      <w:r>
        <w:rPr>
          <w:rFonts w:hint="eastAsia" w:ascii="宋体" w:hAnsi="宋体" w:eastAsia="宋体" w:cs="宋体"/>
          <w:color w:val="auto"/>
          <w:sz w:val="24"/>
          <w:highlight w:val="none"/>
        </w:rPr>
        <w:t xml:space="preserve">）根据采购人的考核值班制度，按采购人要求至指定地点值班并提供电脑、车辆等设备，配合甲方管养工作。</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0</w:t>
      </w:r>
      <w:r>
        <w:rPr>
          <w:rFonts w:hint="eastAsia" w:ascii="宋体" w:hAnsi="宋体" w:eastAsia="宋体" w:cs="宋体"/>
          <w:color w:val="auto"/>
          <w:sz w:val="24"/>
          <w:highlight w:val="none"/>
        </w:rPr>
        <w:t xml:space="preserve">）配合采购人完成绿地行政许可初审以及绿地普查工作相关工作。</w:t>
      </w:r>
      <w:r/>
    </w:p>
    <w:p>
      <w:pPr>
        <w:ind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rPr>
        <w:t xml:space="preserve">）在合同期间</w:t>
      </w:r>
      <w:r>
        <w:rPr>
          <w:rFonts w:hint="eastAsia" w:ascii="宋体" w:hAnsi="宋体" w:cs="宋体"/>
          <w:color w:val="auto"/>
          <w:sz w:val="24"/>
          <w:highlight w:val="none"/>
          <w:lang w:eastAsia="zh-CN"/>
        </w:rPr>
        <w:t xml:space="preserve">，街</w:t>
      </w:r>
      <w:r>
        <w:rPr>
          <w:rFonts w:hint="eastAsia" w:ascii="宋体" w:hAnsi="宋体" w:eastAsia="宋体" w:cs="宋体"/>
          <w:color w:val="auto"/>
          <w:sz w:val="24"/>
          <w:highlight w:val="none"/>
          <w:lang w:eastAsia="zh-CN"/>
        </w:rPr>
        <w:t xml:space="preserve">管</w:t>
      </w:r>
      <w:r>
        <w:rPr>
          <w:rFonts w:hint="eastAsia" w:ascii="宋体" w:hAnsi="宋体" w:eastAsia="宋体" w:cs="宋体"/>
          <w:color w:val="auto"/>
          <w:sz w:val="24"/>
          <w:highlight w:val="none"/>
        </w:rPr>
        <w:t xml:space="preserve">绿地养护作业所产生的绿化废弃物集中收集后送至专业处置场资源化利用。</w:t>
      </w:r>
      <w:r/>
    </w:p>
    <w:p>
      <w:pPr>
        <w:ind w:firstLine="360"/>
        <w:keepLines w:val="0"/>
        <w:keepNext w:val="0"/>
        <w:pageBreakBefore w:val="0"/>
        <w:spacing w:line="360"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w:t>
      </w:r>
      <w:r>
        <w:rPr>
          <w:rFonts w:hint="eastAsia" w:ascii="宋体" w:hAnsi="宋体" w:cs="宋体"/>
          <w:color w:val="auto"/>
          <w:sz w:val="24"/>
          <w:szCs w:val="22"/>
          <w:highlight w:val="none"/>
          <w:lang w:val="en-US" w:eastAsia="zh-CN"/>
        </w:rPr>
        <w:t xml:space="preserve">2</w:t>
      </w:r>
      <w:r>
        <w:rPr>
          <w:rFonts w:hint="eastAsia" w:ascii="宋体" w:hAnsi="宋体" w:eastAsia="宋体" w:cs="宋体"/>
          <w:color w:val="auto"/>
          <w:sz w:val="24"/>
          <w:szCs w:val="22"/>
          <w:highlight w:val="none"/>
        </w:rPr>
        <w:t xml:space="preserve">）利润：企业合法利润。</w:t>
      </w:r>
      <w:r/>
    </w:p>
    <w:p>
      <w:pPr>
        <w:ind w:firstLine="360"/>
        <w:keepLines w:val="0"/>
        <w:keepNext w:val="0"/>
        <w:pageBreakBefore w:val="0"/>
        <w:spacing w:line="360"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w:t>
      </w:r>
      <w:r>
        <w:rPr>
          <w:rFonts w:hint="eastAsia" w:ascii="宋体" w:hAnsi="宋体" w:cs="宋体"/>
          <w:color w:val="auto"/>
          <w:sz w:val="24"/>
          <w:szCs w:val="22"/>
          <w:highlight w:val="none"/>
          <w:lang w:val="en-US" w:eastAsia="zh-CN"/>
        </w:rPr>
        <w:t xml:space="preserve">3</w:t>
      </w:r>
      <w:r>
        <w:rPr>
          <w:rFonts w:hint="eastAsia" w:ascii="宋体" w:hAnsi="宋体" w:eastAsia="宋体" w:cs="宋体"/>
          <w:color w:val="auto"/>
          <w:sz w:val="24"/>
          <w:szCs w:val="22"/>
          <w:highlight w:val="none"/>
        </w:rPr>
        <w:t xml:space="preserve">）税金：企业依法应向税务部门缴纳的费用。</w:t>
      </w:r>
      <w:r/>
    </w:p>
    <w:p>
      <w:pPr>
        <w:ind w:firstLine="360"/>
        <w:keepLines w:val="0"/>
        <w:keepNext w:val="0"/>
        <w:pageBreakBefore w:val="0"/>
        <w:spacing w:line="360"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w:t>
      </w:r>
      <w:r>
        <w:rPr>
          <w:rFonts w:hint="eastAsia" w:ascii="宋体" w:hAnsi="宋体" w:cs="宋体"/>
          <w:color w:val="auto"/>
          <w:sz w:val="24"/>
          <w:szCs w:val="22"/>
          <w:highlight w:val="none"/>
          <w:lang w:val="en-US" w:eastAsia="zh-CN"/>
        </w:rPr>
        <w:t xml:space="preserve">4</w:t>
      </w:r>
      <w:r>
        <w:rPr>
          <w:rFonts w:hint="eastAsia" w:ascii="宋体" w:hAnsi="宋体" w:eastAsia="宋体" w:cs="宋体"/>
          <w:color w:val="auto"/>
          <w:sz w:val="24"/>
          <w:szCs w:val="22"/>
          <w:highlight w:val="none"/>
        </w:rPr>
        <w:t xml:space="preserve">）其他为完成本招标采购项目所需的一切费用。</w:t>
      </w:r>
      <w:r/>
    </w:p>
    <w:p>
      <w:pPr>
        <w:ind w:firstLine="360"/>
        <w:keepLines w:val="0"/>
        <w:keepNext w:val="0"/>
        <w:pageBreakBefore w:val="0"/>
        <w:spacing w:line="360"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2.养护量清单中的每一单项均需计算填写综合单价和合价</w:t>
      </w:r>
      <w:r>
        <w:rPr>
          <w:rFonts w:hint="eastAsia" w:ascii="宋体" w:hAnsi="宋体" w:eastAsia="宋体" w:cs="宋体"/>
          <w:color w:val="auto"/>
          <w:sz w:val="24"/>
          <w:szCs w:val="22"/>
          <w:highlight w:val="none"/>
          <w:lang w:eastAsia="zh-CN"/>
        </w:rPr>
        <w:t xml:space="preserve">（</w:t>
      </w:r>
      <w:r>
        <w:rPr>
          <w:rFonts w:hint="eastAsia" w:ascii="宋体" w:hAnsi="宋体" w:eastAsia="宋体" w:cs="宋体"/>
          <w:color w:val="auto"/>
          <w:sz w:val="24"/>
          <w:szCs w:val="22"/>
          <w:highlight w:val="none"/>
        </w:rPr>
        <w:t xml:space="preserve">精确到分</w:t>
      </w:r>
      <w:r>
        <w:rPr>
          <w:rFonts w:hint="eastAsia" w:ascii="宋体" w:hAnsi="宋体" w:eastAsia="宋体" w:cs="宋体"/>
          <w:color w:val="auto"/>
          <w:sz w:val="24"/>
          <w:szCs w:val="22"/>
          <w:highlight w:val="none"/>
          <w:lang w:eastAsia="zh-CN"/>
        </w:rPr>
        <w:t xml:space="preserve">）</w:t>
      </w:r>
      <w:r>
        <w:rPr>
          <w:rFonts w:hint="eastAsia" w:ascii="宋体" w:hAnsi="宋体" w:eastAsia="宋体" w:cs="宋体"/>
          <w:color w:val="auto"/>
          <w:sz w:val="24"/>
          <w:szCs w:val="22"/>
          <w:highlight w:val="none"/>
        </w:rPr>
        <w:t xml:space="preserve">，投标供应商没有填写综合单价和合价的项目将不予支付，并认为此项费用已包括在养护量清单的其他综合单价和合价中。</w:t>
      </w:r>
      <w:r/>
    </w:p>
    <w:p>
      <w:pPr>
        <w:ind w:firstLine="360"/>
        <w:keepLines w:val="0"/>
        <w:keepNext w:val="0"/>
        <w:pageBreakBefore w:val="0"/>
        <w:spacing w:line="360"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3.养护量清单中所提供的数量已经有关部门核定并</w:t>
      </w:r>
      <w:r>
        <w:rPr>
          <w:rFonts w:hint="eastAsia" w:ascii="宋体" w:hAnsi="宋体" w:eastAsia="宋体" w:cs="宋体"/>
          <w:color w:val="auto"/>
          <w:sz w:val="24"/>
          <w:szCs w:val="22"/>
          <w:highlight w:val="none"/>
          <w:lang w:val="en-US" w:eastAsia="zh-CN"/>
        </w:rPr>
        <w:t xml:space="preserve">纳入本服务期内</w:t>
      </w:r>
      <w:r>
        <w:rPr>
          <w:rFonts w:hint="eastAsia" w:ascii="宋体" w:hAnsi="宋体" w:eastAsia="宋体" w:cs="宋体"/>
          <w:color w:val="auto"/>
          <w:sz w:val="24"/>
          <w:szCs w:val="22"/>
          <w:highlight w:val="none"/>
        </w:rPr>
        <w:t xml:space="preserve">绿化养护计划，投标供应商按此投标。在合同实施过程中因项目管理单位养护范围的调整而产生设施量变更时，必须在</w:t>
      </w:r>
      <w:r>
        <w:rPr>
          <w:rFonts w:hint="eastAsia" w:ascii="宋体" w:hAnsi="宋体" w:eastAsia="宋体" w:cs="宋体"/>
          <w:color w:val="auto"/>
          <w:sz w:val="24"/>
          <w:szCs w:val="22"/>
          <w:highlight w:val="none"/>
          <w:lang w:val="en-US" w:eastAsia="zh-CN"/>
        </w:rPr>
        <w:t xml:space="preserve">采购方同意</w:t>
      </w:r>
      <w:r>
        <w:rPr>
          <w:rFonts w:hint="eastAsia" w:ascii="宋体" w:hAnsi="宋体" w:eastAsia="宋体" w:cs="宋体"/>
          <w:color w:val="auto"/>
          <w:sz w:val="24"/>
          <w:szCs w:val="22"/>
          <w:highlight w:val="none"/>
        </w:rPr>
        <w:t xml:space="preserve">后方可按时调整；因合法征用、改造、临时占用绿地或采购人管理需要，调整投标供应商管护绿化范围和管护等级时，投标供应商应要求退出原养护范围（地段），或相应减少养护范围及经费。由此造成的经济损失，采购人不负赔偿责任。因采购人管理需要，要求中标人就近接管新增绿地，中标人应无条件服从并按投标的标准增加足够的人</w:t>
      </w:r>
      <w:r>
        <w:rPr>
          <w:rFonts w:hint="eastAsia" w:ascii="宋体" w:hAnsi="宋体" w:eastAsia="宋体" w:cs="宋体"/>
          <w:color w:val="auto"/>
          <w:sz w:val="24"/>
          <w:szCs w:val="22"/>
          <w:highlight w:val="none"/>
          <w:lang w:eastAsia="zh-CN"/>
        </w:rPr>
        <w:t xml:space="preserve">员和</w:t>
      </w:r>
      <w:r>
        <w:rPr>
          <w:rFonts w:hint="eastAsia" w:ascii="宋体" w:hAnsi="宋体" w:eastAsia="宋体" w:cs="宋体"/>
          <w:color w:val="auto"/>
          <w:sz w:val="24"/>
          <w:szCs w:val="22"/>
          <w:highlight w:val="none"/>
        </w:rPr>
        <w:t xml:space="preserve">设备投入，由此产生的费用审计后按实结算</w:t>
      </w:r>
      <w:r>
        <w:rPr>
          <w:rFonts w:hint="eastAsia" w:ascii="宋体" w:hAnsi="宋体" w:eastAsia="宋体" w:cs="宋体"/>
          <w:color w:val="auto"/>
          <w:sz w:val="24"/>
          <w:szCs w:val="22"/>
          <w:highlight w:val="none"/>
          <w:lang w:eastAsia="zh-CN"/>
        </w:rPr>
        <w:t xml:space="preserve">，</w:t>
      </w:r>
      <w:r>
        <w:rPr>
          <w:rFonts w:hint="eastAsia" w:ascii="宋体" w:hAnsi="宋体" w:eastAsia="宋体" w:cs="宋体"/>
          <w:color w:val="auto"/>
          <w:sz w:val="24"/>
          <w:szCs w:val="22"/>
          <w:highlight w:val="none"/>
          <w:lang w:val="en-US" w:eastAsia="zh-CN"/>
        </w:rPr>
        <w:t xml:space="preserve">送审金额不得超过中标金额的10%。</w:t>
      </w:r>
      <w:r/>
    </w:p>
    <w:p>
      <w:pPr>
        <w:ind w:firstLine="360"/>
        <w:keepLines w:val="0"/>
        <w:keepNext w:val="0"/>
        <w:pageBreakBefore w:val="0"/>
        <w:spacing w:line="360"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4.在合同实施期间，投标供应商所填写的综合单价和合价将不因市场变化、政策性调整因素等变动而变动，投标供应商在计算报价时应考虑一定的风险系数，将上述风险包含在投标报价中。</w:t>
      </w:r>
      <w:r/>
    </w:p>
    <w:p>
      <w:pPr>
        <w:ind w:firstLine="360"/>
        <w:keepLines w:val="0"/>
        <w:keepNext w:val="0"/>
        <w:pageBreakBefore w:val="0"/>
        <w:spacing w:line="360"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5.投标供应商在计算报价时应考虑一定的风险系数。投标供应商应考虑到因政府管养政策改变的原因而发生的养护总持续期调整的可能，采购人不承担由此造成的经济和其他相关责任。</w:t>
      </w:r>
      <w:r/>
    </w:p>
    <w:p>
      <w:pPr>
        <w:ind w:firstLine="360"/>
        <w:keepLines w:val="0"/>
        <w:keepNext w:val="0"/>
        <w:pageBreakBefore w:val="0"/>
        <w:spacing w:line="360"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6.投标人应根据养护现场的实际情况、本招标文件中载明的养护要求、现场的交通管制条件、文明养护要求和各自的养护经验确定合理的养护组织方案，自主合理报价。各投标单位应认真踏勘现场，充分考虑临时用地、临时通道、临时排水、临时路灯、居民和沿线企事业单位出入临时通道、来自周围居民可能产生的干扰以及配合规划管线施工或因维护交通使工效受到影响等因素，并对养护车辆行驶线路认真踏勘，预计可能发生的费用，凡未列的一旦发生，将视为由中标人自理。</w:t>
      </w:r>
      <w:r/>
    </w:p>
    <w:p>
      <w:pPr>
        <w:ind w:firstLine="360"/>
        <w:keepLines w:val="0"/>
        <w:keepNext w:val="0"/>
        <w:pageBreakBefore w:val="0"/>
        <w:spacing w:line="360"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lang w:eastAsia="zh-CN"/>
        </w:rPr>
        <w:t xml:space="preserve">7.</w:t>
      </w:r>
      <w:r>
        <w:rPr>
          <w:rFonts w:hint="eastAsia" w:ascii="宋体" w:hAnsi="宋体" w:eastAsia="宋体" w:cs="宋体"/>
          <w:color w:val="auto"/>
          <w:sz w:val="24"/>
          <w:szCs w:val="22"/>
          <w:highlight w:val="none"/>
        </w:rPr>
        <w:t xml:space="preserve">水、电费用请投标人自行考虑，费用纳入投标报价中。养护用水、电由投标人自行解决。如有需要，采购人可协助中标人办理相关手续。</w:t>
      </w:r>
      <w:r/>
    </w:p>
    <w:p>
      <w:pPr>
        <w:ind w:firstLine="360"/>
        <w:keepLines w:val="0"/>
        <w:keepNext w:val="0"/>
        <w:pageBreakBefore w:val="0"/>
        <w:spacing w:line="360"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8.养护费用</w:t>
      </w:r>
      <w:r/>
    </w:p>
    <w:p>
      <w:pPr>
        <w:ind w:firstLine="360"/>
        <w:keepLines w:val="0"/>
        <w:keepNext w:val="0"/>
        <w:pageBreakBefore w:val="0"/>
        <w:spacing w:line="360" w:lineRule="auto"/>
        <w:rPr>
          <w:rFonts w:hint="eastAsia" w:ascii="宋体" w:hAnsi="宋体" w:eastAsia="宋体" w:cs="宋体"/>
          <w:b/>
          <w:color w:val="auto"/>
          <w:sz w:val="24"/>
          <w:highlight w:val="none"/>
        </w:rPr>
      </w:pPr>
      <w:r>
        <w:rPr>
          <w:rFonts w:hint="eastAsia" w:ascii="宋体" w:hAnsi="宋体" w:eastAsia="宋体" w:cs="宋体"/>
          <w:color w:val="auto"/>
          <w:sz w:val="24"/>
          <w:szCs w:val="22"/>
          <w:highlight w:val="none"/>
        </w:rPr>
        <w:t xml:space="preserve">养护</w:t>
      </w:r>
      <w:r>
        <w:rPr>
          <w:rFonts w:hint="eastAsia" w:ascii="宋体" w:hAnsi="宋体" w:eastAsia="宋体" w:cs="宋体"/>
          <w:color w:val="auto"/>
          <w:sz w:val="24"/>
          <w:szCs w:val="22"/>
          <w:highlight w:val="none"/>
          <w:lang w:eastAsia="zh-CN"/>
        </w:rPr>
        <w:t xml:space="preserve">费用</w:t>
      </w:r>
      <w:r>
        <w:rPr>
          <w:rFonts w:hint="eastAsia" w:ascii="宋体" w:hAnsi="宋体" w:eastAsia="宋体" w:cs="宋体"/>
          <w:color w:val="auto"/>
          <w:sz w:val="24"/>
          <w:szCs w:val="22"/>
          <w:highlight w:val="none"/>
        </w:rPr>
        <w:t xml:space="preserve">包括绿地内苗木养护、绿地养护及所有园路、小品、花坛（侧石）、护栏、雕塑、角亭、</w:t>
      </w:r>
      <w:r>
        <w:rPr>
          <w:rFonts w:hint="eastAsia" w:ascii="宋体" w:hAnsi="宋体" w:eastAsia="宋体" w:cs="宋体"/>
          <w:color w:val="auto"/>
          <w:sz w:val="24"/>
          <w:szCs w:val="22"/>
          <w:highlight w:val="none"/>
          <w:lang w:eastAsia="zh-CN"/>
        </w:rPr>
        <w:t xml:space="preserve">其他所有</w:t>
      </w:r>
      <w:r>
        <w:rPr>
          <w:rFonts w:hint="eastAsia" w:ascii="宋体" w:hAnsi="宋体" w:cs="宋体"/>
          <w:color w:val="auto"/>
          <w:sz w:val="24"/>
          <w:szCs w:val="22"/>
          <w:highlight w:val="none"/>
          <w:lang w:eastAsia="zh-CN"/>
        </w:rPr>
        <w:t xml:space="preserve">建筑物</w:t>
      </w:r>
      <w:r>
        <w:rPr>
          <w:rFonts w:hint="eastAsia" w:ascii="宋体" w:hAnsi="宋体" w:eastAsia="宋体" w:cs="宋体"/>
          <w:color w:val="auto"/>
          <w:sz w:val="24"/>
          <w:szCs w:val="22"/>
          <w:highlight w:val="none"/>
        </w:rPr>
        <w:t xml:space="preserve">等设施的日常保养和维修费用</w:t>
      </w:r>
      <w:r>
        <w:rPr>
          <w:rFonts w:hint="eastAsia" w:ascii="宋体" w:hAnsi="宋体" w:cs="宋体"/>
          <w:color w:val="auto"/>
          <w:sz w:val="24"/>
          <w:szCs w:val="22"/>
          <w:highlight w:val="none"/>
          <w:lang w:eastAsia="zh-CN"/>
        </w:rPr>
        <w:t xml:space="preserve">，以及</w:t>
      </w:r>
      <w:r>
        <w:rPr>
          <w:rFonts w:hint="eastAsia" w:ascii="宋体" w:hAnsi="宋体" w:eastAsia="宋体" w:cs="宋体"/>
          <w:color w:val="auto"/>
          <w:sz w:val="24"/>
          <w:szCs w:val="22"/>
          <w:highlight w:val="none"/>
        </w:rPr>
        <w:t xml:space="preserve">其他为完成本招标采购项目养护所需的一切费用</w:t>
      </w:r>
      <w:r>
        <w:rPr>
          <w:rFonts w:hint="eastAsia" w:ascii="宋体" w:hAnsi="宋体" w:cs="宋体"/>
          <w:color w:val="auto"/>
          <w:sz w:val="24"/>
          <w:szCs w:val="22"/>
          <w:highlight w:val="none"/>
          <w:lang w:eastAsia="zh-CN"/>
        </w:rPr>
        <w:t xml:space="preserve">。</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（九）无效投标文件的确认：</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投标供应商有下列情况之一者，其投标文件无效：</w:t>
      </w:r>
      <w:r/>
    </w:p>
    <w:p>
      <w:pPr>
        <w:pStyle w:val="906"/>
        <w:numPr>
          <w:ilvl w:val="0"/>
          <w:numId w:val="6"/>
        </w:numPr>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未按规定在江苏省政府采购（苏采云）平台注册的；</w:t>
      </w:r>
      <w:r/>
    </w:p>
    <w:p>
      <w:pPr>
        <w:pStyle w:val="906"/>
        <w:numPr>
          <w:ilvl w:val="0"/>
          <w:numId w:val="6"/>
        </w:numPr>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电子投标文件</w:t>
      </w:r>
      <w:r>
        <w:rPr>
          <w:rFonts w:hint="eastAsia" w:ascii="宋体" w:hAnsi="宋体" w:eastAsia="宋体" w:cs="宋体"/>
          <w:color w:val="auto"/>
          <w:sz w:val="24"/>
          <w:szCs w:val="32"/>
          <w:highlight w:val="none"/>
        </w:rPr>
        <w:t xml:space="preserve">未按规定期限</w:t>
      </w:r>
      <w:r>
        <w:rPr>
          <w:rFonts w:hint="eastAsia" w:ascii="宋体" w:hAnsi="宋体" w:cs="宋体"/>
          <w:color w:val="auto"/>
          <w:sz w:val="24"/>
          <w:szCs w:val="32"/>
          <w:highlight w:val="none"/>
          <w:lang w:eastAsia="zh-CN"/>
        </w:rPr>
        <w:t xml:space="preserve">上传</w:t>
      </w:r>
      <w:r>
        <w:rPr>
          <w:rFonts w:hint="eastAsia" w:ascii="宋体" w:hAnsi="宋体" w:eastAsia="宋体" w:cs="宋体"/>
          <w:color w:val="auto"/>
          <w:sz w:val="24"/>
          <w:szCs w:val="32"/>
          <w:highlight w:val="none"/>
        </w:rPr>
        <w:t xml:space="preserve">的</w:t>
      </w:r>
      <w:r>
        <w:rPr>
          <w:rFonts w:hint="eastAsia" w:ascii="宋体" w:hAnsi="宋体" w:eastAsia="宋体" w:cs="宋体"/>
          <w:color w:val="auto"/>
          <w:sz w:val="24"/>
          <w:szCs w:val="24"/>
          <w:highlight w:val="none"/>
        </w:rPr>
        <w:t xml:space="preserve">，纸质投标文件（如有）未按规定的期限、地点送达的；</w:t>
      </w:r>
      <w:r/>
    </w:p>
    <w:p>
      <w:pPr>
        <w:pStyle w:val="906"/>
        <w:numPr>
          <w:ilvl w:val="0"/>
          <w:numId w:val="6"/>
        </w:numPr>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电子投标文件未按招标文件要求签章的；</w:t>
      </w:r>
      <w:r/>
    </w:p>
    <w:p>
      <w:pPr>
        <w:pStyle w:val="906"/>
        <w:numPr>
          <w:ilvl w:val="0"/>
          <w:numId w:val="6"/>
        </w:numPr>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投标供应商未按招标文件要求解密电子投标文件的；</w:t>
      </w:r>
      <w:r/>
    </w:p>
    <w:p>
      <w:pPr>
        <w:pStyle w:val="906"/>
        <w:numPr>
          <w:ilvl w:val="0"/>
          <w:numId w:val="6"/>
        </w:numPr>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不具备招标文件中规定的资格要求或未按招标文件规定的要求提供资格、资信证明文件的；</w:t>
      </w:r>
      <w:r/>
    </w:p>
    <w:p>
      <w:pPr>
        <w:pStyle w:val="906"/>
        <w:numPr>
          <w:ilvl w:val="0"/>
          <w:numId w:val="6"/>
        </w:numPr>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报价超过招标文件中规定的预算金额或最高限价的；</w:t>
      </w:r>
      <w:r/>
    </w:p>
    <w:p>
      <w:pPr>
        <w:pStyle w:val="906"/>
        <w:numPr>
          <w:ilvl w:val="0"/>
          <w:numId w:val="6"/>
        </w:numPr>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投标供应商的法定代表人授权代表无法定代表人授权委托书的；</w:t>
      </w:r>
      <w:r/>
    </w:p>
    <w:p>
      <w:pPr>
        <w:pStyle w:val="906"/>
        <w:numPr>
          <w:ilvl w:val="0"/>
          <w:numId w:val="6"/>
        </w:numPr>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投标文件含有采购人不能接受的附加条件的；</w:t>
      </w:r>
      <w:r/>
    </w:p>
    <w:p>
      <w:pPr>
        <w:pStyle w:val="906"/>
        <w:numPr>
          <w:ilvl w:val="0"/>
          <w:numId w:val="6"/>
        </w:numPr>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投标文件未按招标文件规定的内容和要求填写</w:t>
      </w:r>
      <w:r>
        <w:rPr>
          <w:rFonts w:hint="eastAsia" w:ascii="宋体" w:hAnsi="宋体" w:cs="宋体"/>
          <w:color w:val="auto"/>
          <w:sz w:val="24"/>
          <w:szCs w:val="24"/>
          <w:highlight w:val="none"/>
          <w:lang w:eastAsia="zh-CN"/>
        </w:rPr>
        <w:t xml:space="preserve">，且没有</w:t>
      </w:r>
      <w:r>
        <w:rPr>
          <w:rFonts w:hint="eastAsia" w:ascii="宋体" w:hAnsi="宋体" w:eastAsia="宋体" w:cs="宋体"/>
          <w:color w:val="auto"/>
          <w:sz w:val="24"/>
          <w:szCs w:val="24"/>
          <w:highlight w:val="none"/>
        </w:rPr>
        <w:t xml:space="preserve">在投标系统指定位置上传对应文件、材料的；</w:t>
      </w:r>
      <w:r/>
    </w:p>
    <w:p>
      <w:pPr>
        <w:pStyle w:val="906"/>
        <w:numPr>
          <w:ilvl w:val="0"/>
          <w:numId w:val="6"/>
        </w:numPr>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电子投标文件图片、字迹模糊不清、无法辨认的；</w:t>
      </w:r>
      <w:r/>
    </w:p>
    <w:p>
      <w:pPr>
        <w:pStyle w:val="906"/>
        <w:numPr>
          <w:ilvl w:val="0"/>
          <w:numId w:val="6"/>
        </w:numPr>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投标文件中有招标文件未允许提供的选择性内容的；</w:t>
      </w:r>
      <w:r/>
    </w:p>
    <w:p>
      <w:pPr>
        <w:pStyle w:val="906"/>
        <w:numPr>
          <w:ilvl w:val="0"/>
          <w:numId w:val="6"/>
        </w:numPr>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恶意串通其他投标供应商，故意哄抬价格或压价的；</w:t>
      </w:r>
      <w:r/>
    </w:p>
    <w:p>
      <w:pPr>
        <w:pStyle w:val="906"/>
        <w:numPr>
          <w:ilvl w:val="0"/>
          <w:numId w:val="6"/>
        </w:numPr>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提供虚假材料的（包括工商营业执照、财务报表、资格证明文件等）；</w:t>
      </w:r>
      <w:r/>
    </w:p>
    <w:p>
      <w:pPr>
        <w:pStyle w:val="906"/>
        <w:numPr>
          <w:ilvl w:val="0"/>
          <w:numId w:val="6"/>
        </w:numPr>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不同投标供应商投标文件相互混装的；</w:t>
      </w:r>
      <w:r/>
    </w:p>
    <w:p>
      <w:pPr>
        <w:pStyle w:val="906"/>
        <w:numPr>
          <w:ilvl w:val="0"/>
          <w:numId w:val="6"/>
        </w:numPr>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不同投标供应商投标文件中的项目相关人员出现同一人的；</w:t>
      </w:r>
      <w:r/>
    </w:p>
    <w:p>
      <w:pPr>
        <w:pStyle w:val="906"/>
        <w:numPr>
          <w:ilvl w:val="0"/>
          <w:numId w:val="6"/>
        </w:numPr>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不同投标供应商聘请同一人为其投标提供技术或经济咨询服务的；</w:t>
      </w:r>
      <w:r/>
    </w:p>
    <w:p>
      <w:pPr>
        <w:pStyle w:val="906"/>
        <w:numPr>
          <w:ilvl w:val="0"/>
          <w:numId w:val="6"/>
        </w:numPr>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不同投标供应商的单位负责人为同一人或者存在直接控股、管理关系的；</w:t>
      </w:r>
      <w:r/>
    </w:p>
    <w:p>
      <w:pPr>
        <w:pStyle w:val="906"/>
        <w:numPr>
          <w:ilvl w:val="0"/>
          <w:numId w:val="6"/>
        </w:numPr>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不同投标供应商的投标文件异常一致或者投标报价呈规律性差异</w:t>
      </w:r>
      <w:r>
        <w:rPr>
          <w:rFonts w:hint="eastAsia" w:ascii="宋体" w:hAnsi="宋体" w:cs="宋体"/>
          <w:color w:val="auto"/>
          <w:sz w:val="24"/>
          <w:szCs w:val="24"/>
          <w:highlight w:val="none"/>
          <w:lang w:eastAsia="zh-CN"/>
        </w:rPr>
        <w:t xml:space="preserve">的；</w:t>
      </w:r>
      <w:r/>
    </w:p>
    <w:p>
      <w:pPr>
        <w:pStyle w:val="906"/>
        <w:numPr>
          <w:ilvl w:val="0"/>
          <w:numId w:val="6"/>
        </w:numPr>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投标文件报价出现前后不一致，投标供应商拒不确认修正后的报价的；</w:t>
      </w:r>
      <w:r/>
    </w:p>
    <w:p>
      <w:pPr>
        <w:pStyle w:val="906"/>
        <w:numPr>
          <w:ilvl w:val="0"/>
          <w:numId w:val="6"/>
        </w:numPr>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评标委员会认为投标供应商的报价明显低于其他通过符合性审</w:t>
      </w:r>
      <w:r>
        <w:rPr>
          <w:rFonts w:hint="eastAsia" w:ascii="宋体" w:hAnsi="宋体" w:eastAsia="宋体" w:cs="宋体"/>
          <w:color w:val="auto"/>
          <w:sz w:val="24"/>
          <w:szCs w:val="24"/>
          <w:highlight w:val="none"/>
          <w:lang w:eastAsia="zh-CN"/>
        </w:rPr>
        <w:t xml:space="preserve">查的</w:t>
      </w:r>
      <w:r>
        <w:rPr>
          <w:rFonts w:hint="eastAsia" w:ascii="宋体" w:hAnsi="宋体" w:eastAsia="宋体" w:cs="宋体"/>
          <w:color w:val="auto"/>
          <w:sz w:val="24"/>
          <w:szCs w:val="24"/>
          <w:highlight w:val="none"/>
        </w:rPr>
        <w:t xml:space="preserve">投标供应商的报价，有可能影响产品质量或者不能诚信履约的，要求其在评标现场合理的时间内提供书面说明，并提交相关证明材料；投标供应商不能证明其报价合理性的；</w:t>
      </w:r>
      <w:r/>
    </w:p>
    <w:p>
      <w:pPr>
        <w:pStyle w:val="906"/>
        <w:numPr>
          <w:ilvl w:val="0"/>
          <w:numId w:val="6"/>
        </w:numPr>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未通过初步资格性审查、投标文件资格性检查、投标文件符合性检查的；</w:t>
      </w:r>
      <w:r/>
    </w:p>
    <w:p>
      <w:pPr>
        <w:pStyle w:val="906"/>
        <w:numPr>
          <w:ilvl w:val="0"/>
          <w:numId w:val="6"/>
        </w:numPr>
        <w:keepLines w:val="0"/>
        <w:keepNext w:val="0"/>
        <w:pageBreakBefore w:val="0"/>
        <w:spacing w:line="360" w:lineRule="auto"/>
        <w:shd w:val="clear" w:color="auto"/>
        <w:widowControl w:val="off"/>
        <w:rPr>
          <w:rFonts w:hint="eastAsia" w:ascii="宋体" w:hAnsi="宋体" w:eastAsia="宋体" w:cs="宋体"/>
          <w:color w:val="auto"/>
          <w:sz w:val="24"/>
          <w:szCs w:val="22"/>
          <w:highlight w:val="none"/>
        </w:rPr>
        <w:outlineLvl w:val="9"/>
      </w:pPr>
      <w:r>
        <w:rPr>
          <w:rFonts w:hint="eastAsia" w:ascii="宋体" w:hAnsi="宋体" w:eastAsia="宋体" w:cs="宋体"/>
          <w:color w:val="auto"/>
          <w:sz w:val="24"/>
          <w:szCs w:val="24"/>
          <w:highlight w:val="none"/>
        </w:rPr>
        <w:t xml:space="preserve">被“信用中国”网站（</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"http://www.creditchina.gov.cn" </w:instrText>
      </w:r>
      <w:r>
        <w:rPr>
          <w:rFonts w:hint="eastAsia" w:ascii="宋体" w:hAnsi="宋体" w:eastAsia="宋体" w:cs="宋体"/>
          <w:color w:val="auto"/>
          <w:highlight w:val="none"/>
        </w:rPr>
        <w:fldChar w:fldCharType="separate"/>
      </w:r>
      <w:r>
        <w:rPr>
          <w:rFonts w:hint="eastAsia" w:ascii="宋体" w:hAnsi="宋体" w:eastAsia="宋体" w:cs="宋体"/>
          <w:color w:val="auto"/>
          <w:sz w:val="24"/>
          <w:szCs w:val="24"/>
          <w:highlight w:val="none"/>
        </w:rPr>
        <w:t xml:space="preserve">www.creditchina.gov.cn</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）、中国政府采购网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www.ccgp.gov.cn</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列入失信被执行人、重大税收违法案件当事人名单、政府采购严重违法失信行为记录名单的，及其他不符合《中华人民共和国政府采购法》第二十二条规定条件的；</w:t>
      </w:r>
      <w:r/>
    </w:p>
    <w:p>
      <w:pPr>
        <w:pStyle w:val="906"/>
        <w:numPr>
          <w:ilvl w:val="0"/>
          <w:numId w:val="6"/>
        </w:numPr>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投标文件商务标中同一方案有选择性报价且未声明以哪一个为准的；</w:t>
      </w:r>
      <w:r/>
    </w:p>
    <w:p>
      <w:pPr>
        <w:pStyle w:val="906"/>
        <w:numPr>
          <w:ilvl w:val="0"/>
          <w:numId w:val="6"/>
        </w:numPr>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商务标和技术标，其中某一标被本项目评委确认为无效投标文件的；</w:t>
      </w:r>
      <w:r/>
    </w:p>
    <w:p>
      <w:pPr>
        <w:pStyle w:val="906"/>
        <w:numPr>
          <w:ilvl w:val="0"/>
          <w:numId w:val="6"/>
        </w:numPr>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未按要求提供技术文件的；</w:t>
      </w:r>
      <w:r/>
    </w:p>
    <w:p>
      <w:pPr>
        <w:pStyle w:val="906"/>
        <w:numPr>
          <w:ilvl w:val="0"/>
          <w:numId w:val="6"/>
        </w:numPr>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不同投标供应商的投标文件的目录序号、排版格式、文字风格等存在明显的相似性或一致性，特征显示由同一单位或者同一个人编制的；</w:t>
      </w:r>
      <w:r/>
    </w:p>
    <w:p>
      <w:pPr>
        <w:pStyle w:val="906"/>
        <w:numPr>
          <w:ilvl w:val="0"/>
          <w:numId w:val="6"/>
        </w:numPr>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不同投标供应商投标文件内容存在非正常一致、项目组成员或者联系人员出现同一人、投标文件中错误（或异常）一致或雷同、电子文档信息一致或雷同的；</w:t>
      </w:r>
      <w:r/>
    </w:p>
    <w:p>
      <w:pPr>
        <w:pStyle w:val="906"/>
        <w:numPr>
          <w:ilvl w:val="0"/>
          <w:numId w:val="6"/>
        </w:numPr>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不同投标供应商的委托代理人、项目负责人以及其他相关人员有在同一个单位缴纳社会保险的；</w:t>
      </w:r>
      <w:r/>
    </w:p>
    <w:p>
      <w:pPr>
        <w:pStyle w:val="906"/>
        <w:numPr>
          <w:ilvl w:val="0"/>
          <w:numId w:val="6"/>
        </w:numPr>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同一投标文件中单位名称落款与公章不是同一单位的；</w:t>
      </w:r>
      <w:r/>
    </w:p>
    <w:p>
      <w:pPr>
        <w:pStyle w:val="906"/>
        <w:numPr>
          <w:ilvl w:val="0"/>
          <w:numId w:val="6"/>
        </w:numPr>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不同投标供应商委托同一单位或者个人办理投标事宜的；</w:t>
      </w:r>
      <w:r/>
    </w:p>
    <w:p>
      <w:pPr>
        <w:pStyle w:val="906"/>
        <w:numPr>
          <w:ilvl w:val="0"/>
          <w:numId w:val="6"/>
        </w:numPr>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bCs/>
          <w:color w:val="auto"/>
          <w:sz w:val="24"/>
          <w:highlight w:val="none"/>
        </w:rPr>
        <w:t xml:space="preserve">不同</w:t>
      </w:r>
      <w:r>
        <w:rPr>
          <w:rFonts w:hint="eastAsia" w:ascii="宋体" w:hAnsi="宋体" w:eastAsia="宋体" w:cs="宋体"/>
          <w:bCs/>
          <w:color w:val="auto"/>
          <w:sz w:val="24"/>
          <w:highlight w:val="none"/>
          <w:lang w:eastAsia="zh-CN"/>
        </w:rPr>
        <w:t xml:space="preserve">投标供应商</w:t>
      </w:r>
      <w:r>
        <w:rPr>
          <w:rFonts w:hint="eastAsia" w:ascii="宋体" w:hAnsi="宋体" w:eastAsia="宋体" w:cs="宋体"/>
          <w:bCs/>
          <w:color w:val="auto"/>
          <w:sz w:val="24"/>
          <w:highlight w:val="none"/>
        </w:rPr>
        <w:t xml:space="preserve">的投标文件由同一台电脑编制或者同一把数字证书加密锁加密或者同一台附属设备打印的；</w:t>
      </w:r>
      <w:r/>
    </w:p>
    <w:p>
      <w:pPr>
        <w:pStyle w:val="906"/>
        <w:numPr>
          <w:ilvl w:val="0"/>
          <w:numId w:val="6"/>
        </w:numPr>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bCs/>
          <w:color w:val="auto"/>
          <w:sz w:val="24"/>
          <w:highlight w:val="none"/>
        </w:rPr>
        <w:t xml:space="preserve">不同</w:t>
      </w:r>
      <w:r>
        <w:rPr>
          <w:rFonts w:hint="eastAsia" w:ascii="宋体" w:hAnsi="宋体" w:eastAsia="宋体" w:cs="宋体"/>
          <w:bCs/>
          <w:color w:val="auto"/>
          <w:sz w:val="24"/>
          <w:highlight w:val="none"/>
          <w:lang w:eastAsia="zh-CN"/>
        </w:rPr>
        <w:t xml:space="preserve">投标供应商</w:t>
      </w:r>
      <w:r>
        <w:rPr>
          <w:rFonts w:hint="eastAsia" w:ascii="宋体" w:hAnsi="宋体" w:eastAsia="宋体" w:cs="宋体"/>
          <w:bCs/>
          <w:color w:val="auto"/>
          <w:sz w:val="24"/>
          <w:highlight w:val="none"/>
        </w:rPr>
        <w:t xml:space="preserve">的投标文件上传使用的MAC地址和IP地址一致的，其投标无效；</w:t>
      </w:r>
      <w:r/>
    </w:p>
    <w:p>
      <w:pPr>
        <w:pStyle w:val="906"/>
        <w:numPr>
          <w:ilvl w:val="0"/>
          <w:numId w:val="6"/>
        </w:numPr>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bCs/>
          <w:color w:val="auto"/>
          <w:sz w:val="24"/>
          <w:highlight w:val="none"/>
        </w:rPr>
        <w:t xml:space="preserve">电子投标文件与招标文件要求格式不一致</w:t>
      </w:r>
      <w:r>
        <w:rPr>
          <w:rFonts w:hint="eastAsia" w:ascii="宋体" w:hAnsi="宋体" w:cs="宋体"/>
          <w:bCs/>
          <w:color w:val="auto"/>
          <w:sz w:val="24"/>
          <w:highlight w:val="none"/>
          <w:lang w:eastAsia="zh-CN"/>
        </w:rPr>
        <w:t xml:space="preserve">，而</w:t>
      </w:r>
      <w:r>
        <w:rPr>
          <w:rFonts w:hint="eastAsia" w:ascii="宋体" w:hAnsi="宋体" w:eastAsia="宋体" w:cs="宋体"/>
          <w:bCs/>
          <w:color w:val="auto"/>
          <w:sz w:val="24"/>
          <w:highlight w:val="none"/>
        </w:rPr>
        <w:t xml:space="preserve">无法导入计算机评标系统</w:t>
      </w:r>
      <w:r>
        <w:rPr>
          <w:rFonts w:hint="eastAsia" w:ascii="宋体" w:hAnsi="宋体" w:cs="宋体"/>
          <w:bCs/>
          <w:color w:val="auto"/>
          <w:sz w:val="24"/>
          <w:highlight w:val="none"/>
          <w:lang w:eastAsia="zh-CN"/>
        </w:rPr>
        <w:t xml:space="preserve">。</w:t>
      </w:r>
      <w:r/>
    </w:p>
    <w:p>
      <w:pPr>
        <w:pStyle w:val="906"/>
        <w:numPr>
          <w:ilvl w:val="0"/>
          <w:numId w:val="6"/>
        </w:numPr>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投标文件内容不全或不符合法律法规和招标文件中规定的其他实质性要求的。</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1"/>
      </w:pPr>
      <w:r>
        <w:rPr>
          <w:rFonts w:hint="eastAsia" w:ascii="宋体" w:hAnsi="宋体" w:eastAsia="宋体" w:cs="宋体"/>
          <w:color w:val="auto"/>
          <w:sz w:val="24"/>
          <w:szCs w:val="24"/>
          <w:highlight w:val="none"/>
        </w:rPr>
        <w:t xml:space="preserve">（十）开标、评标</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所有投标单位在招标文件规定的时间内解密各自投标文件。</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投标截止时间后参加投标的供应商或解密投标文件的供应商不足三家的，不开标；开标后，所有投标供应商</w:t>
      </w:r>
      <w:r>
        <w:rPr>
          <w:rFonts w:hint="eastAsia" w:ascii="宋体" w:hAnsi="宋体" w:eastAsia="宋体" w:cs="宋体"/>
          <w:color w:val="auto"/>
          <w:sz w:val="24"/>
          <w:szCs w:val="24"/>
          <w:highlight w:val="none"/>
          <w:lang w:eastAsia="zh-CN"/>
        </w:rPr>
        <w:t xml:space="preserve">可以</w:t>
      </w:r>
      <w:r>
        <w:rPr>
          <w:rFonts w:hint="eastAsia" w:ascii="宋体" w:hAnsi="宋体" w:eastAsia="宋体" w:cs="宋体"/>
          <w:color w:val="auto"/>
          <w:sz w:val="24"/>
          <w:szCs w:val="24"/>
          <w:highlight w:val="none"/>
        </w:rPr>
        <w:t xml:space="preserve">在线上开标大厅中看到所有投标供应商的投标报价。</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开标时，投标文件报价出现前后不一致的，按照下列规定修正：</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（一）投标文件中开标一览表（报价表）内容与投标文件中相应内容不一致的，以开标一览表（报价表）为准；</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（二）大写金额和小写金额不一致的，以大写金额为准；</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（三）单价金额小数点或者百分比有明显错位的，以开标一览表的总价为准，并修改单价；</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（四）总价金额与按单价汇总金额不一致的，以单价金额计算结果为准。</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同时出现两种以上不一致的，按照前款规定的顺序修正。修正后的报价评标委员会应当以书面形式要求</w:t>
      </w: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作出必要的澄清、说明或者补正，经</w:t>
      </w: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确认后产生约束力，</w:t>
      </w: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不确认的，其投标无效。</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电子投标文件与纸质投标文件（如有）不符的，以电子投标文件为准。</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5.投标供应商</w:t>
      </w:r>
      <w:r>
        <w:rPr>
          <w:rFonts w:hint="eastAsia" w:ascii="宋体" w:hAnsi="宋体" w:eastAsia="宋体" w:cs="宋体"/>
          <w:color w:val="auto"/>
          <w:sz w:val="24"/>
          <w:szCs w:val="24"/>
          <w:highlight w:val="none"/>
        </w:rPr>
        <w:t xml:space="preserve">未参加开标的，视同认可开标结果。</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6.</w:t>
      </w:r>
      <w:r>
        <w:rPr>
          <w:rFonts w:hint="eastAsia" w:ascii="宋体" w:hAnsi="宋体" w:eastAsia="宋体" w:cs="宋体"/>
          <w:color w:val="auto"/>
          <w:sz w:val="24"/>
          <w:szCs w:val="24"/>
          <w:highlight w:val="none"/>
        </w:rPr>
        <w:t xml:space="preserve">评标程序</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评标工作由</w:t>
      </w:r>
      <w:r>
        <w:rPr>
          <w:rFonts w:hint="eastAsia" w:ascii="宋体" w:hAnsi="宋体" w:cs="宋体"/>
          <w:color w:val="auto"/>
          <w:sz w:val="24"/>
          <w:szCs w:val="24"/>
          <w:highlight w:val="none"/>
          <w:lang w:eastAsia="zh-CN"/>
        </w:rPr>
        <w:t xml:space="preserve">江苏万力通项目管理有限公司</w:t>
      </w:r>
      <w:r>
        <w:rPr>
          <w:rFonts w:hint="eastAsia" w:ascii="宋体" w:hAnsi="宋体" w:eastAsia="宋体" w:cs="宋体"/>
          <w:color w:val="auto"/>
          <w:sz w:val="24"/>
          <w:szCs w:val="24"/>
          <w:highlight w:val="none"/>
        </w:rPr>
        <w:t xml:space="preserve">负责组织，具体评标事务由依法组建的评标委员会负责。</w:t>
      </w:r>
      <w:r/>
    </w:p>
    <w:p>
      <w:pPr>
        <w:pStyle w:val="906"/>
        <w:numPr>
          <w:ilvl w:val="0"/>
          <w:numId w:val="0"/>
        </w:num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投标文件初审。初审分为资格性检查和符合性检查。</w:t>
      </w:r>
      <w:r/>
    </w:p>
    <w:p>
      <w:pPr>
        <w:pStyle w:val="906"/>
        <w:numPr>
          <w:ilvl w:val="0"/>
          <w:numId w:val="0"/>
        </w:numPr>
        <w:ind w:firstLine="482"/>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①资格性检查。采购人和代理机构依据法律法规和招标文件的规定，对投标文件中的资格证明、投标（报价）承诺函等进行审查；通过“信用中国”网站（</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"http://www.creditchina.gov.cn" </w:instrText>
      </w:r>
      <w:r>
        <w:rPr>
          <w:rFonts w:hint="eastAsia" w:ascii="宋体" w:hAnsi="宋体" w:eastAsia="宋体" w:cs="宋体"/>
          <w:color w:val="auto"/>
          <w:highlight w:val="none"/>
        </w:rPr>
        <w:fldChar w:fldCharType="separate"/>
      </w:r>
      <w:r>
        <w:rPr>
          <w:rFonts w:hint="eastAsia" w:ascii="宋体" w:hAnsi="宋体" w:eastAsia="宋体" w:cs="宋体"/>
          <w:color w:val="auto"/>
          <w:sz w:val="24"/>
          <w:szCs w:val="24"/>
          <w:highlight w:val="none"/>
        </w:rPr>
        <w:t xml:space="preserve">www.creditchina.gov.cn</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）、中国政府采购网</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www.ccgp.gov.cn</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查询投标供应商在投标截止时间之前，是否被列入失信被执行人、重大税收违法案件当事人名单、政府采购严重违法失信行为记录名单，以确定投标供应商是否具备投标资格。信用查询结果以网页打印的形式留存并归档。</w:t>
      </w:r>
      <w:r/>
    </w:p>
    <w:p>
      <w:pPr>
        <w:pStyle w:val="906"/>
        <w:numPr>
          <w:ilvl w:val="0"/>
          <w:numId w:val="0"/>
        </w:num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②符合性检查。评标委员会依据招标文件的规定，从投标文件的有效性、完整性和对招标文件的响应程度</w:t>
      </w:r>
      <w:r>
        <w:rPr>
          <w:rFonts w:hint="eastAsia" w:ascii="宋体" w:hAnsi="宋体" w:cs="宋体"/>
          <w:color w:val="auto"/>
          <w:sz w:val="24"/>
          <w:szCs w:val="24"/>
          <w:highlight w:val="none"/>
          <w:lang w:eastAsia="zh-CN"/>
        </w:rPr>
        <w:t xml:space="preserve">等方面进行</w:t>
      </w:r>
      <w:r>
        <w:rPr>
          <w:rFonts w:hint="eastAsia" w:ascii="宋体" w:hAnsi="宋体" w:eastAsia="宋体" w:cs="宋体"/>
          <w:color w:val="auto"/>
          <w:sz w:val="24"/>
          <w:szCs w:val="24"/>
          <w:highlight w:val="none"/>
        </w:rPr>
        <w:t xml:space="preserve">审查，以确定是否对招标文件的实质性要求作出响应。</w:t>
      </w:r>
      <w:r/>
    </w:p>
    <w:p>
      <w:pPr>
        <w:pStyle w:val="906"/>
        <w:numPr>
          <w:ilvl w:val="0"/>
          <w:numId w:val="0"/>
        </w:num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澄清有关问题。对投标文件中含义不明确、同类问题表述不一致或者有明显文字和计算错误的内容，评标委员会可以通过政府采购交易管理一体化系统发起询标要求</w:t>
      </w: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作出必要的澄清、说明或者纠正。</w:t>
      </w: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的澄清、说明或者补正应当通过政府采购交易管理一体化系统，由其授权的代表应答并加盖电子公章，且不得超出投标文件的范围或者改变投标文件的实质性内容。</w:t>
      </w:r>
      <w:r/>
    </w:p>
    <w:p>
      <w:pPr>
        <w:pStyle w:val="906"/>
        <w:numPr>
          <w:ilvl w:val="0"/>
          <w:numId w:val="0"/>
        </w:numPr>
        <w:ind w:firstLine="480"/>
        <w:keepLines w:val="0"/>
        <w:keepNext w:val="0"/>
        <w:pageBreakBefore w:val="0"/>
        <w:spacing w:line="360" w:lineRule="auto"/>
        <w:shd w:val="clear" w:color="auto"/>
        <w:widowControl w:val="off"/>
        <w:rPr>
          <w:rFonts w:hint="eastAsia" w:ascii="宋体" w:hAnsi="宋体" w:eastAsia="宋体" w:cs="宋体"/>
          <w:color w:val="auto"/>
          <w:sz w:val="24"/>
          <w:szCs w:val="32"/>
          <w:highlight w:val="none"/>
        </w:rPr>
        <w:outlineLvl w:val="9"/>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比较与评价。按招标文件中规定的评标方法和标准，对资格性检查和符合性检查合格的投标文件进行商务和技术评估，综合比较与评价</w:t>
      </w:r>
      <w:r>
        <w:rPr>
          <w:rFonts w:hint="eastAsia" w:ascii="宋体" w:hAnsi="宋体" w:eastAsia="宋体" w:cs="宋体"/>
          <w:color w:val="auto"/>
          <w:sz w:val="24"/>
          <w:szCs w:val="32"/>
          <w:highlight w:val="none"/>
        </w:rPr>
        <w:t xml:space="preserve">。</w:t>
      </w:r>
      <w:r/>
    </w:p>
    <w:p>
      <w:pPr>
        <w:pStyle w:val="906"/>
        <w:numPr>
          <w:ilvl w:val="0"/>
          <w:numId w:val="0"/>
        </w:numPr>
        <w:ind w:firstLine="480"/>
        <w:keepLines w:val="0"/>
        <w:keepNext w:val="0"/>
        <w:pageBreakBefore w:val="0"/>
        <w:spacing w:line="360" w:lineRule="auto"/>
        <w:shd w:val="clear" w:color="auto"/>
        <w:widowControl w:val="off"/>
        <w:rPr>
          <w:rFonts w:hint="eastAsia" w:ascii="宋体" w:hAnsi="宋体" w:eastAsia="宋体" w:cs="宋体"/>
          <w:color w:val="auto"/>
          <w:sz w:val="24"/>
          <w:szCs w:val="32"/>
          <w:highlight w:val="none"/>
          <w:lang w:val="en-US" w:eastAsia="zh-CN"/>
        </w:rPr>
        <w:outlineLvl w:val="9"/>
      </w:pPr>
      <w:r>
        <w:rPr>
          <w:rFonts w:hint="eastAsia" w:ascii="宋体" w:hAnsi="宋体" w:eastAsia="宋体" w:cs="宋体"/>
          <w:color w:val="auto"/>
          <w:sz w:val="24"/>
          <w:szCs w:val="32"/>
          <w:highlight w:val="none"/>
          <w:lang w:eastAsia="zh-CN"/>
        </w:rPr>
        <w:t xml:space="preserve">（</w:t>
      </w:r>
      <w:r>
        <w:rPr>
          <w:rFonts w:hint="eastAsia" w:ascii="宋体" w:hAnsi="宋体" w:eastAsia="宋体" w:cs="宋体"/>
          <w:color w:val="auto"/>
          <w:sz w:val="24"/>
          <w:szCs w:val="32"/>
          <w:highlight w:val="none"/>
          <w:lang w:val="en-US" w:eastAsia="zh-CN"/>
        </w:rPr>
        <w:t xml:space="preserve">4）评审过程中出现下列情形之一的，评审小组应当启动异常低价投标（响应）审查程序：</w:t>
      </w:r>
      <w:r/>
    </w:p>
    <w:p>
      <w:pPr>
        <w:pStyle w:val="906"/>
        <w:numPr>
          <w:ilvl w:val="0"/>
          <w:numId w:val="0"/>
        </w:numPr>
        <w:ind w:firstLine="480"/>
        <w:keepLines w:val="0"/>
        <w:keepNext w:val="0"/>
        <w:pageBreakBefore w:val="0"/>
        <w:spacing w:line="360" w:lineRule="auto"/>
        <w:shd w:val="clear" w:color="auto"/>
        <w:widowControl w:val="off"/>
        <w:rPr>
          <w:rFonts w:hint="eastAsia" w:ascii="宋体" w:hAnsi="宋体" w:eastAsia="宋体" w:cs="宋体"/>
          <w:color w:val="auto"/>
          <w:sz w:val="24"/>
          <w:szCs w:val="32"/>
          <w:highlight w:val="none"/>
          <w:lang w:val="en-US" w:eastAsia="zh-CN"/>
        </w:rPr>
        <w:outlineLvl w:val="9"/>
      </w:pPr>
      <w:r>
        <w:rPr>
          <w:rFonts w:hint="eastAsia" w:ascii="宋体" w:hAnsi="宋体" w:eastAsia="宋体" w:cs="宋体"/>
          <w:color w:val="auto"/>
          <w:sz w:val="24"/>
          <w:szCs w:val="32"/>
          <w:highlight w:val="none"/>
          <w:lang w:val="en-US" w:eastAsia="zh-CN"/>
        </w:rPr>
        <w:t xml:space="preserve">1）投标（响应）报价低于全部通过符合性审查供应商投标（响应）报价平均值50%的，即投标（响应）报价</w:t>
      </w:r>
      <w:r>
        <w:rPr>
          <w:rFonts w:hint="eastAsia" w:ascii="宋体" w:hAnsi="宋体" w:cs="宋体"/>
          <w:color w:val="auto"/>
          <w:sz w:val="24"/>
          <w:szCs w:val="32"/>
          <w:highlight w:val="none"/>
          <w:lang w:val="en-US" w:eastAsia="zh-CN"/>
        </w:rPr>
        <w:t xml:space="preserve">〈</w:t>
      </w:r>
      <w:r>
        <w:rPr>
          <w:rFonts w:hint="eastAsia" w:ascii="宋体" w:hAnsi="宋体" w:eastAsia="宋体" w:cs="宋体"/>
          <w:color w:val="auto"/>
          <w:sz w:val="24"/>
          <w:szCs w:val="32"/>
          <w:highlight w:val="none"/>
          <w:lang w:val="en-US" w:eastAsia="zh-CN"/>
        </w:rPr>
        <w:t xml:space="preserve">全部通过符合性审查供应商投标（响应）报价平均值×50%；</w:t>
      </w:r>
      <w:r/>
    </w:p>
    <w:p>
      <w:pPr>
        <w:pStyle w:val="906"/>
        <w:numPr>
          <w:ilvl w:val="0"/>
          <w:numId w:val="0"/>
        </w:numPr>
        <w:ind w:firstLine="480"/>
        <w:keepLines w:val="0"/>
        <w:keepNext w:val="0"/>
        <w:pageBreakBefore w:val="0"/>
        <w:spacing w:line="360" w:lineRule="auto"/>
        <w:shd w:val="clear" w:color="auto"/>
        <w:widowControl w:val="off"/>
        <w:rPr>
          <w:rFonts w:hint="eastAsia" w:ascii="宋体" w:hAnsi="宋体" w:eastAsia="宋体" w:cs="宋体"/>
          <w:color w:val="auto"/>
          <w:sz w:val="24"/>
          <w:szCs w:val="32"/>
          <w:highlight w:val="none"/>
          <w:lang w:val="en-US" w:eastAsia="zh-CN"/>
        </w:rPr>
        <w:outlineLvl w:val="9"/>
      </w:pPr>
      <w:r>
        <w:rPr>
          <w:rFonts w:hint="eastAsia" w:ascii="宋体" w:hAnsi="宋体" w:eastAsia="宋体" w:cs="宋体"/>
          <w:color w:val="auto"/>
          <w:sz w:val="24"/>
          <w:szCs w:val="32"/>
          <w:highlight w:val="none"/>
          <w:lang w:val="en-US" w:eastAsia="zh-CN"/>
        </w:rPr>
        <w:t xml:space="preserve">2）投标（响应）报价低于通过符合性审查的次低报价供应商投标（响应）报价50%的，即投标（响应）报价</w:t>
      </w:r>
      <w:r>
        <w:rPr>
          <w:rFonts w:hint="eastAsia" w:ascii="宋体" w:hAnsi="宋体" w:cs="宋体"/>
          <w:color w:val="auto"/>
          <w:sz w:val="24"/>
          <w:szCs w:val="32"/>
          <w:highlight w:val="none"/>
          <w:lang w:val="en-US" w:eastAsia="zh-CN"/>
        </w:rPr>
        <w:t xml:space="preserve">〈</w:t>
      </w:r>
      <w:r>
        <w:rPr>
          <w:rFonts w:hint="eastAsia" w:ascii="宋体" w:hAnsi="宋体" w:eastAsia="宋体" w:cs="宋体"/>
          <w:color w:val="auto"/>
          <w:sz w:val="24"/>
          <w:szCs w:val="32"/>
          <w:highlight w:val="none"/>
          <w:lang w:val="en-US" w:eastAsia="zh-CN"/>
        </w:rPr>
        <w:t xml:space="preserve">通过符合性审查的次低报价供应商投标（响应）报价×50%；</w:t>
      </w:r>
      <w:r/>
    </w:p>
    <w:p>
      <w:pPr>
        <w:pStyle w:val="906"/>
        <w:numPr>
          <w:ilvl w:val="0"/>
          <w:numId w:val="0"/>
        </w:numPr>
        <w:ind w:firstLine="480"/>
        <w:keepLines w:val="0"/>
        <w:keepNext w:val="0"/>
        <w:pageBreakBefore w:val="0"/>
        <w:spacing w:line="360" w:lineRule="auto"/>
        <w:shd w:val="clear" w:color="auto"/>
        <w:widowControl w:val="off"/>
        <w:rPr>
          <w:rFonts w:hint="eastAsia" w:ascii="宋体" w:hAnsi="宋体" w:eastAsia="宋体" w:cs="宋体"/>
          <w:color w:val="auto"/>
          <w:sz w:val="24"/>
          <w:szCs w:val="32"/>
          <w:highlight w:val="none"/>
          <w:lang w:val="en-US" w:eastAsia="zh-CN"/>
        </w:rPr>
        <w:outlineLvl w:val="9"/>
      </w:pPr>
      <w:r>
        <w:rPr>
          <w:rFonts w:hint="eastAsia" w:ascii="宋体" w:hAnsi="宋体" w:eastAsia="宋体" w:cs="宋体"/>
          <w:color w:val="auto"/>
          <w:sz w:val="24"/>
          <w:szCs w:val="32"/>
          <w:highlight w:val="none"/>
          <w:lang w:val="en-US" w:eastAsia="zh-CN"/>
        </w:rPr>
        <w:t xml:space="preserve">3）投标（响应）报价低于采购项目最高限价45%的，即投标（响应）报价</w:t>
      </w:r>
      <w:r>
        <w:rPr>
          <w:rFonts w:hint="eastAsia" w:ascii="宋体" w:hAnsi="宋体" w:cs="宋体"/>
          <w:color w:val="auto"/>
          <w:sz w:val="24"/>
          <w:szCs w:val="32"/>
          <w:highlight w:val="none"/>
          <w:lang w:val="en-US" w:eastAsia="zh-CN"/>
        </w:rPr>
        <w:t xml:space="preserve">〈</w:t>
      </w:r>
      <w:r>
        <w:rPr>
          <w:rFonts w:hint="eastAsia" w:ascii="宋体" w:hAnsi="宋体" w:eastAsia="宋体" w:cs="宋体"/>
          <w:color w:val="auto"/>
          <w:sz w:val="24"/>
          <w:szCs w:val="32"/>
          <w:highlight w:val="none"/>
          <w:lang w:val="en-US" w:eastAsia="zh-CN"/>
        </w:rPr>
        <w:t xml:space="preserve">采购项目最高限价×45%；</w:t>
      </w:r>
      <w:r/>
    </w:p>
    <w:p>
      <w:pPr>
        <w:pStyle w:val="906"/>
        <w:numPr>
          <w:ilvl w:val="0"/>
          <w:numId w:val="0"/>
        </w:numPr>
        <w:ind w:firstLine="480"/>
        <w:keepLines w:val="0"/>
        <w:keepNext w:val="0"/>
        <w:pageBreakBefore w:val="0"/>
        <w:spacing w:line="360" w:lineRule="auto"/>
        <w:shd w:val="clear" w:color="auto"/>
        <w:widowControl w:val="off"/>
        <w:rPr>
          <w:rFonts w:hint="eastAsia" w:ascii="宋体" w:hAnsi="宋体" w:eastAsia="宋体" w:cs="宋体"/>
          <w:color w:val="auto"/>
          <w:sz w:val="24"/>
          <w:szCs w:val="32"/>
          <w:highlight w:val="none"/>
          <w:lang w:val="en-US" w:eastAsia="zh-CN"/>
        </w:rPr>
        <w:outlineLvl w:val="9"/>
      </w:pPr>
      <w:r>
        <w:rPr>
          <w:rFonts w:hint="eastAsia" w:ascii="宋体" w:hAnsi="宋体" w:eastAsia="宋体" w:cs="宋体"/>
          <w:color w:val="auto"/>
          <w:sz w:val="24"/>
          <w:szCs w:val="32"/>
          <w:highlight w:val="none"/>
          <w:lang w:val="en-US" w:eastAsia="zh-CN"/>
        </w:rPr>
        <w:t xml:space="preserve">4）评审小组基于专业判断，认为供应商报价过低，有可能影响产品质量或者不能诚信履约的其他情形。</w:t>
      </w:r>
      <w:r/>
    </w:p>
    <w:p>
      <w:pPr>
        <w:pStyle w:val="906"/>
        <w:numPr>
          <w:ilvl w:val="0"/>
          <w:numId w:val="0"/>
        </w:numPr>
        <w:ind w:firstLine="480"/>
        <w:keepLines w:val="0"/>
        <w:keepNext w:val="0"/>
        <w:pageBreakBefore w:val="0"/>
        <w:spacing w:line="360" w:lineRule="auto"/>
        <w:shd w:val="clear" w:color="auto"/>
        <w:widowControl w:val="off"/>
        <w:rPr>
          <w:rFonts w:hint="eastAsia" w:ascii="宋体" w:hAnsi="宋体" w:eastAsia="宋体" w:cs="宋体"/>
          <w:color w:val="auto"/>
          <w:sz w:val="24"/>
          <w:szCs w:val="32"/>
          <w:highlight w:val="none"/>
          <w:lang w:val="en-US" w:eastAsia="zh-CN"/>
        </w:rPr>
        <w:outlineLvl w:val="9"/>
      </w:pPr>
      <w:r>
        <w:rPr>
          <w:rFonts w:hint="eastAsia" w:ascii="宋体" w:hAnsi="宋体" w:eastAsia="宋体" w:cs="宋体"/>
          <w:color w:val="auto"/>
          <w:sz w:val="24"/>
          <w:szCs w:val="32"/>
          <w:highlight w:val="none"/>
          <w:lang w:val="en-US" w:eastAsia="zh-CN"/>
        </w:rPr>
        <w:t xml:space="preserve">评审小组启动异常低价投标（响应）审查后，属于前述第1项至第4项情形的，应当要求相关供应商在评标现场合理的时间内对投标（响应）价格作出解释</w:t>
      </w:r>
      <w:r>
        <w:rPr>
          <w:rFonts w:hint="eastAsia" w:ascii="宋体" w:hAnsi="宋体" w:cs="宋体"/>
          <w:color w:val="auto"/>
          <w:sz w:val="24"/>
          <w:szCs w:val="32"/>
          <w:highlight w:val="none"/>
          <w:lang w:val="en-US" w:eastAsia="zh-CN"/>
        </w:rPr>
        <w:t xml:space="preserve">，并</w:t>
      </w:r>
      <w:r>
        <w:rPr>
          <w:rFonts w:hint="eastAsia" w:ascii="宋体" w:hAnsi="宋体" w:eastAsia="宋体" w:cs="宋体"/>
          <w:color w:val="auto"/>
          <w:sz w:val="24"/>
          <w:szCs w:val="32"/>
          <w:highlight w:val="none"/>
          <w:lang w:val="en-US" w:eastAsia="zh-CN"/>
        </w:rPr>
        <w:t xml:space="preserve">提供项目具体成本测算等与报价合理性相关的书面说明及相关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906"/>
        <w:numPr>
          <w:ilvl w:val="0"/>
          <w:numId w:val="0"/>
        </w:numPr>
        <w:ind w:firstLine="480"/>
        <w:keepLines w:val="0"/>
        <w:keepNext w:val="0"/>
        <w:pageBreakBefore w:val="0"/>
        <w:spacing w:line="360" w:lineRule="auto"/>
        <w:shd w:val="clear" w:color="auto"/>
        <w:widowControl w:val="off"/>
        <w:rPr>
          <w:rFonts w:hint="eastAsia" w:ascii="宋体" w:hAnsi="宋体" w:eastAsia="宋体" w:cs="宋体"/>
          <w:color w:val="auto"/>
          <w:sz w:val="24"/>
          <w:szCs w:val="32"/>
          <w:highlight w:val="none"/>
          <w:lang w:val="en-US" w:eastAsia="zh-CN"/>
        </w:rPr>
        <w:outlineLvl w:val="9"/>
      </w:pPr>
      <w:r>
        <w:rPr>
          <w:rFonts w:hint="eastAsia" w:ascii="宋体" w:hAnsi="宋体" w:eastAsia="宋体" w:cs="宋体"/>
          <w:color w:val="auto"/>
          <w:sz w:val="24"/>
          <w:szCs w:val="32"/>
          <w:highlight w:val="none"/>
          <w:lang w:val="en-US" w:eastAsia="zh-CN"/>
        </w:rPr>
        <w:t xml:space="preserve">评审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906"/>
        <w:numPr>
          <w:ilvl w:val="0"/>
          <w:numId w:val="0"/>
        </w:numPr>
        <w:ind w:firstLine="480"/>
        <w:keepLines w:val="0"/>
        <w:keepNext w:val="0"/>
        <w:pageBreakBefore w:val="0"/>
        <w:spacing w:line="360" w:lineRule="auto"/>
        <w:shd w:val="clear" w:color="auto"/>
        <w:widowControl w:val="off"/>
        <w:rPr>
          <w:rFonts w:hint="eastAsia" w:ascii="宋体" w:hAnsi="宋体" w:eastAsia="宋体" w:cs="宋体"/>
          <w:color w:val="auto"/>
          <w:sz w:val="24"/>
          <w:szCs w:val="32"/>
          <w:highlight w:val="none"/>
          <w:lang w:val="en-US" w:eastAsia="zh-CN"/>
        </w:rPr>
        <w:outlineLvl w:val="9"/>
      </w:pPr>
      <w:r>
        <w:rPr>
          <w:rFonts w:hint="eastAsia" w:ascii="宋体" w:hAnsi="宋体" w:eastAsia="宋体" w:cs="宋体"/>
          <w:color w:val="auto"/>
          <w:sz w:val="24"/>
          <w:szCs w:val="32"/>
          <w:highlight w:val="none"/>
          <w:lang w:val="en-US" w:eastAsia="zh-CN"/>
        </w:rPr>
        <w:t xml:space="preserve">采购人、采购代理机构应当为评审小组在评审现场及时获取同类项目中标（成交）价格、类似产品市场价格水平、行业人工费用标准、国家有关部门指导行业协会发布的行业平均成本等相关信息资料提供便利。评审小组借助互联网等渠道查询相关信息的，应当严格遵守评审工作纪律，不得实施影响评审公正的行为。</w:t>
      </w:r>
      <w:r/>
    </w:p>
    <w:p>
      <w:pPr>
        <w:pStyle w:val="906"/>
        <w:numPr>
          <w:ilvl w:val="0"/>
          <w:numId w:val="0"/>
        </w:numPr>
        <w:ind w:firstLine="480"/>
        <w:keepLines w:val="0"/>
        <w:keepNext w:val="0"/>
        <w:pageBreakBefore w:val="0"/>
        <w:spacing w:line="360" w:lineRule="auto"/>
        <w:shd w:val="clear" w:color="auto"/>
        <w:widowControl w:val="off"/>
        <w:rPr>
          <w:rFonts w:hint="eastAsia" w:ascii="宋体" w:hAnsi="宋体" w:eastAsia="宋体" w:cs="宋体"/>
          <w:color w:val="auto"/>
          <w:sz w:val="24"/>
          <w:szCs w:val="32"/>
          <w:highlight w:val="none"/>
          <w:lang w:val="en-US" w:eastAsia="zh-CN"/>
        </w:rPr>
        <w:outlineLvl w:val="9"/>
      </w:pPr>
      <w:r>
        <w:rPr>
          <w:rFonts w:hint="eastAsia" w:ascii="宋体" w:hAnsi="宋体" w:eastAsia="宋体" w:cs="宋体"/>
          <w:color w:val="auto"/>
          <w:sz w:val="24"/>
          <w:szCs w:val="32"/>
          <w:highlight w:val="none"/>
          <w:lang w:val="en-US" w:eastAsia="zh-CN"/>
        </w:rPr>
        <w:t xml:space="preserve">异常低价投标（响应）审查的启动原因、审查意见和审查结果应当在评审报告中记录，并随供应商提供的相关书面说明及证明材料，以及评审小组有关互联网浏览、查询历史一并归档。</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7.</w:t>
      </w:r>
      <w:r>
        <w:rPr>
          <w:rFonts w:hint="eastAsia" w:ascii="宋体" w:hAnsi="宋体" w:eastAsia="宋体" w:cs="宋体"/>
          <w:color w:val="auto"/>
          <w:sz w:val="24"/>
          <w:szCs w:val="24"/>
          <w:highlight w:val="none"/>
        </w:rPr>
        <w:t xml:space="preserve">评标方法</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通过初审的，方可进入比较与评价程序。</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比较与评价采用综合评分法。</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评标委员会遵循公平、公正、择优原则，独立按照评分标准分别评定</w:t>
      </w: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的分值；各</w:t>
      </w: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的评审后得分为各评委所评定分值的平均值，并按高低顺序排列。得分相同的，按投标报价由低到高顺序排列，得分且投标报价相同的</w:t>
      </w:r>
      <w:r>
        <w:rPr>
          <w:rFonts w:hint="eastAsia" w:ascii="宋体" w:hAnsi="宋体" w:cs="宋体"/>
          <w:color w:val="auto"/>
          <w:sz w:val="24"/>
          <w:szCs w:val="24"/>
          <w:highlight w:val="none"/>
          <w:lang w:eastAsia="zh-CN"/>
        </w:rPr>
        <w:t xml:space="preserve">，投标供应商并列</w:t>
      </w:r>
      <w:r>
        <w:rPr>
          <w:rFonts w:hint="eastAsia" w:ascii="宋体" w:hAnsi="宋体" w:eastAsia="宋体" w:cs="宋体"/>
          <w:color w:val="auto"/>
          <w:sz w:val="24"/>
          <w:szCs w:val="24"/>
          <w:highlight w:val="none"/>
        </w:rPr>
        <w:t xml:space="preserve">。投标文件满足招标文件全部实质性要求，且按照评审因素的量化指标评审得分最高的</w:t>
      </w: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排名第一，为</w:t>
      </w:r>
      <w:r>
        <w:rPr>
          <w:rFonts w:hint="eastAsia" w:ascii="宋体" w:hAnsi="宋体" w:eastAsia="宋体" w:cs="宋体"/>
          <w:color w:val="auto"/>
          <w:sz w:val="24"/>
          <w:szCs w:val="24"/>
          <w:highlight w:val="none"/>
          <w:lang w:eastAsia="zh-CN"/>
        </w:rPr>
        <w:t xml:space="preserve">中标供应商</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shd w:val="clear" w:color="auto"/>
        <w:widowControl w:val="off"/>
        <w:rPr>
          <w:rFonts w:hint="eastAsia" w:ascii="宋体" w:hAnsi="宋体" w:eastAsia="宋体" w:cs="宋体"/>
          <w:b/>
          <w:bCs/>
          <w:color w:val="auto"/>
          <w:sz w:val="24"/>
          <w:szCs w:val="32"/>
          <w:highlight w:val="none"/>
        </w:rPr>
        <w:outlineLvl w:val="9"/>
      </w:pPr>
      <w:r>
        <w:rPr>
          <w:rFonts w:hint="eastAsia" w:ascii="宋体" w:hAnsi="宋体" w:eastAsia="宋体" w:cs="宋体"/>
          <w:color w:val="auto"/>
          <w:sz w:val="24"/>
          <w:szCs w:val="24"/>
          <w:highlight w:val="none"/>
        </w:rPr>
        <w:t xml:space="preserve">8.评分标准</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（一）评分项目及总分（总分100分）</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（1）投标报价                                   30分</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商务部分</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cs="宋体"/>
          <w:color w:val="auto"/>
          <w:sz w:val="24"/>
          <w:szCs w:val="24"/>
          <w:highlight w:val="none"/>
          <w:lang w:val="en-US" w:eastAsia="zh-CN"/>
        </w:rPr>
        <w:t xml:space="preserve">27</w:t>
      </w:r>
      <w:r>
        <w:rPr>
          <w:rFonts w:hint="eastAsia" w:ascii="宋体" w:hAnsi="宋体" w:eastAsia="宋体" w:cs="宋体"/>
          <w:color w:val="auto"/>
          <w:sz w:val="24"/>
          <w:szCs w:val="24"/>
          <w:highlight w:val="none"/>
        </w:rPr>
        <w:t xml:space="preserve">分</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）技术文件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暗标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cs="宋体"/>
          <w:color w:val="auto"/>
          <w:sz w:val="24"/>
          <w:szCs w:val="24"/>
          <w:highlight w:val="none"/>
          <w:lang w:val="en-US" w:eastAsia="zh-CN"/>
        </w:rPr>
        <w:t xml:space="preserve">43</w:t>
      </w:r>
      <w:r>
        <w:rPr>
          <w:rFonts w:hint="eastAsia" w:ascii="宋体" w:hAnsi="宋体" w:eastAsia="宋体" w:cs="宋体"/>
          <w:color w:val="auto"/>
          <w:sz w:val="24"/>
          <w:szCs w:val="24"/>
          <w:highlight w:val="none"/>
        </w:rPr>
        <w:t xml:space="preserve">分</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rPr>
        <w:t xml:space="preserve">（二）具体评分细目</w:t>
      </w:r>
      <w:r>
        <w:rPr>
          <w:rFonts w:hint="eastAsia" w:ascii="宋体" w:hAnsi="宋体" w:eastAsia="宋体" w:cs="宋体"/>
          <w:color w:val="auto"/>
          <w:sz w:val="24"/>
          <w:szCs w:val="24"/>
          <w:highlight w:val="none"/>
          <w:lang w:val="en-US" w:eastAsia="zh-CN"/>
        </w:rPr>
        <w:t xml:space="preserve">分</w:t>
      </w:r>
      <w:r/>
    </w:p>
    <w:p>
      <w:pPr>
        <w:ind w:firstLine="482"/>
        <w:keepLines w:val="0"/>
        <w:keepNext w:val="0"/>
        <w:pageBreakBefore w:val="0"/>
        <w:spacing w:line="360" w:lineRule="auto"/>
        <w:tabs>
          <w:tab w:val="left" w:pos="420" w:leader="none"/>
          <w:tab w:val="left" w:pos="945" w:leader="none"/>
          <w:tab w:val="left" w:pos="1155"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一、商务标部分：</w:t>
      </w:r>
      <w:r/>
    </w:p>
    <w:p>
      <w:pPr>
        <w:ind w:firstLine="482"/>
        <w:keepLines w:val="0"/>
        <w:keepNext w:val="0"/>
        <w:pageBreakBefore w:val="0"/>
        <w:spacing w:line="360" w:lineRule="auto"/>
        <w:tabs>
          <w:tab w:val="left" w:pos="420" w:leader="none"/>
          <w:tab w:val="left" w:pos="945" w:leader="none"/>
          <w:tab w:val="left" w:pos="1155"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（1）投标报价（30分）</w:t>
      </w:r>
      <w:r/>
    </w:p>
    <w:p>
      <w:pPr>
        <w:ind w:firstLine="480"/>
        <w:keepLines w:val="0"/>
        <w:keepNext w:val="0"/>
        <w:pageBreakBefore w:val="0"/>
        <w:spacing w:line="360" w:lineRule="auto"/>
        <w:tabs>
          <w:tab w:val="left" w:pos="945" w:leader="none"/>
          <w:tab w:val="left" w:pos="115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价格分统一采用低价优先法计算，即满足招标文件要求且投标报价最低的供应商的价格为投标基准价，其价格分为满分。其他供应商的价格分统一按照下列公式计算：</w:t>
      </w:r>
      <w:r/>
    </w:p>
    <w:p>
      <w:pPr>
        <w:ind w:firstLine="482"/>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highlight w:val="none"/>
        </w:rPr>
        <w:t xml:space="preserve">投标报价得分=（投标基准价/投标报价）×价格权值×100。</w:t>
      </w:r>
      <w:r/>
    </w:p>
    <w:p>
      <w:pPr>
        <w:ind w:firstLine="482"/>
        <w:keepLines w:val="0"/>
        <w:keepNext w:val="0"/>
        <w:pageBreakBefore w:val="0"/>
        <w:spacing w:line="360" w:lineRule="auto"/>
        <w:tabs>
          <w:tab w:val="left" w:pos="420" w:leader="none"/>
          <w:tab w:val="left" w:pos="945" w:leader="none"/>
          <w:tab w:val="left" w:pos="1155" w:leader="none"/>
        </w:tabs>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highlight w:val="none"/>
        </w:rPr>
        <w:t xml:space="preserve">价格扣除：</w:t>
      </w:r>
      <w:r>
        <w:rPr>
          <w:rFonts w:hint="eastAsia" w:ascii="宋体" w:hAnsi="宋体" w:eastAsia="宋体" w:cs="宋体"/>
          <w:b/>
          <w:bCs/>
          <w:color w:val="auto"/>
          <w:sz w:val="24"/>
          <w:highlight w:val="none"/>
          <w:lang w:val="en-US" w:eastAsia="zh-CN"/>
        </w:rPr>
        <w:t xml:space="preserve">本项目专门面向中小企业，不再</w:t>
      </w:r>
      <w:bookmarkStart w:id="5" w:name="_GoBack"/>
      <w:r/>
      <w:bookmarkEnd w:id="5"/>
      <w:r>
        <w:rPr>
          <w:rFonts w:hint="eastAsia" w:ascii="宋体" w:hAnsi="宋体" w:eastAsia="宋体" w:cs="宋体"/>
          <w:b/>
          <w:bCs/>
          <w:color w:val="auto"/>
          <w:sz w:val="24"/>
          <w:highlight w:val="none"/>
          <w:lang w:val="en-US" w:eastAsia="zh-CN"/>
        </w:rPr>
        <w:t xml:space="preserve">进行价格扣除。</w:t>
      </w:r>
      <w:r/>
    </w:p>
    <w:p>
      <w:pPr>
        <w:ind w:firstLine="424"/>
        <w:keepLines w:val="0"/>
        <w:keepNext w:val="0"/>
        <w:pageBreakBefore w:val="0"/>
        <w:spacing w:line="360" w:lineRule="auto"/>
        <w:tabs>
          <w:tab w:val="left" w:pos="945" w:leader="none"/>
          <w:tab w:val="left" w:pos="1155" w:leader="none"/>
        </w:tabs>
        <w:rPr>
          <w:rFonts w:hint="eastAsia" w:ascii="宋体" w:hAnsi="宋体" w:eastAsia="宋体" w:cs="宋体"/>
          <w:b/>
          <w:color w:val="auto"/>
          <w:sz w:val="24"/>
          <w:highlight w:val="none"/>
          <w:lang w:val="en-US" w:eastAsia="zh-CN"/>
        </w:rPr>
      </w:pPr>
      <w:r>
        <w:rPr>
          <w:rFonts w:hint="eastAsia" w:ascii="宋体" w:hAnsi="宋体" w:eastAsia="宋体" w:cs="宋体"/>
          <w:b/>
          <w:color w:val="auto"/>
          <w:sz w:val="24"/>
          <w:highlight w:val="none"/>
        </w:rPr>
        <w:t xml:space="preserve">（2）</w:t>
      </w:r>
      <w:r>
        <w:rPr>
          <w:rFonts w:hint="eastAsia" w:ascii="宋体" w:hAnsi="宋体" w:eastAsia="宋体" w:cs="宋体"/>
          <w:b/>
          <w:bCs/>
          <w:color w:val="auto"/>
          <w:sz w:val="24"/>
          <w:szCs w:val="24"/>
          <w:highlight w:val="none"/>
        </w:rPr>
        <w:t xml:space="preserve">商务标部分</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2</w:t>
      </w:r>
      <w:r>
        <w:rPr>
          <w:rFonts w:hint="eastAsia" w:ascii="宋体" w:hAnsi="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lang w:val="en-US" w:eastAsia="zh-CN"/>
        </w:rPr>
        <w:t xml:space="preserve">分）</w:t>
      </w:r>
      <w:r/>
    </w:p>
    <w:p>
      <w:pPr>
        <w:ind w:firstLine="424"/>
        <w:keepLines w:val="0"/>
        <w:keepNext w:val="0"/>
        <w:pageBreakBefore w:val="0"/>
        <w:spacing w:line="360" w:lineRule="auto"/>
        <w:tabs>
          <w:tab w:val="left" w:pos="945" w:leader="none"/>
          <w:tab w:val="left" w:pos="1155" w:leader="none"/>
        </w:tabs>
        <w:rPr>
          <w:rFonts w:hint="eastAsia" w:ascii="宋体" w:hAnsi="宋体" w:eastAsia="宋体" w:cs="宋体"/>
          <w:color w:val="auto"/>
          <w:sz w:val="24"/>
          <w:highlight w:val="none"/>
        </w:rPr>
      </w:pPr>
      <w:r>
        <w:rPr>
          <w:rFonts w:hint="eastAsia" w:ascii="宋体" w:hAnsi="宋体" w:eastAsia="宋体" w:cs="宋体"/>
          <w:b/>
          <w:color w:val="auto"/>
          <w:sz w:val="24"/>
          <w:highlight w:val="none"/>
          <w:lang w:val="en-US" w:eastAsia="zh-CN"/>
        </w:rPr>
        <w:t xml:space="preserve">1）</w:t>
      </w:r>
      <w:r>
        <w:rPr>
          <w:rFonts w:hint="eastAsia" w:ascii="宋体" w:hAnsi="宋体" w:eastAsia="宋体" w:cs="宋体"/>
          <w:b/>
          <w:color w:val="auto"/>
          <w:sz w:val="24"/>
          <w:highlight w:val="none"/>
        </w:rPr>
        <w:t xml:space="preserve">企业业绩（2分）</w:t>
      </w:r>
      <w:r/>
    </w:p>
    <w:p>
      <w:pPr>
        <w:jc w:val="left"/>
        <w:keepLines w:val="0"/>
        <w:keepNext w:val="0"/>
        <w:pageBreakBefore w:val="0"/>
        <w:spacing w:line="360" w:lineRule="auto"/>
        <w:rPr>
          <w:rFonts w:hint="eastAsia" w:ascii="宋体" w:hAnsi="宋体" w:eastAsia="宋体" w:cs="宋体"/>
          <w:b/>
          <w:bCs/>
          <w:color w:val="auto"/>
          <w:sz w:val="24"/>
          <w:szCs w:val="24"/>
          <w:highlight w:val="none"/>
          <w:lang w:val="zh-CN"/>
        </w:rPr>
      </w:pPr>
      <w:r>
        <w:rPr>
          <w:rFonts w:hint="eastAsia" w:ascii="宋体" w:hAnsi="宋体" w:eastAsia="宋体" w:cs="宋体"/>
          <w:color w:val="auto"/>
          <w:sz w:val="24"/>
          <w:highlight w:val="none"/>
        </w:rPr>
        <w:t xml:space="preserve">投标供应商自20</w:t>
      </w:r>
      <w:r>
        <w:rPr>
          <w:rFonts w:hint="eastAsia" w:ascii="宋体" w:hAnsi="宋体" w:eastAsia="宋体" w:cs="宋体"/>
          <w:color w:val="auto"/>
          <w:sz w:val="24"/>
          <w:highlight w:val="none"/>
          <w:lang w:val="en-US" w:eastAsia="zh-CN"/>
        </w:rPr>
        <w:t xml:space="preserve">23</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月1日以来，</w:t>
      </w:r>
      <w:r>
        <w:rPr>
          <w:rFonts w:hint="eastAsia" w:ascii="宋体" w:hAnsi="宋体" w:cs="宋体"/>
          <w:color w:val="auto"/>
          <w:sz w:val="24"/>
          <w:highlight w:val="none"/>
          <w:lang w:eastAsia="zh-CN"/>
        </w:rPr>
        <w:t xml:space="preserve">有完成</w:t>
      </w:r>
      <w:r>
        <w:rPr>
          <w:rFonts w:hint="eastAsia" w:ascii="宋体" w:hAnsi="宋体" w:eastAsia="宋体" w:cs="宋体"/>
          <w:color w:val="auto"/>
          <w:sz w:val="24"/>
          <w:highlight w:val="none"/>
        </w:rPr>
        <w:t xml:space="preserve">同类</w:t>
      </w:r>
      <w:r>
        <w:rPr>
          <w:rFonts w:hint="eastAsia" w:ascii="宋体" w:hAnsi="宋体" w:eastAsia="宋体" w:cs="宋体"/>
          <w:color w:val="auto"/>
          <w:sz w:val="24"/>
          <w:szCs w:val="24"/>
          <w:highlight w:val="none"/>
        </w:rPr>
        <w:t xml:space="preserve">绿地养护的业绩，得2分。</w:t>
      </w:r>
      <w:r>
        <w:rPr>
          <w:rFonts w:hint="eastAsia" w:ascii="宋体" w:hAnsi="宋体" w:eastAsia="宋体" w:cs="宋体"/>
          <w:b/>
          <w:bCs/>
          <w:color w:val="auto"/>
          <w:sz w:val="24"/>
          <w:szCs w:val="24"/>
          <w:highlight w:val="none"/>
          <w:lang w:val="zh-CN"/>
        </w:rPr>
        <w:t xml:space="preserve">（</w:t>
      </w:r>
      <w:r>
        <w:rPr>
          <w:rFonts w:hint="eastAsia" w:ascii="宋体" w:hAnsi="宋体" w:eastAsia="宋体" w:cs="宋体"/>
          <w:b/>
          <w:bCs/>
          <w:color w:val="auto"/>
          <w:sz w:val="24"/>
          <w:szCs w:val="24"/>
          <w:highlight w:val="none"/>
        </w:rPr>
        <w:t xml:space="preserve">业绩时间以合同签订时间为准，提供中标通知书、养护合同原件的扫描件</w:t>
      </w:r>
      <w:r>
        <w:rPr>
          <w:rFonts w:hint="eastAsia" w:ascii="宋体" w:hAnsi="宋体" w:cs="宋体"/>
          <w:b/>
          <w:bCs/>
          <w:color w:val="auto"/>
          <w:sz w:val="24"/>
          <w:szCs w:val="24"/>
          <w:highlight w:val="none"/>
          <w:lang w:eastAsia="zh-CN"/>
        </w:rPr>
        <w:t xml:space="preserve">，上传</w:t>
      </w:r>
      <w:r>
        <w:rPr>
          <w:rFonts w:hint="eastAsia" w:ascii="宋体" w:hAnsi="宋体" w:eastAsia="宋体" w:cs="宋体"/>
          <w:b/>
          <w:bCs/>
          <w:color w:val="auto"/>
          <w:sz w:val="24"/>
          <w:highlight w:val="none"/>
        </w:rPr>
        <w:t xml:space="preserve">至投标文件中，无扫描件不得分</w:t>
      </w:r>
      <w:r>
        <w:rPr>
          <w:rFonts w:hint="eastAsia" w:ascii="宋体" w:hAnsi="宋体" w:eastAsia="宋体" w:cs="宋体"/>
          <w:b/>
          <w:bCs/>
          <w:color w:val="auto"/>
          <w:sz w:val="24"/>
          <w:szCs w:val="24"/>
          <w:highlight w:val="none"/>
          <w:lang w:val="zh-CN"/>
        </w:rPr>
        <w:t xml:space="preserve">）</w:t>
      </w:r>
      <w:r/>
    </w:p>
    <w:p>
      <w:pPr>
        <w:ind w:firstLine="482"/>
        <w:keepLines w:val="0"/>
        <w:keepNext w:val="0"/>
        <w:pageBreakBefore w:val="0"/>
        <w:spacing w:line="360" w:lineRule="auto"/>
        <w:tabs>
          <w:tab w:val="left" w:pos="945" w:leader="none"/>
          <w:tab w:val="left" w:pos="1155" w:leader="none"/>
        </w:tabs>
        <w:rPr>
          <w:rFonts w:hint="eastAsia" w:ascii="宋体" w:hAnsi="宋体" w:eastAsia="宋体" w:cs="宋体"/>
          <w:b/>
          <w:color w:val="auto"/>
          <w:sz w:val="24"/>
          <w:highlight w:val="none"/>
        </w:rPr>
      </w:pPr>
      <w:r>
        <w:rPr>
          <w:rFonts w:hint="eastAsia" w:ascii="宋体" w:hAnsi="宋体" w:eastAsia="宋体" w:cs="宋体"/>
          <w:b/>
          <w:color w:val="auto"/>
          <w:sz w:val="24"/>
          <w:highlight w:val="none"/>
          <w:lang w:val="en-US" w:eastAsia="zh-CN"/>
        </w:rPr>
        <w:t xml:space="preserve">2）</w:t>
      </w:r>
      <w:r>
        <w:rPr>
          <w:rFonts w:hint="eastAsia" w:ascii="宋体" w:hAnsi="宋体" w:eastAsia="宋体" w:cs="宋体"/>
          <w:b/>
          <w:bCs/>
          <w:color w:val="auto"/>
          <w:sz w:val="24"/>
          <w:highlight w:val="none"/>
        </w:rPr>
        <w:t xml:space="preserve">绿地养护施工机械设备配备（</w:t>
      </w:r>
      <w:r>
        <w:rPr>
          <w:rFonts w:hint="eastAsia" w:ascii="宋体" w:hAnsi="宋体" w:cs="宋体"/>
          <w:b/>
          <w:bCs/>
          <w:color w:val="auto"/>
          <w:sz w:val="24"/>
          <w:highlight w:val="none"/>
          <w:lang w:val="en-US" w:eastAsia="zh-CN"/>
        </w:rPr>
        <w:t xml:space="preserve">8</w:t>
      </w:r>
      <w:r>
        <w:rPr>
          <w:rFonts w:hint="eastAsia" w:ascii="宋体" w:hAnsi="宋体" w:eastAsia="宋体" w:cs="宋体"/>
          <w:b/>
          <w:bCs/>
          <w:color w:val="auto"/>
          <w:sz w:val="24"/>
          <w:highlight w:val="none"/>
        </w:rPr>
        <w:t xml:space="preserve">分）</w:t>
      </w:r>
      <w:r/>
    </w:p>
    <w:p>
      <w:pPr>
        <w:ind w:firstLine="482"/>
        <w:jc w:val="left"/>
        <w:keepLines w:val="0"/>
        <w:keepNext w:val="0"/>
        <w:pageBreakBefore w:val="0"/>
        <w:spacing w:line="360" w:lineRule="auto"/>
        <w:rPr>
          <w:rFonts w:hint="eastAsia" w:ascii="宋体" w:hAnsi="宋体" w:eastAsia="宋体" w:cs="宋体"/>
          <w:color w:val="auto"/>
          <w:sz w:val="24"/>
          <w:highlight w:val="none"/>
          <w:lang w:val="zh-CN"/>
        </w:rPr>
      </w:pPr>
      <w:r>
        <w:rPr>
          <w:rFonts w:hint="eastAsia" w:ascii="宋体" w:hAnsi="宋体" w:eastAsia="宋体" w:cs="宋体"/>
          <w:b/>
          <w:bCs w:val="0"/>
          <w:color w:val="auto"/>
          <w:sz w:val="24"/>
          <w:highlight w:val="none"/>
          <w:lang w:val="en-US" w:eastAsia="zh-CN"/>
        </w:rPr>
        <w:t xml:space="preserve">在满足基本养护设备的前提下：</w:t>
      </w:r>
      <w:r/>
    </w:p>
    <w:p>
      <w:pPr>
        <w:ind w:firstLine="480"/>
        <w:jc w:val="left"/>
        <w:keepLines w:val="0"/>
        <w:keepNext w:val="0"/>
        <w:pageBreakBefore w:val="0"/>
        <w:spacing w:line="360" w:lineRule="auto"/>
        <w:rPr>
          <w:rFonts w:hint="eastAsia" w:ascii="宋体" w:hAnsi="宋体" w:eastAsia="宋体" w:cs="宋体"/>
          <w:bCs/>
          <w:color w:val="auto"/>
          <w:sz w:val="24"/>
          <w:szCs w:val="22"/>
          <w:highlight w:val="none"/>
          <w:lang w:eastAsia="zh-CN"/>
        </w:rPr>
      </w:pPr>
      <w:r>
        <w:rPr>
          <w:rFonts w:hint="eastAsia" w:ascii="宋体" w:hAnsi="宋体" w:eastAsia="宋体" w:cs="宋体"/>
          <w:color w:val="auto"/>
          <w:sz w:val="24"/>
          <w:highlight w:val="none"/>
          <w:lang w:val="zh-CN"/>
        </w:rPr>
        <w:t xml:space="preserve">①投标供应商</w:t>
      </w:r>
      <w:r>
        <w:rPr>
          <w:rFonts w:hint="eastAsia" w:ascii="宋体" w:hAnsi="宋体" w:eastAsia="宋体" w:cs="宋体"/>
          <w:color w:val="auto"/>
          <w:sz w:val="24"/>
          <w:highlight w:val="none"/>
        </w:rPr>
        <w:t xml:space="preserve">配备专用多功能抑尘车</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喷射高度30米及以上）</w:t>
      </w:r>
      <w:r>
        <w:rPr>
          <w:rFonts w:hint="eastAsia" w:ascii="宋体" w:hAnsi="宋体" w:cs="宋体"/>
          <w:color w:val="auto"/>
          <w:sz w:val="24"/>
          <w:highlight w:val="none"/>
          <w:lang w:val="en-US" w:eastAsia="zh-CN"/>
        </w:rPr>
        <w:t xml:space="preserve">的，有一辆</w:t>
      </w:r>
      <w:r>
        <w:rPr>
          <w:rFonts w:hint="eastAsia" w:ascii="宋体" w:hAnsi="宋体" w:eastAsia="宋体" w:cs="宋体"/>
          <w:color w:val="auto"/>
          <w:sz w:val="24"/>
          <w:highlight w:val="none"/>
          <w:lang w:val="en-US" w:eastAsia="zh-CN"/>
        </w:rPr>
        <w:t xml:space="preserve">得1分</w:t>
      </w:r>
      <w:r>
        <w:rPr>
          <w:rFonts w:hint="eastAsia" w:ascii="宋体" w:hAnsi="宋体" w:cs="宋体"/>
          <w:color w:val="auto"/>
          <w:sz w:val="24"/>
          <w:highlight w:val="none"/>
          <w:lang w:val="en-US" w:eastAsia="zh-CN"/>
        </w:rPr>
        <w:t xml:space="preserve">，最多得2分</w:t>
      </w:r>
      <w:r>
        <w:rPr>
          <w:rFonts w:hint="eastAsia" w:ascii="宋体" w:hAnsi="宋体" w:cs="宋体"/>
          <w:color w:val="auto"/>
          <w:sz w:val="24"/>
          <w:highlight w:val="none"/>
          <w:lang w:eastAsia="zh-CN"/>
        </w:rPr>
        <w:t xml:space="preserve">；</w:t>
      </w:r>
      <w:r/>
    </w:p>
    <w:p>
      <w:pPr>
        <w:ind w:firstLine="480"/>
        <w:jc w:val="left"/>
        <w:keepLines w:val="0"/>
        <w:keepNext w:val="0"/>
        <w:pageBreakBefore w:val="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zh-CN"/>
        </w:rPr>
        <w:t xml:space="preserve">②投标供应商</w:t>
      </w:r>
      <w:r>
        <w:rPr>
          <w:rFonts w:hint="eastAsia" w:ascii="宋体" w:hAnsi="宋体" w:eastAsia="宋体" w:cs="宋体"/>
          <w:color w:val="auto"/>
          <w:sz w:val="24"/>
          <w:highlight w:val="none"/>
        </w:rPr>
        <w:t xml:space="preserve">配备一辆运输卡车</w:t>
      </w:r>
      <w:r>
        <w:rPr>
          <w:rFonts w:hint="eastAsia" w:ascii="宋体" w:hAnsi="宋体" w:cs="宋体"/>
          <w:color w:val="auto"/>
          <w:sz w:val="24"/>
          <w:highlight w:val="none"/>
          <w:lang w:eastAsia="zh-CN"/>
        </w:rPr>
        <w:t xml:space="preserve">，得</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分</w:t>
      </w:r>
      <w:r>
        <w:rPr>
          <w:rFonts w:hint="eastAsia" w:ascii="宋体" w:hAnsi="宋体" w:cs="宋体"/>
          <w:color w:val="auto"/>
          <w:sz w:val="24"/>
          <w:highlight w:val="none"/>
          <w:lang w:eastAsia="zh-CN"/>
        </w:rPr>
        <w:t xml:space="preserve">；</w:t>
      </w:r>
      <w:r/>
    </w:p>
    <w:p>
      <w:pPr>
        <w:ind w:firstLine="480"/>
        <w:jc w:val="left"/>
        <w:keepLines w:val="0"/>
        <w:keepNext w:val="0"/>
        <w:pageBreakBefore w:val="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③投标供应商配备</w:t>
      </w:r>
      <w:r>
        <w:rPr>
          <w:rFonts w:hint="eastAsia" w:ascii="宋体" w:hAnsi="宋体" w:cs="宋体"/>
          <w:color w:val="auto"/>
          <w:sz w:val="24"/>
          <w:highlight w:val="none"/>
          <w:lang w:val="en-US" w:eastAsia="zh-CN"/>
        </w:rPr>
        <w:t xml:space="preserve">纯电动清扫车的，有一辆得1分，最多</w:t>
      </w:r>
      <w:r>
        <w:rPr>
          <w:rFonts w:hint="eastAsia" w:ascii="宋体" w:hAnsi="宋体" w:eastAsia="宋体" w:cs="宋体"/>
          <w:color w:val="auto"/>
          <w:sz w:val="24"/>
          <w:highlight w:val="none"/>
          <w:lang w:val="zh-CN"/>
        </w:rPr>
        <w:t xml:space="preserve">得</w:t>
      </w: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lang w:val="zh-CN"/>
        </w:rPr>
        <w:t xml:space="preserve">分</w:t>
      </w:r>
      <w:r>
        <w:rPr>
          <w:rFonts w:hint="eastAsia" w:ascii="宋体" w:hAnsi="宋体" w:cs="宋体"/>
          <w:color w:val="auto"/>
          <w:sz w:val="24"/>
          <w:highlight w:val="none"/>
          <w:lang w:val="zh-CN"/>
        </w:rPr>
        <w:t xml:space="preserve">；</w:t>
      </w:r>
      <w:r/>
    </w:p>
    <w:p>
      <w:pPr>
        <w:ind w:firstLine="480"/>
        <w:jc w:val="left"/>
        <w:keepLines w:val="0"/>
        <w:keepNext w:val="0"/>
        <w:pageBreakBefore w:val="0"/>
        <w:spacing w:line="360" w:lineRule="auto"/>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④投标供应商配备一辆物料粉碎车</w:t>
      </w:r>
      <w:r>
        <w:rPr>
          <w:rFonts w:hint="eastAsia" w:ascii="宋体" w:hAnsi="宋体" w:cs="宋体"/>
          <w:color w:val="auto"/>
          <w:sz w:val="24"/>
          <w:highlight w:val="none"/>
          <w:lang w:val="zh-CN"/>
        </w:rPr>
        <w:t xml:space="preserve">，得</w:t>
      </w:r>
      <w:r>
        <w:rPr>
          <w:rFonts w:hint="eastAsia" w:ascii="宋体" w:hAnsi="宋体" w:eastAsia="宋体" w:cs="宋体"/>
          <w:color w:val="auto"/>
          <w:sz w:val="24"/>
          <w:highlight w:val="none"/>
          <w:lang w:val="zh-CN"/>
        </w:rPr>
        <w:t xml:space="preserve">1分</w:t>
      </w:r>
      <w:r>
        <w:rPr>
          <w:rFonts w:hint="eastAsia" w:ascii="宋体" w:hAnsi="宋体" w:cs="宋体"/>
          <w:color w:val="auto"/>
          <w:sz w:val="24"/>
          <w:highlight w:val="none"/>
          <w:lang w:val="zh-CN"/>
        </w:rPr>
        <w:t xml:space="preserve">；</w:t>
      </w:r>
      <w:r/>
    </w:p>
    <w:p>
      <w:pPr>
        <w:ind w:firstLine="480"/>
        <w:jc w:val="left"/>
        <w:keepLines w:val="0"/>
        <w:keepNext w:val="0"/>
        <w:pageBreakBefore w:val="0"/>
        <w:spacing w:line="360" w:lineRule="auto"/>
        <w:rPr>
          <w:rFonts w:hint="eastAsia" w:ascii="宋体" w:hAnsi="宋体" w:eastAsia="宋体" w:cs="宋体"/>
          <w:color w:val="auto"/>
          <w:sz w:val="24"/>
          <w:highlight w:val="none"/>
          <w:lang w:val="zh-CN"/>
        </w:rPr>
      </w:pPr>
      <w:r>
        <w:rPr>
          <w:rFonts w:hint="eastAsia" w:ascii="宋体" w:hAnsi="宋体" w:cs="宋体"/>
          <w:color w:val="auto"/>
          <w:sz w:val="24"/>
          <w:highlight w:val="none"/>
          <w:lang w:val="en-US" w:eastAsia="zh-CN"/>
        </w:rPr>
        <w:t xml:space="preserve">⑤</w:t>
      </w:r>
      <w:r>
        <w:rPr>
          <w:rFonts w:hint="eastAsia" w:ascii="宋体" w:hAnsi="宋体" w:eastAsia="宋体" w:cs="宋体"/>
          <w:color w:val="auto"/>
          <w:sz w:val="24"/>
          <w:highlight w:val="none"/>
          <w:lang w:val="zh-CN"/>
        </w:rPr>
        <w:t xml:space="preserve">投标供应商配备一辆专用高空升降车（高度10米及以上）</w:t>
      </w:r>
      <w:r>
        <w:rPr>
          <w:rFonts w:hint="eastAsia" w:ascii="宋体" w:hAnsi="宋体" w:cs="宋体"/>
          <w:color w:val="auto"/>
          <w:sz w:val="24"/>
          <w:highlight w:val="none"/>
          <w:lang w:val="zh-CN"/>
        </w:rPr>
        <w:t xml:space="preserve">，得</w:t>
      </w:r>
      <w:r>
        <w:rPr>
          <w:rFonts w:hint="eastAsia" w:ascii="宋体" w:hAnsi="宋体" w:eastAsia="宋体" w:cs="宋体"/>
          <w:color w:val="auto"/>
          <w:sz w:val="24"/>
          <w:highlight w:val="none"/>
          <w:lang w:val="zh-CN"/>
        </w:rPr>
        <w:t xml:space="preserve">1分</w:t>
      </w:r>
      <w:r>
        <w:rPr>
          <w:rFonts w:hint="eastAsia" w:ascii="宋体" w:hAnsi="宋体" w:cs="宋体"/>
          <w:color w:val="auto"/>
          <w:sz w:val="24"/>
          <w:highlight w:val="none"/>
          <w:lang w:val="zh-CN"/>
        </w:rPr>
        <w:t xml:space="preserve">；</w:t>
      </w:r>
      <w:r/>
    </w:p>
    <w:p>
      <w:pPr>
        <w:ind w:firstLine="480"/>
        <w:jc w:val="left"/>
        <w:keepLines w:val="0"/>
        <w:keepNext w:val="0"/>
        <w:pageBreakBefore w:val="0"/>
        <w:spacing w:line="360" w:lineRule="auto"/>
        <w:rPr>
          <w:rFonts w:hint="eastAsia" w:ascii="宋体" w:hAnsi="宋体" w:eastAsia="宋体" w:cs="宋体"/>
          <w:color w:val="auto"/>
          <w:sz w:val="24"/>
          <w:highlight w:val="none"/>
          <w:lang w:val="zh-CN"/>
        </w:rPr>
      </w:pPr>
      <w:r>
        <w:rPr>
          <w:rFonts w:hint="eastAsia" w:ascii="宋体" w:hAnsi="宋体" w:cs="宋体"/>
          <w:color w:val="auto"/>
          <w:sz w:val="24"/>
          <w:highlight w:val="none"/>
          <w:lang w:val="en-US" w:eastAsia="zh-CN"/>
        </w:rPr>
        <w:t xml:space="preserve">⑥</w:t>
      </w:r>
      <w:r>
        <w:rPr>
          <w:rFonts w:hint="eastAsia" w:ascii="宋体" w:hAnsi="宋体" w:eastAsia="宋体" w:cs="宋体"/>
          <w:color w:val="auto"/>
          <w:sz w:val="24"/>
          <w:highlight w:val="none"/>
          <w:lang w:val="zh-CN"/>
        </w:rPr>
        <w:t xml:space="preserve">投标供应商配备一辆客车（</w:t>
      </w:r>
      <w:r>
        <w:rPr>
          <w:rFonts w:hint="eastAsia" w:ascii="宋体" w:hAnsi="宋体" w:cs="宋体"/>
          <w:color w:val="auto"/>
          <w:sz w:val="24"/>
          <w:highlight w:val="none"/>
          <w:lang w:val="en-US" w:eastAsia="zh-CN"/>
        </w:rPr>
        <w:t xml:space="preserve">≥</w:t>
      </w:r>
      <w:r>
        <w:rPr>
          <w:rFonts w:hint="eastAsia" w:ascii="宋体" w:hAnsi="宋体" w:eastAsia="宋体" w:cs="宋体"/>
          <w:color w:val="auto"/>
          <w:sz w:val="24"/>
          <w:highlight w:val="none"/>
          <w:lang w:val="zh-CN"/>
        </w:rPr>
        <w:t xml:space="preserve">15座，用于接送作业人员）</w:t>
      </w:r>
      <w:r>
        <w:rPr>
          <w:rFonts w:hint="eastAsia" w:ascii="宋体" w:hAnsi="宋体" w:cs="宋体"/>
          <w:color w:val="auto"/>
          <w:sz w:val="24"/>
          <w:highlight w:val="none"/>
          <w:lang w:val="zh-CN"/>
        </w:rPr>
        <w:t xml:space="preserve">，得</w:t>
      </w:r>
      <w:r>
        <w:rPr>
          <w:rFonts w:hint="eastAsia" w:ascii="宋体" w:hAnsi="宋体" w:eastAsia="宋体" w:cs="宋体"/>
          <w:color w:val="auto"/>
          <w:sz w:val="24"/>
          <w:highlight w:val="none"/>
          <w:lang w:val="zh-CN"/>
        </w:rPr>
        <w:t xml:space="preserve">1分</w:t>
      </w:r>
      <w:r>
        <w:rPr>
          <w:rFonts w:hint="eastAsia" w:ascii="宋体" w:hAnsi="宋体" w:cs="宋体"/>
          <w:color w:val="auto"/>
          <w:sz w:val="24"/>
          <w:highlight w:val="none"/>
          <w:lang w:val="zh-CN"/>
        </w:rPr>
        <w:t xml:space="preserve">。</w:t>
      </w:r>
      <w:r/>
    </w:p>
    <w:p>
      <w:pPr>
        <w:pStyle w:val="910"/>
        <w:numPr>
          <w:ilvl w:val="0"/>
          <w:numId w:val="0"/>
        </w:numPr>
        <w:ind w:firstLine="482"/>
        <w:jc w:val="left"/>
        <w:keepLines w:val="0"/>
        <w:keepNext w:val="0"/>
        <w:pageBreakBefore w:val="0"/>
        <w:spacing w:line="360" w:lineRule="auto"/>
        <w:tabs>
          <w:tab w:val="left" w:pos="1050" w:leader="none"/>
          <w:tab w:val="clear" w:pos="1080" w:leader="none"/>
          <w:tab w:val="left" w:pos="1365" w:leader="none"/>
        </w:tabs>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注：</w:t>
      </w:r>
      <w:r>
        <w:rPr>
          <w:rFonts w:hint="eastAsia" w:ascii="宋体" w:hAnsi="宋体" w:eastAsia="宋体" w:cs="宋体"/>
          <w:b/>
          <w:bCs/>
          <w:color w:val="auto"/>
          <w:highlight w:val="none"/>
          <w:lang w:val="en-US" w:eastAsia="zh-CN"/>
        </w:rPr>
        <w:t xml:space="preserve">①</w:t>
      </w:r>
      <w:r>
        <w:rPr>
          <w:rFonts w:hint="eastAsia" w:ascii="宋体" w:hAnsi="宋体" w:eastAsia="宋体" w:cs="宋体"/>
          <w:b/>
          <w:bCs/>
          <w:color w:val="auto"/>
          <w:highlight w:val="none"/>
        </w:rPr>
        <w:t xml:space="preserve">投标文件中附《绿地养护施工机械设备配备表》（格式见附件），上述机械设备为自有的，投标时须提供机械设备照片、购置发票、行驶证的原件扫描件；上述机械设备为租赁的，投标时须提供机械设备照片扫描件、有效期内的租赁协议（租赁期不得少于本项目的服务期限）、出租人购置发票、行驶证的原件扫描件。</w:t>
      </w:r>
      <w:r>
        <w:rPr>
          <w:rFonts w:hint="eastAsia" w:ascii="宋体" w:hAnsi="宋体" w:cs="宋体"/>
          <w:b/>
          <w:bCs/>
          <w:color w:val="auto"/>
          <w:sz w:val="24"/>
          <w:highlight w:val="none"/>
          <w:lang w:val="en-US" w:eastAsia="zh-CN"/>
        </w:rPr>
        <w:t xml:space="preserve">纯电动清扫车无需行驶证。</w:t>
      </w:r>
      <w:r>
        <w:rPr>
          <w:rFonts w:hint="eastAsia" w:ascii="宋体" w:hAnsi="宋体" w:eastAsia="宋体" w:cs="宋体"/>
          <w:b/>
          <w:bCs/>
          <w:color w:val="auto"/>
          <w:highlight w:val="none"/>
        </w:rPr>
        <w:t xml:space="preserve">上述资料按要求上传至投标文件中，不按要求提供资料的不得分。</w:t>
      </w:r>
      <w:r/>
    </w:p>
    <w:p>
      <w:pPr>
        <w:ind w:left="0" w:right="0" w:firstLine="482"/>
        <w:jc w:val="left"/>
        <w:keepLines w:val="0"/>
        <w:keepNext w:val="0"/>
        <w:pageBreakBefore w:val="0"/>
        <w:spacing w:line="360" w:lineRule="auto"/>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highlight w:val="none"/>
          <w:lang w:val="en-US" w:eastAsia="zh-CN"/>
        </w:rPr>
        <w:t xml:space="preserve">②</w:t>
      </w:r>
      <w:r>
        <w:rPr>
          <w:rFonts w:hint="eastAsia" w:ascii="宋体" w:hAnsi="宋体" w:eastAsia="宋体" w:cs="宋体"/>
          <w:b/>
          <w:bCs/>
          <w:color w:val="auto"/>
          <w:sz w:val="24"/>
          <w:highlight w:val="none"/>
        </w:rPr>
        <w:t xml:space="preserve">其中：多功能抑尘车、高空升降车</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物料粉碎车</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纯电动清扫车</w:t>
      </w:r>
      <w:r>
        <w:rPr>
          <w:rFonts w:hint="eastAsia" w:ascii="宋体" w:hAnsi="宋体" w:eastAsia="宋体" w:cs="宋体"/>
          <w:b/>
          <w:bCs/>
          <w:color w:val="auto"/>
          <w:sz w:val="24"/>
          <w:highlight w:val="none"/>
        </w:rPr>
        <w:t xml:space="preserve">还需提供厂家出具的关于车辆技术参数（如静风水平射程、起重量</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lang w:val="en-US" w:eastAsia="zh-CN"/>
        </w:rPr>
        <w:t xml:space="preserve">升降高度等</w:t>
      </w:r>
      <w:r>
        <w:rPr>
          <w:rFonts w:hint="eastAsia" w:ascii="宋体" w:hAnsi="宋体" w:eastAsia="宋体" w:cs="宋体"/>
          <w:b/>
          <w:bCs/>
          <w:color w:val="auto"/>
          <w:sz w:val="24"/>
          <w:highlight w:val="none"/>
        </w:rPr>
        <w:t xml:space="preserve">）或铭牌等证明材料。</w:t>
      </w:r>
      <w:r/>
    </w:p>
    <w:p>
      <w:pPr>
        <w:pStyle w:val="910"/>
        <w:numPr>
          <w:ilvl w:val="0"/>
          <w:numId w:val="0"/>
        </w:numPr>
        <w:ind w:left="420"/>
        <w:jc w:val="left"/>
        <w:keepLines w:val="0"/>
        <w:keepNext w:val="0"/>
        <w:pageBreakBefore w:val="0"/>
        <w:spacing w:line="360" w:lineRule="auto"/>
        <w:tabs>
          <w:tab w:val="left" w:pos="1050" w:leader="none"/>
          <w:tab w:val="clear" w:pos="1080" w:leader="none"/>
          <w:tab w:val="left" w:pos="1365" w:leader="none"/>
        </w:tabs>
        <w:rPr>
          <w:rFonts w:hint="eastAsia" w:ascii="宋体" w:hAnsi="宋体" w:eastAsia="宋体" w:cs="宋体"/>
          <w:b/>
          <w:bCs/>
          <w:color w:val="auto"/>
          <w:highlight w:val="none"/>
        </w:rPr>
      </w:pPr>
      <w:r>
        <w:rPr>
          <w:rFonts w:hint="eastAsia" w:ascii="宋体" w:hAnsi="宋体" w:eastAsia="宋体" w:cs="宋体"/>
          <w:b/>
          <w:color w:val="auto"/>
          <w:sz w:val="24"/>
          <w:highlight w:val="none"/>
          <w:lang w:val="en-US" w:eastAsia="zh-CN"/>
        </w:rPr>
        <w:t xml:space="preserve">3）</w:t>
      </w:r>
      <w:r>
        <w:rPr>
          <w:rFonts w:hint="eastAsia" w:ascii="宋体" w:hAnsi="宋体" w:eastAsia="宋体" w:cs="宋体"/>
          <w:b/>
          <w:color w:val="auto"/>
          <w:highlight w:val="none"/>
        </w:rPr>
        <w:t xml:space="preserve">企业</w:t>
      </w:r>
      <w:r>
        <w:rPr>
          <w:rFonts w:hint="eastAsia" w:ascii="宋体" w:hAnsi="宋体" w:eastAsia="宋体" w:cs="宋体"/>
          <w:b/>
          <w:color w:val="auto"/>
          <w:highlight w:val="none"/>
          <w:lang w:val="en-US" w:eastAsia="zh-CN"/>
        </w:rPr>
        <w:t xml:space="preserve">荣誉</w:t>
      </w:r>
      <w:r>
        <w:rPr>
          <w:rFonts w:hint="eastAsia" w:ascii="宋体" w:hAnsi="宋体" w:eastAsia="宋体" w:cs="宋体"/>
          <w:b/>
          <w:bCs/>
          <w:color w:val="auto"/>
          <w:highlight w:val="none"/>
        </w:rPr>
        <w:t xml:space="preserve">（2分）</w:t>
      </w:r>
      <w:r/>
    </w:p>
    <w:p>
      <w:pPr>
        <w:ind w:left="0" w:right="0" w:firstLine="480"/>
        <w:jc w:val="left"/>
        <w:keepLines w:val="0"/>
        <w:keepNext w:val="0"/>
        <w:pageBreakBefore w:val="0"/>
        <w:spacing w:line="360" w:lineRule="auto"/>
        <w:shd w:val="clear" w:color="auto" w:fill="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lang w:eastAsia="zh-CN"/>
        </w:rPr>
        <w:t xml:space="preserve">自20</w:t>
      </w:r>
      <w:r>
        <w:rPr>
          <w:rFonts w:hint="eastAsia" w:ascii="宋体" w:hAnsi="宋体" w:eastAsia="宋体" w:cs="宋体"/>
          <w:color w:val="auto"/>
          <w:sz w:val="24"/>
          <w:szCs w:val="24"/>
          <w:highlight w:val="none"/>
          <w:lang w:val="en-US" w:eastAsia="zh-CN"/>
        </w:rPr>
        <w:t xml:space="preserve">23</w:t>
      </w:r>
      <w:r>
        <w:rPr>
          <w:rFonts w:hint="eastAsia" w:ascii="宋体" w:hAnsi="宋体" w:eastAsia="宋体" w:cs="宋体"/>
          <w:color w:val="auto"/>
          <w:sz w:val="24"/>
          <w:szCs w:val="24"/>
          <w:highlight w:val="none"/>
          <w:lang w:eastAsia="zh-CN"/>
        </w:rPr>
        <w:t xml:space="preserve">年1月1日以来</w:t>
      </w:r>
      <w:r>
        <w:rPr>
          <w:rFonts w:hint="eastAsia" w:ascii="宋体" w:hAnsi="宋体" w:cs="宋体"/>
          <w:color w:val="auto"/>
          <w:sz w:val="24"/>
          <w:szCs w:val="24"/>
          <w:highlight w:val="none"/>
          <w:lang w:eastAsia="zh-CN"/>
        </w:rPr>
        <w:t xml:space="preserve">，投标</w:t>
      </w:r>
      <w:r>
        <w:rPr>
          <w:rFonts w:hint="eastAsia" w:ascii="宋体" w:hAnsi="宋体" w:eastAsia="宋体" w:cs="宋体"/>
          <w:color w:val="auto"/>
          <w:sz w:val="24"/>
          <w:szCs w:val="24"/>
          <w:highlight w:val="none"/>
          <w:lang w:eastAsia="zh-CN"/>
        </w:rPr>
        <w:t xml:space="preserve">供应商参与区级及以上政府行政主管部门</w:t>
      </w:r>
      <w:r>
        <w:rPr>
          <w:rFonts w:hint="eastAsia" w:ascii="宋体" w:hAnsi="宋体" w:eastAsia="宋体" w:cs="宋体"/>
          <w:color w:val="auto"/>
          <w:sz w:val="24"/>
          <w:szCs w:val="24"/>
          <w:highlight w:val="none"/>
          <w:lang w:val="en-US" w:eastAsia="zh-CN"/>
        </w:rPr>
        <w:t xml:space="preserve">的绿化</w:t>
      </w:r>
      <w:r>
        <w:rPr>
          <w:rFonts w:hint="eastAsia" w:ascii="宋体" w:hAnsi="宋体" w:eastAsia="宋体" w:cs="宋体"/>
          <w:color w:val="auto"/>
          <w:sz w:val="24"/>
          <w:szCs w:val="24"/>
          <w:highlight w:val="none"/>
          <w:lang w:eastAsia="zh-CN"/>
        </w:rPr>
        <w:t xml:space="preserve">养护工作</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有应急抢险或重大活动保障</w:t>
      </w:r>
      <w:r>
        <w:rPr>
          <w:rFonts w:hint="eastAsia" w:ascii="宋体" w:hAnsi="宋体" w:eastAsia="宋体" w:cs="宋体"/>
          <w:color w:val="auto"/>
          <w:sz w:val="24"/>
          <w:szCs w:val="24"/>
          <w:highlight w:val="none"/>
          <w:lang w:val="en-US" w:eastAsia="zh-CN"/>
        </w:rPr>
        <w:t xml:space="preserve">或绿化养护荣誉</w:t>
      </w:r>
      <w:r>
        <w:rPr>
          <w:rFonts w:hint="eastAsia" w:ascii="宋体" w:hAnsi="宋体" w:eastAsia="宋体" w:cs="宋体"/>
          <w:color w:val="auto"/>
          <w:sz w:val="24"/>
          <w:szCs w:val="24"/>
          <w:highlight w:val="none"/>
          <w:lang w:eastAsia="zh-CN"/>
        </w:rPr>
        <w:t xml:space="preserve">的，有一项得1分，最高得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分。</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时间以落款时间为准，</w:t>
      </w:r>
      <w:r>
        <w:rPr>
          <w:rFonts w:hint="eastAsia" w:ascii="宋体" w:hAnsi="宋体" w:eastAsia="宋体" w:cs="宋体"/>
          <w:b/>
          <w:bCs/>
          <w:color w:val="auto"/>
          <w:sz w:val="24"/>
          <w:szCs w:val="24"/>
          <w:highlight w:val="none"/>
          <w:lang w:eastAsia="zh-CN"/>
        </w:rPr>
        <w:t xml:space="preserve">提供区级及以上政府行政主管部门出具的相关证明</w:t>
      </w:r>
      <w:r>
        <w:rPr>
          <w:rFonts w:hint="eastAsia" w:ascii="宋体" w:hAnsi="宋体" w:eastAsia="宋体" w:cs="宋体"/>
          <w:b/>
          <w:bCs/>
          <w:color w:val="auto"/>
          <w:sz w:val="24"/>
          <w:szCs w:val="22"/>
          <w:highlight w:val="none"/>
          <w:lang w:val="en-US" w:eastAsia="zh-CN"/>
        </w:rPr>
        <w:t xml:space="preserve">原件扫描件</w:t>
      </w:r>
      <w:r>
        <w:rPr>
          <w:rFonts w:hint="eastAsia" w:ascii="宋体" w:hAnsi="宋体" w:cs="宋体"/>
          <w:b/>
          <w:bCs/>
          <w:color w:val="auto"/>
          <w:sz w:val="24"/>
          <w:szCs w:val="22"/>
          <w:highlight w:val="none"/>
          <w:lang w:val="en-US" w:eastAsia="zh-CN"/>
        </w:rPr>
        <w:t xml:space="preserve">，加盖</w:t>
      </w:r>
      <w:r>
        <w:rPr>
          <w:rFonts w:hint="eastAsia" w:ascii="宋体" w:hAnsi="宋体" w:eastAsia="宋体" w:cs="宋体"/>
          <w:b/>
          <w:bCs/>
          <w:color w:val="auto"/>
          <w:sz w:val="24"/>
          <w:szCs w:val="22"/>
          <w:highlight w:val="none"/>
        </w:rPr>
        <w:t xml:space="preserve">公章</w:t>
      </w:r>
      <w:r>
        <w:rPr>
          <w:rFonts w:hint="eastAsia" w:ascii="宋体" w:hAnsi="宋体" w:cs="宋体"/>
          <w:b/>
          <w:bCs/>
          <w:color w:val="auto"/>
          <w:sz w:val="24"/>
          <w:szCs w:val="22"/>
          <w:highlight w:val="none"/>
          <w:lang w:eastAsia="zh-CN"/>
        </w:rPr>
        <w:t xml:space="preserve">后放入</w:t>
      </w:r>
      <w:r>
        <w:rPr>
          <w:rFonts w:hint="eastAsia" w:ascii="宋体" w:hAnsi="宋体" w:eastAsia="宋体" w:cs="宋体"/>
          <w:b/>
          <w:bCs/>
          <w:color w:val="auto"/>
          <w:sz w:val="24"/>
          <w:szCs w:val="22"/>
          <w:highlight w:val="none"/>
        </w:rPr>
        <w:t xml:space="preserve">投标文件中，未按要求提供不得分</w:t>
      </w:r>
      <w:r>
        <w:rPr>
          <w:rFonts w:hint="eastAsia" w:ascii="宋体" w:hAnsi="宋体" w:cs="宋体"/>
          <w:b/>
          <w:bCs/>
          <w:color w:val="auto"/>
          <w:sz w:val="24"/>
          <w:szCs w:val="22"/>
          <w:highlight w:val="none"/>
          <w:lang w:eastAsia="zh-CN"/>
        </w:rPr>
        <w:t xml:space="preserve">）</w:t>
      </w:r>
      <w:r/>
    </w:p>
    <w:p>
      <w:pPr>
        <w:pStyle w:val="910"/>
        <w:numPr>
          <w:ilvl w:val="0"/>
          <w:numId w:val="0"/>
        </w:numPr>
        <w:ind w:firstLine="482"/>
        <w:jc w:val="left"/>
        <w:keepLines w:val="0"/>
        <w:keepNext w:val="0"/>
        <w:pageBreakBefore w:val="0"/>
        <w:spacing w:line="360" w:lineRule="auto"/>
        <w:tabs>
          <w:tab w:val="left" w:pos="1050" w:leader="none"/>
          <w:tab w:val="clear" w:pos="1080" w:leader="none"/>
          <w:tab w:val="left" w:pos="1365" w:leader="none"/>
        </w:tabs>
        <w:rPr>
          <w:rFonts w:hint="eastAsia" w:ascii="宋体" w:hAnsi="宋体" w:eastAsia="宋体" w:cs="宋体"/>
          <w:color w:val="auto"/>
          <w:highlight w:val="none"/>
        </w:rPr>
      </w:pPr>
      <w:r>
        <w:rPr>
          <w:rFonts w:hint="eastAsia" w:ascii="宋体" w:hAnsi="宋体" w:eastAsia="宋体" w:cs="宋体"/>
          <w:b/>
          <w:color w:val="auto"/>
          <w:sz w:val="24"/>
          <w:highlight w:val="none"/>
          <w:lang w:val="en-US" w:eastAsia="zh-CN"/>
        </w:rPr>
        <w:t xml:space="preserve">4）</w:t>
      </w:r>
      <w:r>
        <w:rPr>
          <w:rFonts w:hint="eastAsia" w:ascii="宋体" w:hAnsi="宋体" w:eastAsia="宋体" w:cs="宋体"/>
          <w:b/>
          <w:bCs/>
          <w:color w:val="auto"/>
          <w:highlight w:val="none"/>
        </w:rPr>
        <w:t xml:space="preserve">养护及时性保障（</w:t>
      </w:r>
      <w:r>
        <w:rPr>
          <w:rFonts w:hint="eastAsia" w:ascii="宋体" w:hAnsi="宋体" w:cs="宋体"/>
          <w:b/>
          <w:bCs/>
          <w:color w:val="auto"/>
          <w:highlight w:val="none"/>
          <w:lang w:val="en-US" w:eastAsia="zh-CN"/>
        </w:rPr>
        <w:t xml:space="preserve">1</w:t>
      </w:r>
      <w:r>
        <w:rPr>
          <w:rFonts w:hint="eastAsia" w:ascii="宋体" w:hAnsi="宋体" w:eastAsia="宋体" w:cs="宋体"/>
          <w:b/>
          <w:bCs/>
          <w:color w:val="auto"/>
          <w:highlight w:val="none"/>
        </w:rPr>
        <w:t xml:space="preserve">分）</w:t>
      </w:r>
      <w:r/>
    </w:p>
    <w:p>
      <w:pPr>
        <w:pStyle w:val="910"/>
        <w:numPr>
          <w:ilvl w:val="0"/>
          <w:numId w:val="0"/>
        </w:numPr>
        <w:ind w:firstLine="480"/>
        <w:jc w:val="left"/>
        <w:keepLines w:val="0"/>
        <w:keepNext w:val="0"/>
        <w:pageBreakBefore w:val="0"/>
        <w:spacing w:line="360" w:lineRule="auto"/>
        <w:tabs>
          <w:tab w:val="left" w:pos="1050" w:leader="none"/>
          <w:tab w:val="clear" w:pos="1080" w:leader="none"/>
          <w:tab w:val="left" w:pos="1365" w:leader="none"/>
        </w:tabs>
        <w:rPr>
          <w:rFonts w:hint="eastAsia" w:ascii="宋体" w:hAnsi="宋体" w:eastAsia="宋体" w:cs="宋体"/>
          <w:b/>
          <w:bCs/>
          <w:color w:val="auto"/>
          <w:highlight w:val="none"/>
        </w:rPr>
      </w:pPr>
      <w:r>
        <w:rPr>
          <w:rFonts w:hint="eastAsia" w:ascii="宋体" w:hAnsi="宋体" w:eastAsia="宋体" w:cs="宋体"/>
          <w:color w:val="auto"/>
          <w:highlight w:val="none"/>
        </w:rPr>
        <w:t xml:space="preserve">投标人承诺：在中标公示后</w:t>
      </w:r>
      <w:r>
        <w:rPr>
          <w:rFonts w:hint="eastAsia" w:ascii="宋体" w:hAnsi="宋体" w:eastAsia="宋体" w:cs="宋体"/>
          <w:color w:val="auto"/>
          <w:highlight w:val="none"/>
          <w:lang w:eastAsia="zh-CN"/>
        </w:rPr>
        <w:t xml:space="preserve">1</w:t>
      </w:r>
      <w:r>
        <w:rPr>
          <w:rFonts w:hint="eastAsia" w:ascii="宋体" w:hAnsi="宋体" w:eastAsia="宋体" w:cs="宋体"/>
          <w:color w:val="auto"/>
          <w:highlight w:val="none"/>
          <w:lang w:val="en-US" w:eastAsia="zh-CN"/>
        </w:rPr>
        <w:t xml:space="preserve">0</w:t>
      </w:r>
      <w:r>
        <w:rPr>
          <w:rFonts w:hint="eastAsia" w:ascii="宋体" w:hAnsi="宋体" w:eastAsia="宋体" w:cs="宋体"/>
          <w:color w:val="auto"/>
          <w:highlight w:val="none"/>
        </w:rPr>
        <w:t xml:space="preserve">个日历天内在养护作业所在区域</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无锡市新吴区）</w:t>
      </w:r>
      <w:r>
        <w:rPr>
          <w:rFonts w:hint="eastAsia" w:ascii="宋体" w:hAnsi="宋体" w:eastAsia="宋体" w:cs="宋体"/>
          <w:color w:val="auto"/>
          <w:highlight w:val="none"/>
        </w:rPr>
        <w:t xml:space="preserve">设立固定的养护</w:t>
      </w:r>
      <w:r>
        <w:rPr>
          <w:rFonts w:hint="eastAsia" w:ascii="宋体" w:hAnsi="宋体" w:eastAsia="宋体" w:cs="宋体"/>
          <w:color w:val="auto"/>
          <w:highlight w:val="none"/>
          <w:lang w:val="en-US" w:eastAsia="zh-CN"/>
        </w:rPr>
        <w:t xml:space="preserve">项目部（住所）</w:t>
      </w:r>
      <w:r>
        <w:rPr>
          <w:rFonts w:hint="eastAsia" w:ascii="宋体" w:hAnsi="宋体" w:cs="宋体"/>
          <w:color w:val="auto"/>
          <w:highlight w:val="none"/>
          <w:lang w:val="en-US" w:eastAsia="zh-CN"/>
        </w:rPr>
        <w:t xml:space="preserve">，面积</w:t>
      </w: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20</w:t>
      </w:r>
      <w:r>
        <w:rPr>
          <w:rFonts w:hint="eastAsia" w:ascii="宋体" w:hAnsi="宋体" w:eastAsia="宋体" w:cs="宋体"/>
          <w:color w:val="auto"/>
          <w:highlight w:val="none"/>
        </w:rPr>
        <w:t xml:space="preserve">00平方米以上必须驻扎养</w:t>
      </w:r>
      <w:r>
        <w:rPr>
          <w:rFonts w:hint="eastAsia" w:ascii="宋体" w:hAnsi="宋体" w:eastAsia="宋体" w:cs="宋体"/>
          <w:color w:val="auto"/>
          <w:highlight w:val="none"/>
          <w:lang w:eastAsia="zh-CN"/>
        </w:rPr>
        <w:t xml:space="preserve">护场</w:t>
      </w:r>
      <w:r>
        <w:rPr>
          <w:rFonts w:hint="eastAsia" w:ascii="宋体" w:hAnsi="宋体" w:eastAsia="宋体" w:cs="宋体"/>
          <w:color w:val="auto"/>
          <w:highlight w:val="none"/>
        </w:rPr>
        <w:t xml:space="preserve">所，且满足车辆、设备停放</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得1分。</w:t>
      </w:r>
      <w:r>
        <w:rPr>
          <w:rFonts w:hint="eastAsia" w:ascii="宋体" w:hAnsi="宋体" w:eastAsia="宋体" w:cs="宋体"/>
          <w:b/>
          <w:bCs/>
          <w:color w:val="auto"/>
          <w:highlight w:val="none"/>
        </w:rPr>
        <w:t xml:space="preserve">（承诺书格式自拟，承诺书原件扫描件上传至投标文件中，无扫描件不得分）</w:t>
      </w:r>
      <w:r/>
    </w:p>
    <w:p>
      <w:pPr>
        <w:pStyle w:val="910"/>
        <w:numPr>
          <w:ilvl w:val="0"/>
          <w:numId w:val="0"/>
        </w:numPr>
        <w:ind w:left="420"/>
        <w:keepLines w:val="0"/>
        <w:keepNext w:val="0"/>
        <w:pageBreakBefore w:val="0"/>
        <w:spacing w:line="360" w:lineRule="auto"/>
        <w:tabs>
          <w:tab w:val="left" w:pos="1050" w:leader="none"/>
          <w:tab w:val="clear" w:pos="1080" w:leader="none"/>
          <w:tab w:val="left" w:pos="1365" w:leader="none"/>
        </w:tabs>
        <w:rPr>
          <w:rFonts w:hint="eastAsia" w:ascii="宋体" w:hAnsi="宋体" w:eastAsia="宋体" w:cs="宋体"/>
          <w:b/>
          <w:bCs/>
          <w:color w:val="auto"/>
          <w:highlight w:val="none"/>
        </w:rPr>
      </w:pPr>
      <w:r>
        <w:rPr>
          <w:rFonts w:hint="eastAsia" w:ascii="宋体" w:hAnsi="宋体" w:eastAsia="宋体" w:cs="宋体"/>
          <w:b/>
          <w:bCs/>
          <w:color w:val="auto"/>
          <w:highlight w:val="none"/>
          <w:lang w:val="en-US" w:eastAsia="zh-CN"/>
        </w:rPr>
        <w:t xml:space="preserve">5）</w:t>
      </w:r>
      <w:r>
        <w:rPr>
          <w:rFonts w:hint="eastAsia" w:ascii="宋体" w:hAnsi="宋体" w:eastAsia="宋体" w:cs="宋体"/>
          <w:b/>
          <w:bCs/>
          <w:color w:val="auto"/>
          <w:highlight w:val="none"/>
        </w:rPr>
        <w:t xml:space="preserve">人员配置（1</w:t>
      </w:r>
      <w:r>
        <w:rPr>
          <w:rFonts w:hint="eastAsia" w:ascii="宋体" w:hAnsi="宋体" w:cs="宋体"/>
          <w:b/>
          <w:bCs/>
          <w:color w:val="auto"/>
          <w:highlight w:val="none"/>
          <w:lang w:val="en-US" w:eastAsia="zh-CN"/>
        </w:rPr>
        <w:t xml:space="preserve">4</w:t>
      </w:r>
      <w:r>
        <w:rPr>
          <w:rFonts w:hint="eastAsia" w:ascii="宋体" w:hAnsi="宋体" w:eastAsia="宋体" w:cs="宋体"/>
          <w:b/>
          <w:bCs/>
          <w:color w:val="auto"/>
          <w:highlight w:val="none"/>
        </w:rPr>
        <w:t xml:space="preserve">分）</w:t>
      </w:r>
      <w:r/>
    </w:p>
    <w:p>
      <w:pPr>
        <w:ind w:firstLine="480"/>
        <w:jc w:val="left"/>
        <w:keepLines w:val="0"/>
        <w:keepNext w:val="0"/>
        <w:pageBreakBefore w:val="0"/>
        <w:spacing w:line="360" w:lineRule="auto"/>
        <w:rPr>
          <w:rFonts w:hint="eastAsia" w:ascii="宋体" w:hAnsi="宋体" w:eastAsia="宋体" w:cs="宋体"/>
          <w:b/>
          <w:bCs/>
          <w:color w:val="auto"/>
          <w:highlight w:val="none"/>
        </w:rPr>
      </w:pPr>
      <w:r>
        <w:rPr>
          <w:rFonts w:hint="eastAsia" w:ascii="宋体" w:hAnsi="宋体" w:eastAsia="宋体" w:cs="宋体"/>
          <w:color w:val="auto"/>
          <w:sz w:val="24"/>
          <w:szCs w:val="24"/>
          <w:highlight w:val="none"/>
          <w:lang w:val="zh-CN"/>
        </w:rPr>
        <w:fldChar w:fldCharType="begin"/>
      </w:r>
      <w:r>
        <w:rPr>
          <w:rFonts w:hint="eastAsia" w:ascii="宋体" w:hAnsi="宋体" w:eastAsia="宋体" w:cs="宋体"/>
          <w:color w:val="auto"/>
          <w:sz w:val="24"/>
          <w:szCs w:val="24"/>
          <w:highlight w:val="none"/>
          <w:lang w:val="zh-CN"/>
        </w:rPr>
        <w:instrText xml:space="preserve"> = 1 \* GB3 \* MERGEFORMAT </w:instrText>
      </w:r>
      <w:r>
        <w:rPr>
          <w:rFonts w:hint="eastAsia" w:ascii="宋体" w:hAnsi="宋体" w:eastAsia="宋体" w:cs="宋体"/>
          <w:color w:val="auto"/>
          <w:sz w:val="24"/>
          <w:szCs w:val="24"/>
          <w:highlight w:val="none"/>
          <w:lang w:val="zh-CN"/>
        </w:rPr>
        <w:fldChar w:fldCharType="separate"/>
      </w:r>
      <w:r>
        <w:rPr>
          <w:rFonts w:hint="eastAsia" w:ascii="宋体" w:hAnsi="宋体" w:eastAsia="宋体" w:cs="宋体"/>
          <w:color w:val="auto"/>
          <w:sz w:val="24"/>
          <w:szCs w:val="24"/>
          <w:highlight w:val="none"/>
        </w:rPr>
        <w:t xml:space="preserve">①</w:t>
      </w:r>
      <w:r>
        <w:rPr>
          <w:rFonts w:hint="eastAsia" w:ascii="宋体" w:hAnsi="宋体" w:eastAsia="宋体" w:cs="宋体"/>
          <w:color w:val="auto"/>
          <w:sz w:val="24"/>
          <w:szCs w:val="24"/>
          <w:highlight w:val="none"/>
          <w:lang w:val="zh-CN"/>
        </w:rPr>
        <w:fldChar w:fldCharType="end"/>
      </w:r>
      <w:r>
        <w:rPr>
          <w:rFonts w:hint="eastAsia" w:ascii="宋体" w:hAnsi="宋体" w:eastAsia="宋体" w:cs="宋体"/>
          <w:color w:val="auto"/>
          <w:sz w:val="24"/>
          <w:szCs w:val="24"/>
          <w:highlight w:val="none"/>
          <w:lang w:val="zh-CN"/>
        </w:rPr>
        <w:t xml:space="preserve">项目</w:t>
      </w:r>
      <w:r>
        <w:rPr>
          <w:rFonts w:hint="eastAsia" w:ascii="宋体" w:hAnsi="宋体" w:eastAsia="宋体" w:cs="宋体"/>
          <w:color w:val="auto"/>
          <w:sz w:val="24"/>
          <w:szCs w:val="24"/>
          <w:highlight w:val="none"/>
        </w:rPr>
        <w:t xml:space="preserve">负责人</w:t>
      </w:r>
      <w:r>
        <w:rPr>
          <w:rFonts w:hint="eastAsia" w:ascii="宋体" w:hAnsi="宋体" w:eastAsia="宋体" w:cs="宋体"/>
          <w:color w:val="auto"/>
          <w:sz w:val="24"/>
          <w:szCs w:val="24"/>
          <w:highlight w:val="none"/>
          <w:lang w:val="zh-CN"/>
        </w:rPr>
        <w:t xml:space="preserve">具有园林绿化专业</w:t>
      </w:r>
      <w:r>
        <w:rPr>
          <w:rFonts w:hint="eastAsia" w:ascii="宋体" w:hAnsi="宋体" w:cs="宋体"/>
          <w:color w:val="auto"/>
          <w:sz w:val="24"/>
          <w:szCs w:val="24"/>
          <w:highlight w:val="none"/>
          <w:lang w:val="en-US" w:eastAsia="zh-CN"/>
        </w:rPr>
        <w:t xml:space="preserve">中</w:t>
      </w:r>
      <w:r>
        <w:rPr>
          <w:rFonts w:hint="eastAsia" w:ascii="宋体" w:hAnsi="宋体" w:eastAsia="宋体" w:cs="宋体"/>
          <w:color w:val="auto"/>
          <w:sz w:val="24"/>
          <w:szCs w:val="24"/>
          <w:highlight w:val="none"/>
          <w:lang w:val="zh-CN"/>
        </w:rPr>
        <w:t xml:space="preserve">级</w:t>
      </w:r>
      <w:r>
        <w:rPr>
          <w:rFonts w:hint="eastAsia" w:ascii="宋体" w:hAnsi="宋体" w:eastAsia="宋体" w:cs="宋体"/>
          <w:color w:val="auto"/>
          <w:sz w:val="24"/>
          <w:szCs w:val="24"/>
          <w:highlight w:val="none"/>
        </w:rPr>
        <w:t xml:space="preserve">及以上</w:t>
      </w:r>
      <w:r>
        <w:rPr>
          <w:rFonts w:hint="eastAsia" w:ascii="宋体" w:hAnsi="宋体" w:eastAsia="宋体" w:cs="宋体"/>
          <w:color w:val="auto"/>
          <w:sz w:val="24"/>
          <w:szCs w:val="24"/>
          <w:highlight w:val="none"/>
          <w:lang w:val="zh-CN"/>
        </w:rPr>
        <w:t xml:space="preserve">职称证书。</w:t>
      </w:r>
      <w:r/>
    </w:p>
    <w:p>
      <w:pPr>
        <w:pStyle w:val="910"/>
        <w:numPr>
          <w:ilvl w:val="0"/>
          <w:numId w:val="0"/>
        </w:numPr>
        <w:ind w:firstLine="480"/>
        <w:keepLines w:val="0"/>
        <w:keepNext w:val="0"/>
        <w:pageBreakBefore w:val="0"/>
        <w:spacing w:line="360" w:lineRule="auto"/>
        <w:tabs>
          <w:tab w:val="left" w:pos="1050" w:leader="none"/>
          <w:tab w:val="clear" w:pos="1080" w:leader="none"/>
          <w:tab w:val="left" w:pos="1365" w:leader="none"/>
        </w:tabs>
        <w:rPr>
          <w:rFonts w:hint="eastAsia" w:ascii="宋体" w:hAnsi="宋体" w:eastAsia="宋体" w:cs="宋体"/>
          <w:b w:val="0"/>
          <w:bCs/>
          <w:color w:val="auto"/>
          <w:sz w:val="24"/>
          <w:highlight w:val="none"/>
          <w:lang w:val="en-US" w:eastAsia="zh-CN"/>
        </w:rPr>
      </w:pPr>
      <w:r>
        <w:rPr>
          <w:rFonts w:hint="eastAsia" w:ascii="宋体" w:hAnsi="宋体" w:eastAsia="宋体" w:cs="宋体"/>
          <w:b w:val="0"/>
          <w:bCs/>
          <w:color w:val="auto"/>
          <w:sz w:val="24"/>
          <w:highlight w:val="none"/>
          <w:lang w:val="en-US" w:eastAsia="zh-CN"/>
        </w:rPr>
        <w:t xml:space="preserve">②</w:t>
      </w:r>
      <w:r>
        <w:rPr>
          <w:rFonts w:hint="eastAsia" w:ascii="宋体" w:hAnsi="宋体" w:eastAsia="宋体" w:cs="宋体"/>
          <w:bCs/>
          <w:color w:val="auto"/>
          <w:sz w:val="24"/>
          <w:highlight w:val="none"/>
        </w:rPr>
        <w:t xml:space="preserve">养护作业人员中（项目负责人除外）</w:t>
      </w:r>
      <w:r>
        <w:rPr>
          <w:rFonts w:hint="eastAsia" w:ascii="宋体" w:hAnsi="宋体" w:cs="宋体"/>
          <w:bCs/>
          <w:color w:val="auto"/>
          <w:sz w:val="24"/>
          <w:highlight w:val="none"/>
          <w:lang w:eastAsia="zh-CN"/>
        </w:rPr>
        <w:t xml:space="preserve">，有</w:t>
      </w:r>
      <w:r>
        <w:rPr>
          <w:rFonts w:hint="eastAsia" w:ascii="宋体" w:hAnsi="宋体" w:eastAsia="宋体" w:cs="宋体"/>
          <w:bCs/>
          <w:color w:val="auto"/>
          <w:sz w:val="24"/>
          <w:highlight w:val="none"/>
        </w:rPr>
        <w:t xml:space="preserve">专职</w:t>
      </w:r>
      <w:r>
        <w:rPr>
          <w:rFonts w:hint="eastAsia" w:ascii="宋体" w:hAnsi="宋体" w:eastAsia="宋体" w:cs="宋体"/>
          <w:b w:val="0"/>
          <w:bCs/>
          <w:color w:val="auto"/>
          <w:sz w:val="24"/>
          <w:highlight w:val="none"/>
          <w:lang w:val="en-US" w:eastAsia="zh-CN"/>
        </w:rPr>
        <w:t xml:space="preserve">安全员1人</w:t>
      </w:r>
      <w:r>
        <w:rPr>
          <w:rFonts w:hint="eastAsia" w:ascii="宋体" w:hAnsi="宋体" w:cs="宋体"/>
          <w:b w:val="0"/>
          <w:bCs/>
          <w:color w:val="auto"/>
          <w:sz w:val="24"/>
          <w:highlight w:val="none"/>
          <w:lang w:val="en-US" w:eastAsia="zh-CN"/>
        </w:rPr>
        <w:t xml:space="preserve">，作业工人高级工2人，中级工15人。</w:t>
      </w:r>
      <w:r/>
    </w:p>
    <w:p>
      <w:pPr>
        <w:pStyle w:val="910"/>
        <w:numPr>
          <w:ilvl w:val="0"/>
          <w:numId w:val="0"/>
        </w:numPr>
        <w:ind w:firstLine="480"/>
        <w:keepLines w:val="0"/>
        <w:keepNext w:val="0"/>
        <w:pageBreakBefore w:val="0"/>
        <w:spacing w:line="360" w:lineRule="auto"/>
        <w:tabs>
          <w:tab w:val="left" w:pos="1050" w:leader="none"/>
          <w:tab w:val="clear" w:pos="1080" w:leader="none"/>
          <w:tab w:val="left" w:pos="1365" w:leader="none"/>
        </w:tabs>
        <w:rPr>
          <w:rFonts w:hint="eastAsia" w:ascii="宋体" w:hAnsi="宋体" w:eastAsia="宋体" w:cs="宋体"/>
          <w:b w:val="0"/>
          <w:bCs/>
          <w:color w:val="auto"/>
          <w:szCs w:val="22"/>
          <w:highlight w:val="none"/>
        </w:rPr>
      </w:pPr>
      <w:r>
        <w:rPr>
          <w:rFonts w:hint="eastAsia" w:ascii="宋体" w:hAnsi="宋体" w:eastAsia="宋体" w:cs="宋体"/>
          <w:b w:val="0"/>
          <w:bCs/>
          <w:color w:val="auto"/>
          <w:sz w:val="24"/>
          <w:highlight w:val="none"/>
          <w:lang w:val="en-US" w:eastAsia="zh-CN"/>
        </w:rPr>
        <w:t xml:space="preserve">③</w:t>
      </w:r>
      <w:r>
        <w:rPr>
          <w:rFonts w:hint="eastAsia" w:ascii="宋体" w:hAnsi="宋体" w:eastAsia="宋体" w:cs="宋体"/>
          <w:b w:val="0"/>
          <w:bCs/>
          <w:color w:val="auto"/>
          <w:highlight w:val="none"/>
        </w:rPr>
        <w:t xml:space="preserve">养护作业人员基本配备情况（养护作业人员包含项目负责人、绿化技术工人、特殊专业技工及其他所有养护作业人员）（1</w:t>
      </w:r>
      <w:r>
        <w:rPr>
          <w:rFonts w:hint="eastAsia" w:ascii="宋体" w:hAnsi="宋体" w:cs="宋体"/>
          <w:b w:val="0"/>
          <w:bCs/>
          <w:color w:val="auto"/>
          <w:highlight w:val="none"/>
          <w:lang w:val="en-US" w:eastAsia="zh-CN"/>
        </w:rPr>
        <w:t xml:space="preserve">4</w:t>
      </w:r>
      <w:r>
        <w:rPr>
          <w:rFonts w:hint="eastAsia" w:ascii="宋体" w:hAnsi="宋体" w:eastAsia="宋体" w:cs="宋体"/>
          <w:b w:val="0"/>
          <w:bCs/>
          <w:color w:val="auto"/>
          <w:highlight w:val="none"/>
        </w:rPr>
        <w:t xml:space="preserve">分）</w:t>
      </w:r>
      <w:r/>
    </w:p>
    <w:tbl>
      <w:tblPr>
        <w:tblStyle w:val="704"/>
        <w:tblpPr w:horzAnchor="page" w:tblpX="1490" w:vertAnchor="text" w:tblpY="7" w:leftFromText="180" w:topFromText="0" w:rightFromText="180" w:bottomFromText="0"/>
        <w:tblW w:w="493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678"/>
        <w:gridCol w:w="1142"/>
        <w:gridCol w:w="1754"/>
        <w:gridCol w:w="1293"/>
        <w:gridCol w:w="1686"/>
        <w:gridCol w:w="1393"/>
      </w:tblGrid>
      <w:tr>
        <w:trPr>
          <w:trHeight w:val="1296" w:hRule="exact"/>
        </w:trPr>
        <w:tc>
          <w:tcPr>
            <w:tcMar>
              <w:left w:w="108" w:type="dxa"/>
              <w:right w:w="108" w:type="dxa"/>
            </w:tcMar>
            <w:tcW w:w="937" w:type="pct"/>
            <w:vAlign w:val="center"/>
            <w:textDirection w:val="lrTb"/>
            <w:noWrap/>
          </w:tcPr>
          <w:p>
            <w:pPr>
              <w:ind w:left="0" w:firstLine="0"/>
              <w:jc w:val="center"/>
              <w:keepLines w:val="0"/>
              <w:keepNext w:val="0"/>
              <w:pageBreakBefore w:val="0"/>
              <w:spacing w:line="360" w:lineRule="auto"/>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最低配置</w:t>
            </w:r>
            <w:r/>
          </w:p>
          <w:p>
            <w:pPr>
              <w:ind w:left="0" w:firstLine="0"/>
              <w:jc w:val="center"/>
              <w:keepLines w:val="0"/>
              <w:keepNext w:val="0"/>
              <w:pageBreakBefore w:val="0"/>
              <w:spacing w:line="360" w:lineRule="auto"/>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数量标准</w:t>
            </w:r>
            <w:r/>
          </w:p>
          <w:p>
            <w:pPr>
              <w:ind w:left="0" w:firstLine="0"/>
              <w:jc w:val="center"/>
              <w:keepLines w:val="0"/>
              <w:keepNext w:val="0"/>
              <w:pageBreakBefore w:val="0"/>
              <w:spacing w:line="360" w:lineRule="auto"/>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（人）</w:t>
            </w:r>
            <w:r/>
          </w:p>
        </w:tc>
        <w:tc>
          <w:tcPr>
            <w:tcMar>
              <w:left w:w="108" w:type="dxa"/>
              <w:right w:w="108" w:type="dxa"/>
            </w:tcMar>
            <w:tcW w:w="638" w:type="pct"/>
            <w:vAlign w:val="center"/>
            <w:textDirection w:val="lrTb"/>
            <w:noWrap/>
          </w:tcPr>
          <w:p>
            <w:pPr>
              <w:ind w:left="0" w:firstLine="0"/>
              <w:jc w:val="center"/>
              <w:keepLines w:val="0"/>
              <w:keepNext w:val="0"/>
              <w:pageBreakBefore w:val="0"/>
              <w:spacing w:line="360" w:lineRule="auto"/>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得分</w:t>
            </w:r>
            <w:r/>
          </w:p>
        </w:tc>
        <w:tc>
          <w:tcPr>
            <w:tcMar>
              <w:left w:w="108" w:type="dxa"/>
              <w:right w:w="108" w:type="dxa"/>
            </w:tcMar>
            <w:tcW w:w="980" w:type="pct"/>
            <w:vAlign w:val="center"/>
            <w:textDirection w:val="lrTb"/>
            <w:noWrap/>
          </w:tcPr>
          <w:p>
            <w:pPr>
              <w:ind w:left="0" w:firstLine="0"/>
              <w:jc w:val="center"/>
              <w:keepLines w:val="0"/>
              <w:keepNext w:val="0"/>
              <w:pageBreakBefore w:val="0"/>
              <w:spacing w:line="360" w:lineRule="auto"/>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中级配置</w:t>
            </w:r>
            <w:r/>
          </w:p>
          <w:p>
            <w:pPr>
              <w:ind w:left="0" w:firstLine="0"/>
              <w:jc w:val="center"/>
              <w:keepLines w:val="0"/>
              <w:keepNext w:val="0"/>
              <w:pageBreakBefore w:val="0"/>
              <w:spacing w:line="360" w:lineRule="auto"/>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数量标准</w:t>
            </w:r>
            <w:r/>
          </w:p>
          <w:p>
            <w:pPr>
              <w:ind w:left="0" w:firstLine="0"/>
              <w:jc w:val="center"/>
              <w:keepLines w:val="0"/>
              <w:keepNext w:val="0"/>
              <w:pageBreakBefore w:val="0"/>
              <w:spacing w:line="360" w:lineRule="auto"/>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（人）</w:t>
            </w:r>
            <w:r/>
          </w:p>
        </w:tc>
        <w:tc>
          <w:tcPr>
            <w:tcMar>
              <w:left w:w="108" w:type="dxa"/>
              <w:right w:w="108" w:type="dxa"/>
            </w:tcMar>
            <w:tcW w:w="722" w:type="pct"/>
            <w:vAlign w:val="center"/>
            <w:textDirection w:val="lrTb"/>
            <w:noWrap/>
          </w:tcPr>
          <w:p>
            <w:pPr>
              <w:ind w:left="0" w:firstLine="0"/>
              <w:jc w:val="center"/>
              <w:keepLines w:val="0"/>
              <w:keepNext w:val="0"/>
              <w:pageBreakBefore w:val="0"/>
              <w:spacing w:line="360" w:lineRule="auto"/>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得分</w:t>
            </w:r>
            <w:r/>
          </w:p>
        </w:tc>
        <w:tc>
          <w:tcPr>
            <w:tcMar>
              <w:left w:w="108" w:type="dxa"/>
              <w:right w:w="108" w:type="dxa"/>
            </w:tcMar>
            <w:tcW w:w="942" w:type="pct"/>
            <w:vAlign w:val="center"/>
            <w:textDirection w:val="lrTb"/>
            <w:noWrap/>
          </w:tcPr>
          <w:p>
            <w:pPr>
              <w:ind w:left="0" w:firstLine="0"/>
              <w:jc w:val="center"/>
              <w:keepLines w:val="0"/>
              <w:keepNext w:val="0"/>
              <w:pageBreakBefore w:val="0"/>
              <w:spacing w:line="360" w:lineRule="auto"/>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高级配置</w:t>
            </w:r>
            <w:r/>
          </w:p>
          <w:p>
            <w:pPr>
              <w:ind w:left="0" w:firstLine="0"/>
              <w:jc w:val="center"/>
              <w:keepLines w:val="0"/>
              <w:keepNext w:val="0"/>
              <w:pageBreakBefore w:val="0"/>
              <w:spacing w:line="360" w:lineRule="auto"/>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数量标准</w:t>
            </w:r>
            <w:r/>
          </w:p>
          <w:p>
            <w:pPr>
              <w:ind w:left="0" w:firstLine="0"/>
              <w:jc w:val="center"/>
              <w:keepLines w:val="0"/>
              <w:keepNext w:val="0"/>
              <w:pageBreakBefore w:val="0"/>
              <w:spacing w:line="360" w:lineRule="auto"/>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（人）</w:t>
            </w:r>
            <w:r/>
          </w:p>
        </w:tc>
        <w:tc>
          <w:tcPr>
            <w:tcMar>
              <w:left w:w="108" w:type="dxa"/>
              <w:right w:w="108" w:type="dxa"/>
            </w:tcMar>
            <w:tcW w:w="778" w:type="pct"/>
            <w:vAlign w:val="center"/>
            <w:textDirection w:val="lrTb"/>
            <w:noWrap/>
          </w:tcPr>
          <w:p>
            <w:pPr>
              <w:ind w:left="0" w:firstLine="0"/>
              <w:jc w:val="center"/>
              <w:keepLines w:val="0"/>
              <w:keepNext w:val="0"/>
              <w:pageBreakBefore w:val="0"/>
              <w:spacing w:line="360" w:lineRule="auto"/>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得分</w:t>
            </w:r>
            <w:r/>
          </w:p>
        </w:tc>
      </w:tr>
      <w:tr>
        <w:trPr>
          <w:trHeight w:val="717" w:hRule="exact"/>
        </w:trPr>
        <w:tc>
          <w:tcPr>
            <w:tcMar>
              <w:left w:w="108" w:type="dxa"/>
              <w:right w:w="108" w:type="dxa"/>
            </w:tcMar>
            <w:tcW w:w="937" w:type="pct"/>
            <w:vAlign w:val="center"/>
            <w:textDirection w:val="lrTb"/>
            <w:noWrap/>
          </w:tcPr>
          <w:p>
            <w:pPr>
              <w:ind w:left="0" w:firstLine="0"/>
              <w:jc w:val="center"/>
              <w:keepLines w:val="0"/>
              <w:keepNext w:val="0"/>
              <w:pageBreakBefore w:val="0"/>
              <w:spacing w:line="360" w:lineRule="auto"/>
              <w:widowControl/>
              <w:rPr>
                <w:rFonts w:hint="default"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79</w:t>
            </w:r>
            <w:r/>
          </w:p>
        </w:tc>
        <w:tc>
          <w:tcPr>
            <w:tcMar>
              <w:left w:w="108" w:type="dxa"/>
              <w:right w:w="108" w:type="dxa"/>
            </w:tcMar>
            <w:tcW w:w="638" w:type="pct"/>
            <w:vAlign w:val="center"/>
            <w:textDirection w:val="lrTb"/>
            <w:noWrap/>
          </w:tcPr>
          <w:p>
            <w:pPr>
              <w:ind w:left="0" w:firstLine="0"/>
              <w:jc w:val="center"/>
              <w:keepLines w:val="0"/>
              <w:keepNext w:val="0"/>
              <w:pageBreakBefore w:val="0"/>
              <w:spacing w:line="360" w:lineRule="auto"/>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0</w:t>
            </w:r>
            <w:r/>
          </w:p>
        </w:tc>
        <w:tc>
          <w:tcPr>
            <w:tcMar>
              <w:left w:w="108" w:type="dxa"/>
              <w:right w:w="108" w:type="dxa"/>
            </w:tcMar>
            <w:tcW w:w="980" w:type="pct"/>
            <w:vAlign w:val="center"/>
            <w:textDirection w:val="lrTb"/>
            <w:noWrap/>
          </w:tcPr>
          <w:p>
            <w:pPr>
              <w:ind w:left="0" w:firstLine="0"/>
              <w:jc w:val="center"/>
              <w:keepLines w:val="0"/>
              <w:keepNext w:val="0"/>
              <w:pageBreakBefore w:val="0"/>
              <w:spacing w:line="360" w:lineRule="auto"/>
              <w:widowControl/>
              <w:rPr>
                <w:rFonts w:hint="default"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89</w:t>
            </w:r>
            <w:r/>
          </w:p>
        </w:tc>
        <w:tc>
          <w:tcPr>
            <w:tcMar>
              <w:left w:w="108" w:type="dxa"/>
              <w:right w:w="108" w:type="dxa"/>
            </w:tcMar>
            <w:tcW w:w="722" w:type="pct"/>
            <w:vAlign w:val="center"/>
            <w:textDirection w:val="lrTb"/>
            <w:noWrap/>
          </w:tcPr>
          <w:p>
            <w:pPr>
              <w:ind w:left="0" w:firstLine="0"/>
              <w:jc w:val="center"/>
              <w:keepLines w:val="0"/>
              <w:keepNext w:val="0"/>
              <w:pageBreakBefore w:val="0"/>
              <w:spacing w:line="360" w:lineRule="auto"/>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7</w:t>
            </w:r>
            <w:r/>
          </w:p>
        </w:tc>
        <w:tc>
          <w:tcPr>
            <w:tcMar>
              <w:left w:w="108" w:type="dxa"/>
              <w:right w:w="108" w:type="dxa"/>
            </w:tcMar>
            <w:tcW w:w="942" w:type="pct"/>
            <w:vAlign w:val="center"/>
            <w:textDirection w:val="lrTb"/>
            <w:noWrap/>
          </w:tcPr>
          <w:p>
            <w:pPr>
              <w:ind w:left="0" w:firstLine="0"/>
              <w:jc w:val="center"/>
              <w:keepLines w:val="0"/>
              <w:keepNext w:val="0"/>
              <w:pageBreakBefore w:val="0"/>
              <w:spacing w:line="360" w:lineRule="auto"/>
              <w:widowControl/>
              <w:rPr>
                <w:rFonts w:hint="default"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99</w:t>
            </w:r>
            <w:r/>
          </w:p>
        </w:tc>
        <w:tc>
          <w:tcPr>
            <w:tcMar>
              <w:left w:w="108" w:type="dxa"/>
              <w:right w:w="108" w:type="dxa"/>
            </w:tcMar>
            <w:tcW w:w="778" w:type="pct"/>
            <w:vAlign w:val="center"/>
            <w:textDirection w:val="lrTb"/>
            <w:noWrap/>
          </w:tcPr>
          <w:p>
            <w:pPr>
              <w:ind w:left="0" w:firstLine="0"/>
              <w:jc w:val="center"/>
              <w:keepLines w:val="0"/>
              <w:keepNext w:val="0"/>
              <w:pageBreakBefore w:val="0"/>
              <w:spacing w:line="360" w:lineRule="auto"/>
              <w:widowControl/>
              <w:rPr>
                <w:rFonts w:hint="eastAsia" w:ascii="宋体" w:hAnsi="宋体" w:eastAsia="宋体" w:cs="宋体"/>
                <w:i w:val="0"/>
                <w:iCs w:val="0"/>
                <w:color w:val="auto"/>
                <w:sz w:val="22"/>
                <w:szCs w:val="22"/>
                <w:highlight w:val="none"/>
                <w:u w:val="none"/>
                <w:lang w:val="en-US" w:eastAsia="zh-CN" w:bidi="ar"/>
              </w:rPr>
              <w:suppressLineNumbers w:val="0"/>
            </w:pPr>
            <w:r>
              <w:rPr>
                <w:rFonts w:hint="eastAsia" w:ascii="宋体" w:hAnsi="宋体" w:eastAsia="宋体" w:cs="宋体"/>
                <w:i w:val="0"/>
                <w:iCs w:val="0"/>
                <w:color w:val="auto"/>
                <w:sz w:val="22"/>
                <w:szCs w:val="22"/>
                <w:highlight w:val="none"/>
                <w:u w:val="none"/>
                <w:lang w:val="en-US" w:eastAsia="zh-CN" w:bidi="ar"/>
              </w:rPr>
              <w:t xml:space="preserve">14</w:t>
            </w:r>
            <w:r/>
          </w:p>
        </w:tc>
      </w:tr>
    </w:tbl>
    <w:p>
      <w:pPr>
        <w:ind w:firstLine="482"/>
        <w:jc w:val="left"/>
        <w:keepLines w:val="0"/>
        <w:keepNext w:val="0"/>
        <w:pageBreakBefore w:val="0"/>
        <w:spacing w:line="360" w:lineRule="auto"/>
        <w:rPr>
          <w:rFonts w:hint="eastAsia" w:ascii="宋体" w:hAnsi="宋体" w:eastAsia="宋体" w:cs="宋体"/>
          <w:b/>
          <w:bCs/>
          <w:color w:val="auto"/>
          <w:highlight w:val="none"/>
        </w:rPr>
      </w:pPr>
      <w:r>
        <w:rPr>
          <w:rFonts w:hint="eastAsia" w:ascii="宋体" w:hAnsi="宋体" w:eastAsia="宋体" w:cs="宋体"/>
          <w:b/>
          <w:bCs/>
          <w:color w:val="auto"/>
          <w:sz w:val="24"/>
          <w:highlight w:val="none"/>
        </w:rPr>
        <w:t xml:space="preserve">注：</w:t>
      </w:r>
      <w:r>
        <w:rPr>
          <w:rFonts w:hint="eastAsia" w:ascii="宋体" w:hAnsi="宋体" w:eastAsia="宋体" w:cs="宋体"/>
          <w:b/>
          <w:color w:val="auto"/>
          <w:sz w:val="24"/>
          <w:szCs w:val="22"/>
          <w:highlight w:val="none"/>
        </w:rPr>
        <w:t xml:space="preserve">投标文件中附《养护作业人员投入计划一览表》（格式见附件）</w:t>
      </w:r>
      <w:r>
        <w:rPr>
          <w:rFonts w:hint="eastAsia" w:ascii="宋体" w:hAnsi="宋体" w:eastAsia="宋体" w:cs="宋体"/>
          <w:b/>
          <w:bCs/>
          <w:color w:val="auto"/>
          <w:sz w:val="24"/>
          <w:highlight w:val="none"/>
        </w:rPr>
        <w:t xml:space="preserve">，上述人员</w:t>
      </w:r>
      <w:r>
        <w:rPr>
          <w:rFonts w:hint="eastAsia" w:ascii="宋体" w:hAnsi="宋体" w:cs="宋体"/>
          <w:b/>
          <w:bCs/>
          <w:color w:val="auto"/>
          <w:sz w:val="24"/>
          <w:highlight w:val="none"/>
          <w:lang w:eastAsia="zh-CN"/>
        </w:rPr>
        <w:t xml:space="preserve">，项目</w:t>
      </w:r>
      <w:r>
        <w:rPr>
          <w:rFonts w:hint="eastAsia" w:ascii="宋体" w:hAnsi="宋体" w:eastAsia="宋体" w:cs="宋体"/>
          <w:b/>
          <w:bCs/>
          <w:color w:val="auto"/>
          <w:sz w:val="24"/>
          <w:szCs w:val="24"/>
          <w:highlight w:val="none"/>
        </w:rPr>
        <w:t xml:space="preserve">负责人</w:t>
      </w:r>
      <w:r>
        <w:rPr>
          <w:rFonts w:hint="eastAsia" w:ascii="宋体" w:hAnsi="宋体" w:eastAsia="宋体" w:cs="宋体"/>
          <w:b/>
          <w:bCs/>
          <w:color w:val="auto"/>
          <w:sz w:val="24"/>
          <w:highlight w:val="none"/>
        </w:rPr>
        <w:t xml:space="preserve">提</w:t>
      </w:r>
      <w:r>
        <w:rPr>
          <w:rFonts w:hint="eastAsia" w:ascii="宋体" w:hAnsi="宋体" w:eastAsia="宋体" w:cs="宋体"/>
          <w:b/>
          <w:bCs/>
          <w:color w:val="auto"/>
          <w:sz w:val="24"/>
          <w:szCs w:val="22"/>
          <w:highlight w:val="none"/>
        </w:rPr>
        <w:t xml:space="preserve">供</w:t>
      </w:r>
      <w:r>
        <w:rPr>
          <w:rFonts w:hint="eastAsia" w:ascii="宋体" w:hAnsi="宋体" w:eastAsia="宋体" w:cs="宋体"/>
          <w:b/>
          <w:bCs/>
          <w:color w:val="auto"/>
          <w:sz w:val="24"/>
          <w:szCs w:val="22"/>
          <w:highlight w:val="none"/>
          <w:lang w:val="en-US" w:eastAsia="zh-CN"/>
        </w:rPr>
        <w:t xml:space="preserve">职称证</w:t>
      </w:r>
      <w:r>
        <w:rPr>
          <w:rFonts w:hint="eastAsia" w:ascii="宋体" w:hAnsi="宋体" w:eastAsia="宋体" w:cs="宋体"/>
          <w:b/>
          <w:bCs/>
          <w:color w:val="auto"/>
          <w:sz w:val="24"/>
          <w:szCs w:val="24"/>
          <w:highlight w:val="none"/>
          <w:lang w:val="zh-CN"/>
        </w:rPr>
        <w:t xml:space="preserve">【园林绿化专业是指：与园林绿化工程规划、设计、施工及养护管理相关的专业，包括园林（含园林规划设计、园林植物、风景园林、园林绿化等）、园艺、城市规划、景观、植物（含植保、森保等）】</w:t>
      </w:r>
      <w:r>
        <w:rPr>
          <w:rFonts w:hint="eastAsia" w:ascii="宋体" w:hAnsi="宋体" w:eastAsia="宋体" w:cs="宋体"/>
          <w:b/>
          <w:bCs/>
          <w:color w:val="auto"/>
          <w:sz w:val="24"/>
          <w:szCs w:val="22"/>
          <w:highlight w:val="none"/>
          <w:lang w:val="en-US" w:eastAsia="zh-CN"/>
        </w:rPr>
        <w:t xml:space="preserve">；</w:t>
      </w:r>
      <w:r>
        <w:rPr>
          <w:rFonts w:hint="eastAsia" w:ascii="宋体" w:hAnsi="宋体" w:eastAsia="宋体" w:cs="宋体"/>
          <w:b/>
          <w:bCs/>
          <w:color w:val="auto"/>
          <w:sz w:val="24"/>
          <w:highlight w:val="none"/>
        </w:rPr>
        <w:t xml:space="preserve">专职</w:t>
      </w:r>
      <w:r>
        <w:rPr>
          <w:rFonts w:hint="eastAsia" w:ascii="宋体" w:hAnsi="宋体" w:eastAsia="宋体" w:cs="宋体"/>
          <w:b/>
          <w:bCs/>
          <w:color w:val="auto"/>
          <w:sz w:val="24"/>
          <w:highlight w:val="none"/>
          <w:lang w:val="en-US" w:eastAsia="zh-CN"/>
        </w:rPr>
        <w:t xml:space="preserve">安全员提供安全员C证</w:t>
      </w:r>
      <w:r>
        <w:rPr>
          <w:rFonts w:hint="eastAsia" w:ascii="宋体" w:hAnsi="宋体" w:eastAsia="宋体" w:cs="宋体"/>
          <w:b/>
          <w:bCs/>
          <w:i w:val="0"/>
          <w:iCs w:val="0"/>
          <w:caps w:val="0"/>
          <w:color w:val="auto"/>
          <w:spacing w:val="0"/>
          <w:sz w:val="24"/>
          <w:szCs w:val="21"/>
          <w:highlight w:val="none"/>
          <w:shd w:val="clear" w:color="auto"/>
          <w:lang w:eastAsia="zh-CN"/>
        </w:rPr>
        <w:t xml:space="preserve">；</w:t>
      </w:r>
      <w:r>
        <w:rPr>
          <w:rFonts w:hint="eastAsia" w:ascii="宋体" w:hAnsi="宋体" w:eastAsia="宋体" w:cs="宋体"/>
          <w:b/>
          <w:bCs/>
          <w:i w:val="0"/>
          <w:iCs w:val="0"/>
          <w:caps w:val="0"/>
          <w:color w:val="auto"/>
          <w:spacing w:val="0"/>
          <w:sz w:val="24"/>
          <w:szCs w:val="21"/>
          <w:highlight w:val="none"/>
          <w:shd w:val="clear" w:color="auto"/>
          <w:lang w:val="en-US" w:eastAsia="zh-CN"/>
        </w:rPr>
        <w:t xml:space="preserve">所有人员还需提供</w:t>
      </w:r>
      <w:r>
        <w:rPr>
          <w:rFonts w:hint="eastAsia" w:ascii="宋体" w:hAnsi="宋体" w:eastAsia="宋体" w:cs="宋体"/>
          <w:b/>
          <w:color w:val="auto"/>
          <w:sz w:val="24"/>
          <w:highlight w:val="none"/>
        </w:rPr>
        <w:t xml:space="preserve">由</w:t>
      </w:r>
      <w:r>
        <w:rPr>
          <w:rFonts w:hint="eastAsia" w:ascii="宋体" w:hAnsi="宋体" w:eastAsia="宋体" w:cs="宋体"/>
          <w:b/>
          <w:color w:val="auto"/>
          <w:sz w:val="24"/>
          <w:szCs w:val="22"/>
          <w:highlight w:val="none"/>
        </w:rPr>
        <w:t xml:space="preserve">社保机构出具的本企业的</w:t>
      </w:r>
      <w:r>
        <w:rPr>
          <w:rFonts w:hint="eastAsia" w:ascii="宋体" w:hAnsi="宋体" w:eastAsia="宋体" w:cs="宋体"/>
          <w:b/>
          <w:color w:val="auto"/>
          <w:sz w:val="24"/>
          <w:szCs w:val="22"/>
          <w:highlight w:val="none"/>
          <w:lang w:val="en-US" w:eastAsia="zh-CN"/>
        </w:rPr>
        <w:t xml:space="preserve">近一年中任意一个月</w:t>
      </w:r>
      <w:r>
        <w:rPr>
          <w:rFonts w:hint="eastAsia" w:ascii="宋体" w:hAnsi="宋体" w:eastAsia="宋体" w:cs="宋体"/>
          <w:b/>
          <w:bCs/>
          <w:color w:val="auto"/>
          <w:sz w:val="22"/>
          <w:szCs w:val="22"/>
          <w:highlight w:val="none"/>
          <w:lang w:val="en-US" w:eastAsia="zh-CN"/>
        </w:rPr>
        <w:t xml:space="preserve">（不含投标当月）</w:t>
      </w:r>
      <w:r>
        <w:rPr>
          <w:rFonts w:hint="eastAsia" w:ascii="宋体" w:hAnsi="宋体" w:eastAsia="宋体" w:cs="宋体"/>
          <w:b/>
          <w:color w:val="auto"/>
          <w:sz w:val="24"/>
          <w:szCs w:val="22"/>
          <w:highlight w:val="none"/>
        </w:rPr>
        <w:t xml:space="preserve">的缴费证明，</w:t>
      </w:r>
      <w:r>
        <w:rPr>
          <w:rFonts w:hint="eastAsia" w:ascii="宋体" w:hAnsi="宋体" w:eastAsia="宋体" w:cs="宋体"/>
          <w:b/>
          <w:bCs/>
          <w:color w:val="auto"/>
          <w:sz w:val="24"/>
          <w:szCs w:val="22"/>
          <w:highlight w:val="none"/>
        </w:rPr>
        <w:t xml:space="preserve">上述资料</w:t>
      </w:r>
      <w:r>
        <w:rPr>
          <w:rFonts w:hint="eastAsia" w:ascii="宋体" w:hAnsi="宋体" w:eastAsia="宋体" w:cs="宋体"/>
          <w:b/>
          <w:bCs/>
          <w:color w:val="auto"/>
          <w:sz w:val="24"/>
          <w:highlight w:val="none"/>
        </w:rPr>
        <w:t xml:space="preserve">原件的扫描件上传至投标文件中，无扫描件不得分。网上查询带有二维码/验证码的打印件可做原件使用</w:t>
      </w:r>
      <w:r>
        <w:rPr>
          <w:rFonts w:hint="eastAsia" w:ascii="宋体" w:hAnsi="宋体" w:eastAsia="宋体" w:cs="宋体"/>
          <w:color w:val="auto"/>
          <w:sz w:val="24"/>
          <w:highlight w:val="none"/>
        </w:rPr>
        <w:t xml:space="preserve">。</w:t>
      </w:r>
      <w:r>
        <w:rPr>
          <w:rFonts w:hint="eastAsia" w:ascii="宋体" w:hAnsi="宋体" w:eastAsia="宋体" w:cs="宋体"/>
          <w:b/>
          <w:bCs/>
          <w:color w:val="auto"/>
          <w:sz w:val="24"/>
          <w:highlight w:val="none"/>
        </w:rPr>
        <w:t xml:space="preserve">如投标供应商成立时间</w:t>
      </w:r>
      <w:r>
        <w:rPr>
          <w:rFonts w:hint="eastAsia" w:ascii="宋体" w:hAnsi="宋体" w:cs="宋体"/>
          <w:b/>
          <w:bCs/>
          <w:color w:val="auto"/>
          <w:sz w:val="24"/>
          <w:highlight w:val="none"/>
          <w:lang w:eastAsia="zh-CN"/>
        </w:rPr>
        <w:t xml:space="preserve">晚</w:t>
      </w:r>
      <w:r>
        <w:rPr>
          <w:rFonts w:hint="eastAsia" w:ascii="宋体" w:hAnsi="宋体" w:eastAsia="宋体" w:cs="宋体"/>
          <w:b/>
          <w:bCs/>
          <w:color w:val="auto"/>
          <w:sz w:val="24"/>
          <w:highlight w:val="none"/>
        </w:rPr>
        <w:t xml:space="preserve">于要求开始的时间，则提供成立时间至招标文件中社保要求的截止时间内的社保缴费证明。</w:t>
      </w:r>
      <w:r/>
    </w:p>
    <w:p>
      <w:pPr>
        <w:ind w:firstLine="516"/>
        <w:keepLines w:val="0"/>
        <w:keepNext w:val="0"/>
        <w:pageBreakBefore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szCs w:val="24"/>
          <w:highlight w:val="none"/>
        </w:rPr>
        <w:t xml:space="preserve">（</w:t>
      </w:r>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）技术文件</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暗标</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val="en-US" w:eastAsia="zh-CN"/>
        </w:rPr>
        <w:t xml:space="preserve">4</w:t>
      </w:r>
      <w:r>
        <w:rPr>
          <w:rFonts w:hint="eastAsia" w:ascii="宋体" w:hAnsi="宋体" w:cs="宋体"/>
          <w:b/>
          <w:bCs/>
          <w:color w:val="auto"/>
          <w:sz w:val="24"/>
          <w:highlight w:val="none"/>
          <w:lang w:val="en-US" w:eastAsia="zh-CN"/>
        </w:rPr>
        <w:t xml:space="preserve">3</w:t>
      </w:r>
      <w:r>
        <w:rPr>
          <w:rFonts w:hint="eastAsia" w:ascii="宋体" w:hAnsi="宋体" w:eastAsia="宋体" w:cs="宋体"/>
          <w:b/>
          <w:bCs/>
          <w:color w:val="auto"/>
          <w:sz w:val="24"/>
          <w:highlight w:val="none"/>
        </w:rPr>
        <w:t xml:space="preserve">分）：</w:t>
      </w:r>
      <w:r/>
    </w:p>
    <w:p>
      <w:pPr>
        <w:ind w:firstLine="426"/>
        <w:keepLines w:val="0"/>
        <w:keepNext w:val="0"/>
        <w:pageBreakBefore w:val="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1）项目总体概述（</w:t>
      </w:r>
      <w:r>
        <w:rPr>
          <w:rFonts w:hint="eastAsia" w:ascii="宋体" w:hAnsi="宋体" w:cs="宋体"/>
          <w:b/>
          <w:bCs/>
          <w:color w:val="auto"/>
          <w:sz w:val="24"/>
          <w:highlight w:val="none"/>
          <w:lang w:val="en-US" w:eastAsia="zh-CN"/>
        </w:rPr>
        <w:t xml:space="preserve">8</w:t>
      </w:r>
      <w:r>
        <w:rPr>
          <w:rFonts w:hint="eastAsia" w:ascii="宋体" w:hAnsi="宋体" w:eastAsia="宋体" w:cs="宋体"/>
          <w:b/>
          <w:bCs/>
          <w:color w:val="auto"/>
          <w:sz w:val="24"/>
          <w:highlight w:val="none"/>
        </w:rPr>
        <w:t xml:space="preserve">分）</w:t>
      </w:r>
      <w:r/>
    </w:p>
    <w:p>
      <w:pPr>
        <w:ind w:firstLine="426"/>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cs="宋体"/>
          <w:b w:val="0"/>
          <w:bCs w:val="0"/>
          <w:color w:val="auto"/>
          <w:sz w:val="24"/>
          <w:highlight w:val="none"/>
          <w:lang w:eastAsia="zh-CN"/>
        </w:rPr>
        <w:t xml:space="preserve">内容</w:t>
      </w:r>
      <w:r>
        <w:rPr>
          <w:rFonts w:hint="eastAsia" w:ascii="宋体" w:hAnsi="宋体" w:eastAsia="宋体" w:cs="宋体"/>
          <w:color w:val="auto"/>
          <w:sz w:val="24"/>
          <w:highlight w:val="none"/>
        </w:rPr>
        <w:t xml:space="preserve">包括但不限于：①项目技术文件编制总体设想（</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分）、②编制依据、编制说明、编制原则（</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分）</w:t>
      </w:r>
      <w:r/>
    </w:p>
    <w:p>
      <w:pPr>
        <w:ind w:firstLine="424"/>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①提供的项目总体概述全面，不漏项且有针对性解释说明：</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分/项；</w:t>
      </w:r>
      <w:r/>
    </w:p>
    <w:p>
      <w:pPr>
        <w:ind w:firstLine="424"/>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②提供的项目总体概述较全面，有针对性解释说明：</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分/项；</w:t>
      </w:r>
      <w:r/>
    </w:p>
    <w:p>
      <w:pPr>
        <w:ind w:firstLine="424"/>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③提供的项目总体概述基本全面，有针对性解释说明：</w:t>
      </w: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分/项；</w:t>
      </w:r>
      <w:r/>
    </w:p>
    <w:p>
      <w:pPr>
        <w:ind w:firstLine="424"/>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④提供的项目总体概述不全面、对各项内容无解释说明或未提供本项内容：0分/项。</w:t>
      </w:r>
      <w:r/>
    </w:p>
    <w:p>
      <w:pPr>
        <w:keepLines w:val="0"/>
        <w:keepNext w:val="0"/>
        <w:pageBreakBefore w:val="0"/>
        <w:spacing w:line="360" w:lineRule="auto"/>
        <w:rPr>
          <w:rFonts w:hint="eastAsia" w:ascii="宋体" w:hAnsi="宋体" w:eastAsia="宋体" w:cs="宋体"/>
          <w:b/>
          <w:bCs/>
          <w:color w:val="auto"/>
          <w:sz w:val="24"/>
          <w:highlight w:val="none"/>
        </w:rPr>
      </w:pPr>
      <w:r>
        <w:rPr>
          <w:rFonts w:hint="eastAsia" w:ascii="宋体" w:hAnsi="宋体" w:cs="宋体"/>
          <w:b/>
          <w:bCs/>
          <w:color w:val="auto"/>
          <w:sz w:val="24"/>
          <w:highlight w:val="none"/>
          <w:lang w:val="en-US" w:eastAsia="zh-CN"/>
        </w:rPr>
        <w:t xml:space="preserve">2</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项目养护方案（</w:t>
      </w:r>
      <w:r>
        <w:rPr>
          <w:rFonts w:hint="eastAsia" w:ascii="宋体" w:hAnsi="宋体" w:eastAsia="宋体" w:cs="宋体"/>
          <w:b/>
          <w:bCs/>
          <w:color w:val="auto"/>
          <w:sz w:val="24"/>
          <w:highlight w:val="none"/>
          <w:lang w:val="en-US" w:eastAsia="zh-CN"/>
        </w:rPr>
        <w:t xml:space="preserve">8</w:t>
      </w:r>
      <w:r>
        <w:rPr>
          <w:rFonts w:hint="eastAsia" w:ascii="宋体" w:hAnsi="宋体" w:eastAsia="宋体" w:cs="宋体"/>
          <w:b/>
          <w:bCs/>
          <w:color w:val="auto"/>
          <w:sz w:val="24"/>
          <w:highlight w:val="none"/>
        </w:rPr>
        <w:t xml:space="preserve">分）</w:t>
      </w:r>
      <w:r/>
    </w:p>
    <w:p>
      <w:pPr>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内容包括但不限于：①</w:t>
      </w:r>
      <w:r>
        <w:rPr>
          <w:rFonts w:ascii="宋体" w:hAnsi="宋体" w:eastAsia="宋体" w:cs="宋体"/>
          <w:color w:val="000000"/>
          <w:sz w:val="24"/>
          <w:szCs w:val="24"/>
          <w:highlight w:val="none"/>
        </w:rPr>
        <w:t xml:space="preserve">参照考核细则中的养护作业具体要求中一级管护绿地和二级管护绿地的内容</w:t>
      </w:r>
      <w:r>
        <w:rPr>
          <w:rFonts w:hint="eastAsia" w:ascii="宋体" w:hAnsi="宋体" w:eastAsia="宋体" w:cs="宋体"/>
          <w:color w:val="auto"/>
          <w:sz w:val="24"/>
          <w:highlight w:val="none"/>
        </w:rPr>
        <w:t xml:space="preserve">（2分）、②根据植物生长规律和季节特点制定相应的养护方案，根据项目绿地中存在的主要问题，如空秃地、困难地、色块草坪老化退化、种植基础差等问题提出有针对性的解决方案（2分）、</w:t>
      </w:r>
      <w:r>
        <w:rPr>
          <w:rFonts w:hint="eastAsia" w:ascii="宋体" w:hAnsi="宋体" w:eastAsia="宋体" w:cs="宋体"/>
          <w:color w:val="auto"/>
          <w:sz w:val="24"/>
          <w:highlight w:val="none"/>
        </w:rPr>
        <w:fldChar w:fldCharType="begin"/>
      </w:r>
      <w:r>
        <w:rPr>
          <w:rFonts w:hint="eastAsia" w:ascii="宋体" w:hAnsi="宋体" w:eastAsia="宋体" w:cs="宋体"/>
          <w:color w:val="auto"/>
          <w:sz w:val="24"/>
          <w:highlight w:val="none"/>
        </w:rPr>
        <w:instrText xml:space="preserve"> = 3 \* GB3 \* MERGEFORMAT </w:instrText>
      </w:r>
      <w:r>
        <w:rPr>
          <w:rFonts w:hint="eastAsia" w:ascii="宋体" w:hAnsi="宋体" w:eastAsia="宋体" w:cs="宋体"/>
          <w:color w:val="auto"/>
          <w:sz w:val="24"/>
          <w:highlight w:val="none"/>
        </w:rPr>
        <w:fldChar w:fldCharType="separate"/>
      </w:r>
      <w:r>
        <w:rPr>
          <w:rFonts w:hint="eastAsia" w:ascii="宋体" w:hAnsi="宋体" w:eastAsia="宋体" w:cs="宋体"/>
          <w:color w:val="auto"/>
          <w:sz w:val="24"/>
          <w:highlight w:val="none"/>
        </w:rPr>
        <w:t xml:space="preserve">③</w:t>
      </w:r>
      <w:r>
        <w:rPr>
          <w:rFonts w:hint="eastAsia" w:ascii="宋体" w:hAnsi="宋体" w:eastAsia="宋体" w:cs="宋体"/>
          <w:color w:val="auto"/>
          <w:sz w:val="24"/>
          <w:highlight w:val="none"/>
        </w:rPr>
        <w:fldChar w:fldCharType="end"/>
      </w:r>
      <w:r>
        <w:rPr>
          <w:rFonts w:hint="eastAsia" w:ascii="宋体" w:hAnsi="宋体" w:eastAsia="宋体" w:cs="宋体"/>
          <w:color w:val="auto"/>
          <w:sz w:val="24"/>
          <w:highlight w:val="none"/>
        </w:rPr>
        <w:t xml:space="preserve">年度养护计划（2分）、</w:t>
      </w:r>
      <w:r>
        <w:rPr>
          <w:rFonts w:hint="eastAsia" w:ascii="宋体" w:hAnsi="宋体" w:eastAsia="宋体" w:cs="宋体"/>
          <w:color w:val="auto"/>
          <w:sz w:val="24"/>
          <w:highlight w:val="none"/>
        </w:rPr>
        <w:fldChar w:fldCharType="begin"/>
      </w:r>
      <w:r>
        <w:rPr>
          <w:rFonts w:hint="eastAsia" w:ascii="宋体" w:hAnsi="宋体" w:eastAsia="宋体" w:cs="宋体"/>
          <w:color w:val="auto"/>
          <w:sz w:val="24"/>
          <w:highlight w:val="none"/>
        </w:rPr>
        <w:instrText xml:space="preserve"> = 4 \* GB3 \* MERGEFORMAT </w:instrText>
      </w:r>
      <w:r>
        <w:rPr>
          <w:rFonts w:hint="eastAsia" w:ascii="宋体" w:hAnsi="宋体" w:eastAsia="宋体" w:cs="宋体"/>
          <w:color w:val="auto"/>
          <w:sz w:val="24"/>
          <w:highlight w:val="none"/>
        </w:rPr>
        <w:fldChar w:fldCharType="separate"/>
      </w:r>
      <w:r>
        <w:rPr>
          <w:rFonts w:hint="eastAsia" w:ascii="宋体" w:hAnsi="宋体" w:eastAsia="宋体" w:cs="宋体"/>
          <w:color w:val="auto"/>
          <w:sz w:val="24"/>
          <w:highlight w:val="none"/>
        </w:rPr>
        <w:t xml:space="preserve">④</w:t>
      </w:r>
      <w:r>
        <w:rPr>
          <w:rFonts w:hint="eastAsia" w:ascii="宋体" w:hAnsi="宋体" w:eastAsia="宋体" w:cs="宋体"/>
          <w:color w:val="auto"/>
          <w:sz w:val="24"/>
          <w:highlight w:val="none"/>
        </w:rPr>
        <w:fldChar w:fldCharType="end"/>
      </w:r>
      <w:r>
        <w:rPr>
          <w:rFonts w:hint="eastAsia" w:ascii="宋体" w:hAnsi="宋体" w:eastAsia="宋体" w:cs="宋体"/>
          <w:color w:val="auto"/>
          <w:sz w:val="24"/>
          <w:highlight w:val="none"/>
        </w:rPr>
        <w:t xml:space="preserve">专项方案（2分）。</w:t>
      </w:r>
      <w:r/>
    </w:p>
    <w:p>
      <w:pPr>
        <w:ind w:firstLine="424"/>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①提供的项目养护方案全面，不漏项且有针对性解释说明：</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w:t>
      </w:r>
      <w:r>
        <w:rPr>
          <w:rFonts w:hint="eastAsia" w:ascii="宋体" w:hAnsi="宋体" w:eastAsia="宋体" w:cs="宋体"/>
          <w:color w:val="auto"/>
          <w:sz w:val="24"/>
          <w:highlight w:val="none"/>
          <w:lang w:val="en-US" w:eastAsia="zh-CN"/>
        </w:rPr>
        <w:t xml:space="preserve">/项</w:t>
      </w:r>
      <w:r>
        <w:rPr>
          <w:rFonts w:hint="eastAsia" w:ascii="宋体" w:hAnsi="宋体" w:eastAsia="宋体" w:cs="宋体"/>
          <w:color w:val="auto"/>
          <w:sz w:val="24"/>
          <w:highlight w:val="none"/>
        </w:rPr>
        <w:t xml:space="preserve">；</w:t>
      </w:r>
      <w:r/>
    </w:p>
    <w:p>
      <w:pPr>
        <w:ind w:firstLine="424"/>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②提供的项目养护方案较全面，有针对性解释说明：</w:t>
      </w:r>
      <w:r>
        <w:rPr>
          <w:rFonts w:hint="eastAsia" w:ascii="宋体" w:hAnsi="宋体" w:eastAsia="宋体" w:cs="宋体"/>
          <w:color w:val="auto"/>
          <w:sz w:val="24"/>
          <w:highlight w:val="none"/>
          <w:lang w:val="en-US" w:eastAsia="zh-CN"/>
        </w:rPr>
        <w:t xml:space="preserve">1.5</w:t>
      </w:r>
      <w:r>
        <w:rPr>
          <w:rFonts w:hint="eastAsia" w:ascii="宋体" w:hAnsi="宋体" w:eastAsia="宋体" w:cs="宋体"/>
          <w:color w:val="auto"/>
          <w:sz w:val="24"/>
          <w:highlight w:val="none"/>
        </w:rPr>
        <w:t xml:space="preserve">分</w:t>
      </w:r>
      <w:r>
        <w:rPr>
          <w:rFonts w:hint="eastAsia" w:ascii="宋体" w:hAnsi="宋体" w:eastAsia="宋体" w:cs="宋体"/>
          <w:color w:val="auto"/>
          <w:sz w:val="24"/>
          <w:highlight w:val="none"/>
          <w:lang w:val="en-US" w:eastAsia="zh-CN"/>
        </w:rPr>
        <w:t xml:space="preserve">/项</w:t>
      </w:r>
      <w:r>
        <w:rPr>
          <w:rFonts w:hint="eastAsia" w:ascii="宋体" w:hAnsi="宋体" w:eastAsia="宋体" w:cs="宋体"/>
          <w:color w:val="auto"/>
          <w:sz w:val="24"/>
          <w:highlight w:val="none"/>
        </w:rPr>
        <w:t xml:space="preserve">；</w:t>
      </w:r>
      <w:r/>
    </w:p>
    <w:p>
      <w:pPr>
        <w:ind w:firstLine="424"/>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③提供的项目养护方案基本全面，有针对性解释说明：</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分</w:t>
      </w:r>
      <w:r>
        <w:rPr>
          <w:rFonts w:hint="eastAsia" w:ascii="宋体" w:hAnsi="宋体" w:eastAsia="宋体" w:cs="宋体"/>
          <w:color w:val="auto"/>
          <w:sz w:val="24"/>
          <w:highlight w:val="none"/>
          <w:lang w:val="en-US" w:eastAsia="zh-CN"/>
        </w:rPr>
        <w:t xml:space="preserve">/项</w:t>
      </w:r>
      <w:r>
        <w:rPr>
          <w:rFonts w:hint="eastAsia" w:ascii="宋体" w:hAnsi="宋体" w:eastAsia="宋体" w:cs="宋体"/>
          <w:color w:val="auto"/>
          <w:sz w:val="24"/>
          <w:highlight w:val="none"/>
        </w:rPr>
        <w:t xml:space="preserve">；</w:t>
      </w:r>
      <w:r/>
    </w:p>
    <w:p>
      <w:pPr>
        <w:ind w:firstLine="424"/>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④提供的项目养护方案不全面、对各项内容无解释说明或未提供本项内容：0分</w:t>
      </w:r>
      <w:r>
        <w:rPr>
          <w:rFonts w:hint="eastAsia" w:ascii="宋体" w:hAnsi="宋体" w:eastAsia="宋体" w:cs="宋体"/>
          <w:color w:val="auto"/>
          <w:sz w:val="24"/>
          <w:highlight w:val="none"/>
          <w:lang w:val="en-US" w:eastAsia="zh-CN"/>
        </w:rPr>
        <w:t xml:space="preserve">/项</w:t>
      </w:r>
      <w:r>
        <w:rPr>
          <w:rFonts w:hint="eastAsia" w:ascii="宋体" w:hAnsi="宋体" w:eastAsia="宋体" w:cs="宋体"/>
          <w:color w:val="auto"/>
          <w:sz w:val="24"/>
          <w:highlight w:val="none"/>
        </w:rPr>
        <w:t xml:space="preserve">。</w:t>
      </w:r>
      <w:r/>
    </w:p>
    <w:p>
      <w:pPr>
        <w:ind w:firstLine="482"/>
        <w:keepLines w:val="0"/>
        <w:keepNext w:val="0"/>
        <w:pageBreakBefore w:val="0"/>
        <w:spacing w:line="360" w:lineRule="auto"/>
        <w:rPr>
          <w:rFonts w:hint="eastAsia" w:ascii="宋体" w:hAnsi="宋体" w:eastAsia="宋体" w:cs="宋体"/>
          <w:b/>
          <w:bCs/>
          <w:color w:val="auto"/>
          <w:sz w:val="24"/>
          <w:highlight w:val="none"/>
        </w:rPr>
      </w:pPr>
      <w:r>
        <w:rPr>
          <w:rFonts w:hint="eastAsia" w:ascii="宋体" w:hAnsi="宋体" w:cs="宋体"/>
          <w:b/>
          <w:bCs/>
          <w:color w:val="auto"/>
          <w:sz w:val="24"/>
          <w:highlight w:val="none"/>
          <w:lang w:val="en-US" w:eastAsia="zh-CN"/>
        </w:rPr>
        <w:t xml:space="preserve">3</w:t>
      </w:r>
      <w:r>
        <w:rPr>
          <w:rFonts w:hint="eastAsia" w:ascii="宋体" w:hAnsi="宋体" w:eastAsia="宋体" w:cs="宋体"/>
          <w:b/>
          <w:bCs/>
          <w:color w:val="auto"/>
          <w:sz w:val="24"/>
          <w:highlight w:val="none"/>
        </w:rPr>
        <w:t xml:space="preserve">）安全文明施工及环境保护措施（</w:t>
      </w:r>
      <w:r>
        <w:rPr>
          <w:rFonts w:hint="eastAsia" w:ascii="宋体" w:hAnsi="宋体" w:cs="宋体"/>
          <w:b/>
          <w:bCs/>
          <w:color w:val="auto"/>
          <w:sz w:val="24"/>
          <w:highlight w:val="none"/>
          <w:lang w:val="en-US" w:eastAsia="zh-CN"/>
        </w:rPr>
        <w:t xml:space="preserve">8</w:t>
      </w:r>
      <w:r>
        <w:rPr>
          <w:rFonts w:hint="eastAsia" w:ascii="宋体" w:hAnsi="宋体" w:eastAsia="宋体" w:cs="宋体"/>
          <w:b/>
          <w:bCs/>
          <w:color w:val="auto"/>
          <w:sz w:val="24"/>
          <w:highlight w:val="none"/>
        </w:rPr>
        <w:t xml:space="preserve">分）</w:t>
      </w:r>
      <w:r/>
    </w:p>
    <w:p>
      <w:pPr>
        <w:ind w:firstLine="482"/>
        <w:keepLines w:val="0"/>
        <w:keepNext w:val="0"/>
        <w:pageBreakBefore w:val="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主要包括但不限于根据绿地实际情况制定①养护施工措施、扬尘保护措施、</w:t>
      </w:r>
      <w:r>
        <w:rPr>
          <w:rFonts w:hint="eastAsia" w:ascii="宋体" w:hAnsi="宋体" w:eastAsia="宋体" w:cs="宋体"/>
          <w:color w:val="auto"/>
          <w:sz w:val="24"/>
          <w:highlight w:val="none"/>
          <w:lang w:eastAsia="zh-CN"/>
        </w:rPr>
        <w:t xml:space="preserve">噪声</w:t>
      </w:r>
      <w:r>
        <w:rPr>
          <w:rFonts w:hint="eastAsia" w:ascii="宋体" w:hAnsi="宋体" w:eastAsia="宋体" w:cs="宋体"/>
          <w:color w:val="auto"/>
          <w:sz w:val="24"/>
          <w:highlight w:val="none"/>
        </w:rPr>
        <w:t xml:space="preserve">防治措施</w:t>
      </w:r>
      <w:r>
        <w:rPr>
          <w:rFonts w:hint="eastAsia" w:ascii="宋体" w:hAnsi="宋体" w:eastAsia="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lang w:val="en-US" w:eastAsia="zh-CN"/>
        </w:rPr>
        <w:t xml:space="preserve">分</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②工程车辆滴洒抛漏管理及惩处措施、工程车辆的合法手续、工程概况告示牌、安全文明措施不到位的处罚措施、保证相关措施落实到位的承诺</w:t>
      </w:r>
      <w:r>
        <w:rPr>
          <w:rFonts w:hint="eastAsia" w:ascii="宋体" w:hAnsi="宋体" w:eastAsia="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lang w:val="en-US" w:eastAsia="zh-CN"/>
        </w:rPr>
        <w:t xml:space="preserve">分</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w:t>
      </w:r>
      <w:r/>
    </w:p>
    <w:p>
      <w:pPr>
        <w:ind w:firstLine="424"/>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①提供的安全文明施工及环境保护措施及承诺全面，不漏项且有针对性解释说明：</w:t>
      </w: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rPr>
        <w:t xml:space="preserve">分</w:t>
      </w:r>
      <w:r>
        <w:rPr>
          <w:rFonts w:hint="eastAsia" w:ascii="宋体" w:hAnsi="宋体" w:eastAsia="宋体" w:cs="宋体"/>
          <w:color w:val="auto"/>
          <w:sz w:val="24"/>
          <w:highlight w:val="none"/>
          <w:lang w:val="en-US" w:eastAsia="zh-CN"/>
        </w:rPr>
        <w:t xml:space="preserve">/项</w:t>
      </w:r>
      <w:r>
        <w:rPr>
          <w:rFonts w:hint="eastAsia" w:ascii="宋体" w:hAnsi="宋体" w:eastAsia="宋体" w:cs="宋体"/>
          <w:color w:val="auto"/>
          <w:sz w:val="24"/>
          <w:highlight w:val="none"/>
        </w:rPr>
        <w:t xml:space="preserve">；</w:t>
      </w:r>
      <w:r/>
    </w:p>
    <w:p>
      <w:pPr>
        <w:ind w:firstLine="424"/>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②提供的安全文明施工及环境保护措施及承诺较全面，有针对性解释说明：</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分</w:t>
      </w:r>
      <w:r>
        <w:rPr>
          <w:rFonts w:hint="eastAsia" w:ascii="宋体" w:hAnsi="宋体" w:eastAsia="宋体" w:cs="宋体"/>
          <w:color w:val="auto"/>
          <w:sz w:val="24"/>
          <w:highlight w:val="none"/>
          <w:lang w:val="en-US" w:eastAsia="zh-CN"/>
        </w:rPr>
        <w:t xml:space="preserve">/项</w:t>
      </w:r>
      <w:r>
        <w:rPr>
          <w:rFonts w:hint="eastAsia" w:ascii="宋体" w:hAnsi="宋体" w:eastAsia="宋体" w:cs="宋体"/>
          <w:color w:val="auto"/>
          <w:sz w:val="24"/>
          <w:highlight w:val="none"/>
        </w:rPr>
        <w:t xml:space="preserve">；</w:t>
      </w:r>
      <w:r/>
    </w:p>
    <w:p>
      <w:pPr>
        <w:ind w:firstLine="424"/>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③提供的安全文明施工及环境保护措施及承诺基本全面，有针对性解释说明：</w:t>
      </w: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w:t>
      </w:r>
      <w:r>
        <w:rPr>
          <w:rFonts w:hint="eastAsia" w:ascii="宋体" w:hAnsi="宋体" w:eastAsia="宋体" w:cs="宋体"/>
          <w:color w:val="auto"/>
          <w:sz w:val="24"/>
          <w:highlight w:val="none"/>
          <w:lang w:val="en-US" w:eastAsia="zh-CN"/>
        </w:rPr>
        <w:t xml:space="preserve">/项</w:t>
      </w:r>
      <w:r>
        <w:rPr>
          <w:rFonts w:hint="eastAsia" w:ascii="宋体" w:hAnsi="宋体" w:eastAsia="宋体" w:cs="宋体"/>
          <w:color w:val="auto"/>
          <w:sz w:val="24"/>
          <w:highlight w:val="none"/>
        </w:rPr>
        <w:t xml:space="preserve">；</w:t>
      </w:r>
      <w:r/>
    </w:p>
    <w:p>
      <w:pPr>
        <w:ind w:firstLine="424"/>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④提供的安全文明施工及环境保护措施及承诺不全面、对各项内容无解释说明或未提供本项内容：0分</w:t>
      </w:r>
      <w:r>
        <w:rPr>
          <w:rFonts w:hint="eastAsia" w:ascii="宋体" w:hAnsi="宋体" w:eastAsia="宋体" w:cs="宋体"/>
          <w:color w:val="auto"/>
          <w:sz w:val="24"/>
          <w:highlight w:val="none"/>
          <w:lang w:val="en-US" w:eastAsia="zh-CN"/>
        </w:rPr>
        <w:t xml:space="preserve">/项</w:t>
      </w:r>
      <w:r>
        <w:rPr>
          <w:rFonts w:hint="eastAsia" w:ascii="宋体" w:hAnsi="宋体" w:eastAsia="宋体" w:cs="宋体"/>
          <w:color w:val="auto"/>
          <w:sz w:val="24"/>
          <w:highlight w:val="none"/>
        </w:rPr>
        <w:t xml:space="preserve">。</w:t>
      </w:r>
      <w:r/>
    </w:p>
    <w:p>
      <w:pPr>
        <w:ind w:firstLine="482"/>
        <w:keepLines w:val="0"/>
        <w:keepNext w:val="0"/>
        <w:pageBreakBefore w:val="0"/>
        <w:spacing w:line="360" w:lineRule="auto"/>
        <w:rPr>
          <w:rFonts w:hint="eastAsia" w:ascii="宋体" w:hAnsi="宋体" w:eastAsia="宋体" w:cs="宋体"/>
          <w:b/>
          <w:bCs/>
          <w:color w:val="auto"/>
          <w:sz w:val="24"/>
          <w:highlight w:val="none"/>
        </w:rPr>
      </w:pPr>
      <w:r>
        <w:rPr>
          <w:rFonts w:hint="eastAsia" w:ascii="宋体" w:hAnsi="宋体" w:cs="宋体"/>
          <w:b/>
          <w:bCs/>
          <w:color w:val="auto"/>
          <w:sz w:val="24"/>
          <w:highlight w:val="none"/>
          <w:lang w:val="en-US" w:eastAsia="zh-CN"/>
        </w:rPr>
        <w:t xml:space="preserve">4</w:t>
      </w:r>
      <w:r>
        <w:rPr>
          <w:rFonts w:hint="eastAsia" w:ascii="宋体" w:hAnsi="宋体" w:eastAsia="宋体" w:cs="宋体"/>
          <w:b/>
          <w:bCs/>
          <w:color w:val="auto"/>
          <w:sz w:val="24"/>
          <w:highlight w:val="none"/>
        </w:rPr>
        <w:t xml:space="preserve">）服务质量保障措施（</w:t>
      </w:r>
      <w:r>
        <w:rPr>
          <w:rFonts w:hint="eastAsia" w:ascii="宋体" w:hAnsi="宋体" w:eastAsia="宋体" w:cs="宋体"/>
          <w:b/>
          <w:bCs/>
          <w:color w:val="auto"/>
          <w:sz w:val="24"/>
          <w:highlight w:val="none"/>
          <w:lang w:val="en-US" w:eastAsia="zh-CN"/>
        </w:rPr>
        <w:t xml:space="preserve">8</w:t>
      </w:r>
      <w:r>
        <w:rPr>
          <w:rFonts w:hint="eastAsia" w:ascii="宋体" w:hAnsi="宋体" w:eastAsia="宋体" w:cs="宋体"/>
          <w:b/>
          <w:bCs/>
          <w:color w:val="auto"/>
          <w:sz w:val="24"/>
          <w:highlight w:val="none"/>
        </w:rPr>
        <w:t xml:space="preserve">分）</w:t>
      </w:r>
      <w:r/>
    </w:p>
    <w:p>
      <w:pPr>
        <w:ind w:firstLine="482"/>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以达到养护要求质量标准为目的编制服务质量保障措施，内容包括但不限于：①质量控制目标</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2分</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、②质量控制方法</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2分</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、③质量控制通用措施</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2分</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rPr>
        <w:fldChar w:fldCharType="begin"/>
      </w:r>
      <w:r>
        <w:rPr>
          <w:rFonts w:hint="eastAsia" w:ascii="宋体" w:hAnsi="宋体" w:eastAsia="宋体" w:cs="宋体"/>
          <w:color w:val="auto"/>
          <w:sz w:val="24"/>
          <w:highlight w:val="none"/>
        </w:rPr>
        <w:instrText xml:space="preserve"> = 4 \* GB3 \* MERGEFORMAT </w:instrText>
      </w:r>
      <w:r>
        <w:rPr>
          <w:rFonts w:hint="eastAsia" w:ascii="宋体" w:hAnsi="宋体" w:eastAsia="宋体" w:cs="宋体"/>
          <w:color w:val="auto"/>
          <w:sz w:val="24"/>
          <w:highlight w:val="none"/>
        </w:rPr>
        <w:fldChar w:fldCharType="separate"/>
      </w:r>
      <w:r>
        <w:rPr>
          <w:rFonts w:hint="eastAsia" w:ascii="宋体" w:hAnsi="宋体" w:eastAsia="宋体" w:cs="宋体"/>
          <w:color w:val="auto"/>
          <w:sz w:val="24"/>
          <w:highlight w:val="none"/>
        </w:rPr>
        <w:t xml:space="preserve">④</w:t>
      </w:r>
      <w:r>
        <w:rPr>
          <w:rFonts w:hint="eastAsia" w:ascii="宋体" w:hAnsi="宋体" w:eastAsia="宋体" w:cs="宋体"/>
          <w:color w:val="auto"/>
          <w:sz w:val="24"/>
          <w:highlight w:val="none"/>
        </w:rPr>
        <w:fldChar w:fldCharType="end"/>
      </w:r>
      <w:r>
        <w:rPr>
          <w:rFonts w:hint="eastAsia" w:ascii="宋体" w:hAnsi="宋体" w:eastAsia="宋体" w:cs="宋体"/>
          <w:color w:val="auto"/>
          <w:sz w:val="24"/>
          <w:highlight w:val="none"/>
        </w:rPr>
        <w:t xml:space="preserve">质量保证关键环节控制</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2分</w:t>
      </w:r>
      <w:r>
        <w:rPr>
          <w:rFonts w:hint="eastAsia" w:ascii="宋体" w:hAnsi="宋体" w:eastAsia="宋体" w:cs="宋体"/>
          <w:color w:val="auto"/>
          <w:sz w:val="24"/>
          <w:highlight w:val="none"/>
          <w:lang w:eastAsia="zh-CN"/>
        </w:rPr>
        <w:t xml:space="preserve">）</w:t>
      </w:r>
      <w:r/>
    </w:p>
    <w:p>
      <w:pPr>
        <w:ind w:firstLine="424"/>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①提供的服务质量保障措施全面，不漏项且有针对性解释说明：</w:t>
      </w: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w:t>
      </w:r>
      <w:r>
        <w:rPr>
          <w:rFonts w:hint="eastAsia" w:ascii="宋体" w:hAnsi="宋体" w:eastAsia="宋体" w:cs="宋体"/>
          <w:color w:val="auto"/>
          <w:sz w:val="24"/>
          <w:highlight w:val="none"/>
          <w:lang w:val="en-US" w:eastAsia="zh-CN"/>
        </w:rPr>
        <w:t xml:space="preserve">/项</w:t>
      </w:r>
      <w:r>
        <w:rPr>
          <w:rFonts w:hint="eastAsia" w:ascii="宋体" w:hAnsi="宋体" w:eastAsia="宋体" w:cs="宋体"/>
          <w:color w:val="auto"/>
          <w:sz w:val="24"/>
          <w:highlight w:val="none"/>
        </w:rPr>
        <w:t xml:space="preserve">；</w:t>
      </w:r>
      <w:r/>
    </w:p>
    <w:p>
      <w:pPr>
        <w:ind w:firstLine="424"/>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②提供的服务质量保障</w:t>
      </w:r>
      <w:r>
        <w:rPr>
          <w:rFonts w:hint="eastAsia" w:ascii="宋体" w:hAnsi="宋体" w:eastAsia="宋体" w:cs="宋体"/>
          <w:color w:val="auto"/>
          <w:sz w:val="24"/>
          <w:highlight w:val="none"/>
          <w:lang w:eastAsia="zh-CN"/>
        </w:rPr>
        <w:t xml:space="preserve">措施</w:t>
      </w:r>
      <w:r>
        <w:rPr>
          <w:rFonts w:hint="eastAsia" w:ascii="宋体" w:hAnsi="宋体" w:eastAsia="宋体" w:cs="宋体"/>
          <w:color w:val="auto"/>
          <w:sz w:val="24"/>
          <w:highlight w:val="none"/>
        </w:rPr>
        <w:t xml:space="preserve">较全面，有针对性解释说明：</w:t>
      </w:r>
      <w:r>
        <w:rPr>
          <w:rFonts w:hint="eastAsia" w:ascii="宋体" w:hAnsi="宋体" w:eastAsia="宋体" w:cs="宋体"/>
          <w:color w:val="auto"/>
          <w:sz w:val="24"/>
          <w:highlight w:val="none"/>
          <w:lang w:val="en-US" w:eastAsia="zh-CN"/>
        </w:rPr>
        <w:t xml:space="preserve">1.5</w:t>
      </w:r>
      <w:r>
        <w:rPr>
          <w:rFonts w:hint="eastAsia" w:ascii="宋体" w:hAnsi="宋体" w:eastAsia="宋体" w:cs="宋体"/>
          <w:color w:val="auto"/>
          <w:sz w:val="24"/>
          <w:highlight w:val="none"/>
        </w:rPr>
        <w:t xml:space="preserve">分</w:t>
      </w:r>
      <w:r>
        <w:rPr>
          <w:rFonts w:hint="eastAsia" w:ascii="宋体" w:hAnsi="宋体" w:eastAsia="宋体" w:cs="宋体"/>
          <w:color w:val="auto"/>
          <w:sz w:val="24"/>
          <w:highlight w:val="none"/>
          <w:lang w:val="en-US" w:eastAsia="zh-CN"/>
        </w:rPr>
        <w:t xml:space="preserve">/项</w:t>
      </w:r>
      <w:r>
        <w:rPr>
          <w:rFonts w:hint="eastAsia" w:ascii="宋体" w:hAnsi="宋体" w:eastAsia="宋体" w:cs="宋体"/>
          <w:color w:val="auto"/>
          <w:sz w:val="24"/>
          <w:highlight w:val="none"/>
        </w:rPr>
        <w:t xml:space="preserve">；</w:t>
      </w:r>
      <w:r/>
    </w:p>
    <w:p>
      <w:pPr>
        <w:ind w:firstLine="424"/>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③提供的服务质量保障措施基本全面，有针对性解释说明：</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分</w:t>
      </w:r>
      <w:r>
        <w:rPr>
          <w:rFonts w:hint="eastAsia" w:ascii="宋体" w:hAnsi="宋体" w:eastAsia="宋体" w:cs="宋体"/>
          <w:color w:val="auto"/>
          <w:sz w:val="24"/>
          <w:highlight w:val="none"/>
          <w:lang w:val="en-US" w:eastAsia="zh-CN"/>
        </w:rPr>
        <w:t xml:space="preserve">/项</w:t>
      </w:r>
      <w:r>
        <w:rPr>
          <w:rFonts w:hint="eastAsia" w:ascii="宋体" w:hAnsi="宋体" w:eastAsia="宋体" w:cs="宋体"/>
          <w:color w:val="auto"/>
          <w:sz w:val="24"/>
          <w:highlight w:val="none"/>
        </w:rPr>
        <w:t xml:space="preserve">；</w:t>
      </w:r>
      <w:r/>
    </w:p>
    <w:p>
      <w:pPr>
        <w:ind w:firstLine="424"/>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④提供的服务质量保障措施不全面、对各项内容无解释说明或未提供本项内容：0分</w:t>
      </w:r>
      <w:r>
        <w:rPr>
          <w:rFonts w:hint="eastAsia" w:ascii="宋体" w:hAnsi="宋体" w:cs="宋体"/>
          <w:color w:val="auto"/>
          <w:sz w:val="24"/>
          <w:highlight w:val="none"/>
          <w:lang w:eastAsia="zh-CN"/>
        </w:rPr>
        <w:t xml:space="preserve">/项。</w:t>
      </w:r>
      <w:r/>
    </w:p>
    <w:p>
      <w:pPr>
        <w:ind w:firstLine="482"/>
        <w:keepLines w:val="0"/>
        <w:keepNext w:val="0"/>
        <w:pageBreakBefore w:val="0"/>
        <w:spacing w:line="360" w:lineRule="auto"/>
        <w:rPr>
          <w:rFonts w:hint="eastAsia" w:ascii="宋体" w:hAnsi="宋体" w:eastAsia="宋体" w:cs="宋体"/>
          <w:b/>
          <w:bCs/>
          <w:color w:val="auto"/>
          <w:sz w:val="24"/>
          <w:highlight w:val="none"/>
        </w:rPr>
      </w:pPr>
      <w:r>
        <w:rPr>
          <w:rFonts w:hint="eastAsia" w:ascii="宋体" w:hAnsi="宋体" w:cs="宋体"/>
          <w:b/>
          <w:bCs/>
          <w:color w:val="auto"/>
          <w:sz w:val="24"/>
          <w:highlight w:val="none"/>
          <w:lang w:val="en-US" w:eastAsia="zh-CN"/>
        </w:rPr>
        <w:t xml:space="preserve">5</w:t>
      </w:r>
      <w:r>
        <w:rPr>
          <w:rFonts w:hint="eastAsia" w:ascii="宋体" w:hAnsi="宋体" w:eastAsia="宋体" w:cs="宋体"/>
          <w:b/>
          <w:bCs/>
          <w:color w:val="auto"/>
          <w:sz w:val="24"/>
          <w:highlight w:val="none"/>
        </w:rPr>
        <w:t xml:space="preserve">）抢险救灾应急预案（</w:t>
      </w:r>
      <w:r>
        <w:rPr>
          <w:rFonts w:hint="eastAsia" w:ascii="宋体" w:hAnsi="宋体" w:cs="宋体"/>
          <w:b/>
          <w:bCs/>
          <w:color w:val="auto"/>
          <w:sz w:val="24"/>
          <w:highlight w:val="none"/>
          <w:lang w:val="en-US" w:eastAsia="zh-CN"/>
        </w:rPr>
        <w:t xml:space="preserve">6</w:t>
      </w:r>
      <w:r>
        <w:rPr>
          <w:rFonts w:hint="eastAsia" w:ascii="宋体" w:hAnsi="宋体" w:eastAsia="宋体" w:cs="宋体"/>
          <w:b/>
          <w:bCs/>
          <w:color w:val="auto"/>
          <w:sz w:val="24"/>
          <w:highlight w:val="none"/>
        </w:rPr>
        <w:t xml:space="preserve">分）</w:t>
      </w:r>
      <w:r/>
    </w:p>
    <w:p>
      <w:pPr>
        <w:ind w:firstLine="424"/>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szCs w:val="32"/>
          <w:highlight w:val="none"/>
        </w:rPr>
        <w:t xml:space="preserve">内容包括但不</w:t>
      </w:r>
      <w:r>
        <w:rPr>
          <w:rFonts w:hint="eastAsia" w:ascii="宋体" w:hAnsi="宋体" w:eastAsia="宋体" w:cs="宋体"/>
          <w:color w:val="auto"/>
          <w:sz w:val="24"/>
          <w:szCs w:val="32"/>
          <w:highlight w:val="none"/>
          <w:lang w:eastAsia="zh-CN"/>
        </w:rPr>
        <w:t xml:space="preserve">限于</w:t>
      </w:r>
      <w:r>
        <w:rPr>
          <w:rFonts w:hint="eastAsia" w:ascii="宋体" w:hAnsi="宋体" w:eastAsia="宋体" w:cs="宋体"/>
          <w:color w:val="auto"/>
          <w:sz w:val="24"/>
          <w:highlight w:val="none"/>
        </w:rPr>
        <w:fldChar w:fldCharType="begin"/>
      </w:r>
      <w:r>
        <w:rPr>
          <w:rFonts w:hint="eastAsia" w:ascii="宋体" w:hAnsi="宋体" w:eastAsia="宋体" w:cs="宋体"/>
          <w:color w:val="auto"/>
          <w:sz w:val="24"/>
          <w:highlight w:val="none"/>
        </w:rPr>
        <w:instrText xml:space="preserve"> = 1 \* GB3 \* MERGEFORMAT </w:instrText>
      </w:r>
      <w:r>
        <w:rPr>
          <w:rFonts w:hint="eastAsia" w:ascii="宋体" w:hAnsi="宋体" w:eastAsia="宋体" w:cs="宋体"/>
          <w:color w:val="auto"/>
          <w:sz w:val="24"/>
          <w:highlight w:val="none"/>
        </w:rPr>
        <w:fldChar w:fldCharType="separate"/>
      </w:r>
      <w:r>
        <w:rPr>
          <w:rFonts w:hint="eastAsia" w:ascii="宋体" w:hAnsi="宋体" w:eastAsia="宋体" w:cs="宋体"/>
          <w:color w:val="auto"/>
          <w:sz w:val="24"/>
          <w:highlight w:val="none"/>
        </w:rPr>
        <w:t xml:space="preserve">①</w:t>
      </w:r>
      <w:r>
        <w:rPr>
          <w:rFonts w:hint="eastAsia" w:ascii="宋体" w:hAnsi="宋体" w:eastAsia="宋体" w:cs="宋体"/>
          <w:color w:val="auto"/>
          <w:sz w:val="24"/>
          <w:highlight w:val="none"/>
        </w:rPr>
        <w:fldChar w:fldCharType="end"/>
      </w:r>
      <w:r>
        <w:rPr>
          <w:rFonts w:hint="eastAsia" w:ascii="宋体" w:hAnsi="宋体" w:eastAsia="宋体" w:cs="宋体"/>
          <w:color w:val="auto"/>
          <w:sz w:val="24"/>
          <w:highlight w:val="none"/>
        </w:rPr>
        <w:t xml:space="preserve">教育培训、安全抢险、人员配备</w:t>
      </w:r>
      <w:r>
        <w:rPr>
          <w:rFonts w:hint="eastAsia" w:ascii="宋体" w:hAnsi="宋体" w:eastAsia="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lang w:val="en-US" w:eastAsia="zh-CN"/>
        </w:rPr>
        <w:t xml:space="preserve">分</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②日常巡查、灾后恢复</w:t>
      </w:r>
      <w:r>
        <w:rPr>
          <w:rFonts w:hint="eastAsia" w:ascii="宋体" w:hAnsi="宋体" w:eastAsia="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lang w:val="en-US" w:eastAsia="zh-CN"/>
        </w:rPr>
        <w:t xml:space="preserve">分</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等内容描述。</w:t>
      </w:r>
      <w:r/>
    </w:p>
    <w:p>
      <w:pPr>
        <w:ind w:firstLine="424"/>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①提供的抢险救灾应急预案全面，不漏项且有针对性解释说明：</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分</w:t>
      </w:r>
      <w:r>
        <w:rPr>
          <w:rFonts w:hint="eastAsia" w:ascii="宋体" w:hAnsi="宋体" w:eastAsia="宋体" w:cs="宋体"/>
          <w:color w:val="auto"/>
          <w:sz w:val="24"/>
          <w:highlight w:val="none"/>
          <w:lang w:val="en-US" w:eastAsia="zh-CN"/>
        </w:rPr>
        <w:t xml:space="preserve">/项</w:t>
      </w:r>
      <w:r>
        <w:rPr>
          <w:rFonts w:hint="eastAsia" w:ascii="宋体" w:hAnsi="宋体" w:eastAsia="宋体" w:cs="宋体"/>
          <w:color w:val="auto"/>
          <w:sz w:val="24"/>
          <w:highlight w:val="none"/>
        </w:rPr>
        <w:t xml:space="preserve">；</w:t>
      </w:r>
      <w:r/>
    </w:p>
    <w:p>
      <w:pPr>
        <w:ind w:firstLine="424"/>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②提供的抢险救灾应急预案较全面，有针对性解释说明：</w:t>
      </w: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rPr>
        <w:t xml:space="preserve">分</w:t>
      </w:r>
      <w:r>
        <w:rPr>
          <w:rFonts w:hint="eastAsia" w:ascii="宋体" w:hAnsi="宋体" w:eastAsia="宋体" w:cs="宋体"/>
          <w:color w:val="auto"/>
          <w:sz w:val="24"/>
          <w:highlight w:val="none"/>
          <w:lang w:val="en-US" w:eastAsia="zh-CN"/>
        </w:rPr>
        <w:t xml:space="preserve">/项</w:t>
      </w:r>
      <w:r>
        <w:rPr>
          <w:rFonts w:hint="eastAsia" w:ascii="宋体" w:hAnsi="宋体" w:eastAsia="宋体" w:cs="宋体"/>
          <w:color w:val="auto"/>
          <w:sz w:val="24"/>
          <w:highlight w:val="none"/>
        </w:rPr>
        <w:t xml:space="preserve">；</w:t>
      </w:r>
      <w:r/>
    </w:p>
    <w:p>
      <w:pPr>
        <w:ind w:firstLine="424"/>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③提供的抢险救灾应急预案基本全面，有针对性解释说明：</w:t>
      </w: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rPr>
        <w:t xml:space="preserve">分</w:t>
      </w:r>
      <w:r>
        <w:rPr>
          <w:rFonts w:hint="eastAsia" w:ascii="宋体" w:hAnsi="宋体" w:eastAsia="宋体" w:cs="宋体"/>
          <w:color w:val="auto"/>
          <w:sz w:val="24"/>
          <w:highlight w:val="none"/>
          <w:lang w:val="en-US" w:eastAsia="zh-CN"/>
        </w:rPr>
        <w:t xml:space="preserve">/项</w:t>
      </w:r>
      <w:r>
        <w:rPr>
          <w:rFonts w:hint="eastAsia" w:ascii="宋体" w:hAnsi="宋体" w:eastAsia="宋体" w:cs="宋体"/>
          <w:color w:val="auto"/>
          <w:sz w:val="24"/>
          <w:highlight w:val="none"/>
        </w:rPr>
        <w:t xml:space="preserve">；</w:t>
      </w:r>
      <w:r/>
    </w:p>
    <w:p>
      <w:pPr>
        <w:ind w:firstLine="424"/>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④提供的抢险救灾应急预案不全面、对各项内容无解释说明或未提供本项内容：0分</w:t>
      </w:r>
      <w:r>
        <w:rPr>
          <w:rFonts w:hint="eastAsia" w:ascii="宋体" w:hAnsi="宋体" w:eastAsia="宋体" w:cs="宋体"/>
          <w:color w:val="auto"/>
          <w:sz w:val="24"/>
          <w:highlight w:val="none"/>
          <w:lang w:val="en-US" w:eastAsia="zh-CN"/>
        </w:rPr>
        <w:t xml:space="preserve">/项</w:t>
      </w:r>
      <w:r>
        <w:rPr>
          <w:rFonts w:hint="eastAsia" w:ascii="宋体" w:hAnsi="宋体" w:eastAsia="宋体" w:cs="宋体"/>
          <w:color w:val="auto"/>
          <w:sz w:val="24"/>
          <w:highlight w:val="none"/>
        </w:rPr>
        <w:t xml:space="preserve">。</w:t>
      </w:r>
      <w:r/>
    </w:p>
    <w:p>
      <w:pPr>
        <w:numPr>
          <w:ilvl w:val="-1"/>
          <w:numId w:val="0"/>
        </w:numPr>
        <w:ind w:left="0" w:firstLine="482"/>
        <w:jc w:val="left"/>
        <w:keepLines w:val="0"/>
        <w:keepNext w:val="0"/>
        <w:pageBreakBefore w:val="0"/>
        <w:spacing w:line="360" w:lineRule="auto"/>
        <w:widowControl/>
        <w:rPr>
          <w:rFonts w:hint="eastAsia" w:ascii="宋体" w:hAnsi="宋体" w:eastAsia="宋体" w:cs="宋体"/>
          <w:b/>
          <w:bCs/>
          <w:color w:val="auto"/>
          <w:sz w:val="24"/>
          <w:szCs w:val="21"/>
          <w:highlight w:val="none"/>
          <w:lang w:val="en-US" w:eastAsia="zh-CN" w:bidi="ar-SA"/>
        </w:rPr>
        <w:outlineLvl w:val="9"/>
      </w:pPr>
      <w:r>
        <w:rPr>
          <w:rFonts w:hint="eastAsia" w:ascii="宋体" w:hAnsi="宋体" w:cs="宋体"/>
          <w:b/>
          <w:bCs/>
          <w:color w:val="auto"/>
          <w:sz w:val="24"/>
          <w:szCs w:val="21"/>
          <w:highlight w:val="none"/>
          <w:lang w:val="en-US" w:eastAsia="zh-CN" w:bidi="ar-SA"/>
        </w:rPr>
        <w:t xml:space="preserve">6</w:t>
      </w:r>
      <w:r>
        <w:rPr>
          <w:rFonts w:hint="eastAsia" w:ascii="宋体" w:hAnsi="宋体" w:eastAsia="宋体" w:cs="宋体"/>
          <w:b/>
          <w:bCs/>
          <w:color w:val="auto"/>
          <w:sz w:val="24"/>
          <w:szCs w:val="21"/>
          <w:highlight w:val="none"/>
          <w:lang w:val="en-US" w:eastAsia="zh-CN" w:bidi="ar-SA"/>
        </w:rPr>
        <w:t xml:space="preserve">）</w:t>
      </w:r>
      <w:r>
        <w:rPr>
          <w:rFonts w:hint="eastAsia" w:ascii="宋体" w:hAnsi="宋体" w:eastAsia="宋体" w:cs="宋体"/>
          <w:b/>
          <w:bCs/>
          <w:color w:val="auto"/>
          <w:sz w:val="24"/>
          <w:szCs w:val="21"/>
          <w:highlight w:val="none"/>
          <w:lang w:val="en-US" w:bidi="ar-SA"/>
        </w:rPr>
        <w:t xml:space="preserve">服务响应时间</w:t>
      </w:r>
      <w:r>
        <w:rPr>
          <w:rFonts w:hint="eastAsia" w:ascii="宋体" w:hAnsi="宋体" w:eastAsia="宋体" w:cs="宋体"/>
          <w:b/>
          <w:bCs/>
          <w:color w:val="auto"/>
          <w:sz w:val="24"/>
          <w:szCs w:val="21"/>
          <w:highlight w:val="none"/>
          <w:lang w:val="en-US" w:eastAsia="zh-CN" w:bidi="ar-SA"/>
        </w:rPr>
        <w:t xml:space="preserve">（</w:t>
      </w:r>
      <w:r>
        <w:rPr>
          <w:rFonts w:hint="eastAsia" w:ascii="宋体" w:hAnsi="宋体" w:cs="宋体"/>
          <w:b/>
          <w:bCs/>
          <w:color w:val="auto"/>
          <w:sz w:val="24"/>
          <w:szCs w:val="21"/>
          <w:highlight w:val="none"/>
          <w:lang w:val="en-US" w:eastAsia="zh-CN" w:bidi="ar-SA"/>
        </w:rPr>
        <w:t xml:space="preserve">5</w:t>
      </w:r>
      <w:r>
        <w:rPr>
          <w:rFonts w:hint="eastAsia" w:ascii="宋体" w:hAnsi="宋体" w:eastAsia="宋体" w:cs="宋体"/>
          <w:b/>
          <w:bCs/>
          <w:color w:val="auto"/>
          <w:sz w:val="24"/>
          <w:szCs w:val="21"/>
          <w:highlight w:val="none"/>
          <w:lang w:val="en-US" w:bidi="ar-SA"/>
        </w:rPr>
        <w:t xml:space="preserve">分</w:t>
      </w:r>
      <w:r>
        <w:rPr>
          <w:rFonts w:hint="eastAsia" w:ascii="宋体" w:hAnsi="宋体" w:eastAsia="宋体" w:cs="宋体"/>
          <w:b/>
          <w:bCs/>
          <w:color w:val="auto"/>
          <w:sz w:val="24"/>
          <w:szCs w:val="21"/>
          <w:highlight w:val="none"/>
          <w:lang w:val="en-US" w:eastAsia="zh-CN" w:bidi="ar-SA"/>
        </w:rPr>
        <w:t xml:space="preserve">）</w:t>
      </w:r>
      <w:r/>
    </w:p>
    <w:p>
      <w:pPr>
        <w:numPr>
          <w:ilvl w:val="0"/>
          <w:numId w:val="0"/>
        </w:numPr>
        <w:ind w:left="0" w:firstLine="480"/>
        <w:jc w:val="left"/>
        <w:keepLines w:val="0"/>
        <w:keepNext w:val="0"/>
        <w:pageBreakBefore w:val="0"/>
        <w:spacing w:line="360" w:lineRule="auto"/>
        <w:widowControl w:val="off"/>
        <w:tabs>
          <w:tab w:val="left" w:pos="552" w:leader="none"/>
          <w:tab w:val="left" w:pos="1050" w:leader="none"/>
          <w:tab w:val="left" w:pos="1365" w:leader="none"/>
        </w:tabs>
        <w:rPr>
          <w:rFonts w:hint="eastAsia" w:ascii="宋体" w:hAnsi="宋体" w:eastAsia="宋体" w:cs="宋体"/>
          <w:b w:val="0"/>
          <w:bCs w:val="0"/>
          <w:color w:val="auto"/>
          <w:sz w:val="24"/>
          <w:szCs w:val="24"/>
          <w:highlight w:val="none"/>
          <w:lang w:val="en-US" w:eastAsia="zh-CN" w:bidi="ar-SA"/>
        </w:rPr>
        <w:outlineLvl w:val="0"/>
      </w:pPr>
      <w:r>
        <w:rPr>
          <w:rFonts w:hint="eastAsia" w:ascii="宋体" w:hAnsi="宋体" w:eastAsia="宋体" w:cs="宋体"/>
          <w:color w:val="auto"/>
          <w:sz w:val="24"/>
          <w:szCs w:val="32"/>
          <w:highlight w:val="none"/>
        </w:rPr>
        <w:t xml:space="preserve">内容包括但不限</w:t>
      </w:r>
      <w:r>
        <w:rPr>
          <w:rFonts w:hint="eastAsia" w:ascii="宋体" w:hAnsi="宋体" w:eastAsia="宋体" w:cs="宋体"/>
          <w:color w:val="auto"/>
          <w:sz w:val="24"/>
          <w:highlight w:val="none"/>
        </w:rPr>
        <w:t xml:space="preserve">于</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fldChar w:fldCharType="begin"/>
      </w:r>
      <w:r>
        <w:rPr>
          <w:rFonts w:hint="eastAsia" w:ascii="宋体" w:hAnsi="宋体" w:eastAsia="宋体" w:cs="宋体"/>
          <w:color w:val="auto"/>
          <w:sz w:val="24"/>
          <w:highlight w:val="none"/>
        </w:rPr>
        <w:instrText xml:space="preserve"> = 1 \* GB3 \* MERGEFORMAT </w:instrText>
      </w:r>
      <w:r>
        <w:rPr>
          <w:rFonts w:hint="eastAsia" w:ascii="宋体" w:hAnsi="宋体" w:eastAsia="宋体" w:cs="宋体"/>
          <w:color w:val="auto"/>
          <w:sz w:val="24"/>
          <w:highlight w:val="none"/>
        </w:rPr>
        <w:fldChar w:fldCharType="separate"/>
      </w:r>
      <w:r>
        <w:rPr>
          <w:rFonts w:hint="eastAsia" w:ascii="宋体" w:hAnsi="宋体" w:eastAsia="宋体" w:cs="宋体"/>
          <w:color w:val="auto"/>
          <w:sz w:val="24"/>
          <w:highlight w:val="none"/>
        </w:rPr>
        <w:t xml:space="preserve">①</w:t>
      </w:r>
      <w:r>
        <w:rPr>
          <w:rFonts w:hint="eastAsia" w:ascii="宋体" w:hAnsi="宋体" w:eastAsia="宋体" w:cs="宋体"/>
          <w:color w:val="auto"/>
          <w:sz w:val="24"/>
          <w:highlight w:val="none"/>
        </w:rPr>
        <w:fldChar w:fldCharType="end"/>
      </w:r>
      <w:r>
        <w:rPr>
          <w:rFonts w:hint="eastAsia" w:ascii="宋体" w:hAnsi="宋体" w:eastAsia="宋体" w:cs="宋体"/>
          <w:b w:val="0"/>
          <w:bCs w:val="0"/>
          <w:color w:val="auto"/>
          <w:sz w:val="24"/>
          <w:szCs w:val="24"/>
          <w:highlight w:val="none"/>
          <w:lang w:val="en-US" w:bidi="ar-SA"/>
        </w:rPr>
        <w:t xml:space="preserve">响应时间</w:t>
      </w:r>
      <w:r>
        <w:rPr>
          <w:rFonts w:hint="eastAsia" w:ascii="宋体" w:hAnsi="宋体" w:eastAsia="宋体" w:cs="宋体"/>
          <w:b w:val="0"/>
          <w:bCs w:val="0"/>
          <w:color w:val="auto"/>
          <w:sz w:val="24"/>
          <w:szCs w:val="24"/>
          <w:highlight w:val="none"/>
          <w:lang w:val="en-US" w:eastAsia="zh-CN" w:bidi="ar-SA"/>
        </w:rPr>
        <w:t xml:space="preserve">承诺</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2</w:t>
      </w: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lang w:val="en-US" w:eastAsia="zh-CN"/>
        </w:rPr>
        <w:t xml:space="preserve">分</w:t>
      </w:r>
      <w:r>
        <w:rPr>
          <w:rFonts w:hint="eastAsia" w:ascii="宋体" w:hAnsi="宋体" w:eastAsia="宋体" w:cs="宋体"/>
          <w:color w:val="auto"/>
          <w:sz w:val="24"/>
          <w:highlight w:val="none"/>
          <w:lang w:eastAsia="zh-CN"/>
        </w:rPr>
        <w:t xml:space="preserve">）</w:t>
      </w:r>
      <w:r>
        <w:rPr>
          <w:rFonts w:hint="eastAsia" w:ascii="宋体" w:hAnsi="宋体" w:cs="宋体"/>
          <w:color w:val="auto"/>
          <w:sz w:val="24"/>
          <w:highlight w:val="none"/>
          <w:lang w:eastAsia="zh-CN"/>
        </w:rPr>
        <w:t xml:space="preserve">；②</w:t>
      </w:r>
      <w:r>
        <w:rPr>
          <w:rFonts w:hint="eastAsia" w:ascii="宋体" w:hAnsi="宋体" w:eastAsia="宋体" w:cs="宋体"/>
          <w:color w:val="auto"/>
          <w:sz w:val="24"/>
          <w:highlight w:val="none"/>
          <w:lang w:val="en-US" w:eastAsia="zh-CN"/>
        </w:rPr>
        <w:t xml:space="preserve">保障</w:t>
      </w:r>
      <w:r>
        <w:rPr>
          <w:rFonts w:hint="eastAsia" w:ascii="宋体" w:hAnsi="宋体" w:eastAsia="宋体" w:cs="宋体"/>
          <w:b w:val="0"/>
          <w:bCs w:val="0"/>
          <w:color w:val="auto"/>
          <w:sz w:val="24"/>
          <w:szCs w:val="24"/>
          <w:highlight w:val="none"/>
          <w:lang w:val="en-US" w:bidi="ar-SA"/>
        </w:rPr>
        <w:t xml:space="preserve">时间</w:t>
      </w:r>
      <w:r>
        <w:rPr>
          <w:rFonts w:hint="eastAsia" w:ascii="宋体" w:hAnsi="宋体" w:eastAsia="宋体" w:cs="宋体"/>
          <w:b w:val="0"/>
          <w:bCs w:val="0"/>
          <w:color w:val="auto"/>
          <w:sz w:val="24"/>
          <w:szCs w:val="24"/>
          <w:highlight w:val="none"/>
          <w:lang w:val="en-US" w:eastAsia="zh-CN" w:bidi="ar-SA"/>
        </w:rPr>
        <w:t xml:space="preserve">的具体措施</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2</w:t>
      </w: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lang w:val="en-US" w:eastAsia="zh-CN"/>
        </w:rPr>
        <w:t xml:space="preserve">分</w:t>
      </w:r>
      <w:r>
        <w:rPr>
          <w:rFonts w:hint="eastAsia" w:ascii="宋体" w:hAnsi="宋体" w:eastAsia="宋体" w:cs="宋体"/>
          <w:color w:val="auto"/>
          <w:sz w:val="24"/>
          <w:highlight w:val="none"/>
          <w:lang w:eastAsia="zh-CN"/>
        </w:rPr>
        <w:t xml:space="preserve">）</w:t>
      </w:r>
      <w:r/>
    </w:p>
    <w:p>
      <w:pPr>
        <w:ind w:firstLine="424"/>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①提供的</w:t>
      </w:r>
      <w:r>
        <w:rPr>
          <w:rFonts w:hint="eastAsia" w:ascii="宋体" w:hAnsi="宋体" w:eastAsia="宋体" w:cs="宋体"/>
          <w:b w:val="0"/>
          <w:bCs w:val="0"/>
          <w:color w:val="auto"/>
          <w:sz w:val="24"/>
          <w:szCs w:val="24"/>
          <w:highlight w:val="none"/>
          <w:lang w:val="en-US" w:bidi="ar-SA"/>
        </w:rPr>
        <w:t xml:space="preserve">服务响应</w:t>
      </w:r>
      <w:r>
        <w:rPr>
          <w:rFonts w:hint="eastAsia" w:ascii="宋体" w:hAnsi="宋体" w:cs="宋体"/>
          <w:b w:val="0"/>
          <w:bCs w:val="0"/>
          <w:color w:val="auto"/>
          <w:sz w:val="24"/>
          <w:szCs w:val="24"/>
          <w:highlight w:val="none"/>
          <w:lang w:val="en-US" w:eastAsia="zh-CN" w:bidi="ar-SA"/>
        </w:rPr>
        <w:t xml:space="preserve">时间相关预案</w:t>
      </w:r>
      <w:r>
        <w:rPr>
          <w:rFonts w:hint="eastAsia" w:ascii="宋体" w:hAnsi="宋体" w:eastAsia="宋体" w:cs="宋体"/>
          <w:color w:val="auto"/>
          <w:sz w:val="24"/>
          <w:highlight w:val="none"/>
        </w:rPr>
        <w:t xml:space="preserve">全面，不漏项且有针对性解释说明：</w:t>
      </w:r>
      <w:r>
        <w:rPr>
          <w:rFonts w:hint="eastAsia" w:ascii="宋体" w:hAnsi="宋体" w:eastAsia="宋体" w:cs="宋体"/>
          <w:color w:val="auto"/>
          <w:sz w:val="24"/>
          <w:highlight w:val="none"/>
          <w:lang w:val="en-US" w:eastAsia="zh-CN"/>
        </w:rPr>
        <w:t xml:space="preserve">2</w:t>
      </w: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rPr>
        <w:t xml:space="preserve">分</w:t>
      </w:r>
      <w:r>
        <w:rPr>
          <w:rFonts w:hint="eastAsia" w:ascii="宋体" w:hAnsi="宋体" w:eastAsia="宋体" w:cs="宋体"/>
          <w:color w:val="auto"/>
          <w:sz w:val="24"/>
          <w:highlight w:val="none"/>
          <w:lang w:val="en-US" w:eastAsia="zh-CN"/>
        </w:rPr>
        <w:t xml:space="preserve">/项</w:t>
      </w:r>
      <w:r>
        <w:rPr>
          <w:rFonts w:hint="eastAsia" w:ascii="宋体" w:hAnsi="宋体" w:eastAsia="宋体" w:cs="宋体"/>
          <w:color w:val="auto"/>
          <w:sz w:val="24"/>
          <w:highlight w:val="none"/>
        </w:rPr>
        <w:t xml:space="preserve">；</w:t>
      </w:r>
      <w:r/>
    </w:p>
    <w:p>
      <w:pPr>
        <w:ind w:firstLine="424"/>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②提供的</w:t>
      </w:r>
      <w:r>
        <w:rPr>
          <w:rFonts w:hint="eastAsia" w:ascii="宋体" w:hAnsi="宋体" w:eastAsia="宋体" w:cs="宋体"/>
          <w:b w:val="0"/>
          <w:bCs w:val="0"/>
          <w:color w:val="auto"/>
          <w:sz w:val="24"/>
          <w:szCs w:val="24"/>
          <w:highlight w:val="none"/>
          <w:lang w:val="en-US" w:bidi="ar-SA"/>
        </w:rPr>
        <w:t xml:space="preserve">服务响应</w:t>
      </w:r>
      <w:r>
        <w:rPr>
          <w:rFonts w:hint="eastAsia" w:ascii="宋体" w:hAnsi="宋体" w:cs="宋体"/>
          <w:b w:val="0"/>
          <w:bCs w:val="0"/>
          <w:color w:val="auto"/>
          <w:sz w:val="24"/>
          <w:szCs w:val="24"/>
          <w:highlight w:val="none"/>
          <w:lang w:val="en-US" w:eastAsia="zh-CN" w:bidi="ar-SA"/>
        </w:rPr>
        <w:t xml:space="preserve">时间相关预案</w:t>
      </w:r>
      <w:r>
        <w:rPr>
          <w:rFonts w:hint="eastAsia" w:ascii="宋体" w:hAnsi="宋体" w:eastAsia="宋体" w:cs="宋体"/>
          <w:color w:val="auto"/>
          <w:sz w:val="24"/>
          <w:highlight w:val="none"/>
        </w:rPr>
        <w:t xml:space="preserve">较全面，有针对性解释说明：</w:t>
      </w:r>
      <w:r>
        <w:rPr>
          <w:rFonts w:hint="eastAsia" w:ascii="宋体" w:hAnsi="宋体" w:eastAsia="宋体" w:cs="宋体"/>
          <w:color w:val="auto"/>
          <w:sz w:val="24"/>
          <w:highlight w:val="none"/>
          <w:lang w:val="en-US" w:eastAsia="zh-CN"/>
        </w:rPr>
        <w:t xml:space="preserve">1.5</w:t>
      </w:r>
      <w:r>
        <w:rPr>
          <w:rFonts w:hint="eastAsia" w:ascii="宋体" w:hAnsi="宋体" w:eastAsia="宋体" w:cs="宋体"/>
          <w:color w:val="auto"/>
          <w:sz w:val="24"/>
          <w:highlight w:val="none"/>
        </w:rPr>
        <w:t xml:space="preserve">分</w:t>
      </w:r>
      <w:r>
        <w:rPr>
          <w:rFonts w:hint="eastAsia" w:ascii="宋体" w:hAnsi="宋体" w:eastAsia="宋体" w:cs="宋体"/>
          <w:color w:val="auto"/>
          <w:sz w:val="24"/>
          <w:highlight w:val="none"/>
          <w:lang w:val="en-US" w:eastAsia="zh-CN"/>
        </w:rPr>
        <w:t xml:space="preserve">/项</w:t>
      </w:r>
      <w:r>
        <w:rPr>
          <w:rFonts w:hint="eastAsia" w:ascii="宋体" w:hAnsi="宋体" w:eastAsia="宋体" w:cs="宋体"/>
          <w:color w:val="auto"/>
          <w:sz w:val="24"/>
          <w:highlight w:val="none"/>
        </w:rPr>
        <w:t xml:space="preserve">；</w:t>
      </w:r>
      <w:r/>
    </w:p>
    <w:p>
      <w:pPr>
        <w:ind w:firstLine="424"/>
        <w:jc w:val="left"/>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③提供的</w:t>
      </w:r>
      <w:r>
        <w:rPr>
          <w:rFonts w:hint="eastAsia" w:ascii="宋体" w:hAnsi="宋体" w:eastAsia="宋体" w:cs="宋体"/>
          <w:b w:val="0"/>
          <w:bCs w:val="0"/>
          <w:color w:val="auto"/>
          <w:sz w:val="24"/>
          <w:szCs w:val="24"/>
          <w:highlight w:val="none"/>
          <w:lang w:val="en-US" w:bidi="ar-SA"/>
        </w:rPr>
        <w:t xml:space="preserve">服务响应</w:t>
      </w:r>
      <w:r>
        <w:rPr>
          <w:rFonts w:hint="eastAsia" w:ascii="宋体" w:hAnsi="宋体" w:cs="宋体"/>
          <w:b w:val="0"/>
          <w:bCs w:val="0"/>
          <w:color w:val="auto"/>
          <w:sz w:val="24"/>
          <w:szCs w:val="24"/>
          <w:highlight w:val="none"/>
          <w:lang w:val="en-US" w:eastAsia="zh-CN" w:bidi="ar-SA"/>
        </w:rPr>
        <w:t xml:space="preserve">时间相关预案</w:t>
      </w:r>
      <w:r>
        <w:rPr>
          <w:rFonts w:hint="eastAsia" w:ascii="宋体" w:hAnsi="宋体" w:eastAsia="宋体" w:cs="宋体"/>
          <w:color w:val="auto"/>
          <w:sz w:val="24"/>
          <w:highlight w:val="none"/>
        </w:rPr>
        <w:t xml:space="preserve">基本全面，有针对性解释说明：</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分</w:t>
      </w:r>
      <w:r>
        <w:rPr>
          <w:rFonts w:hint="eastAsia" w:ascii="宋体" w:hAnsi="宋体" w:eastAsia="宋体" w:cs="宋体"/>
          <w:color w:val="auto"/>
          <w:sz w:val="24"/>
          <w:highlight w:val="none"/>
          <w:lang w:val="en-US" w:eastAsia="zh-CN"/>
        </w:rPr>
        <w:t xml:space="preserve">/项</w:t>
      </w:r>
      <w:r>
        <w:rPr>
          <w:rFonts w:hint="eastAsia" w:ascii="宋体" w:hAnsi="宋体" w:eastAsia="宋体" w:cs="宋体"/>
          <w:color w:val="auto"/>
          <w:sz w:val="24"/>
          <w:highlight w:val="none"/>
        </w:rPr>
        <w:t xml:space="preserve">；</w:t>
      </w:r>
      <w:r/>
    </w:p>
    <w:p>
      <w:pPr>
        <w:numPr>
          <w:ilvl w:val="0"/>
          <w:numId w:val="0"/>
        </w:numPr>
        <w:ind w:left="0" w:firstLine="480"/>
        <w:jc w:val="left"/>
        <w:keepLines w:val="0"/>
        <w:keepNext w:val="0"/>
        <w:pageBreakBefore w:val="0"/>
        <w:spacing w:line="360" w:lineRule="auto"/>
        <w:widowControl w:val="off"/>
        <w:tabs>
          <w:tab w:val="left" w:pos="552" w:leader="none"/>
          <w:tab w:val="left" w:pos="1050" w:leader="none"/>
          <w:tab w:val="left" w:pos="1365" w:leader="none"/>
        </w:tabs>
        <w:rPr>
          <w:rFonts w:hint="eastAsia" w:ascii="宋体" w:hAnsi="宋体" w:eastAsia="宋体" w:cs="宋体"/>
          <w:b w:val="0"/>
          <w:bCs w:val="0"/>
          <w:color w:val="auto"/>
          <w:sz w:val="24"/>
          <w:szCs w:val="24"/>
          <w:highlight w:val="none"/>
          <w:lang w:val="en-US" w:eastAsia="zh-CN" w:bidi="ar-SA"/>
        </w:rPr>
        <w:outlineLvl w:val="0"/>
      </w:pPr>
      <w:r>
        <w:rPr>
          <w:rFonts w:hint="eastAsia" w:ascii="宋体" w:hAnsi="宋体" w:eastAsia="宋体" w:cs="宋体"/>
          <w:color w:val="auto"/>
          <w:sz w:val="24"/>
          <w:highlight w:val="none"/>
        </w:rPr>
        <w:t xml:space="preserve">④提供的</w:t>
      </w:r>
      <w:r>
        <w:rPr>
          <w:rFonts w:hint="eastAsia" w:ascii="宋体" w:hAnsi="宋体" w:eastAsia="宋体" w:cs="宋体"/>
          <w:b w:val="0"/>
          <w:bCs w:val="0"/>
          <w:color w:val="auto"/>
          <w:sz w:val="24"/>
          <w:szCs w:val="24"/>
          <w:highlight w:val="none"/>
          <w:lang w:val="en-US" w:bidi="ar-SA"/>
        </w:rPr>
        <w:t xml:space="preserve">服务响应</w:t>
      </w:r>
      <w:r>
        <w:rPr>
          <w:rFonts w:hint="eastAsia" w:ascii="宋体" w:hAnsi="宋体" w:cs="宋体"/>
          <w:b w:val="0"/>
          <w:bCs w:val="0"/>
          <w:color w:val="auto"/>
          <w:sz w:val="24"/>
          <w:szCs w:val="24"/>
          <w:highlight w:val="none"/>
          <w:lang w:val="en-US" w:eastAsia="zh-CN" w:bidi="ar-SA"/>
        </w:rPr>
        <w:t xml:space="preserve">时间相关预案</w:t>
      </w:r>
      <w:r>
        <w:rPr>
          <w:rFonts w:hint="eastAsia" w:ascii="宋体" w:hAnsi="宋体" w:eastAsia="宋体" w:cs="宋体"/>
          <w:color w:val="auto"/>
          <w:sz w:val="24"/>
          <w:highlight w:val="none"/>
        </w:rPr>
        <w:t xml:space="preserve">不全面、对各项内容无解释说明或未提供本项内容：0分</w:t>
      </w:r>
      <w:r>
        <w:rPr>
          <w:rFonts w:hint="eastAsia" w:ascii="宋体" w:hAnsi="宋体" w:eastAsia="宋体" w:cs="宋体"/>
          <w:color w:val="auto"/>
          <w:sz w:val="24"/>
          <w:highlight w:val="none"/>
          <w:lang w:val="en-US" w:eastAsia="zh-CN"/>
        </w:rPr>
        <w:t xml:space="preserve">/项</w:t>
      </w:r>
      <w:r>
        <w:rPr>
          <w:rFonts w:hint="eastAsia" w:ascii="宋体" w:hAnsi="宋体" w:eastAsia="宋体" w:cs="宋体"/>
          <w:color w:val="auto"/>
          <w:sz w:val="24"/>
          <w:highlight w:val="none"/>
        </w:rPr>
        <w:t xml:space="preserve">。</w:t>
      </w:r>
      <w:r/>
    </w:p>
    <w:p>
      <w:pPr>
        <w:ind w:firstLine="420"/>
        <w:keepLines w:val="0"/>
        <w:keepNext w:val="0"/>
        <w:pageBreakBefore w:val="0"/>
        <w:spacing w:line="360" w:lineRule="auto"/>
        <w:rPr>
          <w:rFonts w:hint="eastAsia" w:ascii="宋体" w:hAnsi="宋体" w:eastAsia="宋体" w:cs="宋体"/>
          <w:b/>
          <w:bCs w:val="0"/>
          <w:color w:val="auto"/>
          <w:sz w:val="24"/>
          <w:highlight w:val="none"/>
        </w:rPr>
      </w:pPr>
      <w:r>
        <w:rPr>
          <w:rFonts w:hint="eastAsia" w:ascii="宋体" w:hAnsi="宋体" w:eastAsia="宋体" w:cs="宋体"/>
          <w:b/>
          <w:bCs w:val="0"/>
          <w:color w:val="auto"/>
          <w:sz w:val="24"/>
          <w:highlight w:val="none"/>
          <w:lang w:val="en-US" w:eastAsia="zh-CN"/>
        </w:rPr>
        <w:t xml:space="preserve">注：</w:t>
      </w:r>
      <w:r>
        <w:rPr>
          <w:rFonts w:hint="eastAsia" w:ascii="宋体" w:hAnsi="宋体" w:eastAsia="宋体" w:cs="宋体"/>
          <w:b/>
          <w:bCs w:val="0"/>
          <w:color w:val="auto"/>
          <w:sz w:val="24"/>
          <w:highlight w:val="none"/>
        </w:rPr>
        <w:t xml:space="preserve">技术暗标总页数不超过</w:t>
      </w:r>
      <w:r>
        <w:rPr>
          <w:rFonts w:hint="eastAsia" w:ascii="宋体" w:hAnsi="宋体" w:cs="宋体"/>
          <w:b/>
          <w:bCs w:val="0"/>
          <w:color w:val="auto"/>
          <w:sz w:val="24"/>
          <w:highlight w:val="none"/>
          <w:lang w:val="en-US" w:eastAsia="zh-CN"/>
        </w:rPr>
        <w:t xml:space="preserve">2</w:t>
      </w:r>
      <w:r>
        <w:rPr>
          <w:rFonts w:hint="eastAsia" w:ascii="宋体" w:hAnsi="宋体" w:eastAsia="宋体" w:cs="宋体"/>
          <w:b/>
          <w:bCs w:val="0"/>
          <w:color w:val="auto"/>
          <w:sz w:val="24"/>
          <w:highlight w:val="none"/>
          <w:lang w:val="en-US" w:eastAsia="zh-CN"/>
        </w:rPr>
        <w:t xml:space="preserve">0</w:t>
      </w:r>
      <w:r>
        <w:rPr>
          <w:rFonts w:hint="eastAsia" w:ascii="宋体" w:hAnsi="宋体" w:eastAsia="宋体" w:cs="宋体"/>
          <w:b/>
          <w:bCs w:val="0"/>
          <w:color w:val="auto"/>
          <w:sz w:val="24"/>
          <w:highlight w:val="none"/>
        </w:rPr>
        <w:t xml:space="preserve">0 页，每超过 1 页扣 0.1 分。上述评分项中所称“瑕疵”是指</w:t>
      </w:r>
      <w:r>
        <w:rPr>
          <w:rFonts w:hint="eastAsia" w:ascii="宋体" w:hAnsi="宋体" w:eastAsia="宋体" w:cs="宋体"/>
          <w:b/>
          <w:bCs w:val="0"/>
          <w:color w:val="auto"/>
          <w:sz w:val="24"/>
          <w:highlight w:val="none"/>
          <w:lang w:eastAsia="zh-CN"/>
        </w:rPr>
        <w:t xml:space="preserve">：</w:t>
      </w:r>
      <w:r>
        <w:rPr>
          <w:rFonts w:hint="eastAsia" w:ascii="宋体" w:hAnsi="宋体" w:eastAsia="宋体" w:cs="宋体"/>
          <w:b/>
          <w:bCs w:val="0"/>
          <w:color w:val="auto"/>
          <w:sz w:val="24"/>
          <w:highlight w:val="none"/>
        </w:rPr>
        <w:t xml:space="preserve">内容缺项、不完整或缺少关键点</w:t>
      </w:r>
      <w:r>
        <w:rPr>
          <w:rFonts w:hint="eastAsia" w:ascii="宋体" w:hAnsi="宋体" w:eastAsia="宋体" w:cs="宋体"/>
          <w:b/>
          <w:bCs w:val="0"/>
          <w:color w:val="auto"/>
          <w:sz w:val="24"/>
          <w:highlight w:val="none"/>
          <w:lang w:eastAsia="zh-CN"/>
        </w:rPr>
        <w:t xml:space="preserve">；</w:t>
      </w:r>
      <w:r>
        <w:rPr>
          <w:rFonts w:hint="eastAsia" w:ascii="宋体" w:hAnsi="宋体" w:eastAsia="宋体" w:cs="宋体"/>
          <w:b/>
          <w:bCs w:val="0"/>
          <w:color w:val="auto"/>
          <w:sz w:val="24"/>
          <w:highlight w:val="none"/>
        </w:rPr>
        <w:t xml:space="preserve">非专门针对本项目或不适用本项目特性、套用其他项目内容</w:t>
      </w:r>
      <w:r>
        <w:rPr>
          <w:rFonts w:hint="eastAsia" w:ascii="宋体" w:hAnsi="宋体" w:eastAsia="宋体" w:cs="宋体"/>
          <w:b/>
          <w:bCs w:val="0"/>
          <w:color w:val="auto"/>
          <w:sz w:val="24"/>
          <w:highlight w:val="none"/>
          <w:lang w:eastAsia="zh-CN"/>
        </w:rPr>
        <w:t xml:space="preserve">；</w:t>
      </w:r>
      <w:r>
        <w:rPr>
          <w:rFonts w:hint="eastAsia" w:ascii="宋体" w:hAnsi="宋体" w:eastAsia="宋体" w:cs="宋体"/>
          <w:b/>
          <w:bCs w:val="0"/>
          <w:color w:val="auto"/>
          <w:sz w:val="24"/>
          <w:highlight w:val="none"/>
        </w:rPr>
        <w:t xml:space="preserve">对同一问题前后描述矛盾</w:t>
      </w:r>
      <w:r>
        <w:rPr>
          <w:rFonts w:hint="eastAsia" w:ascii="宋体" w:hAnsi="宋体" w:eastAsia="宋体" w:cs="宋体"/>
          <w:b/>
          <w:bCs w:val="0"/>
          <w:color w:val="auto"/>
          <w:sz w:val="24"/>
          <w:highlight w:val="none"/>
          <w:lang w:eastAsia="zh-CN"/>
        </w:rPr>
        <w:t xml:space="preserve">；</w:t>
      </w:r>
      <w:r>
        <w:rPr>
          <w:rFonts w:hint="eastAsia" w:ascii="宋体" w:hAnsi="宋体" w:eastAsia="宋体" w:cs="宋体"/>
          <w:b/>
          <w:bCs w:val="0"/>
          <w:color w:val="auto"/>
          <w:sz w:val="24"/>
          <w:highlight w:val="none"/>
        </w:rPr>
        <w:t xml:space="preserve">存在逻辑漏洞、科学原理或常识错误</w:t>
      </w:r>
      <w:r>
        <w:rPr>
          <w:rFonts w:hint="eastAsia" w:ascii="宋体" w:hAnsi="宋体" w:eastAsia="宋体" w:cs="宋体"/>
          <w:b/>
          <w:bCs w:val="0"/>
          <w:color w:val="auto"/>
          <w:sz w:val="24"/>
          <w:highlight w:val="none"/>
          <w:lang w:eastAsia="zh-CN"/>
        </w:rPr>
        <w:t xml:space="preserve">；</w:t>
      </w:r>
      <w:r>
        <w:rPr>
          <w:rFonts w:hint="eastAsia" w:ascii="宋体" w:hAnsi="宋体" w:eastAsia="宋体" w:cs="宋体"/>
          <w:b/>
          <w:bCs w:val="0"/>
          <w:color w:val="auto"/>
          <w:sz w:val="24"/>
          <w:highlight w:val="none"/>
        </w:rPr>
        <w:t xml:space="preserve">不利于本项目目标的实现、现有技术条件下不可能出现的情形等任意一种情形。</w:t>
      </w:r>
      <w:r/>
    </w:p>
    <w:p>
      <w:pPr>
        <w:numPr>
          <w:ilvl w:val="0"/>
          <w:numId w:val="0"/>
        </w:numPr>
        <w:ind w:firstLine="480"/>
        <w:keepLines w:val="0"/>
        <w:keepNext w:val="0"/>
        <w:pageBreakBefore w:val="0"/>
        <w:spacing w:line="360" w:lineRule="auto"/>
        <w:shd w:val="clear" w:color="auto"/>
        <w:widowControl w:val="off"/>
        <w:tabs>
          <w:tab w:val="left" w:pos="525" w:leader="none"/>
          <w:tab w:val="left" w:pos="945" w:leader="none"/>
          <w:tab w:val="left" w:pos="1155" w:leader="none"/>
        </w:tabs>
        <w:rPr>
          <w:rFonts w:hint="eastAsia" w:ascii="宋体" w:hAnsi="宋体" w:eastAsia="宋体" w:cs="宋体"/>
          <w:bCs/>
          <w:color w:val="auto"/>
          <w:sz w:val="24"/>
          <w:szCs w:val="24"/>
          <w:highlight w:val="none"/>
          <w:lang w:eastAsia="zh-CN"/>
        </w:rPr>
        <w:outlineLvl w:val="0"/>
      </w:pPr>
      <w:r>
        <w:rPr>
          <w:rFonts w:hint="eastAsia" w:ascii="宋体" w:hAnsi="宋体" w:eastAsia="宋体" w:cs="宋体"/>
          <w:bCs/>
          <w:color w:val="auto"/>
          <w:sz w:val="24"/>
          <w:szCs w:val="24"/>
          <w:highlight w:val="none"/>
        </w:rPr>
        <w:t xml:space="preserve">评分办法及评分细则的解释权</w:t>
      </w:r>
      <w:r>
        <w:rPr>
          <w:rFonts w:hint="eastAsia" w:ascii="宋体" w:hAnsi="宋体" w:eastAsia="宋体" w:cs="宋体"/>
          <w:bCs/>
          <w:color w:val="auto"/>
          <w:sz w:val="24"/>
          <w:szCs w:val="24"/>
          <w:highlight w:val="none"/>
          <w:lang w:eastAsia="zh-CN"/>
        </w:rPr>
        <w:t xml:space="preserve">属于</w:t>
      </w:r>
      <w:r>
        <w:rPr>
          <w:rFonts w:hint="eastAsia" w:ascii="宋体" w:hAnsi="宋体" w:eastAsia="宋体" w:cs="宋体"/>
          <w:bCs/>
          <w:color w:val="auto"/>
          <w:sz w:val="24"/>
          <w:szCs w:val="24"/>
          <w:highlight w:val="none"/>
        </w:rPr>
        <w:t xml:space="preserve">采购人。未列入本评分细则的其他条件不作为评分内容。除技术文件编制粗糙、缺漏项较多的</w:t>
      </w:r>
      <w:r>
        <w:rPr>
          <w:rFonts w:hint="eastAsia" w:ascii="宋体" w:hAnsi="宋体" w:cs="宋体"/>
          <w:bCs/>
          <w:color w:val="auto"/>
          <w:sz w:val="24"/>
          <w:szCs w:val="24"/>
          <w:highlight w:val="none"/>
          <w:lang w:eastAsia="zh-CN"/>
        </w:rPr>
        <w:t xml:space="preserve">情况外</w:t>
      </w:r>
      <w:r>
        <w:rPr>
          <w:rFonts w:hint="eastAsia" w:ascii="宋体" w:hAnsi="宋体" w:eastAsia="宋体" w:cs="宋体"/>
          <w:bCs/>
          <w:color w:val="auto"/>
          <w:sz w:val="24"/>
          <w:szCs w:val="24"/>
          <w:highlight w:val="none"/>
        </w:rPr>
        <w:t xml:space="preserve">，当技术文件所列项出现某小项漏项</w:t>
      </w:r>
      <w:r>
        <w:rPr>
          <w:rFonts w:hint="eastAsia" w:ascii="宋体" w:hAnsi="宋体" w:cs="宋体"/>
          <w:bCs/>
          <w:color w:val="auto"/>
          <w:sz w:val="24"/>
          <w:szCs w:val="24"/>
          <w:highlight w:val="none"/>
          <w:lang w:eastAsia="zh-CN"/>
        </w:rPr>
        <w:t xml:space="preserve">时，</w:t>
      </w:r>
      <w:r>
        <w:rPr>
          <w:rFonts w:hint="eastAsia" w:ascii="宋体" w:hAnsi="宋体" w:eastAsia="宋体" w:cs="宋体"/>
          <w:bCs/>
          <w:color w:val="auto"/>
          <w:sz w:val="24"/>
          <w:szCs w:val="24"/>
          <w:highlight w:val="none"/>
        </w:rPr>
        <w:t xml:space="preserve">该项不得分（取所有评委打分分值的平均值）。</w:t>
      </w:r>
      <w:r/>
    </w:p>
    <w:p>
      <w:pPr>
        <w:ind w:firstLine="480"/>
        <w:keepLines w:val="0"/>
        <w:keepNext w:val="0"/>
        <w:pageBreakBefore w:val="0"/>
        <w:spacing w:line="360" w:lineRule="auto"/>
        <w:shd w:val="clear" w:color="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（十一）定标：</w:t>
      </w:r>
      <w:r/>
    </w:p>
    <w:p>
      <w:pPr>
        <w:numPr>
          <w:ilvl w:val="0"/>
          <w:numId w:val="0"/>
        </w:numPr>
        <w:ind w:firstLine="480"/>
        <w:keepLines w:val="0"/>
        <w:keepNext w:val="0"/>
        <w:pageBreakBefore w:val="0"/>
        <w:spacing w:line="360" w:lineRule="auto"/>
        <w:shd w:val="clear" w:color="auto"/>
        <w:widowControl w:val="off"/>
        <w:tabs>
          <w:tab w:val="left" w:pos="525" w:leader="none"/>
          <w:tab w:val="left" w:pos="945" w:leader="none"/>
          <w:tab w:val="left" w:pos="115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评标委员会根据招标文件规定的评标方法和评标标准进行评审，按招标文件的要求依法确定中标供应商。</w:t>
      </w:r>
      <w:r>
        <w:rPr>
          <w:rFonts w:hint="eastAsia" w:ascii="宋体" w:hAnsi="宋体" w:cs="宋体"/>
          <w:bCs/>
          <w:color w:val="auto"/>
          <w:sz w:val="24"/>
          <w:szCs w:val="24"/>
          <w:highlight w:val="none"/>
          <w:lang w:eastAsia="zh-CN"/>
        </w:rPr>
        <w:t xml:space="preserve">江苏万力通项目管理有限公司</w:t>
      </w:r>
      <w:r>
        <w:rPr>
          <w:rFonts w:hint="eastAsia" w:ascii="宋体" w:hAnsi="宋体" w:eastAsia="宋体" w:cs="宋体"/>
          <w:bCs/>
          <w:color w:val="auto"/>
          <w:sz w:val="24"/>
          <w:szCs w:val="24"/>
          <w:highlight w:val="none"/>
        </w:rPr>
        <w:t xml:space="preserve">将在江苏政府采购网发布中标公告。如有质疑，应在法定质疑期限内，即中标公告期限届满之日起7个工作日内，以书面形式（原件）送达</w:t>
      </w:r>
      <w:r>
        <w:rPr>
          <w:rFonts w:hint="eastAsia" w:ascii="宋体" w:hAnsi="宋体" w:cs="宋体"/>
          <w:bCs/>
          <w:color w:val="auto"/>
          <w:sz w:val="24"/>
          <w:szCs w:val="24"/>
          <w:highlight w:val="none"/>
          <w:lang w:eastAsia="zh-CN"/>
        </w:rPr>
        <w:t xml:space="preserve">江苏万力通项目管理有限公司</w:t>
      </w:r>
      <w:r>
        <w:rPr>
          <w:rFonts w:hint="eastAsia" w:ascii="宋体" w:hAnsi="宋体" w:eastAsia="宋体" w:cs="宋体"/>
          <w:bCs/>
          <w:color w:val="auto"/>
          <w:sz w:val="24"/>
          <w:szCs w:val="24"/>
          <w:highlight w:val="none"/>
        </w:rPr>
        <w:t xml:space="preserve">，并且针对同一采购程序环节的质疑，须在法定质疑期内一次性提出。质疑函的质疑事项应具体、明确，并有必要的事实依据和法律依据（格式详见中国政府采购网《</w:t>
      </w:r>
      <w:r>
        <w:rPr>
          <w:rFonts w:hint="eastAsia" w:ascii="宋体" w:hAnsi="宋体" w:eastAsia="宋体" w:cs="宋体"/>
          <w:bCs/>
          <w:color w:val="auto"/>
          <w:sz w:val="24"/>
          <w:szCs w:val="24"/>
          <w:highlight w:val="none"/>
        </w:rPr>
        <w:fldChar w:fldCharType="begin"/>
      </w:r>
      <w:r>
        <w:rPr>
          <w:rFonts w:hint="eastAsia" w:ascii="宋体" w:hAnsi="宋体" w:eastAsia="宋体" w:cs="宋体"/>
          <w:bCs/>
          <w:color w:val="auto"/>
          <w:sz w:val="24"/>
          <w:szCs w:val="24"/>
          <w:highlight w:val="none"/>
        </w:rPr>
        <w:instrText xml:space="preserve"> HYPERLINK "http://download.ccgp.gov.cn/2018/zhiyihanfanben.zip" \t "_blank" </w:instrText>
      </w:r>
      <w:r>
        <w:rPr>
          <w:rFonts w:hint="eastAsia" w:ascii="宋体" w:hAnsi="宋体" w:eastAsia="宋体" w:cs="宋体"/>
          <w:bCs/>
          <w:color w:val="auto"/>
          <w:sz w:val="24"/>
          <w:szCs w:val="24"/>
          <w:highlight w:val="none"/>
        </w:rPr>
        <w:fldChar w:fldCharType="separate"/>
      </w:r>
      <w:r>
        <w:rPr>
          <w:rFonts w:hint="eastAsia" w:ascii="宋体" w:hAnsi="宋体" w:eastAsia="宋体" w:cs="宋体"/>
          <w:bCs/>
          <w:color w:val="auto"/>
          <w:sz w:val="24"/>
          <w:szCs w:val="24"/>
          <w:highlight w:val="none"/>
        </w:rPr>
        <w:t xml:space="preserve">政府采购供应商质疑函范本</w:t>
      </w:r>
      <w:r>
        <w:rPr>
          <w:rFonts w:hint="eastAsia" w:ascii="宋体" w:hAnsi="宋体" w:eastAsia="宋体" w:cs="宋体"/>
          <w:bCs/>
          <w:color w:val="auto"/>
          <w:sz w:val="24"/>
          <w:szCs w:val="24"/>
          <w:highlight w:val="none"/>
        </w:rPr>
        <w:fldChar w:fldCharType="end"/>
      </w: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eastAsia="zh-CN"/>
        </w:rPr>
        <w:t xml:space="preserve">江苏万力通项目管理有限公司</w:t>
      </w:r>
      <w:r>
        <w:rPr>
          <w:rFonts w:hint="eastAsia" w:ascii="宋体" w:hAnsi="宋体" w:eastAsia="宋体" w:cs="宋体"/>
          <w:bCs/>
          <w:color w:val="auto"/>
          <w:sz w:val="24"/>
          <w:szCs w:val="24"/>
          <w:highlight w:val="none"/>
        </w:rPr>
        <w:t xml:space="preserve">将在收到符合上述要求的书面质疑后七个工作日内，对质疑内容</w:t>
      </w:r>
      <w:r>
        <w:rPr>
          <w:rFonts w:hint="eastAsia" w:ascii="宋体" w:hAnsi="宋体" w:eastAsia="宋体" w:cs="宋体"/>
          <w:bCs/>
          <w:color w:val="auto"/>
          <w:sz w:val="24"/>
          <w:szCs w:val="24"/>
          <w:highlight w:val="none"/>
          <w:lang w:eastAsia="zh-CN"/>
        </w:rPr>
        <w:t xml:space="preserve">作出</w:t>
      </w:r>
      <w:r>
        <w:rPr>
          <w:rFonts w:hint="eastAsia" w:ascii="宋体" w:hAnsi="宋体" w:eastAsia="宋体" w:cs="宋体"/>
          <w:bCs/>
          <w:color w:val="auto"/>
          <w:sz w:val="24"/>
          <w:szCs w:val="24"/>
          <w:highlight w:val="none"/>
        </w:rPr>
        <w:t xml:space="preserve">答复。投标供应商在法定质疑期限外送达的质疑函或法定质疑期限内送达的质疑函不符合上述要求的均为无效质疑，</w:t>
      </w:r>
      <w:r>
        <w:rPr>
          <w:rFonts w:hint="eastAsia" w:ascii="宋体" w:hAnsi="宋体" w:cs="宋体"/>
          <w:bCs/>
          <w:color w:val="auto"/>
          <w:sz w:val="24"/>
          <w:szCs w:val="24"/>
          <w:highlight w:val="none"/>
          <w:lang w:eastAsia="zh-CN"/>
        </w:rPr>
        <w:t xml:space="preserve">江苏万力通项目管理有限公司</w:t>
      </w:r>
      <w:r>
        <w:rPr>
          <w:rFonts w:hint="eastAsia" w:ascii="宋体" w:hAnsi="宋体" w:eastAsia="宋体" w:cs="宋体"/>
          <w:bCs/>
          <w:color w:val="auto"/>
          <w:sz w:val="24"/>
          <w:szCs w:val="24"/>
          <w:highlight w:val="none"/>
        </w:rPr>
        <w:t xml:space="preserve">对无效质疑不予受理。如质疑查无实据或投标供应商捏造事实，提供虚假材料进行恶意举报，不配合或采用不正当手段干扰政府采购质疑的，将记入投标供应商在江苏省和无锡市的政府采购“供应商诚信记录”，并按相关规定处理。</w:t>
      </w:r>
      <w:r/>
    </w:p>
    <w:p>
      <w:pPr>
        <w:numPr>
          <w:ilvl w:val="0"/>
          <w:numId w:val="0"/>
        </w:numPr>
        <w:ind w:firstLine="480"/>
        <w:keepLines w:val="0"/>
        <w:keepNext w:val="0"/>
        <w:pageBreakBefore w:val="0"/>
        <w:spacing w:line="360" w:lineRule="auto"/>
        <w:shd w:val="clear" w:color="auto"/>
        <w:widowControl w:val="off"/>
        <w:tabs>
          <w:tab w:val="left" w:pos="525" w:leader="none"/>
          <w:tab w:val="left" w:pos="945" w:leader="none"/>
          <w:tab w:val="left" w:pos="115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lang w:val="en-US" w:eastAsia="zh-CN"/>
        </w:rPr>
        <w:t xml:space="preserve">2.</w:t>
      </w:r>
      <w:r>
        <w:rPr>
          <w:rFonts w:hint="eastAsia" w:ascii="宋体" w:hAnsi="宋体" w:cs="宋体"/>
          <w:bCs/>
          <w:color w:val="auto"/>
          <w:sz w:val="24"/>
          <w:szCs w:val="24"/>
          <w:highlight w:val="none"/>
          <w:lang w:eastAsia="zh-CN"/>
        </w:rPr>
        <w:t xml:space="preserve">江苏万力通项目管理有限公司</w:t>
      </w:r>
      <w:r>
        <w:rPr>
          <w:rFonts w:hint="eastAsia" w:ascii="宋体" w:hAnsi="宋体" w:eastAsia="宋体" w:cs="宋体"/>
          <w:bCs/>
          <w:color w:val="auto"/>
          <w:sz w:val="24"/>
          <w:szCs w:val="24"/>
          <w:highlight w:val="none"/>
        </w:rPr>
        <w:t xml:space="preserve">向中标供应商</w:t>
      </w:r>
      <w:r>
        <w:rPr>
          <w:rFonts w:hint="eastAsia" w:ascii="宋体" w:hAnsi="宋体" w:eastAsia="宋体" w:cs="宋体"/>
          <w:bCs/>
          <w:color w:val="auto"/>
          <w:sz w:val="24"/>
          <w:szCs w:val="24"/>
          <w:highlight w:val="none"/>
          <w:lang w:eastAsia="zh-CN"/>
        </w:rPr>
        <w:t xml:space="preserve">发出</w:t>
      </w:r>
      <w:r>
        <w:rPr>
          <w:rFonts w:hint="eastAsia" w:ascii="宋体" w:hAnsi="宋体" w:eastAsia="宋体" w:cs="宋体"/>
          <w:bCs/>
          <w:color w:val="auto"/>
          <w:sz w:val="24"/>
          <w:szCs w:val="24"/>
          <w:highlight w:val="none"/>
        </w:rPr>
        <w:t xml:space="preserve">中标通知书。</w:t>
      </w:r>
      <w:r/>
    </w:p>
    <w:p>
      <w:pPr>
        <w:numPr>
          <w:ilvl w:val="0"/>
          <w:numId w:val="0"/>
        </w:numPr>
        <w:ind w:firstLine="480"/>
        <w:keepLines w:val="0"/>
        <w:keepNext w:val="0"/>
        <w:pageBreakBefore w:val="0"/>
        <w:spacing w:line="360" w:lineRule="auto"/>
        <w:shd w:val="clear" w:color="auto"/>
        <w:widowControl w:val="off"/>
        <w:tabs>
          <w:tab w:val="left" w:pos="525" w:leader="none"/>
          <w:tab w:val="left" w:pos="945" w:leader="none"/>
          <w:tab w:val="left" w:pos="115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投标供应商电子投标文件将作为电子档案保存。</w:t>
      </w:r>
      <w:r/>
    </w:p>
    <w:p>
      <w:pPr>
        <w:ind w:firstLine="480"/>
        <w:keepLines w:val="0"/>
        <w:keepNext w:val="0"/>
        <w:pageBreakBefore w:val="0"/>
        <w:spacing w:line="360" w:lineRule="auto"/>
        <w:shd w:val="clear" w:color="auto"/>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（十二） 废标的确认：</w:t>
      </w:r>
      <w:r/>
    </w:p>
    <w:p>
      <w:pPr>
        <w:ind w:left="0" w:firstLine="480"/>
        <w:keepLines w:val="0"/>
        <w:keepNext w:val="0"/>
        <w:pageBreakBefore w:val="0"/>
        <w:spacing w:line="360" w:lineRule="auto"/>
        <w:shd w:val="clear" w:color="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在招标采购中，出现下列情况之一的，应予废标：</w:t>
      </w:r>
      <w:r/>
    </w:p>
    <w:p>
      <w:pPr>
        <w:numPr>
          <w:ilvl w:val="0"/>
          <w:numId w:val="0"/>
        </w:numPr>
        <w:ind w:firstLine="480"/>
        <w:keepLines w:val="0"/>
        <w:keepNext w:val="0"/>
        <w:pageBreakBefore w:val="0"/>
        <w:spacing w:line="360" w:lineRule="auto"/>
        <w:shd w:val="clear" w:color="auto"/>
        <w:widowControl w:val="off"/>
        <w:tabs>
          <w:tab w:val="left" w:pos="525" w:leader="none"/>
          <w:tab w:val="left" w:pos="945"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符合专业条件的</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或者对招标文件作出实质性响应的</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不足三家；</w:t>
      </w:r>
      <w:r/>
    </w:p>
    <w:p>
      <w:pPr>
        <w:numPr>
          <w:ilvl w:val="0"/>
          <w:numId w:val="0"/>
        </w:numPr>
        <w:ind w:firstLine="480"/>
        <w:keepLines w:val="0"/>
        <w:keepNext w:val="0"/>
        <w:pageBreakBefore w:val="0"/>
        <w:spacing w:line="360" w:lineRule="auto"/>
        <w:shd w:val="clear" w:color="auto"/>
        <w:widowControl w:val="off"/>
        <w:tabs>
          <w:tab w:val="left" w:pos="525" w:leader="none"/>
          <w:tab w:val="left" w:pos="945"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出现影响采购公正的违法、违规行为；</w:t>
      </w:r>
      <w:r/>
    </w:p>
    <w:p>
      <w:pPr>
        <w:numPr>
          <w:ilvl w:val="0"/>
          <w:numId w:val="0"/>
        </w:numPr>
        <w:ind w:firstLine="480"/>
        <w:keepLines w:val="0"/>
        <w:keepNext w:val="0"/>
        <w:pageBreakBefore w:val="0"/>
        <w:spacing w:line="360" w:lineRule="auto"/>
        <w:shd w:val="clear" w:color="auto"/>
        <w:widowControl w:val="off"/>
        <w:tabs>
          <w:tab w:val="left" w:pos="525" w:leader="none"/>
          <w:tab w:val="left" w:pos="945"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的报价均超过采购预算，采购人不能支付的；</w:t>
      </w:r>
      <w:r/>
    </w:p>
    <w:p>
      <w:pPr>
        <w:numPr>
          <w:ilvl w:val="0"/>
          <w:numId w:val="0"/>
        </w:numPr>
        <w:ind w:firstLine="480"/>
        <w:keepLines w:val="0"/>
        <w:keepNext w:val="0"/>
        <w:pageBreakBefore w:val="0"/>
        <w:spacing w:line="360" w:lineRule="auto"/>
        <w:shd w:val="clear" w:color="auto"/>
        <w:widowControl w:val="off"/>
        <w:tabs>
          <w:tab w:val="right" w:pos="180" w:leader="none"/>
          <w:tab w:val="left" w:pos="525" w:leader="none"/>
          <w:tab w:val="left" w:pos="945" w:leader="none"/>
          <w:tab w:val="left" w:pos="126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因重大变故，采购任务取消。</w:t>
      </w:r>
      <w:r/>
    </w:p>
    <w:p>
      <w:pPr>
        <w:ind w:firstLine="480"/>
        <w:keepLines w:val="0"/>
        <w:keepNext w:val="0"/>
        <w:pageBreakBefore w:val="0"/>
        <w:spacing w:line="360" w:lineRule="auto"/>
        <w:shd w:val="clear" w:color="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（十三）中标无效的确认：</w:t>
      </w:r>
      <w:r/>
    </w:p>
    <w:p>
      <w:pPr>
        <w:numPr>
          <w:ilvl w:val="0"/>
          <w:numId w:val="7"/>
        </w:numPr>
        <w:ind w:left="0" w:firstLine="523"/>
        <w:keepLines w:val="0"/>
        <w:keepNext w:val="0"/>
        <w:pageBreakBefore w:val="0"/>
        <w:spacing w:line="360" w:lineRule="auto"/>
        <w:shd w:val="clear" w:color="auto"/>
        <w:tabs>
          <w:tab w:val="left" w:pos="420" w:leader="none"/>
          <w:tab w:val="left" w:pos="945" w:leader="none"/>
          <w:tab w:val="left" w:pos="1155" w:leader="none"/>
          <w:tab w:val="clear" w:pos="171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提供虚假材料谋取中标的；</w:t>
      </w:r>
      <w:r/>
    </w:p>
    <w:p>
      <w:pPr>
        <w:numPr>
          <w:ilvl w:val="0"/>
          <w:numId w:val="7"/>
        </w:numPr>
        <w:ind w:left="0" w:firstLine="523"/>
        <w:keepLines w:val="0"/>
        <w:keepNext w:val="0"/>
        <w:pageBreakBefore w:val="0"/>
        <w:spacing w:line="360" w:lineRule="auto"/>
        <w:shd w:val="clear" w:color="auto"/>
        <w:tabs>
          <w:tab w:val="left" w:pos="420" w:leader="none"/>
          <w:tab w:val="left" w:pos="945" w:leader="none"/>
          <w:tab w:val="left" w:pos="1155" w:leader="none"/>
          <w:tab w:val="clear" w:pos="171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采取不正当手段诋毁、排挤其他</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的；</w:t>
      </w:r>
      <w:r/>
    </w:p>
    <w:p>
      <w:pPr>
        <w:numPr>
          <w:ilvl w:val="0"/>
          <w:numId w:val="7"/>
        </w:numPr>
        <w:ind w:left="0" w:firstLine="523"/>
        <w:keepLines w:val="0"/>
        <w:keepNext w:val="0"/>
        <w:pageBreakBefore w:val="0"/>
        <w:spacing w:line="360" w:lineRule="auto"/>
        <w:shd w:val="clear" w:color="auto"/>
        <w:tabs>
          <w:tab w:val="left" w:pos="420" w:leader="none"/>
          <w:tab w:val="left" w:pos="945" w:leader="none"/>
          <w:tab w:val="left" w:pos="1155" w:leader="none"/>
          <w:tab w:val="clear" w:pos="171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与招标采购单位、其他</w:t>
      </w: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恶意串通的；</w:t>
      </w:r>
      <w:r/>
    </w:p>
    <w:p>
      <w:pPr>
        <w:numPr>
          <w:ilvl w:val="2"/>
          <w:numId w:val="8"/>
        </w:numPr>
        <w:ind w:left="0" w:firstLine="523"/>
        <w:keepLines w:val="0"/>
        <w:keepNext w:val="0"/>
        <w:pageBreakBefore w:val="0"/>
        <w:spacing w:line="360" w:lineRule="auto"/>
        <w:shd w:val="clear" w:color="auto"/>
        <w:tabs>
          <w:tab w:val="left" w:pos="420" w:leader="none"/>
          <w:tab w:val="left" w:pos="945" w:leader="none"/>
          <w:tab w:val="clear" w:pos="114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向招标采购单位行贿或者提供其他不正当利益的；</w:t>
      </w:r>
      <w:r/>
    </w:p>
    <w:p>
      <w:pPr>
        <w:numPr>
          <w:ilvl w:val="2"/>
          <w:numId w:val="8"/>
        </w:numPr>
        <w:ind w:left="0" w:firstLine="523"/>
        <w:keepLines w:val="0"/>
        <w:keepNext w:val="0"/>
        <w:pageBreakBefore w:val="0"/>
        <w:spacing w:line="360" w:lineRule="auto"/>
        <w:shd w:val="clear" w:color="auto"/>
        <w:tabs>
          <w:tab w:val="left" w:pos="420" w:leader="none"/>
          <w:tab w:val="left" w:pos="945" w:leader="none"/>
          <w:tab w:val="clear" w:pos="114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在招标过程中与招标采购单位进行协商谈判、不按照招标文件和中标供应商的投标文件订立合同，或者与采购人另行订立背离合同实质性内容的协议的；</w:t>
      </w:r>
      <w:r/>
    </w:p>
    <w:p>
      <w:pPr>
        <w:numPr>
          <w:ilvl w:val="2"/>
          <w:numId w:val="8"/>
        </w:numPr>
        <w:ind w:left="0" w:firstLine="523"/>
        <w:keepLines w:val="0"/>
        <w:keepNext w:val="0"/>
        <w:pageBreakBefore w:val="0"/>
        <w:spacing w:line="360" w:lineRule="auto"/>
        <w:shd w:val="clear" w:color="auto"/>
        <w:tabs>
          <w:tab w:val="left" w:pos="420" w:leader="none"/>
          <w:tab w:val="left" w:pos="945" w:leader="none"/>
          <w:tab w:val="clear" w:pos="114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拒绝有关部门监督检查或者提供虚假情况的。</w:t>
      </w:r>
      <w:r/>
    </w:p>
    <w:p>
      <w:pPr>
        <w:ind w:firstLine="480"/>
        <w:keepLines w:val="0"/>
        <w:keepNext w:val="0"/>
        <w:pageBreakBefore w:val="0"/>
        <w:spacing w:line="360" w:lineRule="auto"/>
        <w:shd w:val="clear" w:color="auto"/>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 xml:space="preserve">投标供应商</w:t>
      </w:r>
      <w:r>
        <w:rPr>
          <w:rFonts w:hint="eastAsia" w:ascii="宋体" w:hAnsi="宋体" w:eastAsia="宋体" w:cs="宋体"/>
          <w:bCs/>
          <w:color w:val="auto"/>
          <w:sz w:val="24"/>
          <w:szCs w:val="24"/>
          <w:highlight w:val="none"/>
        </w:rPr>
        <w:t xml:space="preserve">有上述（1）至（5）项情形之一的，中标无效。有上述（1）至（5）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0"/>
        <w:keepLines w:val="0"/>
        <w:keepNext w:val="0"/>
        <w:pageBreakBefore w:val="0"/>
        <w:spacing w:line="360" w:lineRule="auto"/>
        <w:shd w:val="clear" w:color="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（十四）签订、履行合同：</w:t>
      </w:r>
      <w:r/>
    </w:p>
    <w:p>
      <w:pPr>
        <w:numPr>
          <w:ilvl w:val="0"/>
          <w:numId w:val="0"/>
        </w:numPr>
        <w:ind w:firstLine="480"/>
        <w:keepLines w:val="0"/>
        <w:keepNext w:val="0"/>
        <w:pageBreakBefore w:val="0"/>
        <w:spacing w:line="360" w:lineRule="auto"/>
        <w:shd w:val="clear" w:color="auto"/>
        <w:widowControl w:val="off"/>
        <w:tabs>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采购人应当自中标通知书发出之日起三十日内，按照招标文件和中标供应商投标文件的约定，在</w:t>
      </w:r>
      <w:r>
        <w:rPr>
          <w:rFonts w:hint="eastAsia" w:ascii="宋体" w:hAnsi="宋体" w:cs="宋体"/>
          <w:color w:val="auto"/>
          <w:sz w:val="24"/>
          <w:highlight w:val="none"/>
          <w:lang w:eastAsia="zh-CN"/>
        </w:rPr>
        <w:t xml:space="preserve">江苏万力通项目管理有限公司</w:t>
      </w:r>
      <w:r>
        <w:rPr>
          <w:rFonts w:hint="eastAsia" w:ascii="宋体" w:hAnsi="宋体" w:eastAsia="宋体" w:cs="宋体"/>
          <w:bCs/>
          <w:color w:val="auto"/>
          <w:sz w:val="24"/>
          <w:szCs w:val="24"/>
          <w:highlight w:val="none"/>
        </w:rPr>
        <w:t xml:space="preserve">就实质性条款见证后，与中标供应商签订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cs="宋体"/>
          <w:color w:val="auto"/>
          <w:sz w:val="24"/>
          <w:highlight w:val="none"/>
          <w:lang w:eastAsia="zh-CN"/>
        </w:rPr>
        <w:t xml:space="preserve">江苏万力通项目管理有限公司</w:t>
      </w:r>
      <w:r>
        <w:rPr>
          <w:rFonts w:hint="eastAsia" w:ascii="宋体" w:hAnsi="宋体" w:eastAsia="宋体" w:cs="宋体"/>
          <w:bCs/>
          <w:color w:val="auto"/>
          <w:sz w:val="24"/>
          <w:szCs w:val="24"/>
          <w:highlight w:val="none"/>
        </w:rPr>
        <w:t xml:space="preserve">见证部分详见招标文件合同书（格式条款），见证后的格式条款不得</w:t>
      </w:r>
      <w:r>
        <w:rPr>
          <w:rFonts w:hint="eastAsia" w:ascii="宋体" w:hAnsi="宋体" w:eastAsia="宋体" w:cs="宋体"/>
          <w:bCs/>
          <w:color w:val="auto"/>
          <w:sz w:val="24"/>
          <w:szCs w:val="24"/>
          <w:highlight w:val="none"/>
          <w:lang w:eastAsia="zh-CN"/>
        </w:rPr>
        <w:t xml:space="preserve">做</w:t>
      </w:r>
      <w:r>
        <w:rPr>
          <w:rFonts w:hint="eastAsia" w:ascii="宋体" w:hAnsi="宋体" w:eastAsia="宋体" w:cs="宋体"/>
          <w:bCs/>
          <w:color w:val="auto"/>
          <w:sz w:val="24"/>
          <w:szCs w:val="24"/>
          <w:highlight w:val="none"/>
        </w:rPr>
        <w:t xml:space="preserve">任何修改。</w:t>
      </w:r>
      <w:r/>
    </w:p>
    <w:p>
      <w:pPr>
        <w:numPr>
          <w:ilvl w:val="0"/>
          <w:numId w:val="0"/>
        </w:numPr>
        <w:ind w:firstLine="480"/>
        <w:keepLines w:val="0"/>
        <w:keepNext w:val="0"/>
        <w:pageBreakBefore w:val="0"/>
        <w:spacing w:line="360" w:lineRule="auto"/>
        <w:shd w:val="clear" w:color="auto"/>
        <w:widowControl w:val="off"/>
        <w:tabs>
          <w:tab w:val="left" w:pos="525" w:leader="none"/>
          <w:tab w:val="left" w:pos="94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eastAsia="zh-CN"/>
        </w:rPr>
        <w:t xml:space="preserve">中标供应商</w:t>
      </w:r>
      <w:r>
        <w:rPr>
          <w:rFonts w:hint="eastAsia" w:ascii="宋体" w:hAnsi="宋体" w:eastAsia="宋体" w:cs="宋体"/>
          <w:bCs/>
          <w:color w:val="auto"/>
          <w:sz w:val="24"/>
          <w:szCs w:val="24"/>
          <w:highlight w:val="none"/>
        </w:rPr>
        <w:t xml:space="preserve">非因不可抗力未履行招、投标文件和合同规定的义务，一经查实，</w:t>
      </w:r>
      <w:r>
        <w:rPr>
          <w:rFonts w:hint="eastAsia" w:ascii="宋体" w:hAnsi="宋体" w:cs="宋体"/>
          <w:color w:val="auto"/>
          <w:sz w:val="24"/>
          <w:highlight w:val="none"/>
          <w:lang w:eastAsia="zh-CN"/>
        </w:rPr>
        <w:t xml:space="preserve">江苏万力通项目管理有限公司</w:t>
      </w:r>
      <w:r>
        <w:rPr>
          <w:rFonts w:hint="eastAsia" w:ascii="宋体" w:hAnsi="宋体" w:eastAsia="宋体" w:cs="宋体"/>
          <w:bCs/>
          <w:color w:val="auto"/>
          <w:sz w:val="24"/>
          <w:szCs w:val="24"/>
          <w:highlight w:val="none"/>
        </w:rPr>
        <w:t xml:space="preserve">将根据具体情况提请政府采购管理部门作出相应处理。</w:t>
      </w:r>
      <w:r/>
    </w:p>
    <w:p>
      <w:pPr>
        <w:ind w:firstLine="480"/>
        <w:keepLines w:val="0"/>
        <w:keepNext w:val="0"/>
        <w:pageBreakBefore w:val="0"/>
        <w:spacing w:line="360" w:lineRule="auto"/>
        <w:shd w:val="clear" w:color="auto"/>
        <w:tabs>
          <w:tab w:val="left" w:pos="945" w:leader="none"/>
        </w:tabs>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（十五）注意事项：</w:t>
      </w:r>
      <w:r/>
    </w:p>
    <w:p>
      <w:pPr>
        <w:ind w:firstLine="480"/>
        <w:keepLines w:val="0"/>
        <w:keepNext w:val="0"/>
        <w:pageBreakBefore w:val="0"/>
        <w:spacing w:line="360" w:lineRule="auto"/>
        <w:shd w:val="clear" w:color="auto"/>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中标供应商有下列情形之一的，情节严重的，由财政部门将其列入不良行为记录名单，在一至三年内禁止参加政府采购活动，并予以通报：</w:t>
      </w:r>
      <w:r/>
    </w:p>
    <w:p>
      <w:pPr>
        <w:numPr>
          <w:ilvl w:val="3"/>
          <w:numId w:val="8"/>
        </w:numPr>
        <w:ind w:left="0" w:firstLine="523"/>
        <w:keepLines w:val="0"/>
        <w:keepNext w:val="0"/>
        <w:pageBreakBefore w:val="0"/>
        <w:spacing w:line="360" w:lineRule="auto"/>
        <w:shd w:val="clear" w:color="auto"/>
        <w:tabs>
          <w:tab w:val="left" w:pos="735" w:leader="none"/>
          <w:tab w:val="left" w:pos="945" w:leader="none"/>
          <w:tab w:val="left" w:pos="1155" w:leader="none"/>
          <w:tab w:val="clear" w:pos="183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中标后无正当理由不与采购人签订合同的；</w:t>
      </w:r>
      <w:r/>
    </w:p>
    <w:p>
      <w:pPr>
        <w:numPr>
          <w:ilvl w:val="3"/>
          <w:numId w:val="8"/>
        </w:numPr>
        <w:ind w:left="0" w:firstLine="523"/>
        <w:keepLines w:val="0"/>
        <w:keepNext w:val="0"/>
        <w:pageBreakBefore w:val="0"/>
        <w:spacing w:line="360" w:lineRule="auto"/>
        <w:shd w:val="clear" w:color="auto"/>
        <w:tabs>
          <w:tab w:val="left" w:pos="735" w:leader="none"/>
          <w:tab w:val="left" w:pos="945" w:leader="none"/>
          <w:tab w:val="left" w:pos="1155" w:leader="none"/>
          <w:tab w:val="clear" w:pos="183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将中标项目转让给他人，或者在投标文件中未说明，且未经过采购人同意，将中标项目分包给他人的；</w:t>
      </w:r>
      <w:r/>
    </w:p>
    <w:p>
      <w:pPr>
        <w:numPr>
          <w:ilvl w:val="3"/>
          <w:numId w:val="8"/>
        </w:numPr>
        <w:ind w:left="0" w:firstLine="523"/>
        <w:keepLines w:val="0"/>
        <w:keepNext w:val="0"/>
        <w:pageBreakBefore w:val="0"/>
        <w:spacing w:line="360" w:lineRule="auto"/>
        <w:shd w:val="clear" w:color="auto"/>
        <w:tabs>
          <w:tab w:val="left" w:pos="735" w:leader="none"/>
          <w:tab w:val="left" w:pos="945" w:leader="none"/>
          <w:tab w:val="left" w:pos="1155" w:leader="none"/>
          <w:tab w:val="clear" w:pos="183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拒绝履行合同义务的。</w:t>
      </w:r>
      <w:r/>
    </w:p>
    <w:p>
      <w:pPr>
        <w:ind w:firstLine="480"/>
        <w:keepLines w:val="0"/>
        <w:keepNext w:val="0"/>
        <w:pageBreakBefore w:val="0"/>
        <w:spacing w:line="360" w:lineRule="auto"/>
        <w:shd w:val="clear" w:color="auto"/>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（十六）中标服务费：</w:t>
      </w:r>
      <w:r/>
    </w:p>
    <w:p>
      <w:pPr>
        <w:numPr>
          <w:ilvl w:val="1"/>
          <w:numId w:val="0"/>
        </w:numPr>
        <w:ind w:firstLine="525"/>
        <w:keepLines w:val="0"/>
        <w:keepNext w:val="0"/>
        <w:pageBreakBefore w:val="0"/>
        <w:spacing w:line="360" w:lineRule="auto"/>
        <w:shd w:val="clear" w:color="auto"/>
        <w:tabs>
          <w:tab w:val="left" w:pos="525" w:leader="none"/>
          <w:tab w:val="left" w:pos="630" w:leader="none"/>
          <w:tab w:val="left" w:pos="735" w:leader="none"/>
          <w:tab w:val="left" w:pos="945" w:leader="none"/>
        </w:tabs>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eastAsia="zh-CN"/>
        </w:rPr>
        <w:t xml:space="preserve">1.</w:t>
      </w:r>
      <w:r>
        <w:rPr>
          <w:rFonts w:hint="eastAsia" w:ascii="宋体" w:hAnsi="宋体" w:eastAsia="宋体" w:cs="宋体"/>
          <w:bCs/>
          <w:color w:val="auto"/>
          <w:sz w:val="24"/>
          <w:szCs w:val="24"/>
          <w:highlight w:val="none"/>
        </w:rPr>
        <w:t xml:space="preserve">招标代理服务费</w:t>
      </w:r>
      <w:r>
        <w:rPr>
          <w:rFonts w:hint="eastAsia" w:ascii="宋体" w:hAnsi="宋体" w:cs="宋体"/>
          <w:bCs/>
          <w:color w:val="auto"/>
          <w:sz w:val="24"/>
          <w:szCs w:val="24"/>
          <w:highlight w:val="none"/>
          <w:lang w:eastAsia="zh-CN"/>
        </w:rPr>
        <w:t xml:space="preserve">以</w:t>
      </w:r>
      <w:r>
        <w:rPr>
          <w:rFonts w:hint="eastAsia" w:ascii="宋体" w:hAnsi="宋体" w:eastAsia="宋体" w:cs="宋体"/>
          <w:bCs/>
          <w:color w:val="auto"/>
          <w:sz w:val="24"/>
          <w:szCs w:val="24"/>
          <w:highlight w:val="none"/>
        </w:rPr>
        <w:t xml:space="preserve">中标价为计费基础，</w:t>
      </w:r>
      <w:r>
        <w:rPr>
          <w:rFonts w:hint="eastAsia" w:ascii="宋体" w:hAnsi="宋体" w:cs="宋体"/>
          <w:bCs/>
          <w:color w:val="auto"/>
          <w:sz w:val="24"/>
          <w:szCs w:val="24"/>
          <w:highlight w:val="none"/>
          <w:lang w:eastAsia="zh-CN"/>
        </w:rPr>
        <w:t xml:space="preserve">100万元以下</w:t>
      </w:r>
      <w:r>
        <w:rPr>
          <w:rFonts w:hint="eastAsia" w:ascii="宋体" w:hAnsi="宋体" w:cs="宋体"/>
          <w:bCs/>
          <w:color w:val="auto"/>
          <w:sz w:val="24"/>
          <w:szCs w:val="24"/>
          <w:highlight w:val="none"/>
          <w:lang w:val="en-US" w:eastAsia="zh-CN"/>
        </w:rPr>
        <w:t xml:space="preserve">费率为</w:t>
      </w:r>
      <w:r>
        <w:rPr>
          <w:rFonts w:hint="eastAsia" w:ascii="宋体" w:hAnsi="宋体" w:eastAsia="宋体" w:cs="宋体"/>
          <w:bCs/>
          <w:color w:val="auto"/>
          <w:sz w:val="24"/>
          <w:szCs w:val="24"/>
          <w:highlight w:val="none"/>
          <w:lang w:val="en-US" w:eastAsia="zh-CN"/>
        </w:rPr>
        <w:t xml:space="preserve">1.5%，100万—500万</w:t>
      </w:r>
      <w:r>
        <w:rPr>
          <w:rFonts w:hint="eastAsia" w:ascii="宋体" w:hAnsi="宋体" w:cs="宋体"/>
          <w:bCs/>
          <w:color w:val="auto"/>
          <w:sz w:val="24"/>
          <w:szCs w:val="24"/>
          <w:highlight w:val="none"/>
          <w:lang w:val="en-US" w:eastAsia="zh-CN"/>
        </w:rPr>
        <w:t xml:space="preserve">费率为</w:t>
      </w:r>
      <w:r>
        <w:rPr>
          <w:rFonts w:hint="eastAsia" w:ascii="宋体" w:hAnsi="宋体" w:eastAsia="宋体" w:cs="宋体"/>
          <w:bCs/>
          <w:color w:val="auto"/>
          <w:sz w:val="24"/>
          <w:szCs w:val="24"/>
          <w:highlight w:val="none"/>
          <w:lang w:val="en-US" w:eastAsia="zh-CN"/>
        </w:rPr>
        <w:t xml:space="preserve">0.8%，500万—1000</w:t>
      </w:r>
      <w:r>
        <w:rPr>
          <w:rFonts w:hint="eastAsia" w:ascii="宋体" w:hAnsi="宋体" w:cs="宋体"/>
          <w:bCs/>
          <w:color w:val="auto"/>
          <w:sz w:val="24"/>
          <w:szCs w:val="24"/>
          <w:highlight w:val="none"/>
          <w:lang w:val="en-US" w:eastAsia="zh-CN"/>
        </w:rPr>
        <w:t xml:space="preserve">万元费率为</w:t>
      </w:r>
      <w:r>
        <w:rPr>
          <w:rFonts w:hint="eastAsia" w:ascii="宋体" w:hAnsi="宋体" w:eastAsia="宋体" w:cs="宋体"/>
          <w:bCs/>
          <w:color w:val="auto"/>
          <w:sz w:val="24"/>
          <w:szCs w:val="24"/>
          <w:highlight w:val="none"/>
          <w:lang w:val="en-US" w:eastAsia="zh-CN"/>
        </w:rPr>
        <w:t xml:space="preserve">0.45%，1000万—5000万</w:t>
      </w:r>
      <w:r>
        <w:rPr>
          <w:rFonts w:hint="eastAsia" w:ascii="宋体" w:hAnsi="宋体" w:eastAsia="宋体" w:cs="宋体"/>
          <w:bCs/>
          <w:color w:val="auto"/>
          <w:sz w:val="24"/>
          <w:szCs w:val="24"/>
          <w:highlight w:val="none"/>
        </w:rPr>
        <w:t xml:space="preserve">元</w:t>
      </w:r>
      <w:r>
        <w:rPr>
          <w:rFonts w:hint="eastAsia" w:ascii="宋体" w:hAnsi="宋体" w:cs="宋体"/>
          <w:bCs/>
          <w:color w:val="auto"/>
          <w:sz w:val="24"/>
          <w:szCs w:val="24"/>
          <w:highlight w:val="none"/>
          <w:lang w:val="en-US" w:eastAsia="zh-CN"/>
        </w:rPr>
        <w:t xml:space="preserve">费率为</w:t>
      </w:r>
      <w:r>
        <w:rPr>
          <w:rFonts w:hint="eastAsia" w:ascii="宋体" w:hAnsi="宋体" w:eastAsia="宋体" w:cs="宋体"/>
          <w:bCs/>
          <w:color w:val="auto"/>
          <w:sz w:val="24"/>
          <w:szCs w:val="24"/>
          <w:highlight w:val="none"/>
        </w:rPr>
        <w:t xml:space="preserve">0.25%，</w:t>
      </w:r>
      <w:r>
        <w:rPr>
          <w:rFonts w:hint="eastAsia" w:ascii="宋体" w:hAnsi="宋体" w:eastAsia="宋体" w:cs="宋体"/>
          <w:bCs/>
          <w:color w:val="auto"/>
          <w:sz w:val="24"/>
          <w:szCs w:val="24"/>
          <w:highlight w:val="none"/>
          <w:lang w:val="en-US" w:eastAsia="zh-CN"/>
        </w:rPr>
        <w:t xml:space="preserve">打7折</w:t>
      </w:r>
      <w:r>
        <w:rPr>
          <w:rFonts w:hint="eastAsia" w:ascii="宋体" w:hAnsi="宋体" w:eastAsia="宋体" w:cs="宋体"/>
          <w:bCs/>
          <w:color w:val="auto"/>
          <w:sz w:val="24"/>
          <w:szCs w:val="24"/>
          <w:highlight w:val="none"/>
        </w:rPr>
        <w:t xml:space="preserve">计取。招标代理服务收费采用差额定率累进计算方式。</w:t>
      </w:r>
      <w:r/>
    </w:p>
    <w:p>
      <w:pPr>
        <w:numPr>
          <w:ilvl w:val="1"/>
          <w:numId w:val="0"/>
        </w:numPr>
        <w:ind w:firstLine="525"/>
        <w:keepLines w:val="0"/>
        <w:keepNext w:val="0"/>
        <w:pageBreakBefore w:val="0"/>
        <w:spacing w:line="360" w:lineRule="auto"/>
        <w:shd w:val="clear" w:color="auto"/>
        <w:tabs>
          <w:tab w:val="left" w:pos="525" w:leader="none"/>
          <w:tab w:val="left" w:pos="630" w:leader="none"/>
          <w:tab w:val="left" w:pos="73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 开具中标通知书时</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招标代理费由</w:t>
      </w:r>
      <w:r>
        <w:rPr>
          <w:rFonts w:hint="eastAsia" w:ascii="宋体" w:hAnsi="宋体" w:cs="宋体"/>
          <w:bCs/>
          <w:color w:val="auto"/>
          <w:sz w:val="24"/>
          <w:szCs w:val="24"/>
          <w:highlight w:val="none"/>
          <w:lang w:val="en-US" w:eastAsia="zh-CN"/>
        </w:rPr>
        <w:t xml:space="preserve">中标</w:t>
      </w:r>
      <w:r>
        <w:rPr>
          <w:rFonts w:hint="eastAsia" w:ascii="宋体" w:hAnsi="宋体" w:eastAsia="宋体" w:cs="宋体"/>
          <w:bCs/>
          <w:color w:val="auto"/>
          <w:sz w:val="24"/>
          <w:szCs w:val="24"/>
          <w:highlight w:val="none"/>
          <w:lang w:val="en-US" w:eastAsia="zh-CN"/>
        </w:rPr>
        <w:t xml:space="preserve">方</w:t>
      </w:r>
      <w:r>
        <w:rPr>
          <w:rFonts w:hint="eastAsia" w:ascii="宋体" w:hAnsi="宋体" w:eastAsia="宋体" w:cs="宋体"/>
          <w:bCs/>
          <w:color w:val="auto"/>
          <w:sz w:val="24"/>
          <w:szCs w:val="24"/>
          <w:highlight w:val="none"/>
        </w:rPr>
        <w:t xml:space="preserve">向采购代理机构一次性付清。</w:t>
      </w:r>
      <w:r/>
    </w:p>
    <w:p>
      <w:pPr>
        <w:numPr>
          <w:ilvl w:val="1"/>
          <w:numId w:val="0"/>
        </w:numPr>
        <w:ind w:firstLine="525"/>
        <w:keepLines w:val="0"/>
        <w:keepNext w:val="0"/>
        <w:pageBreakBefore w:val="0"/>
        <w:spacing w:line="360" w:lineRule="auto"/>
        <w:shd w:val="clear" w:color="auto"/>
        <w:tabs>
          <w:tab w:val="left" w:pos="525" w:leader="none"/>
          <w:tab w:val="left" w:pos="630" w:leader="none"/>
          <w:tab w:val="left" w:pos="73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（十七）合同融资、履约</w:t>
      </w:r>
      <w:r>
        <w:rPr>
          <w:rFonts w:hint="eastAsia" w:ascii="宋体" w:hAnsi="宋体" w:cs="宋体"/>
          <w:bCs/>
          <w:color w:val="auto"/>
          <w:sz w:val="24"/>
          <w:szCs w:val="24"/>
          <w:highlight w:val="none"/>
          <w:lang w:eastAsia="zh-CN"/>
        </w:rPr>
        <w:t xml:space="preserve">担保：</w:t>
      </w:r>
      <w:r/>
    </w:p>
    <w:p>
      <w:pPr>
        <w:numPr>
          <w:ilvl w:val="1"/>
          <w:numId w:val="0"/>
        </w:numPr>
        <w:ind w:firstLine="525"/>
        <w:keepLines w:val="0"/>
        <w:keepNext w:val="0"/>
        <w:pageBreakBefore w:val="0"/>
        <w:spacing w:line="360" w:lineRule="auto"/>
        <w:shd w:val="clear" w:color="auto"/>
        <w:tabs>
          <w:tab w:val="left" w:pos="525" w:leader="none"/>
          <w:tab w:val="left" w:pos="630" w:leader="none"/>
          <w:tab w:val="left" w:pos="73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1.根据国家扶持中小企业的有关政策，本次采购项目中标的供应商，如需要政府采购合同融资，请按锡财购</w:t>
      </w:r>
      <w:r>
        <w:rPr>
          <w:rFonts w:hint="eastAsia" w:ascii="宋体" w:hAnsi="宋体" w:eastAsia="宋体" w:cs="宋体"/>
          <w:bCs/>
          <w:color w:val="auto"/>
          <w:sz w:val="24"/>
          <w:szCs w:val="24"/>
          <w:highlight w:val="none"/>
          <w:lang w:eastAsia="zh-CN"/>
        </w:rPr>
        <w:t xml:space="preserve">〔2020〕17号</w:t>
      </w:r>
      <w:r>
        <w:rPr>
          <w:rFonts w:hint="eastAsia" w:ascii="宋体" w:hAnsi="宋体" w:eastAsia="宋体" w:cs="宋体"/>
          <w:bCs/>
          <w:color w:val="auto"/>
          <w:sz w:val="24"/>
          <w:szCs w:val="24"/>
          <w:highlight w:val="none"/>
        </w:rPr>
        <w:t xml:space="preserve">文件执行。</w:t>
      </w:r>
      <w:r/>
    </w:p>
    <w:p>
      <w:pPr>
        <w:ind w:firstLine="480"/>
        <w:keepLines w:val="0"/>
        <w:keepNext w:val="0"/>
        <w:pageBreakBefore w:val="0"/>
        <w:spacing w:line="360" w:lineRule="auto"/>
        <w:shd w:val="clear" w:color="auto"/>
        <w:tabs>
          <w:tab w:val="left" w:pos="630" w:leader="none"/>
          <w:tab w:val="left" w:pos="73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合同融资，是指参与政府采购的供应商，凭借中</w:t>
      </w:r>
      <w:r>
        <w:rPr>
          <w:rFonts w:hint="eastAsia" w:ascii="宋体" w:hAnsi="宋体" w:eastAsia="宋体" w:cs="宋体"/>
          <w:bCs/>
          <w:color w:val="auto"/>
          <w:sz w:val="24"/>
          <w:szCs w:val="24"/>
          <w:highlight w:val="none"/>
        </w:rPr>
        <w:t xml:space="preserve">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ind w:firstLine="480"/>
        <w:keepLines w:val="0"/>
        <w:keepNext w:val="0"/>
        <w:pageBreakBefore w:val="0"/>
        <w:spacing w:line="360" w:lineRule="auto"/>
        <w:shd w:val="clear" w:color="auto"/>
        <w:tabs>
          <w:tab w:val="left" w:pos="630" w:leader="none"/>
          <w:tab w:val="left" w:pos="73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中标、成交供应商可根据自身情况，自行决定是否选择采用合同融资形式，在无锡政府采购网——政采贷专栏提供的银行名录内自主选择合作银行。</w:t>
      </w:r>
      <w:r/>
    </w:p>
    <w:p>
      <w:pPr>
        <w:numPr>
          <w:ilvl w:val="1"/>
          <w:numId w:val="0"/>
        </w:numPr>
        <w:ind w:firstLine="525"/>
        <w:keepLines w:val="0"/>
        <w:keepNext w:val="0"/>
        <w:pageBreakBefore w:val="0"/>
        <w:spacing w:line="360" w:lineRule="auto"/>
        <w:shd w:val="clear" w:color="auto"/>
        <w:tabs>
          <w:tab w:val="left" w:pos="525" w:leader="none"/>
          <w:tab w:val="left" w:pos="630" w:leader="none"/>
          <w:tab w:val="left" w:pos="73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 中标、成交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p>
    <w:p>
      <w:pPr>
        <w:ind w:firstLine="480"/>
        <w:keepLines w:val="0"/>
        <w:keepNext w:val="0"/>
        <w:pageBreakBefore w:val="0"/>
        <w:spacing w:line="360" w:lineRule="auto"/>
        <w:shd w:val="clear" w:color="auto"/>
        <w:widowControl w:val="off"/>
        <w:rPr>
          <w:rFonts w:hint="eastAsia" w:ascii="宋体" w:hAnsi="宋体" w:eastAsia="宋体" w:cs="宋体"/>
          <w:color w:val="auto"/>
          <w:sz w:val="24"/>
          <w:szCs w:val="24"/>
          <w:highlight w:val="none"/>
        </w:rPr>
        <w:outlineLvl w:val="9"/>
      </w:pPr>
      <w:r>
        <w:rPr>
          <w:rFonts w:hint="eastAsia" w:ascii="宋体" w:hAnsi="宋体" w:eastAsia="宋体" w:cs="宋体"/>
          <w:bCs/>
          <w:color w:val="auto"/>
          <w:sz w:val="24"/>
          <w:szCs w:val="24"/>
          <w:highlight w:val="none"/>
        </w:rPr>
        <w:t xml:space="preserve">中标、成交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p>
    <w:p>
      <w:pPr>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br w:type="page" w:clear="all"/>
      </w:r>
      <w:r/>
    </w:p>
    <w:p>
      <w:pPr>
        <w:ind w:firstLine="600"/>
        <w:jc w:val="center"/>
        <w:keepLines w:val="0"/>
        <w:keepNext w:val="0"/>
        <w:pageBreakBefore w:val="0"/>
        <w:spacing w:line="360" w:lineRule="auto"/>
        <w:tabs>
          <w:tab w:val="left" w:pos="3144" w:leader="none"/>
        </w:tabs>
        <w:rPr>
          <w:rFonts w:hint="eastAsia" w:ascii="宋体" w:hAnsi="宋体" w:eastAsia="宋体" w:cs="宋体"/>
          <w:color w:val="auto"/>
          <w:sz w:val="30"/>
          <w:szCs w:val="30"/>
          <w:highlight w:val="none"/>
          <w:lang w:val="en-US" w:eastAsia="zh-CN"/>
        </w:rPr>
        <w:outlineLvl w:val="1"/>
      </w:pPr>
      <w:r>
        <w:rPr>
          <w:rFonts w:hint="eastAsia" w:ascii="宋体" w:hAnsi="宋体" w:eastAsia="宋体" w:cs="宋体"/>
          <w:color w:val="auto"/>
          <w:sz w:val="30"/>
          <w:szCs w:val="30"/>
          <w:highlight w:val="none"/>
        </w:rPr>
        <w:t xml:space="preserve">三、</w:t>
      </w:r>
      <w:bookmarkStart w:id="2" w:name="_Hlk119064295"/>
      <w:r>
        <w:rPr>
          <w:rFonts w:hint="eastAsia" w:ascii="宋体" w:hAnsi="宋体" w:eastAsia="宋体" w:cs="宋体"/>
          <w:color w:val="auto"/>
          <w:sz w:val="30"/>
          <w:szCs w:val="30"/>
          <w:highlight w:val="none"/>
          <w:lang w:val="en-US" w:eastAsia="zh-CN"/>
        </w:rPr>
        <w:t xml:space="preserve">采购需求</w:t>
      </w:r>
      <w:r/>
    </w:p>
    <w:p>
      <w:pPr>
        <w:ind w:firstLine="482"/>
        <w:jc w:val="both"/>
        <w:keepLines w:val="0"/>
        <w:keepNext w:val="0"/>
        <w:pageBreakBefore w:val="0"/>
        <w:spacing w:line="360" w:lineRule="auto"/>
        <w:tabs>
          <w:tab w:val="left" w:pos="3144" w:leader="none"/>
        </w:tabs>
        <w:rPr>
          <w:rFonts w:hint="eastAsia" w:ascii="宋体" w:hAnsi="宋体" w:eastAsia="宋体" w:cs="宋体"/>
          <w:b/>
          <w:color w:val="auto"/>
          <w:sz w:val="24"/>
          <w:szCs w:val="24"/>
          <w:highlight w:val="none"/>
        </w:rPr>
        <w:outlineLvl w:val="1"/>
      </w:pPr>
      <w:r>
        <w:rPr>
          <w:rFonts w:hint="eastAsia" w:ascii="宋体" w:hAnsi="宋体" w:eastAsia="宋体" w:cs="宋体"/>
          <w:b/>
          <w:color w:val="auto"/>
          <w:sz w:val="24"/>
          <w:szCs w:val="24"/>
          <w:highlight w:val="none"/>
        </w:rPr>
        <w:t xml:space="preserve">一、采购标的需实现的功能或者目标，以及为落实政府采购政策需满足的要求</w:t>
      </w:r>
      <w:r>
        <w:rPr>
          <w:rFonts w:hint="eastAsia" w:ascii="宋体" w:hAnsi="宋体" w:eastAsia="宋体" w:cs="宋体"/>
          <w:b/>
          <w:color w:val="auto"/>
          <w:sz w:val="24"/>
          <w:szCs w:val="24"/>
          <w:highlight w:val="none"/>
          <w:lang w:eastAsia="zh-CN"/>
        </w:rPr>
        <w:t xml:space="preserve">：</w:t>
      </w:r>
      <w:r/>
    </w:p>
    <w:p>
      <w:pPr>
        <w:ind w:firstLine="420"/>
        <w:jc w:val="left"/>
        <w:keepLines w:val="0"/>
        <w:keepNext w:val="0"/>
        <w:pageBreakBefore w:val="0"/>
        <w:spacing w:line="360" w:lineRule="auto"/>
        <w:rPr>
          <w:rFonts w:hint="eastAsia" w:ascii="宋体" w:hAnsi="宋体" w:eastAsia="宋体" w:cs="宋体"/>
          <w:color w:val="auto"/>
          <w:sz w:val="24"/>
          <w:szCs w:val="21"/>
          <w:highlight w:val="none"/>
        </w:rPr>
        <w:outlineLvl w:val="0"/>
      </w:pPr>
      <w:r>
        <w:rPr>
          <w:rFonts w:hint="eastAsia" w:ascii="宋体" w:hAnsi="宋体" w:eastAsia="宋体" w:cs="宋体"/>
          <w:color w:val="auto"/>
          <w:sz w:val="24"/>
          <w:szCs w:val="20"/>
          <w:highlight w:val="none"/>
        </w:rPr>
        <w:t xml:space="preserve">1.采购标的需实现的功能或者目标：</w:t>
      </w:r>
      <w:r>
        <w:rPr>
          <w:rFonts w:hint="eastAsia" w:ascii="宋体" w:hAnsi="宋体" w:eastAsia="宋体" w:cs="宋体"/>
          <w:color w:val="auto"/>
          <w:sz w:val="24"/>
          <w:szCs w:val="21"/>
          <w:highlight w:val="none"/>
        </w:rPr>
        <w:t xml:space="preserve">城市绿地的养护是提升城市形象和</w:t>
      </w:r>
      <w:r>
        <w:rPr>
          <w:rFonts w:hint="eastAsia" w:ascii="宋体" w:hAnsi="宋体" w:eastAsia="宋体" w:cs="宋体"/>
          <w:color w:val="auto"/>
          <w:sz w:val="24"/>
          <w:szCs w:val="21"/>
          <w:highlight w:val="none"/>
          <w:lang w:eastAsia="zh-CN"/>
        </w:rPr>
        <w:t xml:space="preserve">改善人民</w:t>
      </w:r>
      <w:r>
        <w:rPr>
          <w:rFonts w:hint="eastAsia" w:ascii="宋体" w:hAnsi="宋体" w:eastAsia="宋体" w:cs="宋体"/>
          <w:color w:val="auto"/>
          <w:sz w:val="24"/>
          <w:szCs w:val="21"/>
          <w:highlight w:val="none"/>
        </w:rPr>
        <w:t xml:space="preserve">生活环境的重要途径之一</w:t>
      </w:r>
      <w:r>
        <w:rPr>
          <w:rFonts w:hint="eastAsia" w:ascii="宋体" w:hAnsi="宋体" w:eastAsia="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搞好城市绿地养护</w:t>
      </w:r>
      <w:r>
        <w:rPr>
          <w:rFonts w:hint="eastAsia" w:ascii="宋体" w:hAnsi="宋体" w:eastAsia="宋体" w:cs="宋体"/>
          <w:color w:val="auto"/>
          <w:sz w:val="24"/>
          <w:szCs w:val="21"/>
          <w:highlight w:val="none"/>
          <w:lang w:eastAsia="zh-CN"/>
        </w:rPr>
        <w:t xml:space="preserve">，需要</w:t>
      </w:r>
      <w:r>
        <w:rPr>
          <w:rFonts w:hint="eastAsia" w:ascii="宋体" w:hAnsi="宋体" w:eastAsia="宋体" w:cs="宋体"/>
          <w:color w:val="auto"/>
          <w:sz w:val="24"/>
          <w:szCs w:val="21"/>
          <w:highlight w:val="none"/>
        </w:rPr>
        <w:t xml:space="preserve">充分认识其重要性，</w:t>
      </w:r>
      <w:r>
        <w:rPr>
          <w:rFonts w:hint="eastAsia" w:ascii="宋体" w:hAnsi="宋体" w:eastAsia="宋体" w:cs="宋体"/>
          <w:color w:val="auto"/>
          <w:sz w:val="24"/>
          <w:szCs w:val="21"/>
          <w:highlight w:val="none"/>
          <w:lang w:eastAsia="zh-CN"/>
        </w:rPr>
        <w:t xml:space="preserve">以科学发展观为指导</w:t>
      </w:r>
      <w:r>
        <w:rPr>
          <w:rFonts w:hint="eastAsia" w:ascii="宋体" w:hAnsi="宋体" w:eastAsia="宋体" w:cs="宋体"/>
          <w:color w:val="auto"/>
          <w:sz w:val="24"/>
          <w:szCs w:val="21"/>
          <w:highlight w:val="none"/>
        </w:rPr>
        <w:t xml:space="preserve">，贯彻生态、节约的理念，探索城市绿地养护的管理模式，做好养护工作。</w:t>
      </w:r>
      <w:r/>
    </w:p>
    <w:p>
      <w:pPr>
        <w:ind w:firstLine="480"/>
        <w:jc w:val="left"/>
        <w:keepLines w:val="0"/>
        <w:keepNext w:val="0"/>
        <w:pageBreakBefore w:val="0"/>
        <w:spacing w:line="360" w:lineRule="auto"/>
        <w:rPr>
          <w:rFonts w:hint="eastAsia" w:ascii="宋体" w:hAnsi="宋体" w:eastAsia="宋体" w:cs="宋体"/>
          <w:color w:val="auto"/>
          <w:sz w:val="24"/>
          <w:szCs w:val="20"/>
          <w:highlight w:val="none"/>
        </w:rPr>
        <w:outlineLvl w:val="9"/>
      </w:pPr>
      <w:r>
        <w:rPr>
          <w:rFonts w:hint="eastAsia" w:ascii="宋体" w:hAnsi="宋体" w:eastAsia="宋体" w:cs="宋体"/>
          <w:color w:val="auto"/>
          <w:sz w:val="24"/>
          <w:szCs w:val="20"/>
          <w:highlight w:val="none"/>
        </w:rPr>
        <w:t xml:space="preserve">2.为落实政府采购政策需满足的要求：</w:t>
      </w:r>
      <w:r/>
    </w:p>
    <w:p>
      <w:pPr>
        <w:ind w:firstLine="480"/>
        <w:jc w:val="both"/>
        <w:keepLines w:val="0"/>
        <w:keepNext w:val="0"/>
        <w:pageBreakBefore w:val="0"/>
        <w:spacing w:line="360" w:lineRule="auto"/>
        <w:rPr>
          <w:rFonts w:hint="eastAsia" w:ascii="宋体" w:hAnsi="宋体" w:eastAsia="宋体" w:cs="宋体"/>
          <w:color w:val="auto"/>
          <w:sz w:val="24"/>
          <w:szCs w:val="20"/>
          <w:highlight w:val="none"/>
        </w:rPr>
        <w:outlineLvl w:val="9"/>
      </w:pPr>
      <w:r>
        <w:rPr>
          <w:rFonts w:hint="eastAsia" w:ascii="宋体" w:hAnsi="宋体" w:eastAsia="宋体" w:cs="宋体"/>
          <w:color w:val="auto"/>
          <w:sz w:val="24"/>
          <w:szCs w:val="20"/>
          <w:highlight w:val="none"/>
        </w:rPr>
        <w:t xml:space="preserve">供应商必须是中小微企业或监狱企业或残疾人福利性单位；供应商如为中小微企业</w:t>
      </w:r>
      <w:r>
        <w:rPr>
          <w:rFonts w:hint="eastAsia" w:ascii="宋体" w:hAnsi="宋体" w:eastAsia="宋体" w:cs="宋体"/>
          <w:color w:val="auto"/>
          <w:sz w:val="24"/>
          <w:szCs w:val="20"/>
          <w:highlight w:val="none"/>
          <w:lang w:eastAsia="zh-CN"/>
        </w:rPr>
        <w:t xml:space="preserve">，需</w:t>
      </w:r>
      <w:r>
        <w:rPr>
          <w:rFonts w:hint="eastAsia" w:ascii="宋体" w:hAnsi="宋体" w:eastAsia="宋体" w:cs="宋体"/>
          <w:color w:val="auto"/>
          <w:sz w:val="24"/>
          <w:szCs w:val="20"/>
          <w:highlight w:val="none"/>
        </w:rPr>
        <w:t xml:space="preserve">提供《中小企业声明函》；如为监狱和戒毒</w:t>
      </w:r>
      <w:r>
        <w:rPr>
          <w:rFonts w:hint="eastAsia" w:ascii="宋体" w:hAnsi="宋体" w:eastAsia="宋体" w:cs="宋体"/>
          <w:color w:val="auto"/>
          <w:sz w:val="24"/>
          <w:szCs w:val="20"/>
          <w:highlight w:val="none"/>
          <w:lang w:eastAsia="zh-CN"/>
        </w:rPr>
        <w:t xml:space="preserve">企业</w:t>
      </w:r>
      <w:r>
        <w:rPr>
          <w:rFonts w:hint="eastAsia" w:ascii="宋体" w:hAnsi="宋体" w:eastAsia="宋体" w:cs="宋体"/>
          <w:color w:val="auto"/>
          <w:sz w:val="24"/>
          <w:szCs w:val="20"/>
          <w:highlight w:val="none"/>
        </w:rPr>
        <w:t xml:space="preserve">，按照财政部</w:t>
      </w:r>
      <w:r>
        <w:rPr>
          <w:rFonts w:hint="eastAsia" w:ascii="宋体" w:hAnsi="宋体" w:eastAsia="宋体" w:cs="宋体"/>
          <w:color w:val="auto"/>
          <w:sz w:val="24"/>
          <w:szCs w:val="20"/>
          <w:highlight w:val="none"/>
          <w:lang w:eastAsia="zh-CN"/>
        </w:rPr>
        <w:t xml:space="preserve">、司法部《</w:t>
      </w:r>
      <w:r>
        <w:rPr>
          <w:rFonts w:hint="eastAsia" w:ascii="宋体" w:hAnsi="宋体" w:eastAsia="宋体" w:cs="宋体"/>
          <w:color w:val="auto"/>
          <w:sz w:val="24"/>
          <w:szCs w:val="20"/>
          <w:highlight w:val="none"/>
        </w:rPr>
        <w:t xml:space="preserve">关于政府采购支持监狱企业发展有关问题》（财库〔2014〕68号）的规定</w:t>
      </w:r>
      <w:r>
        <w:rPr>
          <w:rFonts w:hint="eastAsia" w:ascii="宋体" w:hAnsi="宋体" w:eastAsia="宋体" w:cs="宋体"/>
          <w:color w:val="auto"/>
          <w:sz w:val="24"/>
          <w:szCs w:val="20"/>
          <w:highlight w:val="none"/>
          <w:lang w:eastAsia="zh-CN"/>
        </w:rPr>
        <w:t xml:space="preserve">，提供</w:t>
      </w:r>
      <w:r>
        <w:rPr>
          <w:rFonts w:hint="eastAsia" w:ascii="宋体" w:hAnsi="宋体" w:eastAsia="宋体" w:cs="宋体"/>
          <w:color w:val="auto"/>
          <w:sz w:val="24"/>
          <w:szCs w:val="20"/>
          <w:highlight w:val="none"/>
        </w:rPr>
        <w:t xml:space="preserve">由省级以上监狱管理局、戒毒管理局（含新疆生产建设兵团）出具的属于监狱企业的证明文件原件扫描件；如为残疾人福利性单位</w:t>
      </w:r>
      <w:r>
        <w:rPr>
          <w:rFonts w:hint="eastAsia" w:ascii="宋体" w:hAnsi="宋体" w:eastAsia="宋体" w:cs="宋体"/>
          <w:color w:val="auto"/>
          <w:sz w:val="24"/>
          <w:szCs w:val="20"/>
          <w:highlight w:val="none"/>
          <w:lang w:eastAsia="zh-CN"/>
        </w:rPr>
        <w:t xml:space="preserve">，需</w:t>
      </w:r>
      <w:r>
        <w:rPr>
          <w:rFonts w:hint="eastAsia" w:ascii="宋体" w:hAnsi="宋体" w:eastAsia="宋体" w:cs="宋体"/>
          <w:color w:val="auto"/>
          <w:sz w:val="24"/>
          <w:szCs w:val="20"/>
          <w:highlight w:val="none"/>
        </w:rPr>
        <w:t xml:space="preserve">提供《残疾人福利性单位声明函</w:t>
      </w:r>
      <w:r>
        <w:rPr>
          <w:rFonts w:hint="eastAsia" w:ascii="宋体" w:hAnsi="宋体" w:eastAsia="宋体" w:cs="宋体"/>
          <w:color w:val="auto"/>
          <w:sz w:val="24"/>
          <w:szCs w:val="20"/>
          <w:highlight w:val="none"/>
          <w:lang w:eastAsia="zh-CN"/>
        </w:rPr>
        <w:t xml:space="preserve">》。</w:t>
      </w:r>
      <w:r/>
    </w:p>
    <w:p>
      <w:pPr>
        <w:ind w:firstLine="482"/>
        <w:jc w:val="both"/>
        <w:keepLines w:val="0"/>
        <w:keepNext w:val="0"/>
        <w:pageBreakBefore w:val="0"/>
        <w:spacing w:line="360" w:lineRule="auto"/>
        <w:rPr>
          <w:rFonts w:hint="eastAsia" w:ascii="宋体" w:hAnsi="宋体" w:eastAsia="宋体" w:cs="宋体"/>
          <w:b/>
          <w:color w:val="auto"/>
          <w:sz w:val="24"/>
          <w:szCs w:val="20"/>
          <w:highlight w:val="none"/>
        </w:rPr>
        <w:outlineLvl w:val="9"/>
      </w:pPr>
      <w:r>
        <w:rPr>
          <w:rFonts w:hint="eastAsia" w:ascii="宋体" w:hAnsi="宋体" w:eastAsia="宋体" w:cs="宋体"/>
          <w:b/>
          <w:color w:val="auto"/>
          <w:sz w:val="24"/>
          <w:szCs w:val="20"/>
          <w:highlight w:val="none"/>
        </w:rPr>
        <w:t xml:space="preserve">二、本项目需执行的国家相关标准、行业标准、地方标准或者其他标准、规范：</w:t>
      </w:r>
      <w:r/>
    </w:p>
    <w:p>
      <w:pPr>
        <w:ind w:firstLine="480"/>
        <w:jc w:val="both"/>
        <w:keepLines w:val="0"/>
        <w:keepNext w:val="0"/>
        <w:pageBreakBefore w:val="0"/>
        <w:spacing w:line="360" w:lineRule="auto"/>
        <w:rPr>
          <w:rFonts w:hint="eastAsia" w:ascii="宋体" w:hAnsi="宋体" w:eastAsia="宋体" w:cs="宋体"/>
          <w:color w:val="auto"/>
          <w:sz w:val="24"/>
          <w:szCs w:val="20"/>
          <w:highlight w:val="none"/>
        </w:rPr>
        <w:outlineLvl w:val="9"/>
      </w:pPr>
      <w:r>
        <w:rPr>
          <w:rFonts w:hint="eastAsia" w:ascii="宋体" w:hAnsi="宋体" w:eastAsia="宋体" w:cs="宋体"/>
          <w:color w:val="auto"/>
          <w:sz w:val="24"/>
          <w:szCs w:val="20"/>
          <w:highlight w:val="none"/>
        </w:rPr>
        <w:t xml:space="preserve">1.《中华人民共和国政府采购法》</w:t>
      </w:r>
      <w:r/>
    </w:p>
    <w:p>
      <w:pPr>
        <w:ind w:firstLine="480"/>
        <w:jc w:val="both"/>
        <w:keepLines w:val="0"/>
        <w:keepNext w:val="0"/>
        <w:pageBreakBefore w:val="0"/>
        <w:spacing w:line="360" w:lineRule="auto"/>
        <w:rPr>
          <w:rFonts w:hint="eastAsia" w:ascii="宋体" w:hAnsi="宋体" w:eastAsia="宋体" w:cs="宋体"/>
          <w:color w:val="auto"/>
          <w:sz w:val="24"/>
          <w:szCs w:val="20"/>
          <w:highlight w:val="none"/>
        </w:rPr>
        <w:outlineLvl w:val="9"/>
      </w:pPr>
      <w:r>
        <w:rPr>
          <w:rFonts w:hint="eastAsia" w:ascii="宋体" w:hAnsi="宋体" w:eastAsia="宋体" w:cs="宋体"/>
          <w:color w:val="auto"/>
          <w:sz w:val="24"/>
          <w:szCs w:val="20"/>
          <w:highlight w:val="none"/>
          <w:lang w:val="en-US" w:eastAsia="zh-CN"/>
        </w:rPr>
        <w:t xml:space="preserve">2</w:t>
      </w:r>
      <w:r>
        <w:rPr>
          <w:rFonts w:hint="eastAsia" w:ascii="宋体" w:hAnsi="宋体" w:eastAsia="宋体" w:cs="宋体"/>
          <w:color w:val="auto"/>
          <w:sz w:val="24"/>
          <w:szCs w:val="20"/>
          <w:highlight w:val="none"/>
        </w:rPr>
        <w:t xml:space="preserve">.</w:t>
      </w:r>
      <w:r>
        <w:rPr>
          <w:rFonts w:hint="eastAsia" w:ascii="宋体" w:hAnsi="宋体" w:eastAsia="宋体" w:cs="宋体"/>
          <w:color w:val="auto"/>
          <w:sz w:val="24"/>
          <w:szCs w:val="21"/>
          <w:highlight w:val="none"/>
        </w:rPr>
        <w:t xml:space="preserve">《江苏省城市园林绿化养护管理规范及分级标准》</w:t>
      </w:r>
      <w:r/>
    </w:p>
    <w:p>
      <w:pPr>
        <w:ind w:firstLine="480"/>
        <w:jc w:val="both"/>
        <w:keepLines w:val="0"/>
        <w:keepNext w:val="0"/>
        <w:pageBreakBefore w:val="0"/>
        <w:spacing w:line="360" w:lineRule="auto"/>
        <w:rPr>
          <w:rFonts w:hint="eastAsia" w:ascii="宋体" w:hAnsi="宋体" w:eastAsia="宋体" w:cs="宋体"/>
          <w:color w:val="auto"/>
          <w:sz w:val="24"/>
          <w:szCs w:val="20"/>
          <w:highlight w:val="none"/>
        </w:rPr>
        <w:outlineLvl w:val="9"/>
      </w:pPr>
      <w:r>
        <w:rPr>
          <w:rFonts w:hint="eastAsia" w:ascii="宋体" w:hAnsi="宋体" w:eastAsia="宋体" w:cs="宋体"/>
          <w:color w:val="auto"/>
          <w:sz w:val="24"/>
          <w:szCs w:val="20"/>
          <w:highlight w:val="none"/>
        </w:rPr>
        <w:t xml:space="preserve">如</w:t>
      </w:r>
      <w:r>
        <w:rPr>
          <w:rFonts w:hint="eastAsia" w:ascii="宋体" w:hAnsi="宋体" w:eastAsia="宋体" w:cs="宋体"/>
          <w:color w:val="auto"/>
          <w:sz w:val="24"/>
          <w:szCs w:val="20"/>
          <w:highlight w:val="none"/>
          <w:lang w:eastAsia="zh-CN"/>
        </w:rPr>
        <w:t xml:space="preserve">地方性法规</w:t>
      </w:r>
      <w:r>
        <w:rPr>
          <w:rFonts w:hint="eastAsia" w:ascii="宋体" w:hAnsi="宋体" w:eastAsia="宋体" w:cs="宋体"/>
          <w:color w:val="auto"/>
          <w:sz w:val="24"/>
          <w:szCs w:val="20"/>
          <w:highlight w:val="none"/>
        </w:rPr>
        <w:t xml:space="preserve">与国家法规相抵触，按国家法规执行（具体详见招标文件），合同作业期间如有新规范、新标准、新细则按最新要求实施。</w:t>
      </w:r>
      <w:r/>
    </w:p>
    <w:p>
      <w:pPr>
        <w:ind w:firstLine="482"/>
        <w:jc w:val="both"/>
        <w:keepLines w:val="0"/>
        <w:keepNext w:val="0"/>
        <w:pageBreakBefore w:val="0"/>
        <w:spacing w:line="360" w:lineRule="auto"/>
        <w:rPr>
          <w:rFonts w:hint="eastAsia" w:ascii="宋体" w:hAnsi="宋体" w:eastAsia="宋体" w:cs="宋体"/>
          <w:b/>
          <w:color w:val="auto"/>
          <w:sz w:val="24"/>
          <w:szCs w:val="20"/>
          <w:highlight w:val="none"/>
        </w:rPr>
        <w:outlineLvl w:val="9"/>
      </w:pPr>
      <w:r>
        <w:rPr>
          <w:rFonts w:hint="eastAsia" w:ascii="宋体" w:hAnsi="宋体" w:eastAsia="宋体" w:cs="宋体"/>
          <w:b/>
          <w:color w:val="auto"/>
          <w:sz w:val="24"/>
          <w:szCs w:val="20"/>
          <w:highlight w:val="none"/>
        </w:rPr>
        <w:t xml:space="preserve">三、本项目需满足的质量、安全、技术规格、物理特性等要求：</w:t>
      </w:r>
      <w:r/>
    </w:p>
    <w:p>
      <w:pPr>
        <w:ind w:firstLine="480"/>
        <w:jc w:val="both"/>
        <w:keepLines w:val="0"/>
        <w:keepNext w:val="0"/>
        <w:pageBreakBefore w:val="0"/>
        <w:spacing w:line="360" w:lineRule="auto"/>
        <w:rPr>
          <w:rFonts w:hint="eastAsia" w:ascii="宋体" w:hAnsi="宋体" w:eastAsia="宋体" w:cs="宋体"/>
          <w:color w:val="auto"/>
          <w:sz w:val="24"/>
          <w:szCs w:val="20"/>
          <w:highlight w:val="none"/>
        </w:rPr>
        <w:outlineLvl w:val="9"/>
      </w:pPr>
      <w:r>
        <w:rPr>
          <w:rFonts w:hint="eastAsia" w:ascii="宋体" w:hAnsi="宋体" w:eastAsia="宋体" w:cs="宋体"/>
          <w:color w:val="auto"/>
          <w:sz w:val="24"/>
          <w:szCs w:val="20"/>
          <w:highlight w:val="none"/>
        </w:rPr>
        <w:t xml:space="preserve">1.质量要求：</w:t>
      </w:r>
      <w:r>
        <w:rPr>
          <w:rFonts w:hint="eastAsia" w:ascii="宋体" w:hAnsi="宋体" w:eastAsia="宋体" w:cs="宋体"/>
          <w:color w:val="auto"/>
          <w:sz w:val="24"/>
          <w:szCs w:val="20"/>
          <w:highlight w:val="none"/>
          <w:lang w:eastAsia="zh-CN"/>
        </w:rPr>
        <w:t xml:space="preserve">按照《</w:t>
      </w:r>
      <w:r>
        <w:rPr>
          <w:rFonts w:hint="eastAsia" w:ascii="宋体" w:hAnsi="宋体" w:eastAsia="宋体" w:cs="宋体"/>
          <w:color w:val="auto"/>
          <w:sz w:val="24"/>
          <w:szCs w:val="21"/>
          <w:highlight w:val="none"/>
        </w:rPr>
        <w:t xml:space="preserve">江苏省城市园林绿化养护管理规范及分级标准》</w:t>
      </w:r>
      <w:r>
        <w:rPr>
          <w:rFonts w:hint="eastAsia" w:ascii="宋体" w:hAnsi="宋体" w:eastAsia="宋体" w:cs="宋体"/>
          <w:color w:val="auto"/>
          <w:sz w:val="24"/>
          <w:szCs w:val="21"/>
          <w:highlight w:val="none"/>
          <w:lang w:eastAsia="zh-CN"/>
        </w:rPr>
        <w:t xml:space="preserve">的壹</w:t>
      </w:r>
      <w:r>
        <w:rPr>
          <w:rFonts w:hint="eastAsia" w:ascii="宋体" w:hAnsi="宋体" w:eastAsia="宋体" w:cs="宋体"/>
          <w:color w:val="auto"/>
          <w:sz w:val="24"/>
          <w:szCs w:val="21"/>
          <w:highlight w:val="none"/>
        </w:rPr>
        <w:t xml:space="preserve">级、贰级养护标准</w:t>
      </w:r>
      <w:r>
        <w:rPr>
          <w:rFonts w:hint="eastAsia" w:ascii="宋体" w:hAnsi="宋体" w:eastAsia="宋体" w:cs="宋体"/>
          <w:color w:val="auto"/>
          <w:sz w:val="24"/>
          <w:szCs w:val="21"/>
          <w:highlight w:val="none"/>
          <w:lang w:eastAsia="zh-CN"/>
        </w:rPr>
        <w:t xml:space="preserve">执行，</w:t>
      </w:r>
      <w:r>
        <w:rPr>
          <w:rFonts w:hint="eastAsia" w:ascii="宋体" w:hAnsi="宋体" w:eastAsia="宋体" w:cs="宋体"/>
          <w:color w:val="auto"/>
          <w:sz w:val="24"/>
          <w:szCs w:val="21"/>
          <w:highlight w:val="none"/>
        </w:rPr>
        <w:t xml:space="preserve">具体各路段对应的养护标准详见</w:t>
      </w:r>
      <w:r>
        <w:rPr>
          <w:rFonts w:hint="eastAsia" w:ascii="宋体" w:hAnsi="宋体" w:eastAsia="宋体" w:cs="宋体"/>
          <w:color w:val="auto"/>
          <w:sz w:val="24"/>
          <w:szCs w:val="24"/>
          <w:highlight w:val="none"/>
        </w:rPr>
        <w:t xml:space="preserve">附件《</w:t>
      </w:r>
      <w:r>
        <w:rPr>
          <w:rFonts w:hint="eastAsia" w:ascii="宋体" w:hAnsi="宋体" w:eastAsia="宋体" w:cs="宋体"/>
          <w:color w:val="auto"/>
          <w:sz w:val="24"/>
          <w:szCs w:val="24"/>
          <w:highlight w:val="none"/>
          <w:lang w:eastAsia="zh-CN"/>
        </w:rPr>
        <w:t xml:space="preserve">2026-2029年度江溪街道公共绿化养护项目</w:t>
      </w:r>
      <w:r>
        <w:rPr>
          <w:rFonts w:hint="eastAsia" w:ascii="宋体" w:hAnsi="宋体" w:eastAsia="宋体" w:cs="宋体"/>
          <w:color w:val="auto"/>
          <w:sz w:val="24"/>
          <w:szCs w:val="24"/>
          <w:highlight w:val="none"/>
        </w:rPr>
        <w:t xml:space="preserve">养护清单》</w:t>
      </w:r>
      <w:r>
        <w:rPr>
          <w:rFonts w:hint="eastAsia" w:ascii="宋体" w:hAnsi="宋体" w:eastAsia="宋体" w:cs="宋体"/>
          <w:color w:val="auto"/>
          <w:sz w:val="24"/>
          <w:szCs w:val="21"/>
          <w:highlight w:val="none"/>
        </w:rPr>
        <w:t xml:space="preserve">、符合现行的绿地养护管理考核办法及以后修订的考核办法规定。</w:t>
      </w:r>
      <w:r/>
    </w:p>
    <w:p>
      <w:pPr>
        <w:ind w:firstLine="480"/>
        <w:jc w:val="both"/>
        <w:keepLines w:val="0"/>
        <w:keepNext w:val="0"/>
        <w:pageBreakBefore w:val="0"/>
        <w:spacing w:line="360" w:lineRule="auto"/>
        <w:rPr>
          <w:rFonts w:hint="eastAsia" w:ascii="宋体" w:hAnsi="宋体" w:eastAsia="宋体" w:cs="宋体"/>
          <w:color w:val="auto"/>
          <w:sz w:val="24"/>
          <w:szCs w:val="20"/>
          <w:highlight w:val="none"/>
        </w:rPr>
        <w:outlineLvl w:val="9"/>
      </w:pPr>
      <w:r>
        <w:rPr>
          <w:rFonts w:hint="eastAsia" w:ascii="宋体" w:hAnsi="宋体" w:eastAsia="宋体" w:cs="宋体"/>
          <w:color w:val="auto"/>
          <w:sz w:val="24"/>
          <w:szCs w:val="20"/>
          <w:highlight w:val="none"/>
        </w:rPr>
        <w:t xml:space="preserve">2.安全要求：安全要求应满足国家相关法律法规的要求，无安全责任事故。</w:t>
      </w:r>
      <w:r/>
    </w:p>
    <w:p>
      <w:pPr>
        <w:ind w:firstLine="0"/>
        <w:jc w:val="both"/>
        <w:keepLines w:val="0"/>
        <w:keepNext w:val="0"/>
        <w:pageBreakBefore w:val="0"/>
        <w:spacing w:line="360" w:lineRule="auto"/>
        <w:rPr>
          <w:rFonts w:hint="eastAsia" w:ascii="宋体" w:hAnsi="宋体" w:eastAsia="宋体" w:cs="宋体"/>
          <w:color w:val="auto"/>
          <w:sz w:val="34"/>
          <w:szCs w:val="20"/>
          <w:highlight w:val="none"/>
        </w:rPr>
        <w:outlineLvl w:val="9"/>
      </w:pPr>
      <w:r>
        <w:rPr>
          <w:rFonts w:hint="eastAsia" w:ascii="宋体" w:hAnsi="宋体" w:eastAsia="宋体" w:cs="宋体"/>
          <w:color w:val="auto"/>
          <w:sz w:val="24"/>
          <w:szCs w:val="20"/>
          <w:highlight w:val="none"/>
        </w:rPr>
        <w:t xml:space="preserve">    3.服务响应时间：接到采购人通知后2小时内到达现场。</w:t>
      </w:r>
      <w:r/>
    </w:p>
    <w:p>
      <w:pPr>
        <w:ind w:firstLine="482"/>
        <w:jc w:val="both"/>
        <w:keepLines w:val="0"/>
        <w:keepNext w:val="0"/>
        <w:pageBreakBefore w:val="0"/>
        <w:spacing w:line="360" w:lineRule="auto"/>
        <w:rPr>
          <w:rFonts w:hint="eastAsia" w:ascii="宋体" w:hAnsi="宋体" w:eastAsia="宋体" w:cs="宋体"/>
          <w:b/>
          <w:color w:val="auto"/>
          <w:sz w:val="24"/>
          <w:szCs w:val="20"/>
          <w:highlight w:val="none"/>
        </w:rPr>
        <w:outlineLvl w:val="9"/>
      </w:pPr>
      <w:r>
        <w:rPr>
          <w:rFonts w:hint="eastAsia" w:ascii="宋体" w:hAnsi="宋体" w:eastAsia="宋体" w:cs="宋体"/>
          <w:b/>
          <w:color w:val="auto"/>
          <w:sz w:val="24"/>
          <w:szCs w:val="20"/>
          <w:highlight w:val="none"/>
        </w:rPr>
        <w:t xml:space="preserve">四、本项目采购标</w:t>
      </w:r>
      <w:r>
        <w:rPr>
          <w:rFonts w:hint="eastAsia" w:ascii="宋体" w:hAnsi="宋体" w:eastAsia="宋体" w:cs="宋体"/>
          <w:b/>
          <w:color w:val="auto"/>
          <w:sz w:val="24"/>
          <w:szCs w:val="20"/>
          <w:highlight w:val="none"/>
          <w:lang w:eastAsia="zh-CN"/>
        </w:rPr>
        <w:t xml:space="preserve">的</w:t>
      </w:r>
      <w:r>
        <w:rPr>
          <w:rFonts w:hint="eastAsia" w:ascii="宋体" w:hAnsi="宋体" w:eastAsia="宋体" w:cs="宋体"/>
          <w:b/>
          <w:color w:val="auto"/>
          <w:sz w:val="24"/>
          <w:szCs w:val="20"/>
          <w:highlight w:val="none"/>
        </w:rPr>
        <w:t xml:space="preserve">数量、采购项目交付或者实施的时间和地点要求：</w:t>
      </w:r>
      <w:r/>
    </w:p>
    <w:p>
      <w:pPr>
        <w:ind w:firstLine="480"/>
        <w:jc w:val="left"/>
        <w:keepLines w:val="0"/>
        <w:keepNext w:val="0"/>
        <w:pageBreakBefore w:val="0"/>
        <w:spacing w:line="360" w:lineRule="auto"/>
        <w:widowControl/>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0"/>
          <w:highlight w:val="none"/>
          <w:lang w:val="en-US" w:eastAsia="zh-CN" w:bidi="ar-SA"/>
        </w:rPr>
        <w:t xml:space="preserve">1.项目概况：本项目为2026-2029年度江溪街道公共绿化养护项目，包含道路、行道树、游园、苗圃，对街道内约 62 万平方米绿化实施全周期专业养护。</w:t>
      </w:r>
      <w:r/>
    </w:p>
    <w:p>
      <w:pPr>
        <w:ind w:firstLine="480"/>
        <w:jc w:val="both"/>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.养护清单详见附件《</w:t>
      </w:r>
      <w:r>
        <w:rPr>
          <w:rFonts w:hint="eastAsia" w:ascii="宋体" w:hAnsi="宋体" w:eastAsia="宋体" w:cs="宋体"/>
          <w:color w:val="auto"/>
          <w:sz w:val="24"/>
          <w:szCs w:val="24"/>
          <w:highlight w:val="none"/>
          <w:lang w:eastAsia="zh-CN"/>
        </w:rPr>
        <w:t xml:space="preserve">2026-2029年度江溪街道公共绿化养护项目</w:t>
      </w:r>
      <w:r>
        <w:rPr>
          <w:rFonts w:hint="eastAsia" w:ascii="宋体" w:hAnsi="宋体" w:eastAsia="宋体" w:cs="宋体"/>
          <w:color w:val="auto"/>
          <w:sz w:val="24"/>
          <w:szCs w:val="24"/>
          <w:highlight w:val="none"/>
        </w:rPr>
        <w:t xml:space="preserve">养护清单》。</w:t>
      </w:r>
      <w:r/>
    </w:p>
    <w:p>
      <w:pPr>
        <w:ind w:firstLine="480"/>
        <w:jc w:val="both"/>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.实施地点详见附件《</w:t>
      </w:r>
      <w:r>
        <w:rPr>
          <w:rFonts w:hint="eastAsia" w:ascii="宋体" w:hAnsi="宋体" w:eastAsia="宋体" w:cs="宋体"/>
          <w:color w:val="auto"/>
          <w:sz w:val="24"/>
          <w:szCs w:val="24"/>
          <w:highlight w:val="none"/>
          <w:lang w:eastAsia="zh-CN"/>
        </w:rPr>
        <w:t xml:space="preserve">2026-2029年度江溪街道公共绿化养护项目</w:t>
      </w:r>
      <w:r>
        <w:rPr>
          <w:rFonts w:hint="eastAsia" w:ascii="宋体" w:hAnsi="宋体" w:eastAsia="宋体" w:cs="宋体"/>
          <w:color w:val="auto"/>
          <w:sz w:val="24"/>
          <w:szCs w:val="24"/>
          <w:highlight w:val="none"/>
        </w:rPr>
        <w:t xml:space="preserve">养护清单》。</w:t>
      </w:r>
      <w:r/>
    </w:p>
    <w:p>
      <w:pPr>
        <w:ind w:firstLine="480"/>
        <w:jc w:val="both"/>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.进场时间：中标后根据采购人通知进场养护。</w:t>
      </w:r>
      <w:r/>
    </w:p>
    <w:p>
      <w:pPr>
        <w:ind w:firstLine="482"/>
        <w:jc w:val="both"/>
        <w:keepLines w:val="0"/>
        <w:keepNext w:val="0"/>
        <w:pageBreakBefore w:val="0"/>
        <w:spacing w:line="360" w:lineRule="auto"/>
        <w:rPr>
          <w:rFonts w:hint="eastAsia" w:ascii="宋体" w:hAnsi="宋体" w:eastAsia="宋体" w:cs="宋体"/>
          <w:b/>
          <w:color w:val="auto"/>
          <w:sz w:val="24"/>
          <w:szCs w:val="20"/>
          <w:highlight w:val="none"/>
        </w:rPr>
        <w:outlineLvl w:val="9"/>
      </w:pPr>
      <w:r>
        <w:rPr>
          <w:rFonts w:hint="eastAsia" w:ascii="宋体" w:hAnsi="宋体" w:eastAsia="宋体" w:cs="宋体"/>
          <w:b/>
          <w:color w:val="auto"/>
          <w:sz w:val="24"/>
          <w:szCs w:val="20"/>
          <w:highlight w:val="none"/>
        </w:rPr>
        <w:t xml:space="preserve">五、本项目采购标的需满足的服务标准、期限、效率等要求：</w:t>
      </w:r>
      <w:r/>
    </w:p>
    <w:p>
      <w:pPr>
        <w:ind w:firstLine="420"/>
        <w:jc w:val="left"/>
        <w:keepLines w:val="0"/>
        <w:keepNext w:val="0"/>
        <w:pageBreakBefore w:val="0"/>
        <w:spacing w:line="360" w:lineRule="auto"/>
        <w:rPr>
          <w:rFonts w:hint="eastAsia" w:ascii="宋体" w:hAnsi="宋体" w:eastAsia="宋体" w:cs="宋体"/>
          <w:b/>
          <w:bCs/>
          <w:color w:val="auto"/>
          <w:sz w:val="24"/>
          <w:szCs w:val="21"/>
          <w:highlight w:val="none"/>
        </w:rPr>
        <w:outlineLvl w:val="0"/>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 服务</w:t>
      </w:r>
      <w:r>
        <w:rPr>
          <w:rFonts w:hint="eastAsia" w:ascii="宋体" w:hAnsi="宋体" w:eastAsia="宋体" w:cs="宋体"/>
          <w:color w:val="auto"/>
          <w:sz w:val="24"/>
          <w:szCs w:val="21"/>
          <w:highlight w:val="none"/>
        </w:rPr>
        <w:t xml:space="preserve">标准：</w:t>
      </w:r>
      <w:r>
        <w:rPr>
          <w:rFonts w:hint="eastAsia" w:ascii="宋体" w:hAnsi="宋体" w:eastAsia="宋体" w:cs="宋体"/>
          <w:color w:val="auto"/>
          <w:sz w:val="24"/>
          <w:szCs w:val="21"/>
          <w:highlight w:val="none"/>
          <w:lang w:eastAsia="zh-CN"/>
        </w:rPr>
        <w:t xml:space="preserve">按照《</w:t>
      </w:r>
      <w:r>
        <w:rPr>
          <w:rFonts w:hint="eastAsia" w:ascii="宋体" w:hAnsi="宋体" w:eastAsia="宋体" w:cs="宋体"/>
          <w:color w:val="auto"/>
          <w:sz w:val="24"/>
          <w:szCs w:val="21"/>
          <w:highlight w:val="none"/>
        </w:rPr>
        <w:t xml:space="preserve">江苏省城市园林绿化养护管理规范及分级标准》</w:t>
      </w:r>
      <w:r>
        <w:rPr>
          <w:rFonts w:hint="eastAsia" w:ascii="宋体" w:hAnsi="宋体" w:eastAsia="宋体" w:cs="宋体"/>
          <w:color w:val="auto"/>
          <w:sz w:val="24"/>
          <w:szCs w:val="21"/>
          <w:highlight w:val="none"/>
          <w:lang w:eastAsia="zh-CN"/>
        </w:rPr>
        <w:t xml:space="preserve">的壹</w:t>
      </w:r>
      <w:r>
        <w:rPr>
          <w:rFonts w:hint="eastAsia" w:ascii="宋体" w:hAnsi="宋体" w:eastAsia="宋体" w:cs="宋体"/>
          <w:color w:val="auto"/>
          <w:sz w:val="24"/>
          <w:szCs w:val="21"/>
          <w:highlight w:val="none"/>
        </w:rPr>
        <w:t xml:space="preserve">级、贰级养护标准</w:t>
      </w:r>
      <w:r>
        <w:rPr>
          <w:rFonts w:hint="eastAsia" w:ascii="宋体" w:hAnsi="宋体" w:eastAsia="宋体" w:cs="宋体"/>
          <w:color w:val="auto"/>
          <w:sz w:val="24"/>
          <w:szCs w:val="21"/>
          <w:highlight w:val="none"/>
          <w:lang w:eastAsia="zh-CN"/>
        </w:rPr>
        <w:t xml:space="preserve">执行，</w:t>
      </w:r>
      <w:r>
        <w:rPr>
          <w:rFonts w:hint="eastAsia" w:ascii="宋体" w:hAnsi="宋体" w:eastAsia="宋体" w:cs="宋体"/>
          <w:color w:val="auto"/>
          <w:sz w:val="24"/>
          <w:szCs w:val="21"/>
          <w:highlight w:val="none"/>
        </w:rPr>
        <w:t xml:space="preserve">具体各路段对应的养护标准详见</w:t>
      </w:r>
      <w:r>
        <w:rPr>
          <w:rFonts w:hint="eastAsia" w:ascii="宋体" w:hAnsi="宋体" w:eastAsia="宋体" w:cs="宋体"/>
          <w:color w:val="auto"/>
          <w:sz w:val="24"/>
          <w:szCs w:val="24"/>
          <w:highlight w:val="none"/>
        </w:rPr>
        <w:t xml:space="preserve">附件《</w:t>
      </w:r>
      <w:r>
        <w:rPr>
          <w:rFonts w:hint="eastAsia" w:ascii="宋体" w:hAnsi="宋体" w:eastAsia="宋体" w:cs="宋体"/>
          <w:color w:val="auto"/>
          <w:sz w:val="24"/>
          <w:szCs w:val="24"/>
          <w:highlight w:val="none"/>
          <w:lang w:eastAsia="zh-CN"/>
        </w:rPr>
        <w:t xml:space="preserve">2026-2029年度江溪街道公共绿化养护项目</w:t>
      </w:r>
      <w:r>
        <w:rPr>
          <w:rFonts w:hint="eastAsia" w:ascii="宋体" w:hAnsi="宋体" w:eastAsia="宋体" w:cs="宋体"/>
          <w:color w:val="auto"/>
          <w:sz w:val="24"/>
          <w:szCs w:val="24"/>
          <w:highlight w:val="none"/>
        </w:rPr>
        <w:t xml:space="preserve">养护清单》</w:t>
      </w:r>
      <w:r>
        <w:rPr>
          <w:rFonts w:hint="eastAsia" w:ascii="宋体" w:hAnsi="宋体" w:eastAsia="宋体" w:cs="宋体"/>
          <w:color w:val="auto"/>
          <w:sz w:val="24"/>
          <w:szCs w:val="21"/>
          <w:highlight w:val="none"/>
        </w:rPr>
        <w:t xml:space="preserve">、符合现行的绿地养护管理考核办法及以后修订的考核办法规定。</w:t>
      </w:r>
      <w:r/>
    </w:p>
    <w:p>
      <w:pPr>
        <w:ind w:firstLine="420"/>
        <w:jc w:val="left"/>
        <w:keepLines w:val="0"/>
        <w:keepNext w:val="0"/>
        <w:pageBreakBefore w:val="0"/>
        <w:spacing w:line="360" w:lineRule="auto"/>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t xml:space="preserve">2.服务期限：3年。</w:t>
      </w:r>
      <w:r/>
    </w:p>
    <w:p>
      <w:pPr>
        <w:ind w:firstLine="482"/>
        <w:jc w:val="both"/>
        <w:keepLines w:val="0"/>
        <w:keepNext w:val="0"/>
        <w:pageBreakBefore w:val="0"/>
        <w:spacing w:line="360" w:lineRule="auto"/>
        <w:rPr>
          <w:rFonts w:hint="eastAsia" w:ascii="宋体" w:hAnsi="宋体" w:eastAsia="宋体" w:cs="宋体"/>
          <w:color w:val="auto"/>
          <w:sz w:val="24"/>
          <w:szCs w:val="20"/>
          <w:highlight w:val="none"/>
        </w:rPr>
        <w:outlineLvl w:val="9"/>
      </w:pPr>
      <w:r>
        <w:rPr>
          <w:rFonts w:hint="eastAsia" w:ascii="宋体" w:hAnsi="宋体" w:eastAsia="宋体" w:cs="宋体"/>
          <w:b/>
          <w:color w:val="auto"/>
          <w:sz w:val="24"/>
          <w:szCs w:val="20"/>
          <w:highlight w:val="none"/>
        </w:rPr>
        <w:t xml:space="preserve">六、本项目验收标准：</w:t>
      </w:r>
      <w:r/>
    </w:p>
    <w:p>
      <w:pPr>
        <w:ind w:firstLine="420"/>
        <w:jc w:val="left"/>
        <w:keepLines w:val="0"/>
        <w:keepNext w:val="0"/>
        <w:pageBreakBefore w:val="0"/>
        <w:spacing w:line="360" w:lineRule="auto"/>
        <w:rPr>
          <w:rFonts w:hint="eastAsia" w:ascii="宋体" w:hAnsi="宋体" w:eastAsia="宋体" w:cs="宋体"/>
          <w:color w:val="auto"/>
          <w:sz w:val="24"/>
          <w:szCs w:val="21"/>
          <w:highlight w:val="none"/>
        </w:rPr>
        <w:outlineLvl w:val="0"/>
      </w:pPr>
      <w:r>
        <w:rPr>
          <w:rFonts w:hint="eastAsia" w:ascii="宋体" w:hAnsi="宋体" w:eastAsia="宋体" w:cs="宋体"/>
          <w:color w:val="auto"/>
          <w:sz w:val="24"/>
          <w:szCs w:val="21"/>
          <w:highlight w:val="none"/>
        </w:rPr>
        <w:t xml:space="preserve">按照《</w:t>
      </w:r>
      <w:r>
        <w:rPr>
          <w:rFonts w:hint="eastAsia" w:ascii="宋体" w:hAnsi="宋体" w:eastAsia="宋体" w:cs="宋体"/>
          <w:color w:val="auto"/>
          <w:sz w:val="24"/>
          <w:szCs w:val="21"/>
          <w:highlight w:val="none"/>
          <w:lang w:val="en-US" w:eastAsia="zh-CN"/>
        </w:rPr>
        <w:t xml:space="preserve">无锡市新吴区江溪街道绿地设置维护管理办法</w:t>
      </w:r>
      <w:r>
        <w:rPr>
          <w:rFonts w:hint="eastAsia" w:ascii="宋体" w:hAnsi="宋体" w:eastAsia="宋体" w:cs="宋体"/>
          <w:color w:val="auto"/>
          <w:sz w:val="24"/>
          <w:szCs w:val="21"/>
          <w:highlight w:val="none"/>
        </w:rPr>
        <w:t xml:space="preserve">》</w:t>
      </w:r>
      <w:r/>
    </w:p>
    <w:p>
      <w:pPr>
        <w:numPr>
          <w:ilvl w:val="0"/>
          <w:numId w:val="0"/>
        </w:numPr>
        <w:ind w:firstLine="482"/>
        <w:jc w:val="left"/>
        <w:keepLines w:val="0"/>
        <w:keepNext w:val="0"/>
        <w:pageBreakBefore w:val="0"/>
        <w:spacing w:line="360" w:lineRule="auto"/>
        <w:rPr>
          <w:rFonts w:hint="eastAsia" w:ascii="宋体" w:hAnsi="宋体" w:eastAsia="宋体" w:cs="宋体"/>
          <w:b/>
          <w:color w:val="auto"/>
          <w:sz w:val="24"/>
          <w:szCs w:val="20"/>
          <w:highlight w:val="none"/>
          <w:lang w:val="en-US" w:eastAsia="zh-CN"/>
        </w:rPr>
        <w:outlineLvl w:val="9"/>
      </w:pPr>
      <w:r>
        <w:rPr>
          <w:rFonts w:hint="eastAsia" w:ascii="宋体" w:hAnsi="宋体" w:eastAsia="宋体" w:cs="宋体"/>
          <w:b/>
          <w:color w:val="auto"/>
          <w:sz w:val="24"/>
          <w:szCs w:val="20"/>
          <w:highlight w:val="none"/>
        </w:rPr>
        <w:t xml:space="preserve">七、</w:t>
      </w:r>
      <w:r>
        <w:rPr>
          <w:rFonts w:hint="eastAsia" w:ascii="宋体" w:hAnsi="宋体" w:eastAsia="宋体" w:cs="宋体"/>
          <w:b/>
          <w:color w:val="auto"/>
          <w:sz w:val="24"/>
          <w:szCs w:val="20"/>
          <w:highlight w:val="none"/>
          <w:lang w:val="en-US" w:eastAsia="zh-CN"/>
        </w:rPr>
        <w:t xml:space="preserve">其他说明：</w:t>
      </w:r>
      <w:r/>
    </w:p>
    <w:p>
      <w:pPr>
        <w:ind w:firstLine="480"/>
        <w:jc w:val="both"/>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中标供应商</w:t>
      </w:r>
      <w:r>
        <w:rPr>
          <w:rFonts w:hint="eastAsia" w:ascii="宋体" w:hAnsi="宋体" w:eastAsia="宋体" w:cs="宋体"/>
          <w:color w:val="auto"/>
          <w:sz w:val="24"/>
          <w:szCs w:val="24"/>
          <w:highlight w:val="none"/>
          <w:lang w:eastAsia="zh-CN"/>
        </w:rPr>
        <w:t xml:space="preserve">中标</w:t>
      </w:r>
      <w:r>
        <w:rPr>
          <w:rFonts w:hint="eastAsia" w:ascii="宋体" w:hAnsi="宋体" w:eastAsia="宋体" w:cs="宋体"/>
          <w:color w:val="auto"/>
          <w:sz w:val="24"/>
          <w:szCs w:val="24"/>
          <w:highlight w:val="none"/>
        </w:rPr>
        <w:t xml:space="preserve">后有下列情形之一的，采购人有权取消其</w:t>
      </w:r>
      <w:r>
        <w:rPr>
          <w:rFonts w:hint="eastAsia" w:ascii="宋体" w:hAnsi="宋体" w:eastAsia="宋体" w:cs="宋体"/>
          <w:color w:val="auto"/>
          <w:sz w:val="24"/>
          <w:szCs w:val="24"/>
          <w:highlight w:val="none"/>
          <w:lang w:eastAsia="zh-CN"/>
        </w:rPr>
        <w:t xml:space="preserve">中标</w:t>
      </w:r>
      <w:r>
        <w:rPr>
          <w:rFonts w:hint="eastAsia" w:ascii="宋体" w:hAnsi="宋体" w:eastAsia="宋体" w:cs="宋体"/>
          <w:color w:val="auto"/>
          <w:sz w:val="24"/>
          <w:szCs w:val="24"/>
          <w:highlight w:val="none"/>
        </w:rPr>
        <w:t xml:space="preserve">资格，并由第二</w:t>
      </w:r>
      <w:r>
        <w:rPr>
          <w:rFonts w:hint="eastAsia" w:ascii="宋体" w:hAnsi="宋体" w:eastAsia="宋体" w:cs="宋体"/>
          <w:color w:val="auto"/>
          <w:sz w:val="24"/>
          <w:szCs w:val="24"/>
          <w:highlight w:val="none"/>
          <w:lang w:eastAsia="zh-CN"/>
        </w:rPr>
        <w:t xml:space="preserve">中标</w:t>
      </w:r>
      <w:r>
        <w:rPr>
          <w:rFonts w:hint="eastAsia" w:ascii="宋体" w:hAnsi="宋体" w:eastAsia="宋体" w:cs="宋体"/>
          <w:color w:val="auto"/>
          <w:sz w:val="24"/>
          <w:szCs w:val="24"/>
          <w:highlight w:val="none"/>
        </w:rPr>
        <w:t xml:space="preserve">候选人顺序替补为中标供应商，并与采购人签订合同。采购人也可以重新招标。给采购人造成的损失，原中标供应商还应当予以赔偿：</w:t>
      </w:r>
      <w:r/>
    </w:p>
    <w:p>
      <w:pPr>
        <w:ind w:firstLine="480"/>
        <w:jc w:val="both"/>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（1）放弃</w:t>
      </w:r>
      <w:r>
        <w:rPr>
          <w:rFonts w:hint="eastAsia" w:ascii="宋体" w:hAnsi="宋体" w:eastAsia="宋体" w:cs="宋体"/>
          <w:color w:val="auto"/>
          <w:sz w:val="24"/>
          <w:szCs w:val="24"/>
          <w:highlight w:val="none"/>
          <w:lang w:eastAsia="zh-CN"/>
        </w:rPr>
        <w:t xml:space="preserve">中标</w:t>
      </w:r>
      <w:r>
        <w:rPr>
          <w:rFonts w:hint="eastAsia" w:ascii="宋体" w:hAnsi="宋体" w:eastAsia="宋体" w:cs="宋体"/>
          <w:color w:val="auto"/>
          <w:sz w:val="24"/>
          <w:szCs w:val="24"/>
          <w:highlight w:val="none"/>
        </w:rPr>
        <w:t xml:space="preserve">项目；</w:t>
      </w:r>
      <w:r/>
    </w:p>
    <w:p>
      <w:pPr>
        <w:ind w:firstLine="480"/>
        <w:jc w:val="both"/>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（2）无正当理由不与采购人签订合同；</w:t>
      </w:r>
      <w:r/>
    </w:p>
    <w:p>
      <w:pPr>
        <w:ind w:firstLine="480"/>
        <w:jc w:val="both"/>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（3）在签订合同时向采购人提出附加条件或者更改合同实质性内容的。</w:t>
      </w:r>
      <w:r/>
    </w:p>
    <w:p>
      <w:pPr>
        <w:ind w:firstLine="522"/>
        <w:jc w:val="both"/>
        <w:keepLines w:val="0"/>
        <w:keepNext w:val="0"/>
        <w:pageBreakBefore w:val="0"/>
        <w:spacing w:line="360" w:lineRule="auto"/>
        <w:widowControl w:val="off"/>
        <w:rPr>
          <w:rFonts w:hint="eastAsia" w:ascii="宋体" w:hAnsi="宋体" w:eastAsia="宋体" w:cs="宋体"/>
          <w:b/>
          <w:color w:val="auto"/>
          <w:sz w:val="26"/>
          <w:szCs w:val="26"/>
          <w:highlight w:val="none"/>
        </w:rPr>
        <w:outlineLvl w:val="9"/>
      </w:pPr>
      <w:r>
        <w:rPr>
          <w:rFonts w:hint="eastAsia" w:ascii="宋体" w:hAnsi="宋体" w:eastAsia="宋体" w:cs="宋体"/>
          <w:b/>
          <w:color w:val="auto"/>
          <w:sz w:val="26"/>
          <w:szCs w:val="26"/>
          <w:highlight w:val="none"/>
          <w:lang w:val="en-US" w:eastAsia="zh-CN"/>
        </w:rPr>
        <w:t xml:space="preserve">八、</w:t>
      </w:r>
      <w:r>
        <w:rPr>
          <w:rFonts w:hint="eastAsia" w:ascii="宋体" w:hAnsi="宋体" w:eastAsia="宋体" w:cs="宋体"/>
          <w:b/>
          <w:color w:val="auto"/>
          <w:sz w:val="26"/>
          <w:szCs w:val="26"/>
          <w:highlight w:val="none"/>
        </w:rPr>
        <w:t xml:space="preserve">综合说明及其他要求：</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招标文件中所提要求为项目实施的基本技术要求，投标供应商应根据采购需求、项目及场地现状等前期调研情况，提供满足本技术规范和所列标准要求的服务，对国家有关安全和环保等强制性标准，必须予以说明并满足</w:t>
      </w:r>
      <w:r>
        <w:rPr>
          <w:rFonts w:hint="eastAsia" w:ascii="宋体" w:hAnsi="宋体" w:eastAsia="宋体" w:cs="宋体"/>
          <w:color w:val="auto"/>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中标供应商服务人员在服务期间因正常服务或采购人派遣的委托项目任务内造成的任何人员伤亡事故，采购人均不承担任何责任。</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中标供应商须安排专职人员配合采购人做好养护服务移交工作。</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中标供应商必须无条件</w:t>
      </w:r>
      <w:r>
        <w:rPr>
          <w:rFonts w:hint="eastAsia" w:ascii="宋体" w:hAnsi="宋体" w:eastAsia="宋体" w:cs="宋体"/>
          <w:bCs/>
          <w:color w:val="auto"/>
          <w:sz w:val="24"/>
          <w:szCs w:val="24"/>
          <w:highlight w:val="none"/>
          <w:lang w:eastAsia="zh-CN"/>
        </w:rPr>
        <w:t xml:space="preserve">地</w:t>
      </w:r>
      <w:r>
        <w:rPr>
          <w:rFonts w:hint="eastAsia" w:ascii="宋体" w:hAnsi="宋体" w:eastAsia="宋体" w:cs="宋体"/>
          <w:bCs/>
          <w:color w:val="auto"/>
          <w:sz w:val="24"/>
          <w:szCs w:val="24"/>
          <w:highlight w:val="none"/>
        </w:rPr>
        <w:t xml:space="preserve">接受采购人的考核监督，考核情况作为支付服务费用的依据。</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中标供应商应遵守安全生产的有关管理规定，严格按照安全标准组织施工，采取必要的安全防护措施，消除隐患。由于中标供应商管理或安全措施不力造成周边环境破坏或事故的责任和因此发生的费用，由中标供应商承担。</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中标供应商应按照采购人的要求，及时更换不能胜任工作的工作人员，应在接到书面通知之日起10天内予以调换合格人员；负责处理合同服务期内所有劳资纠纷和调解管理纠纷；落实</w:t>
      </w:r>
      <w:r>
        <w:rPr>
          <w:rFonts w:hint="eastAsia" w:ascii="宋体" w:hAnsi="宋体" w:eastAsia="宋体" w:cs="宋体"/>
          <w:bCs/>
          <w:color w:val="auto"/>
          <w:sz w:val="24"/>
          <w:szCs w:val="24"/>
          <w:highlight w:val="none"/>
        </w:rPr>
        <w:t xml:space="preserve">采购人</w:t>
      </w:r>
      <w:r>
        <w:rPr>
          <w:rFonts w:hint="eastAsia" w:ascii="宋体" w:hAnsi="宋体" w:eastAsia="宋体" w:cs="宋体"/>
          <w:color w:val="auto"/>
          <w:sz w:val="24"/>
          <w:szCs w:val="24"/>
          <w:highlight w:val="none"/>
        </w:rPr>
        <w:t xml:space="preserve">根据规章制度和工作需要提出的其他管理要求，并向采购人提供相关证明材料备案。</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7</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中标供应商应建立人员职业道德规范与行为准则、人员岗位责任制度、人员聘用、培训、管理、考核与奖惩制度、技术服务规范与工作制度、服务质量管理制度等相关制度</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落实文明管理、养护服务的措施，提供文明优质的服务。因中标供应商原因或工作人员工作失职或故意行为或违法犯罪行为造成</w:t>
      </w:r>
      <w:r>
        <w:rPr>
          <w:rFonts w:hint="eastAsia" w:ascii="宋体" w:hAnsi="宋体" w:eastAsia="宋体" w:cs="宋体"/>
          <w:bCs/>
          <w:color w:val="auto"/>
          <w:sz w:val="24"/>
          <w:szCs w:val="24"/>
          <w:highlight w:val="none"/>
        </w:rPr>
        <w:t xml:space="preserve">采购人</w:t>
      </w:r>
      <w:r>
        <w:rPr>
          <w:rFonts w:hint="eastAsia" w:ascii="宋体" w:hAnsi="宋体" w:eastAsia="宋体" w:cs="宋体"/>
          <w:color w:val="auto"/>
          <w:sz w:val="24"/>
          <w:szCs w:val="24"/>
          <w:highlight w:val="none"/>
        </w:rPr>
        <w:t xml:space="preserve">声誉影响或经济损失的，中标供应商应根据公安机关的立案调查结果或法院判决，承担相应的赔偿责任；因中标供应商自身原因所引发的一切纠纷，由中标供应商负完全责任；工作人员在非工作时间内发生的人身意外或其他纠纷，由中标供应商负责处理。如中标供应商拖欠本项目作业人员工资和其他薪酬、社会保险和商业保险投保费用，除承担由此引发的一切法律责任外，采购人有权终止服务合同。</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8</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中标供应商须负责该项目作业人员的人事、劳资、</w:t>
      </w:r>
      <w:r>
        <w:rPr>
          <w:rFonts w:hint="eastAsia" w:ascii="宋体" w:hAnsi="宋体" w:eastAsia="宋体" w:cs="宋体"/>
          <w:color w:val="auto"/>
          <w:sz w:val="24"/>
          <w:szCs w:val="24"/>
          <w:highlight w:val="none"/>
          <w:lang w:eastAsia="zh-CN"/>
        </w:rPr>
        <w:t xml:space="preserve">社会保险和商业保险办理</w:t>
      </w:r>
      <w:r>
        <w:rPr>
          <w:rFonts w:hint="eastAsia" w:ascii="宋体" w:hAnsi="宋体" w:eastAsia="宋体" w:cs="宋体"/>
          <w:color w:val="auto"/>
          <w:sz w:val="24"/>
          <w:szCs w:val="24"/>
          <w:highlight w:val="none"/>
        </w:rPr>
        <w:t xml:space="preserve">、计生等人事劳资管理工作，并提供为该项目人员办理劳动用工手续、结算发放工资、发放经济补偿金、缴纳社会保险、处理保险理赔、管理人事档案等方面的管理服务；负责处理合同服务期内所有劳资纠纷和调解管理纠纷。</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9</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投标供应商必须承诺招标文件中提出的全部技术规格与要求，</w:t>
      </w:r>
      <w:r>
        <w:rPr>
          <w:rFonts w:hint="eastAsia" w:ascii="宋体" w:hAnsi="宋体" w:eastAsia="宋体" w:cs="宋体"/>
          <w:color w:val="auto"/>
          <w:sz w:val="24"/>
          <w:szCs w:val="24"/>
          <w:highlight w:val="none"/>
          <w:lang w:eastAsia="zh-CN"/>
        </w:rPr>
        <w:t xml:space="preserve">如果</w:t>
      </w:r>
      <w:r>
        <w:rPr>
          <w:rFonts w:hint="eastAsia" w:ascii="宋体" w:hAnsi="宋体" w:eastAsia="宋体" w:cs="宋体"/>
          <w:color w:val="auto"/>
          <w:sz w:val="24"/>
          <w:szCs w:val="24"/>
          <w:highlight w:val="none"/>
        </w:rPr>
        <w:t xml:space="preserve">其中某些条款不响应时，应在文件中逐条列出，未列出的视同响应。投标单位提供的材料如有虚假，视为不实质性响应招标文件要求，已中标的取消其中标资格，并按《政府采购货物和服务招标投标管理办法》第七十四条“提供虚假材料谋取中标”相关处理办法处理。</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10</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验收标准：采购人根据国家有关规定、招标文件、中标供应商的</w:t>
      </w:r>
      <w:r>
        <w:rPr>
          <w:rFonts w:hint="eastAsia" w:ascii="宋体" w:hAnsi="宋体" w:eastAsia="宋体" w:cs="宋体"/>
          <w:color w:val="auto"/>
          <w:sz w:val="24"/>
          <w:szCs w:val="24"/>
          <w:highlight w:val="none"/>
          <w:lang w:eastAsia="zh-CN"/>
        </w:rPr>
        <w:t xml:space="preserve">投标文件</w:t>
      </w:r>
      <w:r>
        <w:rPr>
          <w:rFonts w:hint="eastAsia" w:ascii="宋体" w:hAnsi="宋体" w:eastAsia="宋体" w:cs="宋体"/>
          <w:color w:val="auto"/>
          <w:sz w:val="24"/>
          <w:szCs w:val="24"/>
          <w:highlight w:val="none"/>
        </w:rPr>
        <w:t xml:space="preserve">以及合同约定的内容和验收标准进行验收。</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知识产权：</w:t>
      </w:r>
      <w:r>
        <w:rPr>
          <w:rFonts w:hint="eastAsia" w:ascii="宋体" w:hAnsi="宋体" w:eastAsia="宋体" w:cs="宋体"/>
          <w:bCs/>
          <w:color w:val="auto"/>
          <w:sz w:val="24"/>
          <w:szCs w:val="24"/>
          <w:highlight w:val="none"/>
        </w:rPr>
        <w:t xml:space="preserve">中标供应商保证采购人在使用过程中不受到第三方关于侵犯专利权等知识产权的指控。任何第三方如果提出指控，中标供应商须与第三方交涉并承担可能发生的一</w:t>
      </w:r>
      <w:r>
        <w:rPr>
          <w:rFonts w:hint="eastAsia" w:ascii="宋体" w:hAnsi="宋体" w:eastAsia="宋体" w:cs="宋体"/>
          <w:color w:val="auto"/>
          <w:sz w:val="24"/>
          <w:szCs w:val="24"/>
          <w:highlight w:val="none"/>
        </w:rPr>
        <w:t xml:space="preserve">切法律责任和费用。</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12、付款方式：本项目按年度支付，按每年的养护工作量（双方签字盖章），结合考核扣款，支付年度养护费的80%，养护期结束送审，根据审定价付清。</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13、凡涉及招标文件的补充说明和修改，均以代理公司书面通知为准。</w:t>
      </w:r>
      <w:r/>
    </w:p>
    <w:p>
      <w:pPr>
        <w:ind w:firstLine="420"/>
        <w:jc w:val="left"/>
        <w:rPr>
          <w:rFonts w:hint="eastAsia" w:ascii="宋体" w:hAnsi="宋体" w:eastAsia="宋体" w:cs="宋体"/>
          <w:b/>
          <w:bCs/>
          <w:color w:val="auto"/>
          <w:sz w:val="32"/>
          <w:szCs w:val="32"/>
          <w:highlight w:val="none"/>
          <w:lang w:val="en-US" w:eastAsia="zh-CN" w:bidi="ar-SA"/>
        </w:rPr>
        <w:outlineLvl w:val="0"/>
      </w:pPr>
      <w:r>
        <w:rPr>
          <w:rFonts w:hint="eastAsia" w:ascii="宋体" w:hAnsi="宋体" w:eastAsia="宋体" w:cs="宋体"/>
          <w:b/>
          <w:bCs/>
          <w:color w:val="auto"/>
          <w:sz w:val="32"/>
          <w:szCs w:val="32"/>
          <w:highlight w:val="none"/>
          <w:lang w:val="en-US" w:eastAsia="zh-CN" w:bidi="ar-SA"/>
        </w:rPr>
        <w:br w:type="page" w:clear="all"/>
      </w:r>
      <w:r/>
    </w:p>
    <w:p>
      <w:pPr>
        <w:numPr>
          <w:ilvl w:val="2"/>
          <w:numId w:val="0"/>
        </w:numPr>
        <w:ind w:left="720" w:hanging="720"/>
        <w:jc w:val="center"/>
        <w:keepLines/>
        <w:keepNext/>
        <w:spacing w:before="0" w:after="100" w:afterAutospacing="1" w:line="288" w:lineRule="auto"/>
        <w:widowControl/>
        <w:tabs>
          <w:tab w:val="left" w:pos="720" w:leader="none"/>
        </w:tabs>
        <w:rPr>
          <w:rFonts w:hint="eastAsia" w:ascii="黑体" w:hAnsi="Times New Roman" w:eastAsia="黑体" w:cs="黑体"/>
          <w:color w:val="auto"/>
          <w:sz w:val="28"/>
          <w:szCs w:val="28"/>
          <w:highlight w:val="none"/>
          <w:lang w:val="en-US" w:eastAsia="zh-CN" w:bidi="ar-SA"/>
        </w:rPr>
        <w:outlineLvl w:val="2"/>
      </w:pPr>
      <w:r>
        <w:rPr>
          <w:rFonts w:hint="eastAsia" w:ascii="黑体" w:hAnsi="Times New Roman" w:eastAsia="黑体" w:cs="黑体"/>
          <w:color w:val="auto"/>
          <w:sz w:val="28"/>
          <w:szCs w:val="28"/>
          <w:highlight w:val="none"/>
          <w:lang w:val="en-US" w:eastAsia="zh-CN" w:bidi="ar-SA"/>
        </w:rPr>
        <w:t xml:space="preserve">附件1：无锡市新吴区江溪街道绿地设施维护管理办法</w:t>
      </w:r>
      <w:r/>
    </w:p>
    <w:p>
      <w:pPr>
        <w:ind w:firstLine="480"/>
        <w:jc w:val="both"/>
        <w:spacing w:line="288" w:lineRule="auto"/>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为建立和完善绿地养护长效管理机制，巩固</w:t>
      </w:r>
      <w:r>
        <w:rPr>
          <w:rFonts w:hint="eastAsia" w:ascii="宋体" w:hAnsi="宋体" w:eastAsia="宋体" w:cs="Times New Roman"/>
          <w:color w:val="auto"/>
          <w:sz w:val="24"/>
          <w:szCs w:val="21"/>
          <w:highlight w:val="none"/>
        </w:rPr>
        <w:t xml:space="preserve">无锡市新吴区</w:t>
      </w:r>
      <w:r>
        <w:rPr>
          <w:rFonts w:hint="eastAsia" w:ascii="宋体" w:hAnsi="宋体" w:eastAsia="宋体" w:cs="Times New Roman"/>
          <w:color w:val="auto"/>
          <w:sz w:val="24"/>
          <w:szCs w:val="21"/>
          <w:highlight w:val="none"/>
          <w:lang w:val="en-US" w:eastAsia="zh-CN"/>
        </w:rPr>
        <w:t xml:space="preserve">江溪</w:t>
      </w:r>
      <w:r>
        <w:rPr>
          <w:rFonts w:hint="eastAsia" w:ascii="宋体" w:hAnsi="宋体" w:eastAsia="宋体" w:cs="Times New Roman"/>
          <w:color w:val="auto"/>
          <w:sz w:val="24"/>
          <w:szCs w:val="21"/>
          <w:highlight w:val="none"/>
        </w:rPr>
        <w:t xml:space="preserve">街道</w:t>
      </w:r>
      <w:r>
        <w:rPr>
          <w:rFonts w:hint="eastAsia" w:ascii="宋体" w:hAnsi="宋体" w:eastAsia="宋体" w:cs="Times New Roman"/>
          <w:color w:val="auto"/>
          <w:sz w:val="24"/>
          <w:szCs w:val="21"/>
          <w:highlight w:val="none"/>
        </w:rPr>
        <w:t xml:space="preserve">绿化建设成果，不断提高绿地养护管理水平，使公共绿地日常养护得到更加持久有效、合理规范的管理，根据《无锡新区绿化养护考核管理办法》、《无锡市城市绿化管理条例》及相关法律、法规，结合我园区绿地养护实际情况，</w:t>
      </w:r>
      <w:r>
        <w:rPr>
          <w:rFonts w:hint="eastAsia" w:ascii="宋体" w:hAnsi="宋体" w:eastAsia="宋体" w:cs="Times New Roman"/>
          <w:color w:val="auto"/>
          <w:sz w:val="24"/>
          <w:szCs w:val="21"/>
          <w:highlight w:val="none"/>
          <w:lang w:eastAsia="zh-CN"/>
        </w:rPr>
        <w:t xml:space="preserve">制定</w:t>
      </w:r>
      <w:r>
        <w:rPr>
          <w:rFonts w:hint="eastAsia" w:ascii="宋体" w:hAnsi="宋体" w:eastAsia="宋体" w:cs="Times New Roman"/>
          <w:color w:val="auto"/>
          <w:sz w:val="24"/>
          <w:szCs w:val="21"/>
          <w:highlight w:val="none"/>
        </w:rPr>
        <w:t xml:space="preserve">本办法。</w:t>
      </w:r>
      <w:r/>
    </w:p>
    <w:p>
      <w:pPr>
        <w:ind w:firstLine="482"/>
        <w:jc w:val="both"/>
        <w:spacing w:line="288" w:lineRule="auto"/>
        <w:rPr>
          <w:rFonts w:hint="eastAsia" w:ascii="宋体" w:hAnsi="宋体" w:eastAsia="宋体" w:cs="Times New Roman"/>
          <w:b/>
          <w:color w:val="auto"/>
          <w:sz w:val="24"/>
          <w:szCs w:val="21"/>
          <w:highlight w:val="none"/>
        </w:rPr>
        <w:outlineLvl w:val="9"/>
      </w:pPr>
      <w:r>
        <w:rPr>
          <w:rFonts w:hint="eastAsia" w:ascii="宋体" w:hAnsi="宋体" w:eastAsia="宋体" w:cs="Times New Roman"/>
          <w:b/>
          <w:color w:val="auto"/>
          <w:sz w:val="24"/>
          <w:szCs w:val="21"/>
          <w:highlight w:val="none"/>
        </w:rPr>
        <w:t xml:space="preserve">一、总则</w:t>
      </w:r>
      <w:r/>
    </w:p>
    <w:p>
      <w:pPr>
        <w:ind w:firstLine="480"/>
        <w:jc w:val="both"/>
        <w:spacing w:line="288" w:lineRule="auto"/>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无锡市新吴区</w:t>
      </w:r>
      <w:r>
        <w:rPr>
          <w:rFonts w:hint="eastAsia" w:ascii="宋体" w:hAnsi="宋体" w:eastAsia="宋体" w:cs="Times New Roman"/>
          <w:color w:val="auto"/>
          <w:sz w:val="24"/>
          <w:szCs w:val="21"/>
          <w:highlight w:val="none"/>
          <w:lang w:val="en-US" w:eastAsia="zh-CN"/>
        </w:rPr>
        <w:t xml:space="preserve">江溪</w:t>
      </w:r>
      <w:r>
        <w:rPr>
          <w:rFonts w:hint="eastAsia" w:ascii="宋体" w:hAnsi="宋体" w:eastAsia="宋体" w:cs="Times New Roman"/>
          <w:color w:val="auto"/>
          <w:sz w:val="24"/>
          <w:szCs w:val="21"/>
          <w:highlight w:val="none"/>
        </w:rPr>
        <w:t xml:space="preserve">街道绿地养护管理及考核督查工作由</w:t>
      </w:r>
      <w:r>
        <w:rPr>
          <w:rFonts w:hint="eastAsia" w:ascii="宋体" w:hAnsi="宋体" w:eastAsia="宋体" w:cs="Times New Roman"/>
          <w:color w:val="auto"/>
          <w:sz w:val="24"/>
          <w:szCs w:val="21"/>
          <w:highlight w:val="none"/>
          <w:lang w:eastAsia="zh-CN"/>
        </w:rPr>
        <w:t xml:space="preserve">无锡市新吴区人民政府江溪街道办事处</w:t>
      </w:r>
      <w:r>
        <w:rPr>
          <w:rFonts w:hint="eastAsia" w:ascii="宋体" w:hAnsi="宋体" w:eastAsia="宋体" w:cs="Times New Roman"/>
          <w:color w:val="auto"/>
          <w:sz w:val="24"/>
          <w:szCs w:val="21"/>
          <w:highlight w:val="none"/>
        </w:rPr>
        <w:t xml:space="preserve">负责，</w:t>
      </w:r>
      <w:r>
        <w:rPr>
          <w:rFonts w:hint="eastAsia" w:ascii="宋体" w:hAnsi="宋体" w:eastAsia="宋体" w:cs="Times New Roman"/>
          <w:color w:val="auto"/>
          <w:sz w:val="24"/>
          <w:szCs w:val="21"/>
          <w:highlight w:val="none"/>
          <w:lang w:eastAsia="zh-CN"/>
        </w:rPr>
        <w:t xml:space="preserve">该办事处同时</w:t>
      </w:r>
      <w:r>
        <w:rPr>
          <w:rFonts w:hint="eastAsia" w:ascii="宋体" w:hAnsi="宋体" w:eastAsia="宋体" w:cs="Times New Roman"/>
          <w:color w:val="auto"/>
          <w:sz w:val="24"/>
          <w:szCs w:val="21"/>
          <w:highlight w:val="none"/>
        </w:rPr>
        <w:t xml:space="preserve">承担着对养护承包单位管养质量进行检查考核的工作。检查考核的结果作为对养护承包单位管养质量评价、经费发放以及其他奖惩的依据，在每年末进行考核评比，实行经济处罚相结合的奖惩制度。</w:t>
      </w:r>
      <w:r/>
    </w:p>
    <w:p>
      <w:pPr>
        <w:ind w:firstLine="482"/>
        <w:jc w:val="both"/>
        <w:spacing w:line="288" w:lineRule="auto"/>
        <w:rPr>
          <w:rFonts w:hint="eastAsia" w:ascii="宋体" w:hAnsi="宋体" w:eastAsia="宋体" w:cs="Times New Roman"/>
          <w:b/>
          <w:color w:val="auto"/>
          <w:sz w:val="24"/>
          <w:szCs w:val="21"/>
          <w:highlight w:val="none"/>
        </w:rPr>
        <w:outlineLvl w:val="9"/>
      </w:pPr>
      <w:r>
        <w:rPr>
          <w:rFonts w:hint="eastAsia" w:ascii="宋体" w:hAnsi="宋体" w:eastAsia="宋体" w:cs="Times New Roman"/>
          <w:b/>
          <w:color w:val="auto"/>
          <w:sz w:val="24"/>
          <w:szCs w:val="21"/>
          <w:highlight w:val="none"/>
        </w:rPr>
        <w:t xml:space="preserve">二、检查考核机构及职责</w:t>
      </w:r>
      <w:r/>
    </w:p>
    <w:p>
      <w:pPr>
        <w:ind w:firstLine="480"/>
        <w:jc w:val="both"/>
        <w:spacing w:line="288" w:lineRule="auto"/>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lang w:eastAsia="zh-CN"/>
        </w:rPr>
        <w:t xml:space="preserve">无锡市新吴区人民政府江溪街道办事处</w:t>
      </w:r>
      <w:r>
        <w:rPr>
          <w:rFonts w:hint="eastAsia" w:ascii="宋体" w:hAnsi="宋体" w:eastAsia="宋体" w:cs="Times New Roman"/>
          <w:color w:val="auto"/>
          <w:sz w:val="24"/>
          <w:szCs w:val="21"/>
          <w:highlight w:val="none"/>
        </w:rPr>
        <w:t xml:space="preserve">成立检查考核小组，</w:t>
      </w:r>
      <w:r>
        <w:rPr>
          <w:rFonts w:hint="eastAsia" w:ascii="宋体" w:hAnsi="宋体" w:eastAsia="宋体" w:cs="Times New Roman"/>
          <w:color w:val="auto"/>
          <w:sz w:val="24"/>
          <w:szCs w:val="21"/>
          <w:highlight w:val="none"/>
          <w:lang w:eastAsia="zh-CN"/>
        </w:rPr>
        <w:t xml:space="preserve">该小组</w:t>
      </w:r>
      <w:r>
        <w:rPr>
          <w:rFonts w:hint="eastAsia" w:ascii="宋体" w:hAnsi="宋体" w:eastAsia="宋体" w:cs="Times New Roman"/>
          <w:color w:val="auto"/>
          <w:sz w:val="24"/>
          <w:szCs w:val="21"/>
          <w:highlight w:val="none"/>
        </w:rPr>
        <w:t xml:space="preserve">在日常检查考核中做好检查考核评分工作。</w:t>
      </w:r>
      <w:r/>
    </w:p>
    <w:p>
      <w:pPr>
        <w:ind w:firstLine="482"/>
        <w:jc w:val="both"/>
        <w:spacing w:line="288" w:lineRule="auto"/>
        <w:rPr>
          <w:rFonts w:hint="eastAsia" w:ascii="宋体" w:hAnsi="宋体" w:eastAsia="宋体" w:cs="Times New Roman"/>
          <w:b/>
          <w:color w:val="auto"/>
          <w:sz w:val="24"/>
          <w:szCs w:val="21"/>
          <w:highlight w:val="none"/>
        </w:rPr>
        <w:outlineLvl w:val="9"/>
      </w:pPr>
      <w:r>
        <w:rPr>
          <w:rFonts w:hint="eastAsia" w:ascii="宋体" w:hAnsi="宋体" w:eastAsia="宋体" w:cs="Times New Roman"/>
          <w:b/>
          <w:color w:val="auto"/>
          <w:sz w:val="24"/>
          <w:szCs w:val="21"/>
          <w:highlight w:val="none"/>
        </w:rPr>
        <w:t xml:space="preserve">三、考核办法</w:t>
      </w:r>
      <w:r/>
    </w:p>
    <w:p>
      <w:pPr>
        <w:ind w:firstLine="480"/>
        <w:jc w:val="both"/>
        <w:spacing w:line="288" w:lineRule="auto"/>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实行日常考核、不定期考核、集中考核和专项考核相结合的</w:t>
      </w:r>
      <w:r>
        <w:rPr>
          <w:rFonts w:hint="eastAsia" w:ascii="宋体" w:hAnsi="宋体" w:eastAsia="宋体" w:cs="Times New Roman"/>
          <w:color w:val="auto"/>
          <w:sz w:val="24"/>
          <w:szCs w:val="21"/>
          <w:highlight w:val="none"/>
          <w:lang w:eastAsia="zh-CN"/>
        </w:rPr>
        <w:t xml:space="preserve">考核办法</w:t>
      </w:r>
      <w:r>
        <w:rPr>
          <w:rFonts w:hint="eastAsia" w:ascii="宋体" w:hAnsi="宋体" w:eastAsia="宋体" w:cs="Times New Roman"/>
          <w:color w:val="auto"/>
          <w:sz w:val="24"/>
          <w:szCs w:val="21"/>
          <w:highlight w:val="none"/>
        </w:rPr>
        <w:t xml:space="preserve">。考核方式采用评分制。</w:t>
      </w:r>
      <w:r/>
    </w:p>
    <w:p>
      <w:pPr>
        <w:ind w:firstLine="480"/>
        <w:jc w:val="both"/>
        <w:spacing w:line="288" w:lineRule="auto"/>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1、日常考核</w:t>
      </w:r>
      <w:r/>
    </w:p>
    <w:p>
      <w:pPr>
        <w:ind w:firstLine="480"/>
        <w:jc w:val="both"/>
        <w:spacing w:line="288" w:lineRule="auto"/>
        <w:rPr>
          <w:rFonts w:hint="eastAsia" w:ascii="宋体" w:hAnsi="宋体" w:eastAsia="宋体" w:cs="Times New Roman"/>
          <w:color w:val="auto"/>
          <w:sz w:val="24"/>
          <w:szCs w:val="21"/>
          <w:highlight w:val="none"/>
          <w:lang w:eastAsia="zh-CN"/>
        </w:rPr>
        <w:outlineLvl w:val="9"/>
      </w:pPr>
      <w:r>
        <w:rPr>
          <w:rFonts w:hint="eastAsia" w:ascii="宋体" w:hAnsi="宋体" w:eastAsia="宋体" w:cs="Times New Roman"/>
          <w:color w:val="auto"/>
          <w:sz w:val="24"/>
          <w:szCs w:val="21"/>
          <w:highlight w:val="none"/>
        </w:rPr>
        <w:t xml:space="preserve">养护单位须严格按照每月养护计划、于每月25日前上报下月养护计划及当月工作内容，《月报表》需明确每块绿地的养护目标任务、工作内容、计划完成时间和确保完成的保障措施等，并加盖单位公章或分公司、项目部公章。</w:t>
      </w:r>
      <w:r>
        <w:rPr>
          <w:rFonts w:hint="eastAsia" w:ascii="宋体" w:hAnsi="宋体" w:eastAsia="宋体" w:cs="Times New Roman"/>
          <w:color w:val="auto"/>
          <w:sz w:val="24"/>
          <w:szCs w:val="21"/>
          <w:highlight w:val="none"/>
          <w:lang w:eastAsia="zh-CN"/>
        </w:rPr>
        <w:t xml:space="preserve">无锡市新吴区人民政府江溪街道办事处</w:t>
      </w:r>
      <w:r>
        <w:rPr>
          <w:rFonts w:hint="eastAsia" w:ascii="宋体" w:hAnsi="宋体" w:eastAsia="宋体" w:cs="Times New Roman"/>
          <w:color w:val="auto"/>
          <w:sz w:val="24"/>
          <w:szCs w:val="21"/>
          <w:highlight w:val="none"/>
        </w:rPr>
        <w:t xml:space="preserve">对计划书审核后，</w:t>
      </w:r>
      <w:r>
        <w:rPr>
          <w:rFonts w:hint="eastAsia" w:ascii="宋体" w:hAnsi="宋体" w:eastAsia="宋体" w:cs="Times New Roman"/>
          <w:color w:val="auto"/>
          <w:sz w:val="24"/>
          <w:szCs w:val="21"/>
          <w:highlight w:val="none"/>
          <w:lang w:eastAsia="zh-CN"/>
        </w:rPr>
        <w:t xml:space="preserve">派出</w:t>
      </w:r>
      <w:r>
        <w:rPr>
          <w:rFonts w:hint="eastAsia" w:ascii="宋体" w:hAnsi="宋体" w:eastAsia="宋体" w:cs="Times New Roman"/>
          <w:color w:val="auto"/>
          <w:sz w:val="24"/>
          <w:szCs w:val="21"/>
          <w:highlight w:val="none"/>
        </w:rPr>
        <w:t xml:space="preserve">人员</w:t>
      </w:r>
      <w:r>
        <w:rPr>
          <w:rFonts w:hint="eastAsia" w:ascii="宋体" w:hAnsi="宋体" w:eastAsia="宋体" w:cs="Times New Roman"/>
          <w:color w:val="auto"/>
          <w:sz w:val="24"/>
          <w:szCs w:val="21"/>
          <w:highlight w:val="none"/>
          <w:lang w:eastAsia="zh-CN"/>
        </w:rPr>
        <w:t xml:space="preserve">对</w:t>
      </w:r>
      <w:r>
        <w:rPr>
          <w:rFonts w:hint="eastAsia" w:ascii="宋体" w:hAnsi="宋体" w:eastAsia="宋体" w:cs="Times New Roman"/>
          <w:color w:val="auto"/>
          <w:sz w:val="24"/>
          <w:szCs w:val="21"/>
          <w:highlight w:val="none"/>
        </w:rPr>
        <w:t xml:space="preserve">养护工作落实情况进行检查</w:t>
      </w:r>
      <w:r>
        <w:rPr>
          <w:rFonts w:hint="eastAsia" w:ascii="宋体" w:hAnsi="宋体" w:eastAsia="宋体" w:cs="Times New Roman"/>
          <w:color w:val="auto"/>
          <w:sz w:val="24"/>
          <w:szCs w:val="21"/>
          <w:highlight w:val="none"/>
          <w:lang w:eastAsia="zh-CN"/>
        </w:rPr>
        <w:t xml:space="preserve">。</w:t>
      </w:r>
      <w:r/>
    </w:p>
    <w:p>
      <w:pPr>
        <w:ind w:firstLine="480"/>
        <w:jc w:val="both"/>
        <w:spacing w:line="288" w:lineRule="auto"/>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2、集中考核</w:t>
      </w:r>
      <w:r/>
    </w:p>
    <w:p>
      <w:pPr>
        <w:ind w:firstLine="480"/>
        <w:jc w:val="both"/>
        <w:spacing w:line="288" w:lineRule="auto"/>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每月利用一次例会时间，由</w:t>
      </w:r>
      <w:r>
        <w:rPr>
          <w:rFonts w:hint="eastAsia" w:ascii="宋体" w:hAnsi="宋体" w:eastAsia="宋体" w:cs="Times New Roman"/>
          <w:color w:val="auto"/>
          <w:sz w:val="24"/>
          <w:szCs w:val="21"/>
          <w:highlight w:val="none"/>
          <w:lang w:eastAsia="zh-CN"/>
        </w:rPr>
        <w:t xml:space="preserve">无锡市新吴区人民政府江溪街道办事处</w:t>
      </w:r>
      <w:r>
        <w:rPr>
          <w:rFonts w:hint="eastAsia" w:ascii="宋体" w:hAnsi="宋体" w:eastAsia="宋体" w:cs="Times New Roman"/>
          <w:color w:val="auto"/>
          <w:sz w:val="24"/>
          <w:szCs w:val="21"/>
          <w:highlight w:val="none"/>
        </w:rPr>
        <w:t xml:space="preserve">组织各养护</w:t>
      </w:r>
      <w:r>
        <w:rPr>
          <w:rFonts w:hint="eastAsia" w:ascii="宋体" w:hAnsi="宋体" w:eastAsia="宋体" w:cs="Times New Roman"/>
          <w:color w:val="auto"/>
          <w:sz w:val="24"/>
          <w:szCs w:val="21"/>
          <w:highlight w:val="none"/>
          <w:lang w:eastAsia="zh-CN"/>
        </w:rPr>
        <w:t xml:space="preserve">单位进行</w:t>
      </w:r>
      <w:r>
        <w:rPr>
          <w:rFonts w:hint="eastAsia" w:ascii="宋体" w:hAnsi="宋体" w:eastAsia="宋体" w:cs="Times New Roman"/>
          <w:color w:val="auto"/>
          <w:sz w:val="24"/>
          <w:szCs w:val="21"/>
          <w:highlight w:val="none"/>
        </w:rPr>
        <w:t xml:space="preserve">一次集中考核。月度集中考核情况作为当月考评的主要依据。</w:t>
      </w:r>
      <w:r/>
    </w:p>
    <w:p>
      <w:pPr>
        <w:ind w:firstLine="480"/>
        <w:jc w:val="both"/>
        <w:spacing w:line="288" w:lineRule="auto"/>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3、不定期考核</w:t>
      </w:r>
      <w:r/>
    </w:p>
    <w:p>
      <w:pPr>
        <w:ind w:firstLine="480"/>
        <w:jc w:val="both"/>
        <w:spacing w:line="288" w:lineRule="auto"/>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在日常巡查中对各块绿地进行经常性、不定期的检查，由</w:t>
      </w:r>
      <w:r>
        <w:rPr>
          <w:rFonts w:hint="eastAsia" w:ascii="宋体" w:hAnsi="宋体" w:eastAsia="宋体" w:cs="Times New Roman"/>
          <w:color w:val="auto"/>
          <w:sz w:val="24"/>
          <w:szCs w:val="21"/>
          <w:highlight w:val="none"/>
          <w:lang w:eastAsia="zh-CN"/>
        </w:rPr>
        <w:t xml:space="preserve">无锡市新吴区人民政府江溪街道办事处</w:t>
      </w:r>
      <w:r>
        <w:rPr>
          <w:rFonts w:hint="eastAsia" w:ascii="宋体" w:hAnsi="宋体" w:eastAsia="宋体" w:cs="Times New Roman"/>
          <w:color w:val="auto"/>
          <w:sz w:val="24"/>
          <w:szCs w:val="21"/>
          <w:highlight w:val="none"/>
        </w:rPr>
        <w:t xml:space="preserve">人员考核。针对检查中发现的问题以书面或口头形式告知，并要求各养护单位限期整改。凡发出书面通知的绿地列入下次集中考核的重点。抽查情况作为当月考评的重要依据之一。</w:t>
      </w:r>
      <w:r/>
    </w:p>
    <w:p>
      <w:pPr>
        <w:ind w:firstLine="480"/>
        <w:jc w:val="both"/>
        <w:spacing w:line="288" w:lineRule="auto"/>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4、专项考核</w:t>
      </w:r>
      <w:r/>
    </w:p>
    <w:p>
      <w:pPr>
        <w:ind w:firstLine="570"/>
        <w:jc w:val="both"/>
        <w:spacing w:line="288" w:lineRule="auto"/>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主要针对一年养护中病虫害、施肥、剥芽修剪、防汛抗台、保洁、文明安全、黑麦草、草花、重要活动保障等重点性、周期性的事项进行重点专项考核。</w:t>
      </w:r>
      <w:r/>
    </w:p>
    <w:p>
      <w:pPr>
        <w:ind w:firstLine="570"/>
        <w:jc w:val="both"/>
        <w:spacing w:line="288" w:lineRule="auto"/>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在考核中发现的问题以《工作联系单》形式告知责任单位。《工作联系单》作为考评扣分主要依据，按相应标准进行扣分。原则上要求责任单位在收到通知后48小时内必须完成整改，并将完成情况反馈</w:t>
      </w:r>
      <w:r>
        <w:rPr>
          <w:rFonts w:hint="eastAsia" w:ascii="宋体" w:hAnsi="宋体" w:eastAsia="宋体" w:cs="Times New Roman"/>
          <w:color w:val="auto"/>
          <w:sz w:val="24"/>
          <w:szCs w:val="21"/>
          <w:highlight w:val="none"/>
          <w:lang w:eastAsia="zh-CN"/>
        </w:rPr>
        <w:t xml:space="preserve">无锡市新吴区人民政府江溪街道办事处</w:t>
      </w:r>
      <w:r>
        <w:rPr>
          <w:rFonts w:hint="eastAsia" w:ascii="宋体" w:hAnsi="宋体" w:eastAsia="宋体" w:cs="Times New Roman"/>
          <w:color w:val="auto"/>
          <w:sz w:val="24"/>
          <w:szCs w:val="21"/>
          <w:highlight w:val="none"/>
        </w:rPr>
        <w:t xml:space="preserve">，未及时反馈的视作未完成整改。</w:t>
      </w:r>
      <w:r/>
    </w:p>
    <w:p>
      <w:pPr>
        <w:ind w:firstLine="570"/>
        <w:jc w:val="both"/>
        <w:spacing w:line="288" w:lineRule="auto"/>
        <w:rPr>
          <w:rFonts w:hint="eastAsia" w:ascii="宋体" w:hAnsi="宋体" w:eastAsia="宋体" w:cs="Times New Roman"/>
          <w:b/>
          <w:color w:val="auto"/>
          <w:spacing w:val="-4"/>
          <w:sz w:val="24"/>
          <w:szCs w:val="21"/>
          <w:highlight w:val="none"/>
        </w:rPr>
        <w:outlineLvl w:val="9"/>
      </w:pPr>
      <w:r>
        <w:rPr>
          <w:rFonts w:hint="eastAsia" w:ascii="宋体" w:hAnsi="宋体" w:eastAsia="宋体" w:cs="Times New Roman"/>
          <w:b/>
          <w:color w:val="auto"/>
          <w:sz w:val="24"/>
          <w:szCs w:val="21"/>
          <w:highlight w:val="none"/>
        </w:rPr>
        <w:t xml:space="preserve">四、评</w:t>
      </w:r>
      <w:r>
        <w:rPr>
          <w:rFonts w:hint="eastAsia" w:ascii="宋体" w:hAnsi="宋体" w:eastAsia="宋体" w:cs="Times New Roman"/>
          <w:b/>
          <w:color w:val="auto"/>
          <w:spacing w:val="-4"/>
          <w:sz w:val="24"/>
          <w:szCs w:val="21"/>
          <w:highlight w:val="none"/>
        </w:rPr>
        <w:t xml:space="preserve">分等级：</w:t>
      </w:r>
      <w:r/>
    </w:p>
    <w:p>
      <w:pPr>
        <w:ind w:firstLine="570"/>
        <w:jc w:val="both"/>
        <w:spacing w:line="288" w:lineRule="auto"/>
        <w:rPr>
          <w:rFonts w:hint="eastAsia" w:ascii="宋体" w:hAnsi="宋体" w:eastAsia="宋体" w:cs="Times New Roman"/>
          <w:color w:val="auto"/>
          <w:spacing w:val="-4"/>
          <w:sz w:val="24"/>
          <w:szCs w:val="21"/>
          <w:highlight w:val="none"/>
        </w:rPr>
        <w:outlineLvl w:val="9"/>
      </w:pPr>
      <w:r>
        <w:rPr>
          <w:rFonts w:hint="eastAsia" w:ascii="宋体" w:hAnsi="宋体" w:eastAsia="宋体" w:cs="Times New Roman"/>
          <w:color w:val="auto"/>
          <w:spacing w:val="-4"/>
          <w:sz w:val="24"/>
          <w:szCs w:val="21"/>
          <w:highlight w:val="none"/>
        </w:rPr>
        <w:t xml:space="preserve">根据每次考核评分，考核等级为优秀、合格、不合格三类。</w:t>
      </w:r>
      <w:r/>
    </w:p>
    <w:p>
      <w:pPr>
        <w:ind w:firstLine="580"/>
        <w:jc w:val="both"/>
        <w:spacing w:line="288" w:lineRule="auto"/>
        <w:rPr>
          <w:rFonts w:hint="eastAsia" w:ascii="宋体" w:hAnsi="宋体" w:eastAsia="宋体" w:cs="Times New Roman"/>
          <w:color w:val="auto"/>
          <w:spacing w:val="-4"/>
          <w:sz w:val="28"/>
          <w:szCs w:val="21"/>
          <w:highlight w:val="none"/>
        </w:rPr>
        <w:outlineLvl w:val="9"/>
      </w:pPr>
      <w:r>
        <w:rPr>
          <w:rFonts w:hint="eastAsia" w:ascii="宋体" w:hAnsi="宋体" w:eastAsia="宋体" w:cs="Times New Roman"/>
          <w:color w:val="auto"/>
          <w:spacing w:val="-4"/>
          <w:sz w:val="24"/>
          <w:szCs w:val="21"/>
          <w:highlight w:val="none"/>
        </w:rPr>
        <w:t xml:space="preserve">95分以上的为优秀， 85－95分为合格， 85分以下为不合格</w:t>
      </w:r>
      <w:r>
        <w:rPr>
          <w:rFonts w:hint="eastAsia" w:ascii="宋体" w:hAnsi="宋体" w:eastAsia="宋体" w:cs="Times New Roman"/>
          <w:color w:val="auto"/>
          <w:spacing w:val="-4"/>
          <w:sz w:val="28"/>
          <w:szCs w:val="21"/>
          <w:highlight w:val="none"/>
        </w:rPr>
        <w:t xml:space="preserve">。</w:t>
      </w:r>
      <w:r/>
    </w:p>
    <w:p>
      <w:pPr>
        <w:ind w:firstLine="466"/>
        <w:jc w:val="both"/>
        <w:spacing w:line="288" w:lineRule="auto"/>
        <w:rPr>
          <w:rFonts w:hint="eastAsia" w:ascii="宋体" w:hAnsi="宋体" w:eastAsia="宋体" w:cs="Times New Roman"/>
          <w:b/>
          <w:color w:val="auto"/>
          <w:spacing w:val="-4"/>
          <w:sz w:val="24"/>
          <w:szCs w:val="21"/>
          <w:highlight w:val="none"/>
        </w:rPr>
        <w:outlineLvl w:val="9"/>
      </w:pPr>
      <w:r>
        <w:rPr>
          <w:rFonts w:hint="eastAsia" w:ascii="宋体" w:hAnsi="宋体" w:eastAsia="宋体" w:cs="Times New Roman"/>
          <w:b/>
          <w:color w:val="auto"/>
          <w:spacing w:val="-4"/>
          <w:sz w:val="24"/>
          <w:szCs w:val="21"/>
          <w:highlight w:val="none"/>
        </w:rPr>
        <w:t xml:space="preserve">五、分值计算</w:t>
      </w:r>
      <w:r/>
    </w:p>
    <w:p>
      <w:pPr>
        <w:ind w:firstLine="464"/>
        <w:jc w:val="both"/>
        <w:spacing w:line="288" w:lineRule="auto"/>
        <w:rPr>
          <w:rFonts w:hint="eastAsia" w:ascii="宋体" w:hAnsi="宋体" w:eastAsia="宋体" w:cs="Times New Roman"/>
          <w:color w:val="auto"/>
          <w:spacing w:val="-4"/>
          <w:sz w:val="24"/>
          <w:szCs w:val="21"/>
          <w:highlight w:val="none"/>
        </w:rPr>
        <w:outlineLvl w:val="9"/>
      </w:pPr>
      <w:r>
        <w:rPr>
          <w:rFonts w:hint="eastAsia" w:ascii="宋体" w:hAnsi="宋体" w:eastAsia="宋体" w:cs="Times New Roman"/>
          <w:color w:val="auto"/>
          <w:spacing w:val="-4"/>
          <w:sz w:val="24"/>
          <w:szCs w:val="21"/>
          <w:highlight w:val="none"/>
        </w:rPr>
        <w:t xml:space="preserve">采用百分制计分，满分100分，采用扣分制，根据《无锡市新吴区</w:t>
      </w:r>
      <w:r>
        <w:rPr>
          <w:rFonts w:hint="eastAsia" w:ascii="宋体" w:hAnsi="宋体" w:eastAsia="宋体" w:cs="Times New Roman"/>
          <w:color w:val="auto"/>
          <w:sz w:val="24"/>
          <w:szCs w:val="21"/>
          <w:highlight w:val="none"/>
          <w:lang w:val="en-US" w:eastAsia="zh-CN"/>
        </w:rPr>
        <w:t xml:space="preserve">江溪</w:t>
      </w:r>
      <w:r>
        <w:rPr>
          <w:rFonts w:hint="eastAsia" w:ascii="宋体" w:hAnsi="宋体" w:eastAsia="宋体" w:cs="Times New Roman"/>
          <w:color w:val="auto"/>
          <w:sz w:val="24"/>
          <w:szCs w:val="21"/>
          <w:highlight w:val="none"/>
        </w:rPr>
        <w:t xml:space="preserve">街道</w:t>
      </w:r>
      <w:r>
        <w:rPr>
          <w:rFonts w:hint="eastAsia" w:ascii="宋体" w:hAnsi="宋体" w:eastAsia="宋体" w:cs="Times New Roman"/>
          <w:color w:val="auto"/>
          <w:spacing w:val="-4"/>
          <w:sz w:val="24"/>
          <w:szCs w:val="21"/>
          <w:highlight w:val="none"/>
        </w:rPr>
        <w:t xml:space="preserve">绿地养护管理检查考核评分表》要求对检查结果进行评分。</w:t>
      </w:r>
      <w:r/>
    </w:p>
    <w:p>
      <w:pPr>
        <w:ind w:firstLine="466"/>
        <w:jc w:val="both"/>
        <w:spacing w:line="288" w:lineRule="auto"/>
        <w:rPr>
          <w:rFonts w:hint="eastAsia" w:ascii="宋体" w:hAnsi="宋体" w:eastAsia="宋体" w:cs="Times New Roman"/>
          <w:b/>
          <w:color w:val="auto"/>
          <w:spacing w:val="-4"/>
          <w:sz w:val="24"/>
          <w:szCs w:val="21"/>
          <w:highlight w:val="none"/>
        </w:rPr>
        <w:outlineLvl w:val="9"/>
      </w:pPr>
      <w:r>
        <w:rPr>
          <w:rFonts w:hint="eastAsia" w:ascii="宋体" w:hAnsi="宋体" w:eastAsia="宋体" w:cs="Times New Roman"/>
          <w:b/>
          <w:color w:val="auto"/>
          <w:spacing w:val="-4"/>
          <w:sz w:val="24"/>
          <w:szCs w:val="21"/>
          <w:highlight w:val="none"/>
        </w:rPr>
        <w:t xml:space="preserve">六、整改反馈制度</w:t>
      </w:r>
      <w:r/>
    </w:p>
    <w:p>
      <w:pPr>
        <w:ind w:firstLine="464"/>
        <w:jc w:val="both"/>
        <w:spacing w:line="288" w:lineRule="auto"/>
        <w:rPr>
          <w:rFonts w:hint="eastAsia" w:ascii="宋体" w:hAnsi="宋体" w:eastAsia="宋体" w:cs="Times New Roman"/>
          <w:color w:val="auto"/>
          <w:spacing w:val="-4"/>
          <w:sz w:val="24"/>
          <w:szCs w:val="21"/>
          <w:highlight w:val="none"/>
        </w:rPr>
        <w:outlineLvl w:val="9"/>
      </w:pPr>
      <w:r>
        <w:rPr>
          <w:rFonts w:hint="eastAsia" w:ascii="宋体" w:hAnsi="宋体" w:eastAsia="宋体" w:cs="Times New Roman"/>
          <w:color w:val="auto"/>
          <w:spacing w:val="-4"/>
          <w:sz w:val="24"/>
          <w:szCs w:val="21"/>
          <w:highlight w:val="none"/>
        </w:rPr>
        <w:t xml:space="preserve">1、不定期考核与专项考核结果纳入月度总评。现场检查发现的问题，</w:t>
      </w:r>
      <w:r>
        <w:rPr>
          <w:rFonts w:hint="eastAsia" w:ascii="宋体" w:hAnsi="宋体" w:eastAsia="宋体" w:cs="Times New Roman"/>
          <w:color w:val="auto"/>
          <w:spacing w:val="-4"/>
          <w:sz w:val="24"/>
          <w:szCs w:val="21"/>
          <w:highlight w:val="none"/>
          <w:lang w:eastAsia="zh-CN"/>
        </w:rPr>
        <w:t xml:space="preserve">属于</w:t>
      </w:r>
      <w:r>
        <w:rPr>
          <w:rFonts w:hint="eastAsia" w:ascii="宋体" w:hAnsi="宋体" w:eastAsia="宋体" w:cs="Times New Roman"/>
          <w:color w:val="auto"/>
          <w:spacing w:val="-4"/>
          <w:sz w:val="24"/>
          <w:szCs w:val="21"/>
          <w:highlight w:val="none"/>
        </w:rPr>
        <w:t xml:space="preserve">作业规范、保洁工作的，予以当场记录和扣分，养护单位应在48小时内整改到位；如果属于季节性问题或其他特殊问题</w:t>
      </w:r>
      <w:r>
        <w:rPr>
          <w:rFonts w:hint="eastAsia" w:ascii="宋体" w:hAnsi="宋体" w:eastAsia="宋体" w:cs="Times New Roman"/>
          <w:color w:val="auto"/>
          <w:spacing w:val="-4"/>
          <w:sz w:val="24"/>
          <w:szCs w:val="21"/>
          <w:highlight w:val="none"/>
          <w:lang w:eastAsia="zh-CN"/>
        </w:rPr>
        <w:t xml:space="preserve">，</w:t>
      </w:r>
      <w:r>
        <w:rPr>
          <w:rFonts w:hint="eastAsia" w:ascii="宋体" w:hAnsi="宋体" w:eastAsia="宋体" w:cs="Times New Roman"/>
          <w:color w:val="auto"/>
          <w:spacing w:val="-4"/>
          <w:sz w:val="24"/>
          <w:szCs w:val="21"/>
          <w:highlight w:val="none"/>
        </w:rPr>
        <w:t xml:space="preserve">可先向养护单位发出限期整改通知。</w:t>
      </w:r>
      <w:r>
        <w:rPr>
          <w:rFonts w:hint="eastAsia" w:ascii="宋体" w:hAnsi="宋体" w:eastAsia="宋体" w:cs="Times New Roman"/>
          <w:color w:val="auto"/>
          <w:spacing w:val="-4"/>
          <w:sz w:val="24"/>
          <w:szCs w:val="21"/>
          <w:highlight w:val="none"/>
          <w:lang w:eastAsia="zh-CN"/>
        </w:rPr>
        <w:t xml:space="preserve">无锡市新吴区人民政府江溪街道办事处</w:t>
      </w:r>
      <w:r>
        <w:rPr>
          <w:rFonts w:hint="eastAsia" w:ascii="宋体" w:hAnsi="宋体" w:eastAsia="宋体" w:cs="Times New Roman"/>
          <w:color w:val="auto"/>
          <w:spacing w:val="-4"/>
          <w:sz w:val="24"/>
          <w:szCs w:val="21"/>
          <w:highlight w:val="none"/>
        </w:rPr>
        <w:t xml:space="preserve">将对所有整改工作进行复查，如果整改工作不力</w:t>
      </w:r>
      <w:r>
        <w:rPr>
          <w:rFonts w:hint="eastAsia" w:ascii="宋体" w:hAnsi="宋体" w:eastAsia="宋体" w:cs="Times New Roman"/>
          <w:color w:val="auto"/>
          <w:spacing w:val="-4"/>
          <w:sz w:val="24"/>
          <w:szCs w:val="21"/>
          <w:highlight w:val="none"/>
          <w:lang w:eastAsia="zh-CN"/>
        </w:rPr>
        <w:t xml:space="preserve">，处以</w:t>
      </w:r>
      <w:r>
        <w:rPr>
          <w:rFonts w:hint="eastAsia" w:ascii="宋体" w:hAnsi="宋体" w:eastAsia="宋体" w:cs="Times New Roman"/>
          <w:color w:val="auto"/>
          <w:spacing w:val="-4"/>
          <w:sz w:val="24"/>
          <w:szCs w:val="21"/>
          <w:highlight w:val="none"/>
        </w:rPr>
        <w:t xml:space="preserve">双倍惩罚。</w:t>
      </w:r>
      <w:r/>
    </w:p>
    <w:p>
      <w:pPr>
        <w:ind w:firstLine="464"/>
        <w:jc w:val="both"/>
        <w:spacing w:line="288" w:lineRule="auto"/>
        <w:rPr>
          <w:rFonts w:hint="eastAsia" w:ascii="宋体" w:hAnsi="宋体" w:eastAsia="宋体" w:cs="Times New Roman"/>
          <w:color w:val="auto"/>
          <w:spacing w:val="-4"/>
          <w:sz w:val="24"/>
          <w:szCs w:val="21"/>
          <w:highlight w:val="none"/>
        </w:rPr>
        <w:outlineLvl w:val="9"/>
      </w:pPr>
      <w:r>
        <w:rPr>
          <w:rFonts w:hint="eastAsia" w:ascii="宋体" w:hAnsi="宋体" w:eastAsia="宋体" w:cs="Times New Roman"/>
          <w:color w:val="auto"/>
          <w:spacing w:val="-4"/>
          <w:sz w:val="24"/>
          <w:szCs w:val="21"/>
          <w:highlight w:val="none"/>
        </w:rPr>
        <w:t xml:space="preserve">2、为确保工作的有效性，在检查考核中将把是否及时落实整改作为考核的一项重点。对同一地点、同一类型问题，每连续发现一次加扣一倍分值，以此类推。</w:t>
      </w:r>
      <w:r/>
    </w:p>
    <w:p>
      <w:pPr>
        <w:ind w:firstLine="458"/>
        <w:jc w:val="both"/>
        <w:spacing w:line="288" w:lineRule="auto"/>
        <w:rPr>
          <w:rFonts w:hint="eastAsia" w:ascii="宋体" w:hAnsi="宋体" w:eastAsia="宋体" w:cs="Times New Roman"/>
          <w:b/>
          <w:color w:val="auto"/>
          <w:spacing w:val="-6"/>
          <w:sz w:val="24"/>
          <w:szCs w:val="21"/>
          <w:highlight w:val="none"/>
        </w:rPr>
        <w:outlineLvl w:val="9"/>
      </w:pPr>
      <w:r>
        <w:rPr>
          <w:rFonts w:hint="eastAsia" w:ascii="宋体" w:hAnsi="宋体" w:eastAsia="宋体" w:cs="Times New Roman"/>
          <w:b/>
          <w:color w:val="auto"/>
          <w:spacing w:val="-6"/>
          <w:sz w:val="24"/>
          <w:szCs w:val="21"/>
          <w:highlight w:val="none"/>
        </w:rPr>
        <w:t xml:space="preserve">七、养护工作例会制度</w:t>
      </w:r>
      <w:r/>
    </w:p>
    <w:p>
      <w:pPr>
        <w:ind w:firstLine="456"/>
        <w:jc w:val="both"/>
        <w:spacing w:line="288" w:lineRule="auto"/>
        <w:rPr>
          <w:rFonts w:hint="eastAsia" w:ascii="宋体" w:hAnsi="宋体" w:eastAsia="宋体" w:cs="Times New Roman"/>
          <w:color w:val="auto"/>
          <w:spacing w:val="-6"/>
          <w:sz w:val="24"/>
          <w:szCs w:val="21"/>
          <w:highlight w:val="none"/>
        </w:rPr>
        <w:outlineLvl w:val="9"/>
      </w:pPr>
      <w:r>
        <w:rPr>
          <w:rFonts w:hint="eastAsia" w:ascii="宋体" w:hAnsi="宋体" w:eastAsia="宋体" w:cs="Times New Roman"/>
          <w:color w:val="auto"/>
          <w:spacing w:val="-6"/>
          <w:sz w:val="24"/>
          <w:szCs w:val="21"/>
          <w:highlight w:val="none"/>
        </w:rPr>
        <w:t xml:space="preserve">每月召开一次养护工作例会，通报月度考核情况及进行工作总结和部署。同时，加强各养护单位间的相互学习和交流，对遇到的养护难点进行共同研讨。</w:t>
      </w:r>
      <w:r/>
    </w:p>
    <w:p>
      <w:pPr>
        <w:ind w:firstLine="449"/>
        <w:jc w:val="both"/>
        <w:spacing w:line="400" w:lineRule="exact"/>
        <w:rPr>
          <w:rFonts w:hint="eastAsia" w:ascii="宋体" w:hAnsi="宋体" w:eastAsia="宋体" w:cs="Times New Roman"/>
          <w:b/>
          <w:color w:val="auto"/>
          <w:spacing w:val="-6"/>
          <w:sz w:val="24"/>
          <w:szCs w:val="21"/>
          <w:highlight w:val="none"/>
        </w:rPr>
        <w:outlineLvl w:val="9"/>
      </w:pPr>
      <w:r>
        <w:rPr>
          <w:rFonts w:hint="eastAsia" w:ascii="宋体" w:hAnsi="宋体" w:eastAsia="宋体" w:cs="Times New Roman"/>
          <w:b/>
          <w:color w:val="auto"/>
          <w:spacing w:val="-6"/>
          <w:sz w:val="24"/>
          <w:szCs w:val="21"/>
          <w:highlight w:val="none"/>
        </w:rPr>
        <w:t xml:space="preserve">八、</w:t>
      </w:r>
      <w:r>
        <w:rPr>
          <w:rFonts w:hint="eastAsia" w:ascii="宋体" w:hAnsi="宋体" w:eastAsia="宋体" w:cs="Times New Roman"/>
          <w:b/>
          <w:color w:val="auto"/>
          <w:spacing w:val="-6"/>
          <w:sz w:val="24"/>
          <w:szCs w:val="21"/>
          <w:highlight w:val="none"/>
          <w:lang w:eastAsia="zh-CN"/>
        </w:rPr>
        <w:t xml:space="preserve">台账资料</w:t>
      </w:r>
      <w:r>
        <w:rPr>
          <w:rFonts w:hint="eastAsia" w:ascii="宋体" w:hAnsi="宋体" w:eastAsia="宋体" w:cs="Times New Roman"/>
          <w:b/>
          <w:color w:val="auto"/>
          <w:spacing w:val="-6"/>
          <w:sz w:val="24"/>
          <w:szCs w:val="21"/>
          <w:highlight w:val="none"/>
        </w:rPr>
        <w:t xml:space="preserve">管理</w:t>
      </w:r>
      <w:r/>
    </w:p>
    <w:p>
      <w:pPr>
        <w:ind w:firstLine="570"/>
        <w:jc w:val="both"/>
        <w:spacing w:line="400" w:lineRule="exact"/>
        <w:rPr>
          <w:rFonts w:hint="eastAsia" w:ascii="宋体" w:hAnsi="宋体" w:eastAsia="宋体" w:cs="Times New Roman"/>
          <w:color w:val="auto"/>
          <w:sz w:val="24"/>
          <w:szCs w:val="30"/>
          <w:highlight w:val="none"/>
        </w:rPr>
        <w:outlineLvl w:val="0"/>
      </w:pPr>
      <w:r>
        <w:rPr>
          <w:rFonts w:hint="eastAsia" w:ascii="宋体" w:hAnsi="宋体" w:eastAsia="宋体" w:cs="Times New Roman"/>
          <w:color w:val="auto"/>
          <w:sz w:val="24"/>
          <w:szCs w:val="30"/>
          <w:highlight w:val="none"/>
        </w:rPr>
        <w:t xml:space="preserve">1、应按</w:t>
      </w:r>
      <w:r>
        <w:rPr>
          <w:rFonts w:hint="eastAsia" w:ascii="宋体" w:hAnsi="宋体" w:eastAsia="宋体" w:cs="Times New Roman"/>
          <w:color w:val="auto"/>
          <w:sz w:val="24"/>
          <w:szCs w:val="21"/>
          <w:highlight w:val="none"/>
          <w:lang w:eastAsia="zh-CN"/>
        </w:rPr>
        <w:t xml:space="preserve">无锡市新吴区人民政府江溪街道办事处</w:t>
      </w:r>
      <w:r>
        <w:rPr>
          <w:rFonts w:hint="eastAsia" w:ascii="宋体" w:hAnsi="宋体" w:eastAsia="宋体" w:cs="Times New Roman"/>
          <w:color w:val="auto"/>
          <w:sz w:val="24"/>
          <w:szCs w:val="30"/>
          <w:highlight w:val="none"/>
        </w:rPr>
        <w:t xml:space="preserve">规定格式建立完整的绿化养护</w:t>
      </w:r>
      <w:r>
        <w:rPr>
          <w:rFonts w:hint="eastAsia" w:ascii="宋体" w:hAnsi="宋体" w:eastAsia="宋体" w:cs="Times New Roman"/>
          <w:color w:val="auto"/>
          <w:sz w:val="24"/>
          <w:szCs w:val="30"/>
          <w:highlight w:val="none"/>
          <w:lang w:eastAsia="zh-CN"/>
        </w:rPr>
        <w:t xml:space="preserve">台账</w:t>
      </w:r>
      <w:r>
        <w:rPr>
          <w:rFonts w:hint="eastAsia" w:ascii="宋体" w:hAnsi="宋体" w:eastAsia="宋体" w:cs="Times New Roman"/>
          <w:color w:val="auto"/>
          <w:sz w:val="24"/>
          <w:szCs w:val="30"/>
          <w:highlight w:val="none"/>
        </w:rPr>
        <w:t xml:space="preserve">，由固定资料员负责。绿化资料记录详细，分类清楚，数据</w:t>
      </w:r>
      <w:r>
        <w:rPr>
          <w:rFonts w:hint="eastAsia" w:ascii="宋体" w:hAnsi="宋体" w:eastAsia="宋体" w:cs="Times New Roman"/>
          <w:color w:val="auto"/>
          <w:sz w:val="24"/>
          <w:szCs w:val="30"/>
          <w:highlight w:val="none"/>
          <w:lang w:eastAsia="zh-CN"/>
        </w:rPr>
        <w:t xml:space="preserve">翔实</w:t>
      </w:r>
      <w:r>
        <w:rPr>
          <w:rFonts w:hint="eastAsia" w:ascii="宋体" w:hAnsi="宋体" w:eastAsia="宋体" w:cs="Times New Roman"/>
          <w:color w:val="auto"/>
          <w:sz w:val="24"/>
          <w:szCs w:val="30"/>
          <w:highlight w:val="none"/>
        </w:rPr>
        <w:t xml:space="preserve">。</w:t>
      </w:r>
      <w:r/>
    </w:p>
    <w:p>
      <w:pPr>
        <w:ind w:firstLine="570"/>
        <w:jc w:val="both"/>
        <w:spacing w:line="400" w:lineRule="exact"/>
        <w:rPr>
          <w:rFonts w:hint="eastAsia" w:ascii="宋体" w:hAnsi="宋体" w:eastAsia="宋体" w:cs="Times New Roman"/>
          <w:color w:val="auto"/>
          <w:sz w:val="24"/>
          <w:szCs w:val="30"/>
          <w:highlight w:val="none"/>
        </w:rPr>
        <w:outlineLvl w:val="0"/>
      </w:pPr>
      <w:r>
        <w:rPr>
          <w:rFonts w:hint="eastAsia" w:ascii="宋体" w:hAnsi="宋体" w:eastAsia="宋体" w:cs="Times New Roman"/>
          <w:color w:val="auto"/>
          <w:sz w:val="24"/>
          <w:szCs w:val="30"/>
          <w:highlight w:val="none"/>
        </w:rPr>
        <w:t xml:space="preserve">2、月度养护计划、日常养护作业、日常巡视应按时记录、及时上报，不弄虚作假。</w:t>
      </w:r>
      <w:r/>
    </w:p>
    <w:p>
      <w:pPr>
        <w:ind w:firstLine="570"/>
        <w:jc w:val="both"/>
        <w:spacing w:line="400" w:lineRule="exact"/>
        <w:rPr>
          <w:rFonts w:hint="eastAsia" w:ascii="宋体" w:hAnsi="宋体" w:eastAsia="宋体" w:cs="Times New Roman"/>
          <w:color w:val="auto"/>
          <w:sz w:val="24"/>
          <w:szCs w:val="30"/>
          <w:highlight w:val="none"/>
        </w:rPr>
        <w:outlineLvl w:val="0"/>
      </w:pPr>
      <w:r>
        <w:rPr>
          <w:rFonts w:hint="eastAsia" w:ascii="宋体" w:hAnsi="宋体" w:eastAsia="宋体" w:cs="Times New Roman"/>
          <w:color w:val="auto"/>
          <w:sz w:val="24"/>
          <w:szCs w:val="30"/>
          <w:highlight w:val="none"/>
        </w:rPr>
        <w:t xml:space="preserve">3、建立养护范围内绿化苗木数据库，并根据实际情况进行动态更新。</w:t>
      </w:r>
      <w:r/>
    </w:p>
    <w:p>
      <w:pPr>
        <w:ind w:firstLine="466"/>
        <w:jc w:val="both"/>
        <w:spacing w:line="288" w:lineRule="auto"/>
        <w:rPr>
          <w:rFonts w:hint="eastAsia" w:ascii="宋体" w:hAnsi="宋体" w:eastAsia="宋体" w:cs="Times New Roman"/>
          <w:b/>
          <w:color w:val="auto"/>
          <w:spacing w:val="-4"/>
          <w:sz w:val="24"/>
          <w:szCs w:val="21"/>
          <w:highlight w:val="none"/>
        </w:rPr>
        <w:outlineLvl w:val="9"/>
      </w:pPr>
      <w:r>
        <w:rPr>
          <w:rFonts w:hint="eastAsia" w:ascii="宋体" w:hAnsi="宋体" w:eastAsia="宋体" w:cs="Times New Roman"/>
          <w:b/>
          <w:color w:val="auto"/>
          <w:spacing w:val="-4"/>
          <w:sz w:val="24"/>
          <w:szCs w:val="21"/>
          <w:highlight w:val="none"/>
          <w:lang w:val="en-US" w:eastAsia="zh-CN"/>
        </w:rPr>
        <w:t xml:space="preserve">九</w:t>
      </w:r>
      <w:r>
        <w:rPr>
          <w:rFonts w:hint="eastAsia" w:ascii="宋体" w:hAnsi="宋体" w:eastAsia="宋体" w:cs="Times New Roman"/>
          <w:b/>
          <w:color w:val="auto"/>
          <w:spacing w:val="-4"/>
          <w:sz w:val="24"/>
          <w:szCs w:val="21"/>
          <w:highlight w:val="none"/>
        </w:rPr>
        <w:t xml:space="preserve">、考核检查兑现程序</w:t>
      </w:r>
      <w:r/>
    </w:p>
    <w:p>
      <w:pPr>
        <w:ind w:firstLine="464"/>
        <w:jc w:val="both"/>
        <w:spacing w:line="288" w:lineRule="auto"/>
        <w:rPr>
          <w:rFonts w:hint="eastAsia" w:ascii="宋体" w:hAnsi="宋体" w:eastAsia="宋体" w:cs="Times New Roman"/>
          <w:color w:val="auto"/>
          <w:spacing w:val="-4"/>
          <w:sz w:val="24"/>
          <w:szCs w:val="21"/>
          <w:highlight w:val="none"/>
        </w:rPr>
        <w:outlineLvl w:val="9"/>
      </w:pPr>
      <w:r>
        <w:rPr>
          <w:rFonts w:hint="eastAsia" w:ascii="宋体" w:hAnsi="宋体" w:eastAsia="宋体" w:cs="Times New Roman"/>
          <w:color w:val="auto"/>
          <w:spacing w:val="-4"/>
          <w:sz w:val="24"/>
          <w:szCs w:val="21"/>
          <w:highlight w:val="none"/>
        </w:rPr>
        <w:t xml:space="preserve">1、检查发现需要整改的问题</w:t>
      </w:r>
      <w:r>
        <w:rPr>
          <w:rFonts w:hint="eastAsia" w:ascii="宋体" w:hAnsi="宋体" w:eastAsia="宋体" w:cs="Times New Roman"/>
          <w:color w:val="auto"/>
          <w:spacing w:val="-4"/>
          <w:sz w:val="24"/>
          <w:szCs w:val="21"/>
          <w:highlight w:val="none"/>
          <w:lang w:eastAsia="zh-CN"/>
        </w:rPr>
        <w:t xml:space="preserve">，经</w:t>
      </w:r>
      <w:r>
        <w:rPr>
          <w:rFonts w:hint="eastAsia" w:ascii="宋体" w:hAnsi="宋体" w:eastAsia="宋体" w:cs="Times New Roman"/>
          <w:color w:val="auto"/>
          <w:spacing w:val="-4"/>
          <w:sz w:val="24"/>
          <w:szCs w:val="21"/>
          <w:highlight w:val="none"/>
        </w:rPr>
        <w:t xml:space="preserve">检查考核小组负责人签署意见后，于2个工作日内反馈</w:t>
      </w:r>
      <w:r>
        <w:rPr>
          <w:rFonts w:hint="eastAsia" w:ascii="宋体" w:hAnsi="宋体" w:eastAsia="宋体" w:cs="Times New Roman"/>
          <w:color w:val="auto"/>
          <w:spacing w:val="-4"/>
          <w:sz w:val="24"/>
          <w:szCs w:val="21"/>
          <w:highlight w:val="none"/>
          <w:lang w:eastAsia="zh-CN"/>
        </w:rPr>
        <w:t xml:space="preserve">至</w:t>
      </w:r>
      <w:r>
        <w:rPr>
          <w:rFonts w:hint="eastAsia" w:ascii="宋体" w:hAnsi="宋体" w:eastAsia="宋体" w:cs="Times New Roman"/>
          <w:color w:val="auto"/>
          <w:spacing w:val="-4"/>
          <w:sz w:val="24"/>
          <w:szCs w:val="21"/>
          <w:highlight w:val="none"/>
        </w:rPr>
        <w:t xml:space="preserve">养护单位。</w:t>
      </w:r>
      <w:r/>
    </w:p>
    <w:p>
      <w:pPr>
        <w:ind w:firstLine="464"/>
        <w:jc w:val="both"/>
        <w:spacing w:line="288" w:lineRule="auto"/>
        <w:rPr>
          <w:rFonts w:hint="eastAsia" w:ascii="宋体" w:hAnsi="宋体" w:eastAsia="宋体" w:cs="Times New Roman"/>
          <w:color w:val="auto"/>
          <w:spacing w:val="-4"/>
          <w:sz w:val="24"/>
          <w:szCs w:val="21"/>
          <w:highlight w:val="none"/>
        </w:rPr>
        <w:outlineLvl w:val="9"/>
      </w:pPr>
      <w:r>
        <w:rPr>
          <w:rFonts w:hint="eastAsia" w:ascii="宋体" w:hAnsi="宋体" w:eastAsia="宋体" w:cs="Times New Roman"/>
          <w:color w:val="auto"/>
          <w:spacing w:val="-4"/>
          <w:sz w:val="24"/>
          <w:szCs w:val="21"/>
          <w:highlight w:val="none"/>
        </w:rPr>
        <w:t xml:space="preserve">2、养护单位必须在收到整改通知后及时整改；遇特殊情况不能立即整改的</w:t>
      </w:r>
      <w:r>
        <w:rPr>
          <w:rFonts w:hint="eastAsia" w:ascii="宋体" w:hAnsi="宋体" w:eastAsia="宋体" w:cs="Times New Roman"/>
          <w:color w:val="auto"/>
          <w:spacing w:val="-4"/>
          <w:sz w:val="24"/>
          <w:szCs w:val="21"/>
          <w:highlight w:val="none"/>
          <w:lang w:eastAsia="zh-CN"/>
        </w:rPr>
        <w:t xml:space="preserve">，</w:t>
      </w:r>
      <w:r>
        <w:rPr>
          <w:rFonts w:hint="eastAsia" w:ascii="宋体" w:hAnsi="宋体" w:eastAsia="宋体" w:cs="Times New Roman"/>
          <w:color w:val="auto"/>
          <w:spacing w:val="-4"/>
          <w:sz w:val="24"/>
          <w:szCs w:val="21"/>
          <w:highlight w:val="none"/>
        </w:rPr>
        <w:t xml:space="preserve">应向考核小组反馈，经双方协商后确定整改日期，否则加倍扣分。</w:t>
      </w:r>
      <w:r/>
    </w:p>
    <w:p>
      <w:pPr>
        <w:ind w:firstLine="464"/>
        <w:jc w:val="both"/>
        <w:spacing w:line="288" w:lineRule="auto"/>
        <w:rPr>
          <w:rFonts w:hint="eastAsia" w:ascii="宋体" w:hAnsi="宋体" w:eastAsia="宋体" w:cs="Times New Roman"/>
          <w:color w:val="auto"/>
          <w:spacing w:val="-4"/>
          <w:sz w:val="24"/>
          <w:szCs w:val="21"/>
          <w:highlight w:val="none"/>
        </w:rPr>
        <w:outlineLvl w:val="9"/>
      </w:pPr>
      <w:r>
        <w:rPr>
          <w:rFonts w:hint="eastAsia" w:ascii="宋体" w:hAnsi="宋体" w:eastAsia="宋体" w:cs="Times New Roman"/>
          <w:color w:val="auto"/>
          <w:spacing w:val="-4"/>
          <w:sz w:val="24"/>
          <w:szCs w:val="21"/>
          <w:highlight w:val="none"/>
        </w:rPr>
        <w:t xml:space="preserve">3、检查考核小组以书面形式告知养护承包单位月度考核得分，扣罚金额在季度养护款支付前予以兑现。</w:t>
      </w:r>
      <w:r/>
    </w:p>
    <w:p>
      <w:pPr>
        <w:ind w:firstLine="464"/>
        <w:jc w:val="both"/>
        <w:spacing w:line="288" w:lineRule="auto"/>
        <w:rPr>
          <w:rFonts w:hint="eastAsia" w:ascii="宋体" w:hAnsi="宋体" w:eastAsia="宋体" w:cs="Times New Roman"/>
          <w:color w:val="auto"/>
          <w:spacing w:val="-4"/>
          <w:sz w:val="24"/>
          <w:szCs w:val="21"/>
          <w:highlight w:val="none"/>
        </w:rPr>
        <w:outlineLvl w:val="9"/>
      </w:pPr>
      <w:r>
        <w:rPr>
          <w:rFonts w:hint="eastAsia" w:ascii="宋体" w:hAnsi="宋体" w:cs="Times New Roman"/>
          <w:color w:val="auto"/>
          <w:spacing w:val="-4"/>
          <w:sz w:val="24"/>
          <w:szCs w:val="21"/>
          <w:highlight w:val="none"/>
          <w:lang w:eastAsia="zh-CN"/>
        </w:rPr>
        <w:t xml:space="preserve">十</w:t>
      </w:r>
      <w:r>
        <w:rPr>
          <w:rFonts w:hint="eastAsia" w:ascii="宋体" w:hAnsi="宋体" w:eastAsia="宋体" w:cs="Times New Roman"/>
          <w:color w:val="auto"/>
          <w:spacing w:val="-4"/>
          <w:sz w:val="24"/>
          <w:szCs w:val="21"/>
          <w:highlight w:val="none"/>
        </w:rPr>
        <w:t xml:space="preserve">、本办法作为养护合同</w:t>
      </w:r>
      <w:r>
        <w:rPr>
          <w:rFonts w:hint="eastAsia" w:ascii="宋体" w:hAnsi="宋体" w:eastAsia="宋体" w:cs="Times New Roman"/>
          <w:color w:val="auto"/>
          <w:spacing w:val="-4"/>
          <w:sz w:val="24"/>
          <w:szCs w:val="21"/>
          <w:highlight w:val="none"/>
          <w:lang w:eastAsia="zh-CN"/>
        </w:rPr>
        <w:t xml:space="preserve">协议</w:t>
      </w:r>
      <w:r>
        <w:rPr>
          <w:rFonts w:hint="eastAsia" w:ascii="宋体" w:hAnsi="宋体" w:eastAsia="宋体" w:cs="Times New Roman"/>
          <w:color w:val="auto"/>
          <w:spacing w:val="-4"/>
          <w:sz w:val="24"/>
          <w:szCs w:val="21"/>
          <w:highlight w:val="none"/>
        </w:rPr>
        <w:t xml:space="preserve">的不可分割的组成部分</w:t>
      </w:r>
      <w:r>
        <w:rPr>
          <w:rFonts w:hint="eastAsia" w:ascii="宋体" w:hAnsi="宋体" w:eastAsia="宋体" w:cs="Times New Roman"/>
          <w:color w:val="auto"/>
          <w:spacing w:val="-4"/>
          <w:sz w:val="24"/>
          <w:szCs w:val="21"/>
          <w:highlight w:val="none"/>
          <w:lang w:eastAsia="zh-CN"/>
        </w:rPr>
        <w:t xml:space="preserve">，</w:t>
      </w:r>
      <w:r>
        <w:rPr>
          <w:rFonts w:hint="eastAsia" w:ascii="宋体" w:hAnsi="宋体" w:eastAsia="宋体" w:cs="Times New Roman"/>
          <w:color w:val="auto"/>
          <w:spacing w:val="-4"/>
          <w:sz w:val="24"/>
          <w:szCs w:val="21"/>
          <w:highlight w:val="none"/>
        </w:rPr>
        <w:t xml:space="preserve">与养护合同具有同等</w:t>
      </w:r>
      <w:r>
        <w:rPr>
          <w:rFonts w:hint="eastAsia" w:ascii="宋体" w:hAnsi="宋体" w:eastAsia="宋体" w:cs="Times New Roman"/>
          <w:color w:val="auto"/>
          <w:spacing w:val="-4"/>
          <w:sz w:val="24"/>
          <w:szCs w:val="21"/>
          <w:highlight w:val="none"/>
          <w:lang w:eastAsia="zh-CN"/>
        </w:rPr>
        <w:t xml:space="preserve">法律效力</w:t>
      </w:r>
      <w:r>
        <w:rPr>
          <w:rFonts w:hint="eastAsia" w:ascii="宋体" w:hAnsi="宋体" w:eastAsia="宋体" w:cs="Times New Roman"/>
          <w:color w:val="auto"/>
          <w:spacing w:val="-4"/>
          <w:sz w:val="24"/>
          <w:szCs w:val="21"/>
          <w:highlight w:val="none"/>
        </w:rPr>
        <w:t xml:space="preserve">。</w:t>
      </w:r>
      <w:r/>
    </w:p>
    <w:p>
      <w:pPr>
        <w:ind w:firstLine="420"/>
        <w:jc w:val="left"/>
        <w:rPr>
          <w:rFonts w:hint="eastAsia" w:ascii="Times New Roman" w:hAnsi="Times New Roman" w:eastAsia="宋体" w:cs="Times New Roman"/>
          <w:szCs w:val="21"/>
          <w:highlight w:val="none"/>
          <w:lang w:val="en-US" w:eastAsia="zh-CN"/>
        </w:rPr>
        <w:outlineLvl w:val="0"/>
      </w:pPr>
      <w:r>
        <w:rPr>
          <w:rFonts w:hint="eastAsia" w:ascii="Times New Roman" w:hAnsi="Times New Roman" w:eastAsia="宋体" w:cs="Times New Roman"/>
          <w:szCs w:val="21"/>
          <w:highlight w:val="none"/>
          <w:lang w:val="en-US" w:eastAsia="zh-CN"/>
        </w:rPr>
        <w:br w:type="page" w:clear="all"/>
      </w:r>
      <w:r/>
    </w:p>
    <w:p>
      <w:pPr>
        <w:numPr>
          <w:ilvl w:val="2"/>
          <w:numId w:val="0"/>
        </w:numPr>
        <w:ind w:firstLine="0"/>
        <w:jc w:val="center"/>
        <w:keepLines/>
        <w:keepNext/>
        <w:spacing w:before="0" w:after="0" w:line="288" w:lineRule="auto"/>
        <w:widowControl/>
        <w:tabs>
          <w:tab w:val="left" w:pos="14" w:leader="none"/>
        </w:tabs>
        <w:rPr>
          <w:rFonts w:hint="eastAsia" w:ascii="黑体" w:hAnsi="Times New Roman" w:eastAsia="黑体" w:cs="黑体"/>
          <w:color w:val="auto"/>
          <w:sz w:val="32"/>
          <w:szCs w:val="32"/>
          <w:highlight w:val="none"/>
          <w:lang w:val="en-US" w:eastAsia="zh-CN" w:bidi="ar-SA"/>
        </w:rPr>
        <w:outlineLvl w:val="2"/>
      </w:pPr>
      <w:r>
        <w:rPr>
          <w:rFonts w:hint="eastAsia" w:ascii="黑体" w:hAnsi="Times New Roman" w:eastAsia="黑体" w:cs="黑体"/>
          <w:color w:val="auto"/>
          <w:sz w:val="32"/>
          <w:szCs w:val="32"/>
          <w:highlight w:val="none"/>
          <w:lang w:val="en-US" w:eastAsia="zh-CN" w:bidi="ar-SA"/>
        </w:rPr>
        <w:t xml:space="preserve">附件2： 无锡市新吴区江溪街道园林绿化植物养护技术规定</w:t>
      </w:r>
      <w:r/>
    </w:p>
    <w:p>
      <w:pPr>
        <w:ind w:firstLine="482"/>
        <w:jc w:val="center"/>
        <w:spacing w:line="288" w:lineRule="auto"/>
        <w:rPr>
          <w:rFonts w:hint="default" w:ascii="宋体" w:hAnsi="宋体" w:eastAsia="宋体" w:cs="Times New Roman"/>
          <w:b/>
          <w:color w:val="auto"/>
          <w:sz w:val="24"/>
          <w:szCs w:val="21"/>
          <w:highlight w:val="none"/>
        </w:rPr>
        <w:outlineLvl w:val="9"/>
      </w:pPr>
      <w:r>
        <w:rPr>
          <w:rFonts w:hint="eastAsia" w:ascii="宋体" w:hAnsi="宋体" w:eastAsia="宋体" w:cs="Times New Roman"/>
          <w:b/>
          <w:color w:val="auto"/>
          <w:sz w:val="24"/>
          <w:szCs w:val="21"/>
          <w:highlight w:val="none"/>
        </w:rPr>
        <w:t xml:space="preserve">第一章</w:t>
      </w:r>
      <w:r>
        <w:rPr>
          <w:rFonts w:hint="default" w:ascii="宋体" w:hAnsi="宋体" w:eastAsia="宋体" w:cs="Times New Roman"/>
          <w:b/>
          <w:color w:val="auto"/>
          <w:sz w:val="24"/>
          <w:szCs w:val="21"/>
          <w:highlight w:val="none"/>
        </w:rPr>
        <w:t xml:space="preserve">  总  则</w:t>
      </w:r>
      <w:r/>
    </w:p>
    <w:p>
      <w:pPr>
        <w:ind w:firstLine="480"/>
        <w:jc w:val="both"/>
        <w:spacing w:line="288" w:lineRule="auto"/>
        <w:rPr>
          <w:rFonts w:hint="eastAsia" w:ascii="宋体" w:hAnsi="宋体" w:eastAsia="宋体" w:cs="Times New Roman"/>
          <w:color w:val="auto"/>
          <w:sz w:val="24"/>
          <w:szCs w:val="21"/>
          <w:highlight w:val="none"/>
        </w:rPr>
        <w:outlineLvl w:val="9"/>
      </w:pPr>
      <w:r>
        <w:rPr>
          <w:rFonts w:hint="default" w:ascii="宋体" w:hAnsi="宋体" w:eastAsia="宋体" w:cs="Times New Roman"/>
          <w:color w:val="auto"/>
          <w:sz w:val="24"/>
          <w:szCs w:val="21"/>
          <w:highlight w:val="none"/>
        </w:rPr>
        <w:t xml:space="preserve">第1</w:t>
      </w:r>
      <w:r>
        <w:rPr>
          <w:rFonts w:hint="eastAsia" w:ascii="宋体" w:hAnsi="宋体" w:eastAsia="宋体" w:cs="Times New Roman"/>
          <w:color w:val="auto"/>
          <w:sz w:val="24"/>
          <w:szCs w:val="21"/>
          <w:highlight w:val="none"/>
        </w:rPr>
        <w:t xml:space="preserve">.0.</w:t>
      </w:r>
      <w:r>
        <w:rPr>
          <w:rFonts w:hint="default" w:ascii="宋体" w:hAnsi="宋体" w:eastAsia="宋体" w:cs="Times New Roman"/>
          <w:color w:val="auto"/>
          <w:sz w:val="24"/>
          <w:szCs w:val="21"/>
          <w:highlight w:val="none"/>
        </w:rPr>
        <w:t xml:space="preserve">1条  为了加强对</w:t>
      </w:r>
      <w:r>
        <w:rPr>
          <w:rFonts w:hint="eastAsia" w:ascii="宋体" w:hAnsi="宋体" w:eastAsia="宋体" w:cs="Times New Roman"/>
          <w:color w:val="auto"/>
          <w:sz w:val="24"/>
          <w:szCs w:val="21"/>
          <w:highlight w:val="none"/>
        </w:rPr>
        <w:t xml:space="preserve">无锡市新吴区</w:t>
      </w:r>
      <w:r>
        <w:rPr>
          <w:rFonts w:hint="eastAsia" w:ascii="宋体" w:hAnsi="宋体" w:eastAsia="宋体" w:cs="Times New Roman"/>
          <w:color w:val="auto"/>
          <w:sz w:val="24"/>
          <w:szCs w:val="21"/>
          <w:highlight w:val="none"/>
          <w:lang w:eastAsia="zh-CN"/>
        </w:rPr>
        <w:t xml:space="preserve">江溪街道</w:t>
      </w:r>
      <w:r>
        <w:rPr>
          <w:rFonts w:hint="default" w:ascii="宋体" w:hAnsi="宋体" w:eastAsia="宋体" w:cs="Times New Roman"/>
          <w:color w:val="auto"/>
          <w:sz w:val="24"/>
          <w:szCs w:val="21"/>
          <w:highlight w:val="none"/>
        </w:rPr>
        <w:t xml:space="preserve">城市绿地绿化植物的养护，</w:t>
      </w:r>
      <w:r>
        <w:rPr>
          <w:rFonts w:hint="eastAsia" w:ascii="宋体" w:hAnsi="宋体" w:eastAsia="宋体" w:cs="Times New Roman"/>
          <w:color w:val="auto"/>
          <w:sz w:val="24"/>
          <w:szCs w:val="21"/>
          <w:highlight w:val="none"/>
          <w:lang w:eastAsia="zh-CN"/>
        </w:rPr>
        <w:t xml:space="preserve">提高</w:t>
      </w:r>
      <w:r>
        <w:rPr>
          <w:rFonts w:hint="default" w:ascii="宋体" w:hAnsi="宋体" w:eastAsia="宋体" w:cs="Times New Roman"/>
          <w:color w:val="auto"/>
          <w:sz w:val="24"/>
          <w:szCs w:val="21"/>
          <w:highlight w:val="none"/>
        </w:rPr>
        <w:t xml:space="preserve">绿化植物养护的技术水平，根据《江苏省城市绿化管理条例》</w:t>
      </w:r>
      <w:r>
        <w:rPr>
          <w:rFonts w:hint="eastAsia" w:ascii="宋体" w:hAnsi="宋体" w:eastAsia="宋体" w:cs="Times New Roman"/>
          <w:color w:val="auto"/>
          <w:sz w:val="24"/>
          <w:szCs w:val="21"/>
          <w:highlight w:val="none"/>
        </w:rPr>
        <w:t xml:space="preserve">、《江苏省城市园林绿化植物养护技术规定（试行）》</w:t>
      </w:r>
      <w:r>
        <w:rPr>
          <w:rFonts w:hint="default" w:ascii="宋体" w:hAnsi="宋体" w:eastAsia="宋体" w:cs="Times New Roman"/>
          <w:color w:val="auto"/>
          <w:sz w:val="24"/>
          <w:szCs w:val="21"/>
          <w:highlight w:val="none"/>
        </w:rPr>
        <w:t xml:space="preserve">制定本规定。   </w:t>
      </w:r>
      <w:r/>
    </w:p>
    <w:p>
      <w:pPr>
        <w:ind w:firstLine="480"/>
        <w:jc w:val="both"/>
        <w:spacing w:line="288" w:lineRule="auto"/>
        <w:rPr>
          <w:rFonts w:hint="default" w:ascii="宋体" w:hAnsi="宋体" w:eastAsia="宋体" w:cs="Times New Roman"/>
          <w:color w:val="auto"/>
          <w:sz w:val="24"/>
          <w:szCs w:val="21"/>
          <w:highlight w:val="none"/>
        </w:rPr>
        <w:outlineLvl w:val="9"/>
      </w:pPr>
      <w:r>
        <w:rPr>
          <w:rFonts w:hint="default" w:ascii="宋体" w:hAnsi="宋体" w:eastAsia="宋体" w:cs="Times New Roman"/>
          <w:color w:val="auto"/>
          <w:sz w:val="24"/>
          <w:szCs w:val="21"/>
          <w:highlight w:val="none"/>
        </w:rPr>
        <w:t xml:space="preserve">第1</w:t>
      </w:r>
      <w:r>
        <w:rPr>
          <w:rFonts w:hint="eastAsia" w:ascii="宋体" w:hAnsi="宋体" w:eastAsia="宋体" w:cs="Times New Roman"/>
          <w:color w:val="auto"/>
          <w:sz w:val="24"/>
          <w:szCs w:val="21"/>
          <w:highlight w:val="none"/>
        </w:rPr>
        <w:t xml:space="preserve">.0.</w:t>
      </w:r>
      <w:r>
        <w:rPr>
          <w:rFonts w:hint="default" w:ascii="宋体" w:hAnsi="宋体" w:eastAsia="宋体" w:cs="Times New Roman"/>
          <w:color w:val="auto"/>
          <w:sz w:val="24"/>
          <w:szCs w:val="21"/>
          <w:highlight w:val="none"/>
        </w:rPr>
        <w:t xml:space="preserve">2条  本规定适用于辖区内的公共绿地、防护绿地、风景林地、居住区绿地、单位附属绿地、道路绿地内的树木、花卉、地被和草坪等植物的养护技术工作。</w:t>
      </w:r>
      <w:r/>
    </w:p>
    <w:p>
      <w:pPr>
        <w:ind w:firstLine="480"/>
        <w:jc w:val="both"/>
        <w:spacing w:line="288" w:lineRule="auto"/>
        <w:rPr>
          <w:rFonts w:hint="default" w:ascii="宋体" w:hAnsi="宋体" w:eastAsia="宋体" w:cs="Times New Roman"/>
          <w:color w:val="auto"/>
          <w:sz w:val="24"/>
          <w:szCs w:val="21"/>
          <w:highlight w:val="none"/>
        </w:rPr>
        <w:outlineLvl w:val="9"/>
      </w:pPr>
      <w:r>
        <w:rPr>
          <w:rFonts w:hint="default" w:ascii="宋体" w:hAnsi="宋体" w:eastAsia="宋体" w:cs="Times New Roman"/>
          <w:color w:val="auto"/>
          <w:sz w:val="24"/>
          <w:szCs w:val="21"/>
          <w:highlight w:val="none"/>
        </w:rPr>
        <w:t xml:space="preserve">第1</w:t>
      </w:r>
      <w:r>
        <w:rPr>
          <w:rFonts w:hint="eastAsia" w:ascii="宋体" w:hAnsi="宋体" w:eastAsia="宋体" w:cs="Times New Roman"/>
          <w:color w:val="auto"/>
          <w:sz w:val="24"/>
          <w:szCs w:val="21"/>
          <w:highlight w:val="none"/>
        </w:rPr>
        <w:t xml:space="preserve">.0.</w:t>
      </w:r>
      <w:r>
        <w:rPr>
          <w:rFonts w:hint="default" w:ascii="宋体" w:hAnsi="宋体" w:eastAsia="宋体" w:cs="Times New Roman"/>
          <w:color w:val="auto"/>
          <w:sz w:val="24"/>
          <w:szCs w:val="21"/>
          <w:highlight w:val="none"/>
        </w:rPr>
        <w:t xml:space="preserve">3条  各类植物凡种植一年以上的，其保存率应达到98％，受自然灾害或环境污染等原因而死亡的除外。</w:t>
      </w:r>
      <w:r/>
    </w:p>
    <w:p>
      <w:pPr>
        <w:ind w:firstLine="480"/>
        <w:jc w:val="both"/>
        <w:spacing w:line="288" w:lineRule="auto"/>
        <w:rPr>
          <w:rFonts w:hint="default" w:ascii="宋体" w:hAnsi="宋体" w:eastAsia="宋体" w:cs="Times New Roman"/>
          <w:color w:val="auto"/>
          <w:sz w:val="24"/>
          <w:szCs w:val="21"/>
          <w:highlight w:val="none"/>
        </w:rPr>
        <w:outlineLvl w:val="9"/>
      </w:pPr>
      <w:r>
        <w:rPr>
          <w:rFonts w:hint="default" w:ascii="宋体" w:hAnsi="宋体" w:eastAsia="宋体" w:cs="Times New Roman"/>
          <w:color w:val="auto"/>
          <w:sz w:val="24"/>
          <w:szCs w:val="21"/>
          <w:highlight w:val="none"/>
        </w:rPr>
        <w:t xml:space="preserve">第1</w:t>
      </w:r>
      <w:r>
        <w:rPr>
          <w:rFonts w:hint="eastAsia" w:ascii="宋体" w:hAnsi="宋体" w:eastAsia="宋体" w:cs="Times New Roman"/>
          <w:color w:val="auto"/>
          <w:sz w:val="24"/>
          <w:szCs w:val="21"/>
          <w:highlight w:val="none"/>
        </w:rPr>
        <w:t xml:space="preserve">.0.</w:t>
      </w:r>
      <w:r>
        <w:rPr>
          <w:rFonts w:hint="default" w:ascii="宋体" w:hAnsi="宋体" w:eastAsia="宋体" w:cs="Times New Roman"/>
          <w:color w:val="auto"/>
          <w:sz w:val="24"/>
          <w:szCs w:val="21"/>
          <w:highlight w:val="none"/>
        </w:rPr>
        <w:t xml:space="preserve">4条  各绿地管理单位应结合绿地设计和实际情况，根据本规定，不断总结经验，开展科学</w:t>
      </w:r>
      <w:r>
        <w:rPr>
          <w:rFonts w:hint="eastAsia" w:ascii="宋体" w:hAnsi="宋体" w:eastAsia="宋体" w:cs="Times New Roman"/>
          <w:color w:val="auto"/>
          <w:sz w:val="24"/>
          <w:szCs w:val="21"/>
          <w:highlight w:val="none"/>
        </w:rPr>
        <w:t xml:space="preserve">试验、推广新技术、实现科学管理。</w:t>
      </w:r>
      <w:r/>
    </w:p>
    <w:p>
      <w:pPr>
        <w:ind w:firstLine="480"/>
        <w:jc w:val="both"/>
        <w:spacing w:line="288" w:lineRule="auto"/>
        <w:tabs>
          <w:tab w:val="left" w:pos="2160" w:leader="none"/>
        </w:tabs>
        <w:rPr>
          <w:rFonts w:hint="default"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第</w:t>
      </w:r>
      <w:r>
        <w:rPr>
          <w:rFonts w:hint="eastAsia" w:ascii="宋体" w:hAnsi="宋体" w:eastAsia="宋体" w:cs="Times New Roman"/>
          <w:color w:val="auto"/>
          <w:sz w:val="24"/>
          <w:szCs w:val="21"/>
          <w:highlight w:val="none"/>
          <w:lang w:val="en-US" w:eastAsia="zh-CN"/>
        </w:rPr>
        <w:t xml:space="preserve">1</w:t>
      </w:r>
      <w:r>
        <w:rPr>
          <w:rFonts w:hint="eastAsia" w:ascii="宋体" w:hAnsi="宋体" w:eastAsia="宋体" w:cs="Times New Roman"/>
          <w:color w:val="auto"/>
          <w:sz w:val="24"/>
          <w:szCs w:val="21"/>
          <w:highlight w:val="none"/>
        </w:rPr>
        <w:t xml:space="preserve">.0.</w:t>
      </w:r>
      <w:r>
        <w:rPr>
          <w:rFonts w:hint="default" w:ascii="宋体" w:hAnsi="宋体" w:eastAsia="宋体" w:cs="Times New Roman"/>
          <w:color w:val="auto"/>
          <w:sz w:val="24"/>
          <w:szCs w:val="21"/>
          <w:highlight w:val="none"/>
        </w:rPr>
        <w:t xml:space="preserve">5</w:t>
      </w:r>
      <w:r>
        <w:rPr>
          <w:rFonts w:hint="eastAsia" w:ascii="宋体" w:hAnsi="宋体" w:eastAsia="宋体" w:cs="Times New Roman"/>
          <w:color w:val="auto"/>
          <w:sz w:val="24"/>
          <w:szCs w:val="21"/>
          <w:highlight w:val="none"/>
        </w:rPr>
        <w:t xml:space="preserve">条</w:t>
      </w:r>
      <w:r>
        <w:rPr>
          <w:rFonts w:hint="default" w:ascii="宋体" w:hAnsi="宋体" w:eastAsia="宋体" w:cs="Times New Roman"/>
          <w:color w:val="auto"/>
          <w:sz w:val="24"/>
          <w:szCs w:val="21"/>
          <w:highlight w:val="none"/>
        </w:rPr>
        <w:t xml:space="preserve">  </w:t>
      </w:r>
      <w:r>
        <w:rPr>
          <w:rFonts w:hint="eastAsia" w:ascii="宋体" w:hAnsi="宋体" w:eastAsia="宋体" w:cs="Times New Roman"/>
          <w:color w:val="auto"/>
          <w:sz w:val="24"/>
          <w:szCs w:val="21"/>
          <w:highlight w:val="none"/>
        </w:rPr>
        <w:t xml:space="preserve">加强对职工的技术培训和考核，提高职工的技术素质，按规定指导对绿化植物的养护。</w:t>
      </w:r>
      <w:r/>
    </w:p>
    <w:p>
      <w:pPr>
        <w:ind w:firstLine="480"/>
        <w:jc w:val="both"/>
        <w:spacing w:line="288" w:lineRule="auto"/>
        <w:rPr>
          <w:rFonts w:hint="default"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第</w:t>
      </w:r>
      <w:r>
        <w:rPr>
          <w:rFonts w:hint="default" w:ascii="宋体" w:hAnsi="宋体" w:eastAsia="宋体" w:cs="Times New Roman"/>
          <w:color w:val="auto"/>
          <w:sz w:val="24"/>
          <w:szCs w:val="21"/>
          <w:highlight w:val="none"/>
        </w:rPr>
        <w:t xml:space="preserve">1.0.6</w:t>
      </w:r>
      <w:r>
        <w:rPr>
          <w:rFonts w:hint="eastAsia" w:ascii="宋体" w:hAnsi="宋体" w:eastAsia="宋体" w:cs="Times New Roman"/>
          <w:color w:val="auto"/>
          <w:sz w:val="24"/>
          <w:szCs w:val="21"/>
          <w:highlight w:val="none"/>
        </w:rPr>
        <w:t xml:space="preserve">条</w:t>
      </w:r>
      <w:r>
        <w:rPr>
          <w:rFonts w:hint="default" w:ascii="宋体" w:hAnsi="宋体" w:eastAsia="宋体" w:cs="Times New Roman"/>
          <w:color w:val="auto"/>
          <w:sz w:val="24"/>
          <w:szCs w:val="21"/>
          <w:highlight w:val="none"/>
        </w:rPr>
        <w:t xml:space="preserve">  </w:t>
      </w:r>
      <w:r>
        <w:rPr>
          <w:rFonts w:hint="eastAsia" w:ascii="宋体" w:hAnsi="宋体" w:eastAsia="宋体" w:cs="Times New Roman"/>
          <w:color w:val="auto"/>
          <w:sz w:val="24"/>
          <w:szCs w:val="21"/>
          <w:highlight w:val="none"/>
        </w:rPr>
        <w:t xml:space="preserve">各单位应根据分级管理的要求和质量标准，制订全年的养护计划。</w:t>
      </w:r>
      <w:r/>
    </w:p>
    <w:p>
      <w:pPr>
        <w:ind w:firstLine="480"/>
        <w:jc w:val="both"/>
        <w:spacing w:line="288" w:lineRule="auto"/>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第1.0.</w:t>
      </w:r>
      <w:r>
        <w:rPr>
          <w:rFonts w:hint="default" w:ascii="宋体" w:hAnsi="宋体" w:eastAsia="宋体" w:cs="Times New Roman"/>
          <w:color w:val="auto"/>
          <w:sz w:val="24"/>
          <w:szCs w:val="21"/>
          <w:highlight w:val="none"/>
        </w:rPr>
        <w:t xml:space="preserve">7</w:t>
      </w:r>
      <w:r>
        <w:rPr>
          <w:rFonts w:hint="eastAsia" w:ascii="宋体" w:hAnsi="宋体" w:eastAsia="宋体" w:cs="Times New Roman"/>
          <w:color w:val="auto"/>
          <w:sz w:val="24"/>
          <w:szCs w:val="21"/>
          <w:highlight w:val="none"/>
        </w:rPr>
        <w:t xml:space="preserve">条</w:t>
      </w:r>
      <w:r>
        <w:rPr>
          <w:rFonts w:hint="default" w:ascii="宋体" w:hAnsi="宋体" w:eastAsia="宋体" w:cs="Times New Roman"/>
          <w:color w:val="auto"/>
          <w:sz w:val="24"/>
          <w:szCs w:val="21"/>
          <w:highlight w:val="none"/>
        </w:rPr>
        <w:t xml:space="preserve">  </w:t>
      </w:r>
      <w:r>
        <w:rPr>
          <w:rFonts w:hint="eastAsia" w:ascii="宋体" w:hAnsi="宋体" w:eastAsia="宋体" w:cs="Times New Roman"/>
          <w:color w:val="auto"/>
          <w:sz w:val="24"/>
          <w:szCs w:val="21"/>
          <w:highlight w:val="none"/>
        </w:rPr>
        <w:t xml:space="preserve">应严格按照有关安全生产操作规程组织作业，保证作业人员人身安全。</w:t>
      </w:r>
      <w:r/>
    </w:p>
    <w:p>
      <w:pPr>
        <w:ind w:firstLine="482"/>
        <w:jc w:val="center"/>
        <w:spacing w:line="288" w:lineRule="auto"/>
        <w:rPr>
          <w:rFonts w:hint="eastAsia" w:ascii="宋体" w:hAnsi="宋体" w:eastAsia="宋体" w:cs="Times New Roman"/>
          <w:b/>
          <w:color w:val="auto"/>
          <w:sz w:val="24"/>
          <w:szCs w:val="21"/>
          <w:highlight w:val="none"/>
        </w:rPr>
        <w:outlineLvl w:val="9"/>
      </w:pPr>
      <w:r>
        <w:rPr>
          <w:rFonts w:hint="eastAsia" w:ascii="宋体" w:hAnsi="宋体" w:eastAsia="宋体" w:cs="Times New Roman"/>
          <w:b/>
          <w:color w:val="auto"/>
          <w:sz w:val="24"/>
          <w:szCs w:val="21"/>
          <w:highlight w:val="none"/>
        </w:rPr>
        <w:t xml:space="preserve">第二章  树木养护</w:t>
      </w:r>
      <w:r/>
    </w:p>
    <w:p>
      <w:pPr>
        <w:ind w:firstLine="482"/>
        <w:jc w:val="both"/>
        <w:spacing w:line="288" w:lineRule="auto"/>
        <w:rPr>
          <w:rFonts w:hint="default" w:ascii="宋体" w:hAnsi="宋体" w:eastAsia="宋体" w:cs="Times New Roman"/>
          <w:b/>
          <w:bCs/>
          <w:color w:val="auto"/>
          <w:sz w:val="24"/>
          <w:szCs w:val="21"/>
          <w:highlight w:val="none"/>
        </w:rPr>
        <w:outlineLvl w:val="9"/>
      </w:pPr>
      <w:r>
        <w:rPr>
          <w:rFonts w:hint="eastAsia" w:ascii="宋体" w:hAnsi="宋体" w:eastAsia="宋体" w:cs="Times New Roman"/>
          <w:b/>
          <w:bCs/>
          <w:color w:val="auto"/>
          <w:sz w:val="24"/>
          <w:szCs w:val="21"/>
          <w:highlight w:val="none"/>
        </w:rPr>
        <w:t xml:space="preserve">第一节</w:t>
      </w:r>
      <w:r>
        <w:rPr>
          <w:rFonts w:hint="default" w:ascii="宋体" w:hAnsi="宋体" w:eastAsia="宋体" w:cs="Times New Roman"/>
          <w:b/>
          <w:bCs/>
          <w:color w:val="auto"/>
          <w:sz w:val="24"/>
          <w:szCs w:val="21"/>
          <w:highlight w:val="none"/>
        </w:rPr>
        <w:t xml:space="preserve">  </w:t>
      </w:r>
      <w:r>
        <w:rPr>
          <w:rFonts w:hint="eastAsia" w:ascii="宋体" w:hAnsi="宋体" w:eastAsia="宋体" w:cs="Times New Roman"/>
          <w:b/>
          <w:bCs/>
          <w:color w:val="auto"/>
          <w:sz w:val="24"/>
          <w:szCs w:val="21"/>
          <w:highlight w:val="none"/>
        </w:rPr>
        <w:t xml:space="preserve">树体保护</w:t>
      </w:r>
      <w:r/>
    </w:p>
    <w:p>
      <w:pPr>
        <w:ind w:firstLine="480"/>
        <w:jc w:val="both"/>
        <w:spacing w:line="288" w:lineRule="auto"/>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第2.1.1条  树体保护应贯彻防重于治的精神，做好宣传教育工作，使人们认识到</w:t>
      </w:r>
      <w:r>
        <w:rPr>
          <w:rFonts w:hint="eastAsia" w:ascii="宋体" w:hAnsi="宋体" w:eastAsia="宋体" w:cs="Times New Roman"/>
          <w:color w:val="auto"/>
          <w:sz w:val="24"/>
          <w:szCs w:val="21"/>
          <w:highlight w:val="none"/>
          <w:cs w:val="0"/>
          <w:lang w:eastAsia="zh-CN"/>
        </w:rPr>
        <w:t xml:space="preserve">“</w:t>
      </w:r>
      <w:r>
        <w:rPr>
          <w:rFonts w:hint="eastAsia" w:ascii="宋体" w:hAnsi="宋体" w:eastAsia="宋体" w:cs="Times New Roman"/>
          <w:color w:val="auto"/>
          <w:sz w:val="24"/>
          <w:szCs w:val="21"/>
          <w:highlight w:val="none"/>
        </w:rPr>
        <w:t xml:space="preserve">保护树木，人人有责</w:t>
      </w:r>
      <w:r>
        <w:rPr>
          <w:rFonts w:hint="eastAsia" w:ascii="宋体" w:hAnsi="宋体" w:eastAsia="宋体" w:cs="Times New Roman"/>
          <w:color w:val="auto"/>
          <w:sz w:val="24"/>
          <w:szCs w:val="21"/>
          <w:highlight w:val="none"/>
          <w:cs w:val="0"/>
          <w:lang w:eastAsia="zh-CN"/>
        </w:rPr>
        <w:t xml:space="preserve">”</w:t>
      </w:r>
      <w:r>
        <w:rPr>
          <w:rFonts w:hint="eastAsia" w:ascii="宋体" w:hAnsi="宋体" w:eastAsia="宋体" w:cs="Times New Roman"/>
          <w:color w:val="auto"/>
          <w:sz w:val="24"/>
          <w:szCs w:val="21"/>
          <w:highlight w:val="none"/>
        </w:rPr>
        <w:t xml:space="preserve">，做好对各种自然灾害的预防工作。</w:t>
      </w:r>
      <w:r/>
    </w:p>
    <w:p>
      <w:pPr>
        <w:ind w:firstLine="480"/>
        <w:jc w:val="both"/>
        <w:spacing w:line="288" w:lineRule="auto"/>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第2.1.2条  对树体上出现的伤口应清理后用药剂消毒，涂保护剂或抹灰膏，做到早治</w:t>
      </w:r>
      <w:r>
        <w:rPr>
          <w:rFonts w:hint="eastAsia" w:ascii="宋体" w:hAnsi="宋体" w:eastAsia="宋体" w:cs="Times New Roman"/>
          <w:color w:val="auto"/>
          <w:sz w:val="24"/>
          <w:szCs w:val="21"/>
          <w:highlight w:val="none"/>
          <w:lang w:eastAsia="zh-CN"/>
        </w:rPr>
        <w:t xml:space="preserve">，防止</w:t>
      </w:r>
      <w:r>
        <w:rPr>
          <w:rFonts w:hint="eastAsia" w:ascii="宋体" w:hAnsi="宋体" w:eastAsia="宋体" w:cs="Times New Roman"/>
          <w:color w:val="auto"/>
          <w:sz w:val="24"/>
          <w:szCs w:val="21"/>
          <w:highlight w:val="none"/>
        </w:rPr>
        <w:t xml:space="preserve">扩大。</w:t>
      </w:r>
      <w:r/>
    </w:p>
    <w:p>
      <w:pPr>
        <w:ind w:firstLine="480"/>
        <w:jc w:val="both"/>
        <w:spacing w:line="288" w:lineRule="auto"/>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第2.1.3条  发现树洞要及时修补，防止腐烂进一步扩大，对腐烂部位应按外科方法进行处理。</w:t>
      </w:r>
      <w:r/>
    </w:p>
    <w:p>
      <w:pPr>
        <w:ind w:firstLine="482"/>
        <w:jc w:val="both"/>
        <w:spacing w:line="288" w:lineRule="auto"/>
        <w:rPr>
          <w:rFonts w:hint="eastAsia" w:ascii="宋体" w:hAnsi="宋体" w:eastAsia="宋体" w:cs="Times New Roman"/>
          <w:b/>
          <w:bCs/>
          <w:color w:val="auto"/>
          <w:sz w:val="24"/>
          <w:szCs w:val="21"/>
          <w:highlight w:val="none"/>
        </w:rPr>
        <w:outlineLvl w:val="9"/>
      </w:pPr>
      <w:r>
        <w:rPr>
          <w:rFonts w:hint="eastAsia" w:ascii="宋体" w:hAnsi="宋体" w:eastAsia="宋体" w:cs="Times New Roman"/>
          <w:b/>
          <w:bCs/>
          <w:color w:val="auto"/>
          <w:sz w:val="24"/>
          <w:szCs w:val="21"/>
          <w:highlight w:val="none"/>
        </w:rPr>
        <w:t xml:space="preserve">第二节 灌溉与排水</w:t>
      </w:r>
      <w:r/>
    </w:p>
    <w:p>
      <w:pPr>
        <w:ind w:firstLine="480"/>
        <w:jc w:val="both"/>
        <w:spacing w:line="288" w:lineRule="auto"/>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第2.2.1条  根据不同树种、土地条件、季节差异和生长状况及时进行</w:t>
      </w:r>
      <w:r>
        <w:rPr>
          <w:rFonts w:hint="eastAsia" w:ascii="宋体" w:hAnsi="宋体" w:eastAsia="宋体" w:cs="Times New Roman"/>
          <w:color w:val="auto"/>
          <w:sz w:val="24"/>
          <w:szCs w:val="21"/>
          <w:highlight w:val="none"/>
          <w:lang w:eastAsia="zh-CN"/>
        </w:rPr>
        <w:t xml:space="preserve">浇水</w:t>
      </w:r>
      <w:r>
        <w:rPr>
          <w:rFonts w:hint="eastAsia" w:ascii="宋体" w:hAnsi="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lang w:eastAsia="zh-CN"/>
        </w:rPr>
        <w:t xml:space="preserve">并</w:t>
      </w:r>
      <w:r>
        <w:rPr>
          <w:rFonts w:hint="eastAsia" w:ascii="宋体" w:hAnsi="宋体" w:eastAsia="宋体" w:cs="Times New Roman"/>
          <w:color w:val="auto"/>
          <w:sz w:val="24"/>
          <w:szCs w:val="21"/>
          <w:highlight w:val="none"/>
        </w:rPr>
        <w:t xml:space="preserve">一次浇透。</w:t>
      </w:r>
      <w:r/>
    </w:p>
    <w:p>
      <w:pPr>
        <w:ind w:firstLine="480"/>
        <w:jc w:val="both"/>
        <w:spacing w:line="288" w:lineRule="auto"/>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第2.2.2条 </w:t>
      </w:r>
      <w:r>
        <w:rPr>
          <w:rFonts w:hint="eastAsia" w:ascii="宋体" w:hAnsi="宋体" w:cs="Times New Roman"/>
          <w:color w:val="auto"/>
          <w:sz w:val="24"/>
          <w:szCs w:val="21"/>
          <w:highlight w:val="none"/>
          <w:lang w:eastAsia="zh-CN"/>
        </w:rPr>
        <w:t xml:space="preserve"> </w:t>
      </w:r>
      <w:r>
        <w:rPr>
          <w:rFonts w:hint="eastAsia" w:ascii="宋体" w:hAnsi="宋体" w:eastAsia="宋体" w:cs="Times New Roman"/>
          <w:color w:val="auto"/>
          <w:sz w:val="24"/>
          <w:szCs w:val="21"/>
          <w:highlight w:val="none"/>
        </w:rPr>
        <w:t xml:space="preserve">浇水前应先松土、围堰，做好积水坑。</w:t>
      </w:r>
      <w:r/>
    </w:p>
    <w:p>
      <w:pPr>
        <w:ind w:firstLine="480"/>
        <w:jc w:val="both"/>
        <w:spacing w:line="288" w:lineRule="auto"/>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第2.2.3条  夏季浇水宜</w:t>
      </w:r>
      <w:r>
        <w:rPr>
          <w:rFonts w:hint="eastAsia" w:ascii="宋体" w:hAnsi="宋体" w:cs="Times New Roman"/>
          <w:color w:val="auto"/>
          <w:sz w:val="24"/>
          <w:szCs w:val="21"/>
          <w:highlight w:val="none"/>
          <w:lang w:eastAsia="zh-CN"/>
        </w:rPr>
        <w:t xml:space="preserve">在早</w:t>
      </w:r>
      <w:r>
        <w:rPr>
          <w:rFonts w:hint="eastAsia" w:ascii="宋体" w:hAnsi="宋体" w:eastAsia="宋体" w:cs="Times New Roman"/>
          <w:color w:val="auto"/>
          <w:sz w:val="24"/>
          <w:szCs w:val="21"/>
          <w:highlight w:val="none"/>
        </w:rPr>
        <w:t xml:space="preserve">、晚进行，高温季节严禁中午浇水，对蒸发量大的草花和树种要勤浇水；冬季浇水宜</w:t>
      </w:r>
      <w:r>
        <w:rPr>
          <w:rFonts w:hint="eastAsia" w:ascii="宋体" w:hAnsi="宋体" w:cs="Times New Roman"/>
          <w:color w:val="auto"/>
          <w:sz w:val="24"/>
          <w:szCs w:val="21"/>
          <w:highlight w:val="none"/>
          <w:lang w:eastAsia="zh-CN"/>
        </w:rPr>
        <w:t xml:space="preserve">在中午</w:t>
      </w:r>
      <w:r>
        <w:rPr>
          <w:rFonts w:hint="eastAsia" w:ascii="宋体" w:hAnsi="宋体" w:eastAsia="宋体" w:cs="Times New Roman"/>
          <w:color w:val="auto"/>
          <w:sz w:val="24"/>
          <w:szCs w:val="21"/>
          <w:highlight w:val="none"/>
        </w:rPr>
        <w:t xml:space="preserve">进行，入冬前必须浇一次灌冬水。</w:t>
      </w:r>
      <w:r/>
    </w:p>
    <w:p>
      <w:pPr>
        <w:ind w:firstLine="480"/>
        <w:jc w:val="both"/>
        <w:spacing w:line="288" w:lineRule="auto"/>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第2.2.4条  草坪浇水必须浇透根系层，冷季型草坪在春秋季充分浇水，暖季型草坪夏季要勤浇水。草坪修剪后要及时浇水。</w:t>
      </w:r>
      <w:r/>
    </w:p>
    <w:p>
      <w:pPr>
        <w:ind w:firstLine="480"/>
        <w:jc w:val="both"/>
        <w:spacing w:line="288" w:lineRule="auto"/>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第2.2.5条  对名贵树木、新种树木，视天气干旱情况和植物生长情况对树干和树体进行喷雾</w:t>
      </w:r>
      <w:r>
        <w:rPr>
          <w:rFonts w:hint="eastAsia" w:ascii="宋体" w:hAnsi="宋体" w:cs="Times New Roman"/>
          <w:color w:val="auto"/>
          <w:sz w:val="24"/>
          <w:szCs w:val="21"/>
          <w:highlight w:val="none"/>
          <w:lang w:eastAsia="zh-CN"/>
        </w:rPr>
        <w:t xml:space="preserve">。此句无错误。</w:t>
      </w:r>
      <w:r/>
    </w:p>
    <w:p>
      <w:pPr>
        <w:ind w:firstLine="480"/>
        <w:jc w:val="both"/>
        <w:spacing w:line="288" w:lineRule="auto"/>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第2.2.6条  球类、色块等植物每周进行</w:t>
      </w:r>
      <w:r>
        <w:rPr>
          <w:rFonts w:hint="eastAsia" w:ascii="宋体" w:hAnsi="宋体" w:cs="Times New Roman"/>
          <w:color w:val="auto"/>
          <w:sz w:val="24"/>
          <w:szCs w:val="21"/>
          <w:highlight w:val="none"/>
          <w:lang w:eastAsia="zh-CN"/>
        </w:rPr>
        <w:t xml:space="preserve">冲洗</w:t>
      </w:r>
      <w:r>
        <w:rPr>
          <w:rFonts w:hint="eastAsia" w:ascii="宋体" w:hAnsi="宋体" w:eastAsia="宋体" w:cs="Times New Roman"/>
          <w:color w:val="auto"/>
          <w:sz w:val="24"/>
          <w:szCs w:val="21"/>
          <w:highlight w:val="none"/>
        </w:rPr>
        <w:t xml:space="preserve">，保持叶面整洁卫生，色泽光洁。</w:t>
      </w:r>
      <w:r/>
    </w:p>
    <w:p>
      <w:pPr>
        <w:ind w:firstLine="480"/>
        <w:jc w:val="both"/>
        <w:spacing w:line="288" w:lineRule="auto"/>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第2.2.7条  浇水作业过程中水流不能过急，以防止地表</w:t>
      </w:r>
      <w:r>
        <w:rPr>
          <w:rFonts w:hint="eastAsia" w:ascii="宋体" w:hAnsi="宋体" w:eastAsia="宋体" w:cs="Times New Roman"/>
          <w:color w:val="auto"/>
          <w:sz w:val="24"/>
          <w:szCs w:val="21"/>
          <w:highlight w:val="none"/>
          <w:lang w:eastAsia="zh-CN"/>
        </w:rPr>
        <w:t xml:space="preserve">径流</w:t>
      </w:r>
      <w:r>
        <w:rPr>
          <w:rFonts w:hint="eastAsia" w:ascii="宋体" w:hAnsi="宋体" w:eastAsia="宋体" w:cs="Times New Roman"/>
          <w:color w:val="auto"/>
          <w:sz w:val="24"/>
          <w:szCs w:val="21"/>
          <w:highlight w:val="none"/>
        </w:rPr>
        <w:t xml:space="preserve">，避免对路面造成污染，如有污染需及时整改</w:t>
      </w:r>
      <w:r>
        <w:rPr>
          <w:rFonts w:hint="eastAsia" w:ascii="宋体" w:hAnsi="宋体" w:cs="Times New Roman"/>
          <w:color w:val="auto"/>
          <w:sz w:val="24"/>
          <w:szCs w:val="21"/>
          <w:highlight w:val="none"/>
          <w:lang w:eastAsia="zh-CN"/>
        </w:rPr>
        <w:t xml:space="preserve">。此句无错误。</w:t>
      </w:r>
      <w:r/>
    </w:p>
    <w:p>
      <w:pPr>
        <w:ind w:firstLine="480"/>
        <w:jc w:val="both"/>
        <w:spacing w:line="288" w:lineRule="auto"/>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第2.2.8条  树木周围雨后积水应及时排除</w:t>
      </w:r>
      <w:r>
        <w:rPr>
          <w:rFonts w:hint="eastAsia" w:ascii="宋体" w:hAnsi="宋体" w:cs="Times New Roman"/>
          <w:color w:val="auto"/>
          <w:sz w:val="24"/>
          <w:szCs w:val="21"/>
          <w:highlight w:val="none"/>
          <w:lang w:eastAsia="zh-CN"/>
        </w:rPr>
        <w:t xml:space="preserve">。此句无错误。</w:t>
      </w:r>
      <w:r/>
    </w:p>
    <w:p>
      <w:pPr>
        <w:ind w:firstLine="482"/>
        <w:jc w:val="both"/>
        <w:spacing w:line="288" w:lineRule="auto"/>
        <w:rPr>
          <w:rFonts w:hint="eastAsia" w:ascii="宋体" w:hAnsi="宋体" w:eastAsia="宋体" w:cs="Times New Roman"/>
          <w:b/>
          <w:bCs/>
          <w:color w:val="auto"/>
          <w:sz w:val="24"/>
          <w:szCs w:val="21"/>
          <w:highlight w:val="none"/>
        </w:rPr>
        <w:outlineLvl w:val="9"/>
      </w:pPr>
      <w:r>
        <w:rPr>
          <w:rFonts w:hint="eastAsia" w:ascii="宋体" w:hAnsi="宋体" w:eastAsia="宋体" w:cs="Times New Roman"/>
          <w:b/>
          <w:bCs/>
          <w:color w:val="auto"/>
          <w:sz w:val="24"/>
          <w:szCs w:val="21"/>
          <w:highlight w:val="none"/>
        </w:rPr>
        <w:t xml:space="preserve">第三节  松土、除草</w:t>
      </w:r>
      <w:r/>
    </w:p>
    <w:p>
      <w:pPr>
        <w:ind w:firstLine="480"/>
        <w:jc w:val="both"/>
        <w:spacing w:line="288" w:lineRule="auto"/>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第2.3.1条  树木根部周围的土壤要保持疏松，每年松土不少于4次。春、夏、</w:t>
      </w:r>
      <w:r>
        <w:rPr>
          <w:rFonts w:hint="eastAsia" w:ascii="宋体" w:hAnsi="宋体" w:eastAsia="宋体" w:cs="Times New Roman"/>
          <w:color w:val="auto"/>
          <w:sz w:val="24"/>
          <w:szCs w:val="21"/>
          <w:highlight w:val="none"/>
          <w:lang w:eastAsia="zh-CN"/>
        </w:rPr>
        <w:t xml:space="preserve">冬三季</w:t>
      </w:r>
      <w:r>
        <w:rPr>
          <w:rFonts w:hint="eastAsia" w:ascii="宋体" w:hAnsi="宋体" w:eastAsia="宋体" w:cs="Times New Roman"/>
          <w:color w:val="auto"/>
          <w:sz w:val="24"/>
          <w:szCs w:val="21"/>
          <w:highlight w:val="none"/>
        </w:rPr>
        <w:t xml:space="preserve">必须松土一次。易</w:t>
      </w:r>
      <w:r>
        <w:rPr>
          <w:rFonts w:hint="eastAsia" w:ascii="宋体" w:hAnsi="宋体" w:eastAsia="宋体" w:cs="Times New Roman"/>
          <w:color w:val="auto"/>
          <w:sz w:val="24"/>
          <w:szCs w:val="21"/>
          <w:highlight w:val="none"/>
          <w:lang w:eastAsia="zh-CN"/>
        </w:rPr>
        <w:t xml:space="preserve">板结</w:t>
      </w:r>
      <w:r>
        <w:rPr>
          <w:rFonts w:hint="eastAsia" w:ascii="宋体" w:hAnsi="宋体" w:eastAsia="宋体" w:cs="Times New Roman"/>
          <w:color w:val="auto"/>
          <w:sz w:val="24"/>
          <w:szCs w:val="21"/>
          <w:highlight w:val="none"/>
        </w:rPr>
        <w:t xml:space="preserve">的土壤在蒸腾旺季须每月松土一次，松土深度以不伤根系生长为限</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乔木30cm以上，花灌木15cm以上，草坪10cm以上。松土范围：乔木为树穴直径1.5米</w:t>
      </w:r>
      <w:r>
        <w:rPr>
          <w:rFonts w:hint="eastAsia" w:ascii="宋体" w:hAnsi="宋体" w:cs="Times New Roman"/>
          <w:color w:val="auto"/>
          <w:sz w:val="24"/>
          <w:szCs w:val="21"/>
          <w:highlight w:val="none"/>
          <w:lang w:eastAsia="zh-CN"/>
        </w:rPr>
        <w:t xml:space="preserve">范围</w:t>
      </w:r>
      <w:r>
        <w:rPr>
          <w:rFonts w:hint="eastAsia" w:ascii="宋体" w:hAnsi="宋体" w:eastAsia="宋体" w:cs="Times New Roman"/>
          <w:color w:val="auto"/>
          <w:sz w:val="24"/>
          <w:szCs w:val="21"/>
          <w:highlight w:val="none"/>
        </w:rPr>
        <w:t xml:space="preserve">，花灌木为植株冠幅。</w:t>
      </w:r>
      <w:r/>
    </w:p>
    <w:p>
      <w:pPr>
        <w:ind w:firstLine="480"/>
        <w:jc w:val="both"/>
        <w:spacing w:line="288" w:lineRule="auto"/>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第2.3.2条  乔灌木下、草坪、草花内的杂草、缠绕树木的各类藤蔓必须及时铲除。</w:t>
      </w:r>
      <w:r/>
    </w:p>
    <w:p>
      <w:pPr>
        <w:ind w:firstLine="480"/>
        <w:jc w:val="both"/>
        <w:spacing w:line="288" w:lineRule="auto"/>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第2.3.3条  草坪杂草应及时连根清除，做到除早、除小、除净，草坪覆盖率不低于98</w:t>
      </w:r>
      <w:r>
        <w:rPr>
          <w:rFonts w:hint="eastAsia" w:ascii="宋体" w:hAnsi="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，集中空秃</w:t>
      </w:r>
      <w:r>
        <w:rPr>
          <w:rFonts w:hint="eastAsia" w:ascii="宋体" w:hAnsi="宋体" w:cs="Times New Roman"/>
          <w:color w:val="auto"/>
          <w:sz w:val="24"/>
          <w:szCs w:val="21"/>
          <w:highlight w:val="none"/>
          <w:lang w:eastAsia="zh-CN"/>
        </w:rPr>
        <w:t xml:space="preserve">面积不</w:t>
      </w:r>
      <w:r>
        <w:rPr>
          <w:rFonts w:hint="eastAsia" w:ascii="宋体" w:hAnsi="宋体" w:eastAsia="宋体" w:cs="Times New Roman"/>
          <w:color w:val="auto"/>
          <w:sz w:val="24"/>
          <w:szCs w:val="21"/>
          <w:highlight w:val="none"/>
        </w:rPr>
        <w:t xml:space="preserve">大于0.1平方米。</w:t>
      </w:r>
      <w:r/>
    </w:p>
    <w:p>
      <w:pPr>
        <w:ind w:firstLine="480"/>
        <w:jc w:val="both"/>
        <w:spacing w:line="288" w:lineRule="auto"/>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第2.3.4条  树穴、模纹色块、绿篱、草花等与草坪交界边线每年要</w:t>
      </w:r>
      <w:r>
        <w:rPr>
          <w:rFonts w:hint="eastAsia" w:ascii="宋体" w:hAnsi="宋体" w:cs="Times New Roman"/>
          <w:color w:val="auto"/>
          <w:sz w:val="24"/>
          <w:szCs w:val="21"/>
          <w:highlight w:val="none"/>
          <w:lang w:eastAsia="zh-CN"/>
        </w:rPr>
        <w:t xml:space="preserve">进行2</w:t>
      </w:r>
      <w:r>
        <w:rPr>
          <w:rFonts w:hint="eastAsia" w:ascii="宋体" w:hAnsi="宋体" w:eastAsia="宋体" w:cs="Times New Roman"/>
          <w:color w:val="auto"/>
          <w:sz w:val="24"/>
          <w:szCs w:val="21"/>
          <w:highlight w:val="none"/>
        </w:rPr>
        <w:t xml:space="preserve">-3次切边，并全年保持树穴工整，切边清晰。</w:t>
      </w:r>
      <w:r/>
    </w:p>
    <w:p>
      <w:pPr>
        <w:ind w:firstLine="480"/>
        <w:jc w:val="both"/>
        <w:spacing w:line="288" w:lineRule="auto"/>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第2.3.5条  使用化学除草剂时必须保证园林植物的安全，不得对植株产生危害</w:t>
      </w:r>
      <w:r>
        <w:rPr>
          <w:rFonts w:hint="eastAsia" w:ascii="宋体" w:hAnsi="宋体" w:cs="Times New Roman"/>
          <w:color w:val="auto"/>
          <w:sz w:val="24"/>
          <w:szCs w:val="21"/>
          <w:highlight w:val="none"/>
          <w:lang w:eastAsia="zh-CN"/>
        </w:rPr>
        <w:t xml:space="preserve">。此句无错误。</w:t>
      </w:r>
      <w:r/>
    </w:p>
    <w:p>
      <w:pPr>
        <w:ind w:firstLine="480"/>
        <w:jc w:val="both"/>
        <w:spacing w:line="288" w:lineRule="auto"/>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第2.3.6条  除掉的杂草应及时清理、运走、掩埋或异地制肥</w:t>
      </w:r>
      <w:r>
        <w:rPr>
          <w:rFonts w:hint="eastAsia" w:ascii="宋体" w:hAnsi="宋体" w:cs="Times New Roman"/>
          <w:color w:val="auto"/>
          <w:sz w:val="24"/>
          <w:szCs w:val="21"/>
          <w:highlight w:val="none"/>
          <w:lang w:eastAsia="zh-CN"/>
        </w:rPr>
        <w:t xml:space="preserve">。此句无错误。</w:t>
      </w:r>
      <w:r/>
    </w:p>
    <w:p>
      <w:pPr>
        <w:ind w:firstLine="482"/>
        <w:jc w:val="both"/>
        <w:spacing w:line="288" w:lineRule="auto"/>
        <w:rPr>
          <w:rFonts w:hint="eastAsia" w:ascii="宋体" w:hAnsi="宋体" w:eastAsia="宋体" w:cs="Times New Roman"/>
          <w:b/>
          <w:bCs/>
          <w:color w:val="auto"/>
          <w:sz w:val="24"/>
          <w:szCs w:val="21"/>
          <w:highlight w:val="none"/>
        </w:rPr>
        <w:outlineLvl w:val="9"/>
      </w:pPr>
      <w:r>
        <w:rPr>
          <w:rFonts w:hint="eastAsia" w:ascii="宋体" w:hAnsi="宋体" w:eastAsia="宋体" w:cs="Times New Roman"/>
          <w:b/>
          <w:bCs/>
          <w:color w:val="auto"/>
          <w:sz w:val="24"/>
          <w:szCs w:val="21"/>
          <w:highlight w:val="none"/>
        </w:rPr>
        <w:t xml:space="preserve">第四节  施肥</w:t>
      </w:r>
      <w:r/>
    </w:p>
    <w:p>
      <w:pPr>
        <w:ind w:firstLine="480"/>
        <w:jc w:val="both"/>
        <w:spacing w:line="288" w:lineRule="auto"/>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第2.4.1条  施肥应根据不同的树种、树龄、生长势和土壤理化性质</w:t>
      </w:r>
      <w:r>
        <w:rPr>
          <w:rFonts w:hint="eastAsia" w:ascii="宋体" w:hAnsi="宋体" w:cs="Times New Roman"/>
          <w:color w:val="auto"/>
          <w:sz w:val="24"/>
          <w:szCs w:val="21"/>
          <w:highlight w:val="none"/>
          <w:lang w:eastAsia="zh-CN"/>
        </w:rPr>
        <w:t xml:space="preserve">来确定</w:t>
      </w:r>
      <w:r>
        <w:rPr>
          <w:rFonts w:hint="eastAsia" w:ascii="宋体" w:hAnsi="宋体" w:eastAsia="宋体" w:cs="Times New Roman"/>
          <w:color w:val="auto"/>
          <w:sz w:val="24"/>
          <w:szCs w:val="21"/>
          <w:highlight w:val="none"/>
        </w:rPr>
        <w:t xml:space="preserve">。</w:t>
      </w:r>
      <w:r/>
    </w:p>
    <w:p>
      <w:pPr>
        <w:ind w:firstLine="480"/>
        <w:jc w:val="both"/>
        <w:spacing w:line="288" w:lineRule="auto"/>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第2.4.2条  树木休眠期和种植前，需施基肥。生长期可按植株的生长势施追肥，花灌木应在花前、花</w:t>
      </w:r>
      <w:r>
        <w:rPr>
          <w:rFonts w:hint="eastAsia" w:ascii="宋体" w:hAnsi="宋体" w:cs="Times New Roman"/>
          <w:color w:val="auto"/>
          <w:sz w:val="24"/>
          <w:szCs w:val="21"/>
          <w:highlight w:val="none"/>
          <w:lang w:eastAsia="zh-CN"/>
        </w:rPr>
        <w:t xml:space="preserve">后</w:t>
      </w:r>
      <w:r>
        <w:rPr>
          <w:rFonts w:hint="eastAsia" w:ascii="宋体" w:hAnsi="宋体" w:eastAsia="宋体" w:cs="Times New Roman"/>
          <w:color w:val="auto"/>
          <w:sz w:val="24"/>
          <w:szCs w:val="21"/>
          <w:highlight w:val="none"/>
        </w:rPr>
        <w:t xml:space="preserve">施肥。</w:t>
      </w:r>
      <w:r/>
    </w:p>
    <w:p>
      <w:pPr>
        <w:ind w:firstLine="480"/>
        <w:jc w:val="both"/>
        <w:spacing w:line="288" w:lineRule="auto"/>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第2.4.3条  各类绿地应以施腐熟有机肥为主，应用微量元素和根外施肥技术，推广应用复合肥料和长效缓释肥料</w:t>
      </w:r>
      <w:r>
        <w:rPr>
          <w:rFonts w:hint="eastAsia" w:ascii="宋体" w:hAnsi="宋体" w:cs="Times New Roman"/>
          <w:color w:val="auto"/>
          <w:sz w:val="24"/>
          <w:szCs w:val="21"/>
          <w:highlight w:val="none"/>
          <w:lang w:eastAsia="zh-CN"/>
        </w:rPr>
        <w:t xml:space="preserve">。此句无错误。</w:t>
      </w:r>
      <w:r/>
    </w:p>
    <w:p>
      <w:pPr>
        <w:ind w:firstLine="480"/>
        <w:jc w:val="both"/>
        <w:spacing w:line="288" w:lineRule="auto"/>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第2.4.4条  树木施肥应先挖好施肥环沟，其外径与树冠幅相适应。环沟深、宽均为25-30CM，除根外施肥外，肥料不得触及树叶，施肥宜在</w:t>
      </w:r>
      <w:r>
        <w:rPr>
          <w:rFonts w:hint="eastAsia" w:ascii="宋体" w:hAnsi="宋体" w:eastAsia="宋体" w:cs="Times New Roman"/>
          <w:color w:val="auto"/>
          <w:sz w:val="24"/>
          <w:szCs w:val="21"/>
          <w:highlight w:val="none"/>
          <w:lang w:eastAsia="zh-CN"/>
        </w:rPr>
        <w:t xml:space="preserve">晴天</w:t>
      </w:r>
      <w:r>
        <w:rPr>
          <w:rFonts w:hint="eastAsia" w:ascii="宋体" w:hAnsi="宋体" w:eastAsia="宋体" w:cs="Times New Roman"/>
          <w:color w:val="auto"/>
          <w:sz w:val="24"/>
          <w:szCs w:val="21"/>
          <w:highlight w:val="none"/>
        </w:rPr>
        <w:t xml:space="preserve">进行。</w:t>
      </w:r>
      <w:r/>
    </w:p>
    <w:p>
      <w:pPr>
        <w:ind w:firstLine="480"/>
        <w:jc w:val="both"/>
        <w:spacing w:line="288" w:lineRule="auto"/>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第2.4.5条  草坪主要施肥时期在春秋季，施肥可采用撒施和根外追肥，每次修剪后需立即施肥，不发生明显的肥害现象</w:t>
      </w:r>
      <w:r>
        <w:rPr>
          <w:rFonts w:hint="eastAsia" w:ascii="宋体" w:hAnsi="宋体" w:cs="Times New Roman"/>
          <w:color w:val="auto"/>
          <w:sz w:val="24"/>
          <w:szCs w:val="21"/>
          <w:highlight w:val="none"/>
          <w:lang w:eastAsia="zh-CN"/>
        </w:rPr>
        <w:t xml:space="preserve">。此句无错误。</w:t>
      </w:r>
      <w:r/>
    </w:p>
    <w:p>
      <w:pPr>
        <w:ind w:firstLine="480"/>
        <w:jc w:val="both"/>
        <w:spacing w:line="288" w:lineRule="auto"/>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第2.4.6条  每年冬春两季施腐熟有机复合肥不少于2kg/</w:t>
      </w:r>
      <w:r>
        <w:rPr>
          <w:rFonts w:hint="eastAsia" w:ascii="宋体" w:hAnsi="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、氮磷钾复合肥不少于45g/</w:t>
      </w:r>
      <w:r>
        <w:rPr>
          <w:rFonts w:hint="eastAsia" w:ascii="宋体" w:hAnsi="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w:t>
      </w:r>
      <w:r/>
    </w:p>
    <w:p>
      <w:pPr>
        <w:ind w:firstLine="482"/>
        <w:jc w:val="both"/>
        <w:spacing w:line="288" w:lineRule="auto"/>
        <w:rPr>
          <w:rFonts w:hint="eastAsia" w:ascii="宋体" w:hAnsi="宋体" w:eastAsia="宋体" w:cs="Times New Roman"/>
          <w:b/>
          <w:bCs/>
          <w:color w:val="auto"/>
          <w:sz w:val="24"/>
          <w:szCs w:val="21"/>
          <w:highlight w:val="none"/>
        </w:rPr>
        <w:outlineLvl w:val="9"/>
      </w:pPr>
      <w:r>
        <w:rPr>
          <w:rFonts w:hint="eastAsia" w:ascii="宋体" w:hAnsi="宋体" w:eastAsia="宋体" w:cs="Times New Roman"/>
          <w:b/>
          <w:bCs/>
          <w:color w:val="auto"/>
          <w:sz w:val="24"/>
          <w:szCs w:val="21"/>
          <w:highlight w:val="none"/>
        </w:rPr>
        <w:t xml:space="preserve">第五节  修剪</w:t>
      </w:r>
      <w:r/>
    </w:p>
    <w:p>
      <w:pPr>
        <w:ind w:firstLine="480"/>
        <w:jc w:val="both"/>
        <w:spacing w:line="288" w:lineRule="auto"/>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第2.5.1条  乔木类</w:t>
      </w:r>
      <w:r>
        <w:rPr>
          <w:rFonts w:hint="eastAsia" w:ascii="宋体" w:hAnsi="宋体" w:eastAsia="宋体" w:cs="Times New Roman"/>
          <w:color w:val="auto"/>
          <w:sz w:val="24"/>
          <w:szCs w:val="21"/>
          <w:highlight w:val="none"/>
          <w:lang w:eastAsia="zh-CN"/>
        </w:rPr>
        <w:t xml:space="preserve">主要</w:t>
      </w:r>
      <w:r>
        <w:rPr>
          <w:rFonts w:hint="eastAsia" w:ascii="宋体" w:hAnsi="宋体" w:eastAsia="宋体" w:cs="Times New Roman"/>
          <w:color w:val="auto"/>
          <w:sz w:val="24"/>
          <w:szCs w:val="21"/>
          <w:highlight w:val="none"/>
        </w:rPr>
        <w:t xml:space="preserve">修剪内膛枝、徒长枝、病虫枝、交叉枝、下垂枝、扭伤枝及枯枝烂头。枝条修剪时，切口必须靠节，剪口应在剪口芽的反侧呈45度倾斜，剪口要平整，不拉伤树皮，截口涂抹防腐剂。一般乔木每年修剪不少于2次，休眠期修剪以整形为主，可稍重剪；生长期修剪以调整树势为主，宜轻剪。修剪要避开树木伤流盛期。行道树要求分枝点高度留养一致，不影响交通。生长季节及时剥芽（含脚芽）、去蘖、疏枝，芽长不超过10cm。</w:t>
      </w:r>
      <w:r/>
    </w:p>
    <w:p>
      <w:pPr>
        <w:ind w:firstLine="480"/>
        <w:jc w:val="both"/>
        <w:spacing w:line="288" w:lineRule="auto"/>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第2.5.2条  花灌木类秋冬季修剪应促枝叶繁茂，分布均匀，要有利于短枝和花芽的形成，遵循“先上后下，先内后外，去弱留强，去老留新”的原则进行修剪，生长季节及时剥芽（含脚芽），芽长不超过10cm。</w:t>
      </w:r>
      <w:r/>
    </w:p>
    <w:p>
      <w:pPr>
        <w:ind w:firstLine="480"/>
        <w:jc w:val="both"/>
        <w:spacing w:line="288" w:lineRule="auto"/>
        <w:rPr>
          <w:rFonts w:hint="default"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第2.5.3条  绿篱、地被及时修剪，促其分枝，保持全株枝叶饱满，加速覆盖。球形灌木应常年保持形态完整，修剪应注意促其生长，保证球形丰满。色块灌木应保持一定高度，常年保持完整，曲线清晰流畅，无缺株、无空洞、无脱脚。特殊造型的绿篱要逐步修剪成形。</w:t>
      </w:r>
      <w:r/>
    </w:p>
    <w:p>
      <w:pPr>
        <w:ind w:firstLine="480"/>
        <w:jc w:val="both"/>
        <w:spacing w:line="288" w:lineRule="auto"/>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第2.5.</w:t>
      </w:r>
      <w:r>
        <w:rPr>
          <w:rFonts w:hint="default" w:ascii="宋体" w:hAnsi="宋体" w:eastAsia="宋体" w:cs="Times New Roman"/>
          <w:color w:val="auto"/>
          <w:sz w:val="24"/>
          <w:szCs w:val="21"/>
          <w:highlight w:val="none"/>
        </w:rPr>
        <w:t xml:space="preserve">4</w:t>
      </w:r>
      <w:r>
        <w:rPr>
          <w:rFonts w:hint="eastAsia" w:ascii="宋体" w:hAnsi="宋体" w:eastAsia="宋体" w:cs="Times New Roman"/>
          <w:color w:val="auto"/>
          <w:sz w:val="24"/>
          <w:szCs w:val="21"/>
          <w:highlight w:val="none"/>
        </w:rPr>
        <w:t xml:space="preserve">条  草坪修剪在生长季节，应采用条纹状交叉修剪方式，按三分之一原则适时进行修剪，修剪后高度宜为5</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7cm，年修剪次数：冷季型为40次（冬季12-2月，2次/月；春季3-4月，3次/月；5-6月，5次/月；夏季7-8月，2次/月；秋季9-11月，5次/月），暖季型为20次。</w:t>
      </w:r>
      <w:r/>
    </w:p>
    <w:p>
      <w:pPr>
        <w:ind w:firstLine="480"/>
        <w:jc w:val="both"/>
        <w:spacing w:line="288" w:lineRule="auto"/>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第2.5.5条  修剪剩余物要及时清理干净，保证作业现场洁净，防止滋生病虫害。</w:t>
      </w:r>
      <w:r/>
    </w:p>
    <w:p>
      <w:pPr>
        <w:ind w:firstLine="482"/>
        <w:jc w:val="both"/>
        <w:spacing w:line="288" w:lineRule="auto"/>
        <w:rPr>
          <w:rFonts w:hint="eastAsia" w:ascii="宋体" w:hAnsi="宋体" w:eastAsia="宋体" w:cs="Times New Roman"/>
          <w:b/>
          <w:bCs/>
          <w:color w:val="auto"/>
          <w:sz w:val="24"/>
          <w:szCs w:val="21"/>
          <w:highlight w:val="none"/>
        </w:rPr>
        <w:outlineLvl w:val="9"/>
      </w:pPr>
      <w:r>
        <w:rPr>
          <w:rFonts w:hint="eastAsia" w:ascii="宋体" w:hAnsi="宋体" w:eastAsia="宋体" w:cs="Times New Roman"/>
          <w:b/>
          <w:bCs/>
          <w:color w:val="auto"/>
          <w:sz w:val="24"/>
          <w:szCs w:val="21"/>
          <w:highlight w:val="none"/>
        </w:rPr>
        <w:t xml:space="preserve">第六节  防护设施</w:t>
      </w:r>
      <w:r/>
    </w:p>
    <w:p>
      <w:pPr>
        <w:ind w:firstLine="480"/>
        <w:jc w:val="both"/>
        <w:spacing w:line="288" w:lineRule="auto"/>
        <w:rPr>
          <w:rFonts w:hint="eastAsia" w:ascii="宋体" w:hAnsi="宋体" w:eastAsia="宋体" w:cs="Times New Roman"/>
          <w:bCs/>
          <w:color w:val="auto"/>
          <w:sz w:val="24"/>
          <w:szCs w:val="21"/>
          <w:highlight w:val="none"/>
        </w:rPr>
        <w:outlineLvl w:val="9"/>
      </w:pPr>
      <w:r>
        <w:rPr>
          <w:rFonts w:hint="eastAsia" w:ascii="宋体" w:hAnsi="宋体" w:eastAsia="宋体" w:cs="Times New Roman"/>
          <w:bCs/>
          <w:color w:val="auto"/>
          <w:sz w:val="24"/>
          <w:szCs w:val="21"/>
          <w:highlight w:val="none"/>
        </w:rPr>
        <w:t xml:space="preserve">第2.6.1条  新栽、倾斜树木必须进行扶正支撑；乔木、竹类植株等必须有</w:t>
      </w:r>
      <w:r>
        <w:rPr>
          <w:rFonts w:hint="eastAsia" w:ascii="宋体" w:hAnsi="宋体" w:eastAsia="宋体" w:cs="Times New Roman"/>
          <w:bCs/>
          <w:color w:val="auto"/>
          <w:sz w:val="24"/>
          <w:szCs w:val="21"/>
          <w:highlight w:val="none"/>
          <w:lang w:eastAsia="zh-CN"/>
        </w:rPr>
        <w:t xml:space="preserve">防风</w:t>
      </w:r>
      <w:r>
        <w:rPr>
          <w:rFonts w:hint="eastAsia" w:ascii="宋体" w:hAnsi="宋体" w:eastAsia="宋体" w:cs="Times New Roman"/>
          <w:bCs/>
          <w:color w:val="auto"/>
          <w:sz w:val="24"/>
          <w:szCs w:val="21"/>
          <w:highlight w:val="none"/>
        </w:rPr>
        <w:t xml:space="preserve">措施。支撑所用材料须做到合理、美观，不</w:t>
      </w:r>
      <w:r>
        <w:rPr>
          <w:rFonts w:hint="eastAsia" w:ascii="宋体" w:hAnsi="宋体" w:eastAsia="宋体" w:cs="Times New Roman"/>
          <w:bCs/>
          <w:color w:val="auto"/>
          <w:sz w:val="24"/>
          <w:szCs w:val="21"/>
          <w:highlight w:val="none"/>
          <w:lang w:eastAsia="zh-CN"/>
        </w:rPr>
        <w:t xml:space="preserve">伤及</w:t>
      </w:r>
      <w:r>
        <w:rPr>
          <w:rFonts w:hint="eastAsia" w:ascii="宋体" w:hAnsi="宋体" w:eastAsia="宋体" w:cs="Times New Roman"/>
          <w:bCs/>
          <w:color w:val="auto"/>
          <w:sz w:val="24"/>
          <w:szCs w:val="21"/>
          <w:highlight w:val="none"/>
        </w:rPr>
        <w:t xml:space="preserve">树木本身，支撑所用材料应在规定时间内拆除（一般为2年）。</w:t>
      </w:r>
      <w:r/>
    </w:p>
    <w:p>
      <w:pPr>
        <w:ind w:firstLine="480"/>
        <w:jc w:val="both"/>
        <w:spacing w:line="288" w:lineRule="auto"/>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第2.6.2条  高大乔木在风暴来临前夕，应做好防止吹倒的预防工作，采取立支柱、绑扎、疏枝、打地桩等综合措施，发现问题及时解决。风暴后，应分轻重缓急进行抢救，对树体歪倒的树木及时扶正。</w:t>
      </w:r>
      <w:r/>
    </w:p>
    <w:p>
      <w:pPr>
        <w:ind w:firstLine="480"/>
        <w:jc w:val="both"/>
        <w:spacing w:line="288" w:lineRule="auto"/>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第2.6.3条  易受冻害的树木，冬季应采取根际培土</w:t>
      </w:r>
      <w:r>
        <w:rPr>
          <w:rFonts w:hint="eastAsia" w:ascii="宋体" w:hAnsi="宋体" w:eastAsia="宋体" w:cs="Times New Roman"/>
          <w:color w:val="auto"/>
          <w:sz w:val="24"/>
          <w:szCs w:val="21"/>
          <w:highlight w:val="none"/>
          <w:lang w:eastAsia="zh-CN"/>
        </w:rPr>
        <w:t xml:space="preserve">措施。</w:t>
      </w:r>
      <w:r/>
    </w:p>
    <w:p>
      <w:pPr>
        <w:ind w:firstLine="480"/>
        <w:jc w:val="both"/>
        <w:spacing w:line="288" w:lineRule="auto"/>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第2.6.4条  枝叶积雪应及时清除，有倒伏危险的树木应立</w:t>
      </w:r>
      <w:r>
        <w:rPr>
          <w:rFonts w:hint="eastAsia" w:ascii="宋体" w:hAnsi="宋体" w:eastAsia="宋体" w:cs="Times New Roman"/>
          <w:color w:val="auto"/>
          <w:sz w:val="24"/>
          <w:szCs w:val="21"/>
          <w:highlight w:val="none"/>
          <w:lang w:eastAsia="zh-CN"/>
        </w:rPr>
        <w:t xml:space="preserve">支柱支撑</w:t>
      </w:r>
      <w:r>
        <w:rPr>
          <w:rFonts w:hint="eastAsia" w:ascii="宋体" w:hAnsi="宋体" w:eastAsia="宋体" w:cs="Times New Roman"/>
          <w:color w:val="auto"/>
          <w:sz w:val="24"/>
          <w:szCs w:val="21"/>
          <w:highlight w:val="none"/>
        </w:rPr>
        <w:t xml:space="preserve">保护。</w:t>
      </w:r>
      <w:r/>
    </w:p>
    <w:p>
      <w:pPr>
        <w:ind w:firstLine="482"/>
        <w:jc w:val="both"/>
        <w:spacing w:line="288" w:lineRule="auto"/>
        <w:rPr>
          <w:rFonts w:hint="eastAsia" w:ascii="宋体" w:hAnsi="宋体" w:eastAsia="宋体" w:cs="Times New Roman"/>
          <w:b/>
          <w:bCs/>
          <w:color w:val="auto"/>
          <w:sz w:val="24"/>
          <w:szCs w:val="21"/>
          <w:highlight w:val="none"/>
        </w:rPr>
        <w:outlineLvl w:val="9"/>
      </w:pPr>
      <w:r>
        <w:rPr>
          <w:rFonts w:hint="eastAsia" w:ascii="宋体" w:hAnsi="宋体" w:eastAsia="宋体" w:cs="Times New Roman"/>
          <w:b/>
          <w:bCs/>
          <w:color w:val="auto"/>
          <w:sz w:val="24"/>
          <w:szCs w:val="21"/>
          <w:highlight w:val="none"/>
        </w:rPr>
        <w:t xml:space="preserve">第七节  死树的处理和补植、移植</w:t>
      </w:r>
      <w:r/>
    </w:p>
    <w:p>
      <w:pPr>
        <w:ind w:firstLine="480"/>
        <w:jc w:val="both"/>
        <w:spacing w:line="288" w:lineRule="auto"/>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第2.7.1条  街头绿地以及公园、广场等主要景点的死树应连同根部及时挖除，并填平坑槽。</w:t>
      </w:r>
      <w:r/>
    </w:p>
    <w:p>
      <w:pPr>
        <w:ind w:firstLine="480"/>
        <w:jc w:val="both"/>
        <w:spacing w:line="288" w:lineRule="auto"/>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第2.7.2条  枯死的大树和古树名木在挖除前，必须报市园林绿化主管部门审批，不得擅自挖除。</w:t>
      </w:r>
      <w:r/>
    </w:p>
    <w:p>
      <w:pPr>
        <w:ind w:firstLine="480"/>
        <w:jc w:val="both"/>
        <w:spacing w:line="288" w:lineRule="auto"/>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第2.7.3条  补植、移植树木应选用原树种，规格相近，并按《</w:t>
      </w:r>
      <w:r>
        <w:rPr>
          <w:rFonts w:hint="eastAsia" w:ascii="宋体" w:hAnsi="宋体" w:eastAsia="宋体" w:cs="Times New Roman"/>
          <w:color w:val="auto"/>
          <w:sz w:val="24"/>
          <w:szCs w:val="21"/>
          <w:highlight w:val="none"/>
          <w:lang w:eastAsia="zh-CN"/>
        </w:rPr>
        <w:t xml:space="preserve">园林绿化工程施工及验收规范</w:t>
      </w:r>
      <w:r>
        <w:rPr>
          <w:rFonts w:hint="eastAsia" w:ascii="宋体" w:hAnsi="宋体" w:eastAsia="宋体" w:cs="Times New Roman"/>
          <w:color w:val="auto"/>
          <w:sz w:val="24"/>
          <w:szCs w:val="21"/>
          <w:highlight w:val="none"/>
        </w:rPr>
        <w:t xml:space="preserve">》（</w:t>
      </w:r>
      <w:r>
        <w:rPr>
          <w:rFonts w:hint="eastAsia" w:ascii="宋体" w:hAnsi="宋体" w:eastAsia="宋体" w:cs="Times New Roman"/>
          <w:color w:val="auto"/>
          <w:sz w:val="24"/>
          <w:szCs w:val="21"/>
          <w:highlight w:val="none"/>
          <w:lang w:eastAsia="zh-CN"/>
        </w:rPr>
        <w:t xml:space="preserve">CJJ 82-2012</w:t>
      </w:r>
      <w:r>
        <w:rPr>
          <w:rFonts w:hint="eastAsia" w:ascii="宋体" w:hAnsi="宋体" w:eastAsia="宋体" w:cs="Times New Roman"/>
          <w:color w:val="auto"/>
          <w:sz w:val="24"/>
          <w:szCs w:val="21"/>
          <w:highlight w:val="none"/>
        </w:rPr>
        <w:t xml:space="preserve">）规定施工。</w:t>
      </w:r>
      <w:r/>
    </w:p>
    <w:p>
      <w:pPr>
        <w:ind w:firstLine="480"/>
        <w:jc w:val="both"/>
        <w:spacing w:line="288" w:lineRule="auto"/>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第2.7.4条  枯死植物应及时挖除并补植，枯枝残叶、残花要随时清理。</w:t>
      </w:r>
      <w:r/>
    </w:p>
    <w:p>
      <w:pPr>
        <w:ind w:firstLine="482"/>
        <w:jc w:val="center"/>
        <w:spacing w:line="288" w:lineRule="auto"/>
        <w:rPr>
          <w:rFonts w:hint="eastAsia" w:ascii="宋体" w:hAnsi="宋体" w:eastAsia="宋体" w:cs="Times New Roman"/>
          <w:b/>
          <w:color w:val="auto"/>
          <w:sz w:val="24"/>
          <w:szCs w:val="21"/>
          <w:highlight w:val="none"/>
        </w:rPr>
        <w:outlineLvl w:val="9"/>
      </w:pPr>
      <w:r>
        <w:rPr>
          <w:rFonts w:hint="eastAsia" w:ascii="宋体" w:hAnsi="宋体" w:eastAsia="宋体" w:cs="Times New Roman"/>
          <w:b/>
          <w:color w:val="auto"/>
          <w:sz w:val="24"/>
          <w:szCs w:val="21"/>
          <w:highlight w:val="none"/>
        </w:rPr>
        <w:t xml:space="preserve">第三章  地被植物和草坪养护</w:t>
      </w:r>
      <w:r/>
    </w:p>
    <w:p>
      <w:pPr>
        <w:ind w:firstLine="482"/>
        <w:jc w:val="both"/>
        <w:spacing w:line="288" w:lineRule="auto"/>
        <w:rPr>
          <w:rFonts w:hint="default" w:ascii="宋体" w:hAnsi="宋体" w:eastAsia="宋体" w:cs="Times New Roman"/>
          <w:color w:val="auto"/>
          <w:sz w:val="24"/>
          <w:szCs w:val="21"/>
          <w:highlight w:val="none"/>
        </w:rPr>
        <w:outlineLvl w:val="9"/>
      </w:pPr>
      <w:r>
        <w:rPr>
          <w:rFonts w:hint="eastAsia" w:ascii="宋体" w:hAnsi="宋体" w:eastAsia="宋体" w:cs="Times New Roman"/>
          <w:b/>
          <w:bCs/>
          <w:color w:val="auto"/>
          <w:sz w:val="24"/>
          <w:szCs w:val="21"/>
          <w:highlight w:val="none"/>
        </w:rPr>
        <w:t xml:space="preserve">第一节  地被植物</w:t>
      </w:r>
      <w:r/>
    </w:p>
    <w:p>
      <w:pPr>
        <w:ind w:firstLine="480"/>
        <w:jc w:val="both"/>
        <w:spacing w:line="288" w:lineRule="auto"/>
        <w:rPr>
          <w:rFonts w:hint="default"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第</w:t>
      </w:r>
      <w:r>
        <w:rPr>
          <w:rFonts w:hint="default" w:ascii="宋体" w:hAnsi="宋体" w:eastAsia="宋体" w:cs="Times New Roman"/>
          <w:color w:val="auto"/>
          <w:sz w:val="24"/>
          <w:szCs w:val="21"/>
          <w:highlight w:val="none"/>
        </w:rPr>
        <w:t xml:space="preserve">3</w:t>
      </w:r>
      <w:r>
        <w:rPr>
          <w:rFonts w:hint="eastAsia" w:ascii="宋体" w:hAnsi="宋体" w:eastAsia="宋体" w:cs="Times New Roman"/>
          <w:color w:val="auto"/>
          <w:sz w:val="24"/>
          <w:szCs w:val="21"/>
          <w:highlight w:val="none"/>
        </w:rPr>
        <w:t xml:space="preserve">.</w:t>
      </w:r>
      <w:r>
        <w:rPr>
          <w:rFonts w:hint="default" w:ascii="宋体" w:hAnsi="宋体" w:eastAsia="宋体" w:cs="Times New Roman"/>
          <w:color w:val="auto"/>
          <w:sz w:val="24"/>
          <w:szCs w:val="21"/>
          <w:highlight w:val="none"/>
        </w:rPr>
        <w:t xml:space="preserve">1</w:t>
      </w:r>
      <w:r>
        <w:rPr>
          <w:rFonts w:hint="eastAsia" w:ascii="宋体" w:hAnsi="宋体" w:eastAsia="宋体" w:cs="Times New Roman"/>
          <w:color w:val="auto"/>
          <w:sz w:val="24"/>
          <w:szCs w:val="21"/>
          <w:highlight w:val="none"/>
        </w:rPr>
        <w:t xml:space="preserve">.</w:t>
      </w:r>
      <w:r>
        <w:rPr>
          <w:rFonts w:hint="default" w:ascii="宋体" w:hAnsi="宋体" w:eastAsia="宋体" w:cs="Times New Roman"/>
          <w:color w:val="auto"/>
          <w:sz w:val="24"/>
          <w:szCs w:val="21"/>
          <w:highlight w:val="none"/>
        </w:rPr>
        <w:t xml:space="preserve">1</w:t>
      </w:r>
      <w:r>
        <w:rPr>
          <w:rFonts w:hint="eastAsia" w:ascii="宋体" w:hAnsi="宋体" w:eastAsia="宋体" w:cs="Times New Roman"/>
          <w:color w:val="auto"/>
          <w:sz w:val="24"/>
          <w:szCs w:val="21"/>
          <w:highlight w:val="none"/>
        </w:rPr>
        <w:t xml:space="preserve">条</w:t>
      </w:r>
      <w:r>
        <w:rPr>
          <w:rFonts w:hint="default" w:ascii="宋体" w:hAnsi="宋体" w:eastAsia="宋体" w:cs="Times New Roman"/>
          <w:color w:val="auto"/>
          <w:sz w:val="24"/>
          <w:szCs w:val="21"/>
          <w:highlight w:val="none"/>
        </w:rPr>
        <w:t xml:space="preserve">  </w:t>
      </w:r>
      <w:r>
        <w:rPr>
          <w:rFonts w:hint="eastAsia" w:ascii="宋体" w:hAnsi="宋体" w:eastAsia="宋体" w:cs="Times New Roman"/>
          <w:color w:val="auto"/>
          <w:sz w:val="24"/>
          <w:szCs w:val="21"/>
          <w:highlight w:val="none"/>
        </w:rPr>
        <w:t xml:space="preserve">地被植物在未覆盖前，每年应及时进行松土、除草，松土除草时要防止损伤根系和地下茎。</w:t>
      </w:r>
      <w:r/>
    </w:p>
    <w:p>
      <w:pPr>
        <w:ind w:firstLine="480"/>
        <w:jc w:val="both"/>
        <w:spacing w:line="288" w:lineRule="auto"/>
        <w:rPr>
          <w:rFonts w:hint="default"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第</w:t>
      </w:r>
      <w:r>
        <w:rPr>
          <w:rFonts w:hint="default" w:ascii="宋体" w:hAnsi="宋体" w:eastAsia="宋体" w:cs="Times New Roman"/>
          <w:color w:val="auto"/>
          <w:sz w:val="24"/>
          <w:szCs w:val="21"/>
          <w:highlight w:val="none"/>
        </w:rPr>
        <w:t xml:space="preserve">3</w:t>
      </w:r>
      <w:r>
        <w:rPr>
          <w:rFonts w:hint="eastAsia" w:ascii="宋体" w:hAnsi="宋体" w:eastAsia="宋体" w:cs="Times New Roman"/>
          <w:color w:val="auto"/>
          <w:sz w:val="24"/>
          <w:szCs w:val="21"/>
          <w:highlight w:val="none"/>
        </w:rPr>
        <w:t xml:space="preserve">.</w:t>
      </w:r>
      <w:r>
        <w:rPr>
          <w:rFonts w:hint="default" w:ascii="宋体" w:hAnsi="宋体" w:eastAsia="宋体" w:cs="Times New Roman"/>
          <w:color w:val="auto"/>
          <w:sz w:val="24"/>
          <w:szCs w:val="21"/>
          <w:highlight w:val="none"/>
        </w:rPr>
        <w:t xml:space="preserve">1</w:t>
      </w:r>
      <w:r>
        <w:rPr>
          <w:rFonts w:hint="eastAsia" w:ascii="宋体" w:hAnsi="宋体" w:eastAsia="宋体" w:cs="Times New Roman"/>
          <w:color w:val="auto"/>
          <w:sz w:val="24"/>
          <w:szCs w:val="21"/>
          <w:highlight w:val="none"/>
        </w:rPr>
        <w:t xml:space="preserve">.</w:t>
      </w:r>
      <w:r>
        <w:rPr>
          <w:rFonts w:hint="default" w:ascii="宋体" w:hAnsi="宋体" w:eastAsia="宋体" w:cs="Times New Roman"/>
          <w:color w:val="auto"/>
          <w:sz w:val="24"/>
          <w:szCs w:val="21"/>
          <w:highlight w:val="none"/>
        </w:rPr>
        <w:t xml:space="preserve">2</w:t>
      </w:r>
      <w:r>
        <w:rPr>
          <w:rFonts w:hint="eastAsia" w:ascii="宋体" w:hAnsi="宋体" w:eastAsia="宋体" w:cs="Times New Roman"/>
          <w:color w:val="auto"/>
          <w:sz w:val="24"/>
          <w:szCs w:val="21"/>
          <w:highlight w:val="none"/>
        </w:rPr>
        <w:t xml:space="preserve">条</w:t>
      </w:r>
      <w:r>
        <w:rPr>
          <w:rFonts w:hint="default" w:ascii="宋体" w:hAnsi="宋体" w:eastAsia="宋体" w:cs="Times New Roman"/>
          <w:color w:val="auto"/>
          <w:sz w:val="24"/>
          <w:szCs w:val="21"/>
          <w:highlight w:val="none"/>
        </w:rPr>
        <w:t xml:space="preserve">  </w:t>
      </w:r>
      <w:r>
        <w:rPr>
          <w:rFonts w:hint="eastAsia" w:ascii="宋体" w:hAnsi="宋体" w:eastAsia="宋体" w:cs="Times New Roman"/>
          <w:color w:val="auto"/>
          <w:sz w:val="24"/>
          <w:szCs w:val="21"/>
          <w:highlight w:val="none"/>
        </w:rPr>
        <w:t xml:space="preserve">天气干旱、土壤干燥时要适时、适量浇水。早春发芽前要施肥，生长季节采取薄肥勤施。</w:t>
      </w:r>
      <w:r/>
    </w:p>
    <w:p>
      <w:pPr>
        <w:ind w:firstLine="480"/>
        <w:jc w:val="both"/>
        <w:spacing w:line="288" w:lineRule="auto"/>
        <w:rPr>
          <w:rFonts w:hint="default"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第</w:t>
      </w:r>
      <w:r>
        <w:rPr>
          <w:rFonts w:hint="default" w:ascii="宋体" w:hAnsi="宋体" w:eastAsia="宋体" w:cs="Times New Roman"/>
          <w:color w:val="auto"/>
          <w:sz w:val="24"/>
          <w:szCs w:val="21"/>
          <w:highlight w:val="none"/>
        </w:rPr>
        <w:t xml:space="preserve">3</w:t>
      </w:r>
      <w:r>
        <w:rPr>
          <w:rFonts w:hint="eastAsia" w:ascii="宋体" w:hAnsi="宋体" w:eastAsia="宋体" w:cs="Times New Roman"/>
          <w:color w:val="auto"/>
          <w:sz w:val="24"/>
          <w:szCs w:val="21"/>
          <w:highlight w:val="none"/>
        </w:rPr>
        <w:t xml:space="preserve">.</w:t>
      </w:r>
      <w:r>
        <w:rPr>
          <w:rFonts w:hint="default" w:ascii="宋体" w:hAnsi="宋体" w:eastAsia="宋体" w:cs="Times New Roman"/>
          <w:color w:val="auto"/>
          <w:sz w:val="24"/>
          <w:szCs w:val="21"/>
          <w:highlight w:val="none"/>
        </w:rPr>
        <w:t xml:space="preserve">1</w:t>
      </w:r>
      <w:r>
        <w:rPr>
          <w:rFonts w:hint="eastAsia" w:ascii="宋体" w:hAnsi="宋体" w:eastAsia="宋体" w:cs="Times New Roman"/>
          <w:color w:val="auto"/>
          <w:sz w:val="24"/>
          <w:szCs w:val="21"/>
          <w:highlight w:val="none"/>
        </w:rPr>
        <w:t xml:space="preserve">.</w:t>
      </w:r>
      <w:r>
        <w:rPr>
          <w:rFonts w:hint="default" w:ascii="宋体" w:hAnsi="宋体" w:eastAsia="宋体" w:cs="Times New Roman"/>
          <w:color w:val="auto"/>
          <w:sz w:val="24"/>
          <w:szCs w:val="21"/>
          <w:highlight w:val="none"/>
        </w:rPr>
        <w:t xml:space="preserve">3</w:t>
      </w:r>
      <w:r>
        <w:rPr>
          <w:rFonts w:hint="eastAsia" w:ascii="宋体" w:hAnsi="宋体" w:eastAsia="宋体" w:cs="Times New Roman"/>
          <w:color w:val="auto"/>
          <w:sz w:val="24"/>
          <w:szCs w:val="21"/>
          <w:highlight w:val="none"/>
        </w:rPr>
        <w:t xml:space="preserve">条</w:t>
      </w:r>
      <w:r>
        <w:rPr>
          <w:rFonts w:hint="default" w:ascii="宋体" w:hAnsi="宋体" w:eastAsia="宋体" w:cs="Times New Roman"/>
          <w:color w:val="auto"/>
          <w:sz w:val="24"/>
          <w:szCs w:val="21"/>
          <w:highlight w:val="none"/>
        </w:rPr>
        <w:t xml:space="preserve">  </w:t>
      </w:r>
      <w:r>
        <w:rPr>
          <w:rFonts w:hint="eastAsia" w:ascii="宋体" w:hAnsi="宋体" w:eastAsia="宋体" w:cs="Times New Roman"/>
          <w:color w:val="auto"/>
          <w:sz w:val="24"/>
          <w:szCs w:val="21"/>
          <w:highlight w:val="none"/>
        </w:rPr>
        <w:t xml:space="preserve">枯死植物应及时挖除并补植，枯枝残叶、残花要随时清理。</w:t>
      </w:r>
      <w:r/>
    </w:p>
    <w:p>
      <w:pPr>
        <w:ind w:firstLine="480"/>
        <w:jc w:val="both"/>
        <w:spacing w:line="288" w:lineRule="auto"/>
        <w:rPr>
          <w:rFonts w:hint="default"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第</w:t>
      </w:r>
      <w:r>
        <w:rPr>
          <w:rFonts w:hint="default" w:ascii="宋体" w:hAnsi="宋体" w:eastAsia="宋体" w:cs="Times New Roman"/>
          <w:color w:val="auto"/>
          <w:sz w:val="24"/>
          <w:szCs w:val="21"/>
          <w:highlight w:val="none"/>
        </w:rPr>
        <w:t xml:space="preserve">3</w:t>
      </w:r>
      <w:r>
        <w:rPr>
          <w:rFonts w:hint="eastAsia" w:ascii="宋体" w:hAnsi="宋体" w:eastAsia="宋体" w:cs="Times New Roman"/>
          <w:color w:val="auto"/>
          <w:sz w:val="24"/>
          <w:szCs w:val="21"/>
          <w:highlight w:val="none"/>
        </w:rPr>
        <w:t xml:space="preserve">.</w:t>
      </w:r>
      <w:r>
        <w:rPr>
          <w:rFonts w:hint="default" w:ascii="宋体" w:hAnsi="宋体" w:eastAsia="宋体" w:cs="Times New Roman"/>
          <w:color w:val="auto"/>
          <w:sz w:val="24"/>
          <w:szCs w:val="21"/>
          <w:highlight w:val="none"/>
        </w:rPr>
        <w:t xml:space="preserve">1</w:t>
      </w:r>
      <w:r>
        <w:rPr>
          <w:rFonts w:hint="eastAsia" w:ascii="宋体" w:hAnsi="宋体" w:eastAsia="宋体" w:cs="Times New Roman"/>
          <w:color w:val="auto"/>
          <w:sz w:val="24"/>
          <w:szCs w:val="21"/>
          <w:highlight w:val="none"/>
        </w:rPr>
        <w:t xml:space="preserve">.</w:t>
      </w:r>
      <w:r>
        <w:rPr>
          <w:rFonts w:hint="default" w:ascii="宋体" w:hAnsi="宋体" w:eastAsia="宋体" w:cs="Times New Roman"/>
          <w:color w:val="auto"/>
          <w:sz w:val="24"/>
          <w:szCs w:val="21"/>
          <w:highlight w:val="none"/>
        </w:rPr>
        <w:t xml:space="preserve">4</w:t>
      </w:r>
      <w:r>
        <w:rPr>
          <w:rFonts w:hint="eastAsia" w:ascii="宋体" w:hAnsi="宋体" w:eastAsia="宋体" w:cs="Times New Roman"/>
          <w:color w:val="auto"/>
          <w:sz w:val="24"/>
          <w:szCs w:val="21"/>
          <w:highlight w:val="none"/>
        </w:rPr>
        <w:t xml:space="preserve">条</w:t>
      </w:r>
      <w:r>
        <w:rPr>
          <w:rFonts w:hint="default" w:ascii="宋体" w:hAnsi="宋体" w:eastAsia="宋体" w:cs="Times New Roman"/>
          <w:color w:val="auto"/>
          <w:sz w:val="24"/>
          <w:szCs w:val="21"/>
          <w:highlight w:val="none"/>
        </w:rPr>
        <w:t xml:space="preserve">  </w:t>
      </w:r>
      <w:r>
        <w:rPr>
          <w:rFonts w:hint="eastAsia" w:ascii="宋体" w:hAnsi="宋体" w:eastAsia="宋体" w:cs="Times New Roman"/>
          <w:color w:val="auto"/>
          <w:sz w:val="24"/>
          <w:szCs w:val="21"/>
          <w:highlight w:val="none"/>
        </w:rPr>
        <w:t xml:space="preserve">木本地被植物应在冬季休眠期修剪，应使植株在生长期间保持高度不超过</w:t>
      </w:r>
      <w:r>
        <w:rPr>
          <w:rFonts w:hint="default" w:ascii="宋体" w:hAnsi="宋体" w:eastAsia="宋体" w:cs="Times New Roman"/>
          <w:color w:val="auto"/>
          <w:sz w:val="24"/>
          <w:szCs w:val="21"/>
          <w:highlight w:val="none"/>
        </w:rPr>
        <w:t xml:space="preserve">60cm</w:t>
      </w:r>
      <w:r>
        <w:rPr>
          <w:rFonts w:hint="eastAsia" w:ascii="宋体" w:hAnsi="宋体" w:eastAsia="宋体" w:cs="Times New Roman"/>
          <w:color w:val="auto"/>
          <w:sz w:val="24"/>
          <w:szCs w:val="21"/>
          <w:highlight w:val="none"/>
        </w:rPr>
        <w:t xml:space="preserve">的低矮状态。</w:t>
      </w:r>
      <w:r/>
    </w:p>
    <w:p>
      <w:pPr>
        <w:ind w:firstLine="480"/>
        <w:jc w:val="both"/>
        <w:spacing w:line="288" w:lineRule="auto"/>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第</w:t>
      </w:r>
      <w:r>
        <w:rPr>
          <w:rFonts w:hint="default" w:ascii="宋体" w:hAnsi="宋体" w:eastAsia="宋体" w:cs="Times New Roman"/>
          <w:color w:val="auto"/>
          <w:sz w:val="24"/>
          <w:szCs w:val="21"/>
          <w:highlight w:val="none"/>
        </w:rPr>
        <w:t xml:space="preserve">3</w:t>
      </w:r>
      <w:r>
        <w:rPr>
          <w:rFonts w:hint="eastAsia" w:ascii="宋体" w:hAnsi="宋体" w:eastAsia="宋体" w:cs="Times New Roman"/>
          <w:color w:val="auto"/>
          <w:sz w:val="24"/>
          <w:szCs w:val="21"/>
          <w:highlight w:val="none"/>
        </w:rPr>
        <w:t xml:space="preserve">.1.5条</w:t>
      </w:r>
      <w:r>
        <w:rPr>
          <w:rFonts w:hint="default" w:ascii="宋体" w:hAnsi="宋体" w:eastAsia="宋体" w:cs="Times New Roman"/>
          <w:color w:val="auto"/>
          <w:sz w:val="24"/>
          <w:szCs w:val="21"/>
          <w:highlight w:val="none"/>
        </w:rPr>
        <w:t xml:space="preserve">  </w:t>
      </w:r>
      <w:r>
        <w:rPr>
          <w:rFonts w:hint="eastAsia" w:ascii="宋体" w:hAnsi="宋体" w:eastAsia="宋体" w:cs="Times New Roman"/>
          <w:color w:val="auto"/>
          <w:sz w:val="24"/>
          <w:szCs w:val="21"/>
          <w:highlight w:val="none"/>
        </w:rPr>
        <w:t xml:space="preserve">球根、宿根类地被植物，经</w:t>
      </w:r>
      <w:r>
        <w:rPr>
          <w:rFonts w:hint="default" w:ascii="宋体" w:hAnsi="宋体" w:eastAsia="宋体" w:cs="Times New Roman"/>
          <w:color w:val="auto"/>
          <w:sz w:val="24"/>
          <w:szCs w:val="21"/>
          <w:highlight w:val="none"/>
        </w:rPr>
        <w:t xml:space="preserve">3-4</w:t>
      </w:r>
      <w:r>
        <w:rPr>
          <w:rFonts w:hint="eastAsia" w:ascii="宋体" w:hAnsi="宋体" w:eastAsia="宋体" w:cs="Times New Roman"/>
          <w:color w:val="auto"/>
          <w:sz w:val="24"/>
          <w:szCs w:val="21"/>
          <w:highlight w:val="none"/>
        </w:rPr>
        <w:t xml:space="preserve">年生长后，根部拥挤以致影响其正常生长时，必须按不同类群的生理习性进行分株或更新移植。</w:t>
      </w:r>
      <w:r/>
    </w:p>
    <w:p>
      <w:pPr>
        <w:ind w:firstLine="482"/>
        <w:jc w:val="both"/>
        <w:spacing w:line="288" w:lineRule="auto"/>
        <w:rPr>
          <w:rFonts w:hint="eastAsia" w:ascii="宋体" w:hAnsi="宋体" w:eastAsia="宋体" w:cs="Times New Roman"/>
          <w:b/>
          <w:bCs/>
          <w:color w:val="auto"/>
          <w:sz w:val="24"/>
          <w:szCs w:val="21"/>
          <w:highlight w:val="none"/>
        </w:rPr>
        <w:outlineLvl w:val="9"/>
      </w:pPr>
      <w:r>
        <w:rPr>
          <w:rFonts w:hint="eastAsia" w:ascii="宋体" w:hAnsi="宋体" w:eastAsia="宋体" w:cs="Times New Roman"/>
          <w:b/>
          <w:bCs/>
          <w:color w:val="auto"/>
          <w:sz w:val="24"/>
          <w:szCs w:val="21"/>
          <w:highlight w:val="none"/>
        </w:rPr>
        <w:t xml:space="preserve">第二节  草坪管护</w:t>
      </w:r>
      <w:r/>
    </w:p>
    <w:p>
      <w:pPr>
        <w:ind w:firstLine="480"/>
        <w:jc w:val="both"/>
        <w:spacing w:line="288" w:lineRule="auto"/>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第3.2.1条  草坪在生长季节，应按三分之一原则适时进行修剪，保持一定的高度，一般控制在5-7CM。修剪要平整，边角无遗留，草屑应及时运出、除净。</w:t>
      </w:r>
      <w:r/>
    </w:p>
    <w:p>
      <w:pPr>
        <w:ind w:firstLine="480"/>
        <w:jc w:val="both"/>
        <w:spacing w:line="288" w:lineRule="auto"/>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第3.2.2条  草坪中的树坛、花坛边缘应进行切边，保持线条清晰、整齐。</w:t>
      </w:r>
      <w:r/>
    </w:p>
    <w:p>
      <w:pPr>
        <w:ind w:firstLine="480"/>
        <w:jc w:val="both"/>
        <w:spacing w:line="288" w:lineRule="auto"/>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第3.2.3条  每年秋、冬季可采用刺孔</w:t>
      </w:r>
      <w:r>
        <w:rPr>
          <w:rFonts w:hint="eastAsia" w:ascii="宋体" w:hAnsi="宋体" w:cs="Times New Roman"/>
          <w:color w:val="auto"/>
          <w:sz w:val="24"/>
          <w:szCs w:val="21"/>
          <w:highlight w:val="none"/>
          <w:lang w:eastAsia="zh-CN"/>
        </w:rPr>
        <w:t xml:space="preserve">的方式在</w:t>
      </w:r>
      <w:r>
        <w:rPr>
          <w:rFonts w:hint="eastAsia" w:ascii="宋体" w:hAnsi="宋体" w:eastAsia="宋体" w:cs="Times New Roman"/>
          <w:color w:val="auto"/>
          <w:sz w:val="24"/>
          <w:szCs w:val="21"/>
          <w:highlight w:val="none"/>
        </w:rPr>
        <w:t xml:space="preserve">草坪上打洞，增加草坪土壤的透气性，促进草坪生长。枯草层每年一、</w:t>
      </w:r>
      <w:r>
        <w:rPr>
          <w:rFonts w:hint="eastAsia" w:ascii="宋体" w:hAnsi="宋体" w:eastAsia="宋体" w:cs="Times New Roman"/>
          <w:color w:val="auto"/>
          <w:sz w:val="24"/>
          <w:szCs w:val="21"/>
          <w:highlight w:val="none"/>
          <w:lang w:eastAsia="zh-CN"/>
        </w:rPr>
        <w:t xml:space="preserve">两次</w:t>
      </w:r>
      <w:r>
        <w:rPr>
          <w:rFonts w:hint="eastAsia" w:ascii="宋体" w:hAnsi="宋体" w:eastAsia="宋体" w:cs="Times New Roman"/>
          <w:color w:val="auto"/>
          <w:sz w:val="24"/>
          <w:szCs w:val="21"/>
          <w:highlight w:val="none"/>
        </w:rPr>
        <w:t xml:space="preserve">用耙或疏草机清除出草坪。</w:t>
      </w:r>
      <w:r/>
    </w:p>
    <w:p>
      <w:pPr>
        <w:ind w:firstLine="480"/>
        <w:jc w:val="both"/>
        <w:spacing w:line="288" w:lineRule="auto"/>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第3.2.4条  黑麦草品种由甲方指定，播种前须将原草坪修剪至2</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3cm，并进行疏草、打孔处理，经甲方检验合格后方可进行播种，草籽播种要均匀，播种后覆细土（砂）1</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2cm，做好后期水肥管理和日常养护工作。播种结束后，提供竣工图等相应竣工</w:t>
      </w:r>
      <w:r>
        <w:rPr>
          <w:rFonts w:hint="eastAsia" w:ascii="宋体" w:hAnsi="宋体" w:eastAsia="宋体" w:cs="Times New Roman"/>
          <w:color w:val="auto"/>
          <w:sz w:val="24"/>
          <w:szCs w:val="21"/>
          <w:highlight w:val="none"/>
          <w:lang w:eastAsia="zh-CN"/>
        </w:rPr>
        <w:t xml:space="preserve">资料</w:t>
      </w:r>
      <w:r>
        <w:rPr>
          <w:rFonts w:hint="eastAsia" w:ascii="宋体" w:hAnsi="宋体" w:eastAsia="宋体" w:cs="Times New Roman"/>
          <w:color w:val="auto"/>
          <w:sz w:val="24"/>
          <w:szCs w:val="21"/>
          <w:highlight w:val="none"/>
        </w:rPr>
        <w:t xml:space="preserve">。</w:t>
      </w:r>
      <w:r/>
    </w:p>
    <w:p>
      <w:pPr>
        <w:ind w:firstLine="480"/>
        <w:jc w:val="both"/>
        <w:spacing w:line="288" w:lineRule="auto"/>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第3.2.5条  补播及补植天堂草按照《</w:t>
      </w:r>
      <w:r>
        <w:rPr>
          <w:rFonts w:hint="eastAsia" w:ascii="宋体" w:hAnsi="宋体" w:eastAsia="宋体" w:cs="Times New Roman"/>
          <w:color w:val="auto"/>
          <w:sz w:val="24"/>
          <w:szCs w:val="21"/>
          <w:highlight w:val="none"/>
          <w:lang w:eastAsia="zh-CN"/>
        </w:rPr>
        <w:t xml:space="preserve">园林绿化工程施工及验收规范</w:t>
      </w:r>
      <w:r>
        <w:rPr>
          <w:rFonts w:hint="eastAsia" w:ascii="宋体" w:hAnsi="宋体" w:eastAsia="宋体" w:cs="Times New Roman"/>
          <w:color w:val="auto"/>
          <w:sz w:val="24"/>
          <w:szCs w:val="21"/>
          <w:highlight w:val="none"/>
        </w:rPr>
        <w:t xml:space="preserve">》（</w:t>
      </w:r>
      <w:r>
        <w:rPr>
          <w:rFonts w:hint="eastAsia" w:ascii="宋体" w:hAnsi="宋体" w:eastAsia="宋体" w:cs="Times New Roman"/>
          <w:color w:val="auto"/>
          <w:sz w:val="24"/>
          <w:szCs w:val="21"/>
          <w:highlight w:val="none"/>
          <w:lang w:eastAsia="zh-CN"/>
        </w:rPr>
        <w:t xml:space="preserve">CJJ 82-2012</w:t>
      </w:r>
      <w:r>
        <w:rPr>
          <w:rFonts w:hint="eastAsia" w:ascii="宋体" w:hAnsi="宋体" w:eastAsia="宋体" w:cs="Times New Roman"/>
          <w:color w:val="auto"/>
          <w:sz w:val="24"/>
          <w:szCs w:val="21"/>
          <w:highlight w:val="none"/>
        </w:rPr>
        <w:t xml:space="preserve">）规定施工。</w:t>
      </w:r>
      <w:r/>
    </w:p>
    <w:p>
      <w:pPr>
        <w:ind w:firstLine="482"/>
        <w:jc w:val="center"/>
        <w:spacing w:line="288" w:lineRule="auto"/>
        <w:rPr>
          <w:rFonts w:hint="eastAsia" w:ascii="宋体" w:hAnsi="宋体" w:eastAsia="宋体" w:cs="Times New Roman"/>
          <w:b/>
          <w:color w:val="auto"/>
          <w:sz w:val="24"/>
          <w:szCs w:val="21"/>
          <w:highlight w:val="none"/>
        </w:rPr>
        <w:outlineLvl w:val="9"/>
      </w:pPr>
      <w:r>
        <w:rPr>
          <w:rFonts w:hint="eastAsia" w:ascii="宋体" w:hAnsi="宋体" w:eastAsia="宋体" w:cs="Times New Roman"/>
          <w:b/>
          <w:color w:val="auto"/>
          <w:sz w:val="24"/>
          <w:szCs w:val="21"/>
          <w:highlight w:val="none"/>
        </w:rPr>
      </w:r>
      <w:r/>
    </w:p>
    <w:p>
      <w:pPr>
        <w:ind w:firstLine="482"/>
        <w:jc w:val="center"/>
        <w:spacing w:line="288" w:lineRule="auto"/>
        <w:rPr>
          <w:rFonts w:hint="eastAsia" w:ascii="宋体" w:hAnsi="宋体" w:eastAsia="宋体" w:cs="Times New Roman"/>
          <w:b/>
          <w:color w:val="auto"/>
          <w:sz w:val="24"/>
          <w:szCs w:val="21"/>
          <w:highlight w:val="none"/>
        </w:rPr>
        <w:outlineLvl w:val="9"/>
      </w:pPr>
      <w:r>
        <w:rPr>
          <w:rFonts w:hint="eastAsia" w:ascii="宋体" w:hAnsi="宋体" w:eastAsia="宋体" w:cs="Times New Roman"/>
          <w:b/>
          <w:color w:val="auto"/>
          <w:sz w:val="24"/>
          <w:szCs w:val="21"/>
          <w:highlight w:val="none"/>
        </w:rPr>
        <w:t xml:space="preserve">第四章  花坛和花卉养护</w:t>
      </w:r>
      <w:r/>
    </w:p>
    <w:p>
      <w:pPr>
        <w:ind w:firstLine="482"/>
        <w:jc w:val="both"/>
        <w:spacing w:line="288" w:lineRule="auto"/>
        <w:rPr>
          <w:rFonts w:hint="eastAsia" w:ascii="宋体" w:hAnsi="宋体" w:eastAsia="宋体" w:cs="Times New Roman"/>
          <w:b/>
          <w:bCs/>
          <w:color w:val="auto"/>
          <w:sz w:val="24"/>
          <w:szCs w:val="21"/>
          <w:highlight w:val="none"/>
        </w:rPr>
        <w:outlineLvl w:val="9"/>
      </w:pPr>
      <w:r>
        <w:rPr>
          <w:rFonts w:hint="eastAsia" w:ascii="宋体" w:hAnsi="宋体" w:eastAsia="宋体" w:cs="Times New Roman"/>
          <w:b/>
          <w:bCs/>
          <w:color w:val="auto"/>
          <w:sz w:val="24"/>
          <w:szCs w:val="21"/>
          <w:highlight w:val="none"/>
        </w:rPr>
        <w:t xml:space="preserve">第一节  花坛</w:t>
      </w:r>
      <w:r/>
    </w:p>
    <w:p>
      <w:pPr>
        <w:ind w:firstLine="480"/>
        <w:jc w:val="both"/>
        <w:spacing w:line="288" w:lineRule="auto"/>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第</w:t>
      </w:r>
      <w:r>
        <w:rPr>
          <w:rFonts w:hint="default" w:ascii="宋体" w:hAnsi="宋体" w:eastAsia="宋体" w:cs="Times New Roman"/>
          <w:color w:val="auto"/>
          <w:sz w:val="24"/>
          <w:szCs w:val="21"/>
          <w:highlight w:val="none"/>
        </w:rPr>
        <w:t xml:space="preserve">4</w:t>
      </w:r>
      <w:r>
        <w:rPr>
          <w:rFonts w:hint="eastAsia" w:ascii="宋体" w:hAnsi="宋体" w:eastAsia="宋体" w:cs="Times New Roman"/>
          <w:color w:val="auto"/>
          <w:sz w:val="24"/>
          <w:szCs w:val="21"/>
          <w:highlight w:val="none"/>
        </w:rPr>
        <w:t xml:space="preserve">.</w:t>
      </w:r>
      <w:r>
        <w:rPr>
          <w:rFonts w:hint="default" w:ascii="宋体" w:hAnsi="宋体" w:eastAsia="宋体" w:cs="Times New Roman"/>
          <w:color w:val="auto"/>
          <w:sz w:val="24"/>
          <w:szCs w:val="21"/>
          <w:highlight w:val="none"/>
        </w:rPr>
        <w:t xml:space="preserve">1</w:t>
      </w:r>
      <w:r>
        <w:rPr>
          <w:rFonts w:hint="eastAsia" w:ascii="宋体" w:hAnsi="宋体" w:eastAsia="宋体" w:cs="Times New Roman"/>
          <w:color w:val="auto"/>
          <w:sz w:val="24"/>
          <w:szCs w:val="21"/>
          <w:highlight w:val="none"/>
        </w:rPr>
        <w:t xml:space="preserve">.</w:t>
      </w:r>
      <w:r>
        <w:rPr>
          <w:rFonts w:hint="default" w:ascii="宋体" w:hAnsi="宋体" w:eastAsia="宋体" w:cs="Times New Roman"/>
          <w:color w:val="auto"/>
          <w:sz w:val="24"/>
          <w:szCs w:val="21"/>
          <w:highlight w:val="none"/>
        </w:rPr>
        <w:t xml:space="preserve">1</w:t>
      </w:r>
      <w:r>
        <w:rPr>
          <w:rFonts w:hint="eastAsia" w:ascii="宋体" w:hAnsi="宋体" w:eastAsia="宋体" w:cs="Times New Roman"/>
          <w:color w:val="auto"/>
          <w:sz w:val="24"/>
          <w:szCs w:val="21"/>
          <w:highlight w:val="none"/>
        </w:rPr>
        <w:t xml:space="preserve">条</w:t>
      </w:r>
      <w:r>
        <w:rPr>
          <w:rFonts w:hint="default" w:ascii="宋体" w:hAnsi="宋体" w:eastAsia="宋体" w:cs="Times New Roman"/>
          <w:color w:val="auto"/>
          <w:sz w:val="24"/>
          <w:szCs w:val="21"/>
          <w:highlight w:val="none"/>
        </w:rPr>
        <w:t xml:space="preserve">  </w:t>
      </w:r>
      <w:r>
        <w:rPr>
          <w:rFonts w:hint="eastAsia" w:ascii="宋体" w:hAnsi="宋体" w:eastAsia="宋体" w:cs="Times New Roman"/>
          <w:color w:val="auto"/>
          <w:sz w:val="24"/>
          <w:szCs w:val="21"/>
          <w:highlight w:val="none"/>
        </w:rPr>
        <w:t xml:space="preserve">根据花坛的分级标准，制定花坛分级养护的技术措施和管理标准。</w:t>
      </w:r>
      <w:r>
        <w:rPr>
          <w:rFonts w:hint="default" w:ascii="宋体" w:hAnsi="宋体" w:eastAsia="宋体" w:cs="Times New Roman"/>
          <w:color w:val="auto"/>
          <w:sz w:val="24"/>
          <w:szCs w:val="21"/>
          <w:highlight w:val="none"/>
        </w:rPr>
        <w:t xml:space="preserve">  </w:t>
      </w:r>
      <w:r/>
    </w:p>
    <w:p>
      <w:pPr>
        <w:ind w:firstLine="480"/>
        <w:jc w:val="both"/>
        <w:spacing w:line="288" w:lineRule="auto"/>
        <w:rPr>
          <w:rFonts w:hint="default"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第</w:t>
      </w:r>
      <w:r>
        <w:rPr>
          <w:rFonts w:hint="default" w:ascii="宋体" w:hAnsi="宋体" w:eastAsia="宋体" w:cs="Times New Roman"/>
          <w:color w:val="auto"/>
          <w:sz w:val="24"/>
          <w:szCs w:val="21"/>
          <w:highlight w:val="none"/>
        </w:rPr>
        <w:t xml:space="preserve">4</w:t>
      </w:r>
      <w:r>
        <w:rPr>
          <w:rFonts w:hint="eastAsia" w:ascii="宋体" w:hAnsi="宋体" w:eastAsia="宋体" w:cs="Times New Roman"/>
          <w:color w:val="auto"/>
          <w:sz w:val="24"/>
          <w:szCs w:val="21"/>
          <w:highlight w:val="none"/>
        </w:rPr>
        <w:t xml:space="preserve">.</w:t>
      </w:r>
      <w:r>
        <w:rPr>
          <w:rFonts w:hint="default" w:ascii="宋体" w:hAnsi="宋体" w:eastAsia="宋体" w:cs="Times New Roman"/>
          <w:color w:val="auto"/>
          <w:sz w:val="24"/>
          <w:szCs w:val="21"/>
          <w:highlight w:val="none"/>
        </w:rPr>
        <w:t xml:space="preserve">1</w:t>
      </w:r>
      <w:r>
        <w:rPr>
          <w:rFonts w:hint="eastAsia" w:ascii="宋体" w:hAnsi="宋体" w:eastAsia="宋体" w:cs="Times New Roman"/>
          <w:color w:val="auto"/>
          <w:sz w:val="24"/>
          <w:szCs w:val="21"/>
          <w:highlight w:val="none"/>
        </w:rPr>
        <w:t xml:space="preserve">.</w:t>
      </w:r>
      <w:r>
        <w:rPr>
          <w:rFonts w:hint="default" w:ascii="宋体" w:hAnsi="宋体" w:eastAsia="宋体" w:cs="Times New Roman"/>
          <w:color w:val="auto"/>
          <w:sz w:val="24"/>
          <w:szCs w:val="21"/>
          <w:highlight w:val="none"/>
        </w:rPr>
        <w:t xml:space="preserve">2</w:t>
      </w:r>
      <w:r>
        <w:rPr>
          <w:rFonts w:hint="eastAsia" w:ascii="宋体" w:hAnsi="宋体" w:eastAsia="宋体" w:cs="Times New Roman"/>
          <w:color w:val="auto"/>
          <w:sz w:val="24"/>
          <w:szCs w:val="21"/>
          <w:highlight w:val="none"/>
        </w:rPr>
        <w:t xml:space="preserve">条</w:t>
      </w:r>
      <w:r>
        <w:rPr>
          <w:rFonts w:hint="default" w:ascii="宋体" w:hAnsi="宋体" w:eastAsia="宋体" w:cs="Times New Roman"/>
          <w:color w:val="auto"/>
          <w:sz w:val="24"/>
          <w:szCs w:val="21"/>
          <w:highlight w:val="none"/>
        </w:rPr>
        <w:t xml:space="preserve">  </w:t>
      </w:r>
      <w:r>
        <w:rPr>
          <w:rFonts w:hint="eastAsia" w:ascii="宋体" w:hAnsi="宋体" w:eastAsia="宋体" w:cs="Times New Roman"/>
          <w:color w:val="auto"/>
          <w:sz w:val="24"/>
          <w:szCs w:val="21"/>
          <w:highlight w:val="none"/>
        </w:rPr>
        <w:t xml:space="preserve">换花移栽前必须深翻细耙，除尽土中石块、草屑、残茎、落叶等杂物，并施足基肥。</w:t>
      </w:r>
      <w:r/>
    </w:p>
    <w:p>
      <w:pPr>
        <w:ind w:firstLine="480"/>
        <w:jc w:val="both"/>
        <w:spacing w:line="288" w:lineRule="auto"/>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第</w:t>
      </w:r>
      <w:r>
        <w:rPr>
          <w:rFonts w:hint="default" w:ascii="宋体" w:hAnsi="宋体" w:eastAsia="宋体" w:cs="Times New Roman"/>
          <w:color w:val="auto"/>
          <w:sz w:val="24"/>
          <w:szCs w:val="21"/>
          <w:highlight w:val="none"/>
        </w:rPr>
        <w:t xml:space="preserve">4</w:t>
      </w:r>
      <w:r>
        <w:rPr>
          <w:rFonts w:hint="eastAsia" w:ascii="宋体" w:hAnsi="宋体" w:eastAsia="宋体" w:cs="Times New Roman"/>
          <w:color w:val="auto"/>
          <w:sz w:val="24"/>
          <w:szCs w:val="21"/>
          <w:highlight w:val="none"/>
        </w:rPr>
        <w:t xml:space="preserve">.</w:t>
      </w:r>
      <w:r>
        <w:rPr>
          <w:rFonts w:hint="default" w:ascii="宋体" w:hAnsi="宋体" w:eastAsia="宋体" w:cs="Times New Roman"/>
          <w:color w:val="auto"/>
          <w:sz w:val="24"/>
          <w:szCs w:val="21"/>
          <w:highlight w:val="none"/>
        </w:rPr>
        <w:t xml:space="preserve">1</w:t>
      </w:r>
      <w:r>
        <w:rPr>
          <w:rFonts w:hint="eastAsia" w:ascii="宋体" w:hAnsi="宋体" w:eastAsia="宋体" w:cs="Times New Roman"/>
          <w:color w:val="auto"/>
          <w:sz w:val="24"/>
          <w:szCs w:val="21"/>
          <w:highlight w:val="none"/>
        </w:rPr>
        <w:t xml:space="preserve">.</w:t>
      </w:r>
      <w:r>
        <w:rPr>
          <w:rFonts w:hint="default" w:ascii="宋体" w:hAnsi="宋体" w:eastAsia="宋体" w:cs="Times New Roman"/>
          <w:color w:val="auto"/>
          <w:sz w:val="24"/>
          <w:szCs w:val="21"/>
          <w:highlight w:val="none"/>
        </w:rPr>
        <w:t xml:space="preserve">3</w:t>
      </w:r>
      <w:r>
        <w:rPr>
          <w:rFonts w:hint="eastAsia" w:ascii="宋体" w:hAnsi="宋体" w:eastAsia="宋体" w:cs="Times New Roman"/>
          <w:color w:val="auto"/>
          <w:sz w:val="24"/>
          <w:szCs w:val="21"/>
          <w:highlight w:val="none"/>
        </w:rPr>
        <w:t xml:space="preserve">条  花坛的防护设施应保持清洁完好，并尽量保证行人和游客的安全。</w:t>
      </w:r>
      <w:r>
        <w:rPr>
          <w:rFonts w:hint="default" w:ascii="宋体" w:hAnsi="宋体" w:eastAsia="宋体" w:cs="Times New Roman"/>
          <w:color w:val="auto"/>
          <w:sz w:val="24"/>
          <w:szCs w:val="21"/>
          <w:highlight w:val="none"/>
        </w:rPr>
        <w:t xml:space="preserve">   </w:t>
      </w:r>
      <w:r/>
    </w:p>
    <w:p>
      <w:pPr>
        <w:ind w:firstLine="480"/>
        <w:jc w:val="both"/>
        <w:spacing w:line="288" w:lineRule="auto"/>
        <w:rPr>
          <w:rFonts w:hint="default"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第</w:t>
      </w:r>
      <w:r>
        <w:rPr>
          <w:rFonts w:hint="default" w:ascii="宋体" w:hAnsi="宋体" w:eastAsia="宋体" w:cs="Times New Roman"/>
          <w:color w:val="auto"/>
          <w:sz w:val="24"/>
          <w:szCs w:val="21"/>
          <w:highlight w:val="none"/>
        </w:rPr>
        <w:t xml:space="preserve">4</w:t>
      </w:r>
      <w:r>
        <w:rPr>
          <w:rFonts w:hint="eastAsia" w:ascii="宋体" w:hAnsi="宋体" w:eastAsia="宋体" w:cs="Times New Roman"/>
          <w:color w:val="auto"/>
          <w:sz w:val="24"/>
          <w:szCs w:val="21"/>
          <w:highlight w:val="none"/>
        </w:rPr>
        <w:t xml:space="preserve">.</w:t>
      </w:r>
      <w:r>
        <w:rPr>
          <w:rFonts w:hint="default" w:ascii="宋体" w:hAnsi="宋体" w:eastAsia="宋体" w:cs="Times New Roman"/>
          <w:color w:val="auto"/>
          <w:sz w:val="24"/>
          <w:szCs w:val="21"/>
          <w:highlight w:val="none"/>
        </w:rPr>
        <w:t xml:space="preserve">1</w:t>
      </w:r>
      <w:r>
        <w:rPr>
          <w:rFonts w:hint="eastAsia" w:ascii="宋体" w:hAnsi="宋体" w:eastAsia="宋体" w:cs="Times New Roman"/>
          <w:color w:val="auto"/>
          <w:sz w:val="24"/>
          <w:szCs w:val="21"/>
          <w:highlight w:val="none"/>
        </w:rPr>
        <w:t xml:space="preserve">.</w:t>
      </w:r>
      <w:r>
        <w:rPr>
          <w:rFonts w:hint="default" w:ascii="宋体" w:hAnsi="宋体" w:eastAsia="宋体" w:cs="Times New Roman"/>
          <w:color w:val="auto"/>
          <w:sz w:val="24"/>
          <w:szCs w:val="21"/>
          <w:highlight w:val="none"/>
        </w:rPr>
        <w:t xml:space="preserve">4</w:t>
      </w:r>
      <w:r>
        <w:rPr>
          <w:rFonts w:hint="eastAsia" w:ascii="宋体" w:hAnsi="宋体" w:eastAsia="宋体" w:cs="Times New Roman"/>
          <w:color w:val="auto"/>
          <w:sz w:val="24"/>
          <w:szCs w:val="21"/>
          <w:highlight w:val="none"/>
        </w:rPr>
        <w:t xml:space="preserve">条</w:t>
      </w:r>
      <w:r>
        <w:rPr>
          <w:rFonts w:hint="default" w:ascii="宋体" w:hAnsi="宋体" w:eastAsia="宋体" w:cs="Times New Roman"/>
          <w:color w:val="auto"/>
          <w:sz w:val="24"/>
          <w:szCs w:val="21"/>
          <w:highlight w:val="none"/>
        </w:rPr>
        <w:t xml:space="preserve">  </w:t>
      </w:r>
      <w:r>
        <w:rPr>
          <w:rFonts w:hint="eastAsia" w:ascii="宋体" w:hAnsi="宋体" w:eastAsia="宋体" w:cs="Times New Roman"/>
          <w:color w:val="auto"/>
          <w:sz w:val="24"/>
          <w:szCs w:val="21"/>
          <w:highlight w:val="none"/>
        </w:rPr>
        <w:t xml:space="preserve">立体花坛要与周围环境相协调，设置在路边的立体花坛不得影响交通视线，立体花坛要稳固、防止大风刮倒。</w:t>
      </w:r>
      <w:r/>
    </w:p>
    <w:p>
      <w:pPr>
        <w:ind w:firstLine="480"/>
        <w:jc w:val="both"/>
        <w:spacing w:line="288" w:lineRule="auto"/>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第</w:t>
      </w:r>
      <w:r>
        <w:rPr>
          <w:rFonts w:hint="default" w:ascii="宋体" w:hAnsi="宋体" w:eastAsia="宋体" w:cs="Times New Roman"/>
          <w:color w:val="auto"/>
          <w:sz w:val="24"/>
          <w:szCs w:val="21"/>
          <w:highlight w:val="none"/>
        </w:rPr>
        <w:t xml:space="preserve">4</w:t>
      </w:r>
      <w:r>
        <w:rPr>
          <w:rFonts w:hint="eastAsia" w:ascii="宋体" w:hAnsi="宋体" w:eastAsia="宋体" w:cs="Times New Roman"/>
          <w:color w:val="auto"/>
          <w:sz w:val="24"/>
          <w:szCs w:val="21"/>
          <w:highlight w:val="none"/>
        </w:rPr>
        <w:t xml:space="preserve">.</w:t>
      </w:r>
      <w:r>
        <w:rPr>
          <w:rFonts w:hint="default" w:ascii="宋体" w:hAnsi="宋体" w:eastAsia="宋体" w:cs="Times New Roman"/>
          <w:color w:val="auto"/>
          <w:sz w:val="24"/>
          <w:szCs w:val="21"/>
          <w:highlight w:val="none"/>
        </w:rPr>
        <w:t xml:space="preserve">1</w:t>
      </w:r>
      <w:r>
        <w:rPr>
          <w:rFonts w:hint="eastAsia" w:ascii="宋体" w:hAnsi="宋体" w:eastAsia="宋体" w:cs="Times New Roman"/>
          <w:color w:val="auto"/>
          <w:sz w:val="24"/>
          <w:szCs w:val="21"/>
          <w:highlight w:val="none"/>
        </w:rPr>
        <w:t xml:space="preserve">.</w:t>
      </w:r>
      <w:r>
        <w:rPr>
          <w:rFonts w:hint="default" w:ascii="宋体" w:hAnsi="宋体" w:eastAsia="宋体" w:cs="Times New Roman"/>
          <w:color w:val="auto"/>
          <w:sz w:val="24"/>
          <w:szCs w:val="21"/>
          <w:highlight w:val="none"/>
        </w:rPr>
        <w:t xml:space="preserve">5</w:t>
      </w:r>
      <w:r>
        <w:rPr>
          <w:rFonts w:hint="eastAsia" w:ascii="宋体" w:hAnsi="宋体" w:eastAsia="宋体" w:cs="Times New Roman"/>
          <w:color w:val="auto"/>
          <w:sz w:val="24"/>
          <w:szCs w:val="21"/>
          <w:highlight w:val="none"/>
        </w:rPr>
        <w:t xml:space="preserve">条</w:t>
      </w:r>
      <w:r>
        <w:rPr>
          <w:rFonts w:hint="default" w:ascii="宋体" w:hAnsi="宋体" w:eastAsia="宋体" w:cs="Times New Roman"/>
          <w:color w:val="auto"/>
          <w:sz w:val="24"/>
          <w:szCs w:val="21"/>
          <w:highlight w:val="none"/>
        </w:rPr>
        <w:t xml:space="preserve">  </w:t>
      </w:r>
      <w:r>
        <w:rPr>
          <w:rFonts w:hint="eastAsia" w:ascii="宋体" w:hAnsi="宋体" w:eastAsia="宋体" w:cs="Times New Roman"/>
          <w:color w:val="auto"/>
          <w:sz w:val="24"/>
          <w:szCs w:val="21"/>
          <w:highlight w:val="none"/>
        </w:rPr>
        <w:t xml:space="preserve">主要花坛换花时空置期在3天之内，花卉覆盖率为90％以上。</w:t>
      </w:r>
      <w:r/>
    </w:p>
    <w:p>
      <w:pPr>
        <w:ind w:firstLine="482"/>
        <w:jc w:val="both"/>
        <w:spacing w:line="288" w:lineRule="auto"/>
        <w:rPr>
          <w:rFonts w:hint="eastAsia" w:ascii="宋体" w:hAnsi="宋体" w:eastAsia="宋体" w:cs="Times New Roman"/>
          <w:b/>
          <w:bCs/>
          <w:color w:val="auto"/>
          <w:sz w:val="24"/>
          <w:szCs w:val="21"/>
          <w:highlight w:val="none"/>
        </w:rPr>
        <w:outlineLvl w:val="9"/>
      </w:pPr>
      <w:r>
        <w:rPr>
          <w:rFonts w:hint="eastAsia" w:ascii="宋体" w:hAnsi="宋体" w:eastAsia="宋体" w:cs="Times New Roman"/>
          <w:b/>
          <w:bCs/>
          <w:color w:val="auto"/>
          <w:sz w:val="24"/>
          <w:szCs w:val="21"/>
          <w:highlight w:val="none"/>
        </w:rPr>
        <w:t xml:space="preserve">第二节  宿根花卉</w:t>
      </w:r>
      <w:r/>
    </w:p>
    <w:p>
      <w:pPr>
        <w:ind w:firstLine="480"/>
        <w:jc w:val="both"/>
        <w:spacing w:line="288" w:lineRule="auto"/>
        <w:rPr>
          <w:rFonts w:hint="eastAsia" w:ascii="宋体" w:hAnsi="宋体" w:eastAsia="宋体" w:cs="Times New Roman"/>
          <w:b/>
          <w:bCs/>
          <w:color w:val="auto"/>
          <w:sz w:val="24"/>
          <w:szCs w:val="21"/>
          <w:highlight w:val="none"/>
        </w:rPr>
        <w:outlineLvl w:val="9"/>
      </w:pPr>
      <w:r>
        <w:rPr>
          <w:rFonts w:hint="eastAsia" w:ascii="宋体" w:hAnsi="宋体" w:eastAsia="宋体" w:cs="Times New Roman"/>
          <w:color w:val="auto"/>
          <w:sz w:val="24"/>
          <w:szCs w:val="21"/>
          <w:highlight w:val="none"/>
        </w:rPr>
        <w:t xml:space="preserve">第</w:t>
      </w:r>
      <w:r>
        <w:rPr>
          <w:rFonts w:hint="default" w:ascii="宋体" w:hAnsi="宋体" w:eastAsia="宋体" w:cs="Times New Roman"/>
          <w:color w:val="auto"/>
          <w:sz w:val="24"/>
          <w:szCs w:val="21"/>
          <w:highlight w:val="none"/>
        </w:rPr>
        <w:t xml:space="preserve">4.</w:t>
      </w:r>
      <w:r>
        <w:rPr>
          <w:rFonts w:hint="eastAsia" w:ascii="宋体" w:hAnsi="宋体" w:eastAsia="宋体" w:cs="Times New Roman"/>
          <w:color w:val="auto"/>
          <w:sz w:val="24"/>
          <w:szCs w:val="21"/>
          <w:highlight w:val="none"/>
        </w:rPr>
        <w:t xml:space="preserve">2</w:t>
      </w:r>
      <w:r>
        <w:rPr>
          <w:rFonts w:hint="default" w:ascii="宋体" w:hAnsi="宋体" w:eastAsia="宋体" w:cs="Times New Roman"/>
          <w:color w:val="auto"/>
          <w:sz w:val="24"/>
          <w:szCs w:val="21"/>
          <w:highlight w:val="none"/>
        </w:rPr>
        <w:t xml:space="preserve">.1</w:t>
      </w:r>
      <w:r>
        <w:rPr>
          <w:rFonts w:hint="eastAsia" w:ascii="宋体" w:hAnsi="宋体" w:eastAsia="宋体" w:cs="Times New Roman"/>
          <w:color w:val="auto"/>
          <w:sz w:val="24"/>
          <w:szCs w:val="21"/>
          <w:highlight w:val="none"/>
        </w:rPr>
        <w:t xml:space="preserve">条  </w:t>
      </w:r>
      <w:r>
        <w:rPr>
          <w:rFonts w:hint="default" w:ascii="宋体" w:hAnsi="宋体" w:eastAsia="宋体" w:cs="Times New Roman"/>
          <w:color w:val="auto"/>
          <w:sz w:val="24"/>
          <w:szCs w:val="21"/>
          <w:highlight w:val="none"/>
        </w:rPr>
        <w:t xml:space="preserve">应根据宿根花卉不同品种的开花结实、越冬休眠等生长习性，采取相应养管措施。</w:t>
      </w:r>
      <w:r/>
    </w:p>
    <w:p>
      <w:pPr>
        <w:ind w:firstLine="480"/>
        <w:jc w:val="both"/>
        <w:spacing w:line="288" w:lineRule="auto"/>
        <w:rPr>
          <w:rFonts w:hint="eastAsia" w:ascii="宋体" w:hAnsi="宋体" w:eastAsia="宋体" w:cs="Times New Roman"/>
          <w:b/>
          <w:bCs/>
          <w:color w:val="auto"/>
          <w:sz w:val="24"/>
          <w:szCs w:val="21"/>
          <w:highlight w:val="none"/>
        </w:rPr>
        <w:outlineLvl w:val="9"/>
      </w:pPr>
      <w:r>
        <w:rPr>
          <w:rFonts w:hint="eastAsia" w:ascii="宋体" w:hAnsi="宋体" w:eastAsia="宋体" w:cs="Times New Roman"/>
          <w:color w:val="auto"/>
          <w:sz w:val="24"/>
          <w:szCs w:val="21"/>
          <w:highlight w:val="none"/>
        </w:rPr>
        <w:t xml:space="preserve">第</w:t>
      </w:r>
      <w:r>
        <w:rPr>
          <w:rFonts w:hint="default" w:ascii="宋体" w:hAnsi="宋体" w:eastAsia="宋体" w:cs="Times New Roman"/>
          <w:color w:val="auto"/>
          <w:sz w:val="24"/>
          <w:szCs w:val="21"/>
          <w:highlight w:val="none"/>
        </w:rPr>
        <w:t xml:space="preserve">4.</w:t>
      </w:r>
      <w:r>
        <w:rPr>
          <w:rFonts w:hint="eastAsia" w:ascii="宋体" w:hAnsi="宋体" w:eastAsia="宋体" w:cs="Times New Roman"/>
          <w:color w:val="auto"/>
          <w:sz w:val="24"/>
          <w:szCs w:val="21"/>
          <w:highlight w:val="none"/>
        </w:rPr>
        <w:t xml:space="preserve">2</w:t>
      </w:r>
      <w:r>
        <w:rPr>
          <w:rFonts w:hint="default" w:ascii="宋体" w:hAnsi="宋体" w:eastAsia="宋体" w:cs="Times New Roman"/>
          <w:color w:val="auto"/>
          <w:sz w:val="24"/>
          <w:szCs w:val="21"/>
          <w:highlight w:val="none"/>
        </w:rPr>
        <w:t xml:space="preserve">.2</w:t>
      </w:r>
      <w:r>
        <w:rPr>
          <w:rFonts w:hint="eastAsia" w:ascii="宋体" w:hAnsi="宋体" w:eastAsia="宋体" w:cs="Times New Roman"/>
          <w:color w:val="auto"/>
          <w:sz w:val="24"/>
          <w:szCs w:val="21"/>
          <w:highlight w:val="none"/>
        </w:rPr>
        <w:t xml:space="preserve">条 </w:t>
      </w:r>
      <w:r>
        <w:rPr>
          <w:rFonts w:hint="default" w:ascii="宋体" w:hAnsi="宋体" w:eastAsia="宋体" w:cs="Times New Roman"/>
          <w:color w:val="auto"/>
          <w:sz w:val="24"/>
          <w:szCs w:val="21"/>
          <w:highlight w:val="none"/>
        </w:rPr>
        <w:t xml:space="preserve"> 宿根花卉开花后，对不具观果价值的品种应及时修剪残枝、残花、残果。</w:t>
      </w:r>
      <w:r/>
    </w:p>
    <w:p>
      <w:pPr>
        <w:ind w:firstLine="480"/>
        <w:jc w:val="both"/>
        <w:spacing w:line="288" w:lineRule="auto"/>
        <w:rPr>
          <w:rFonts w:hint="default" w:ascii="宋体" w:hAnsi="宋体" w:eastAsia="宋体" w:cs="Times New Roman"/>
          <w:b/>
          <w:bCs/>
          <w:color w:val="auto"/>
          <w:sz w:val="24"/>
          <w:szCs w:val="21"/>
          <w:highlight w:val="none"/>
        </w:rPr>
        <w:outlineLvl w:val="9"/>
      </w:pPr>
      <w:r>
        <w:rPr>
          <w:rFonts w:hint="eastAsia" w:ascii="宋体" w:hAnsi="宋体" w:eastAsia="宋体" w:cs="Times New Roman"/>
          <w:color w:val="auto"/>
          <w:sz w:val="24"/>
          <w:szCs w:val="21"/>
          <w:highlight w:val="none"/>
        </w:rPr>
        <w:t xml:space="preserve">第</w:t>
      </w:r>
      <w:r>
        <w:rPr>
          <w:rFonts w:hint="default" w:ascii="宋体" w:hAnsi="宋体" w:eastAsia="宋体" w:cs="Times New Roman"/>
          <w:color w:val="auto"/>
          <w:sz w:val="24"/>
          <w:szCs w:val="21"/>
          <w:highlight w:val="none"/>
        </w:rPr>
        <w:t xml:space="preserve">4.</w:t>
      </w:r>
      <w:r>
        <w:rPr>
          <w:rFonts w:hint="eastAsia" w:ascii="宋体" w:hAnsi="宋体" w:eastAsia="宋体" w:cs="Times New Roman"/>
          <w:color w:val="auto"/>
          <w:sz w:val="24"/>
          <w:szCs w:val="21"/>
          <w:highlight w:val="none"/>
        </w:rPr>
        <w:t xml:space="preserve">2</w:t>
      </w:r>
      <w:r>
        <w:rPr>
          <w:rFonts w:hint="default" w:ascii="宋体" w:hAnsi="宋体" w:eastAsia="宋体" w:cs="Times New Roman"/>
          <w:color w:val="auto"/>
          <w:sz w:val="24"/>
          <w:szCs w:val="21"/>
          <w:highlight w:val="none"/>
        </w:rPr>
        <w:t xml:space="preserve">.3</w:t>
      </w:r>
      <w:r>
        <w:rPr>
          <w:rFonts w:hint="eastAsia" w:ascii="宋体" w:hAnsi="宋体" w:eastAsia="宋体" w:cs="Times New Roman"/>
          <w:color w:val="auto"/>
          <w:sz w:val="24"/>
          <w:szCs w:val="21"/>
          <w:highlight w:val="none"/>
        </w:rPr>
        <w:t xml:space="preserve">条 </w:t>
      </w:r>
      <w:r>
        <w:rPr>
          <w:rFonts w:hint="default" w:ascii="宋体" w:hAnsi="宋体" w:eastAsia="宋体" w:cs="Times New Roman"/>
          <w:color w:val="auto"/>
          <w:sz w:val="24"/>
          <w:szCs w:val="21"/>
          <w:highlight w:val="none"/>
        </w:rPr>
        <w:t xml:space="preserve"> 宿根花卉进入休眠状态后，应及时清除地上部枯枝、残叶。</w:t>
      </w:r>
      <w:r/>
    </w:p>
    <w:p>
      <w:pPr>
        <w:ind w:firstLine="480"/>
        <w:jc w:val="both"/>
        <w:spacing w:line="288" w:lineRule="auto"/>
        <w:rPr>
          <w:rFonts w:hint="default"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第</w:t>
      </w:r>
      <w:r>
        <w:rPr>
          <w:rFonts w:hint="default" w:ascii="宋体" w:hAnsi="宋体" w:eastAsia="宋体" w:cs="Times New Roman"/>
          <w:color w:val="auto"/>
          <w:sz w:val="24"/>
          <w:szCs w:val="21"/>
          <w:highlight w:val="none"/>
        </w:rPr>
        <w:t xml:space="preserve">4.</w:t>
      </w:r>
      <w:r>
        <w:rPr>
          <w:rFonts w:hint="eastAsia" w:ascii="宋体" w:hAnsi="宋体" w:eastAsia="宋体" w:cs="Times New Roman"/>
          <w:color w:val="auto"/>
          <w:sz w:val="24"/>
          <w:szCs w:val="21"/>
          <w:highlight w:val="none"/>
        </w:rPr>
        <w:t xml:space="preserve">2</w:t>
      </w:r>
      <w:r>
        <w:rPr>
          <w:rFonts w:hint="default" w:ascii="宋体" w:hAnsi="宋体" w:eastAsia="宋体" w:cs="Times New Roman"/>
          <w:color w:val="auto"/>
          <w:sz w:val="24"/>
          <w:szCs w:val="21"/>
          <w:highlight w:val="none"/>
        </w:rPr>
        <w:t xml:space="preserve">.4</w:t>
      </w:r>
      <w:r>
        <w:rPr>
          <w:rFonts w:hint="eastAsia" w:ascii="宋体" w:hAnsi="宋体" w:eastAsia="宋体" w:cs="Times New Roman"/>
          <w:color w:val="auto"/>
          <w:sz w:val="24"/>
          <w:szCs w:val="21"/>
          <w:highlight w:val="none"/>
        </w:rPr>
        <w:t xml:space="preserve">条 </w:t>
      </w:r>
      <w:r>
        <w:rPr>
          <w:rFonts w:hint="default" w:ascii="宋体" w:hAnsi="宋体" w:eastAsia="宋体" w:cs="Times New Roman"/>
          <w:color w:val="auto"/>
          <w:sz w:val="24"/>
          <w:szCs w:val="21"/>
          <w:highlight w:val="none"/>
        </w:rPr>
        <w:t xml:space="preserve"> 对根蘖成丛的宿根花卉，宜结合调整栽植密度，于休眠期进行分墩重栽。</w:t>
      </w:r>
      <w:r/>
    </w:p>
    <w:p>
      <w:pPr>
        <w:ind w:firstLine="480"/>
        <w:jc w:val="both"/>
        <w:spacing w:line="288" w:lineRule="auto"/>
        <w:rPr>
          <w:rFonts w:hint="default"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第</w:t>
      </w:r>
      <w:r>
        <w:rPr>
          <w:rFonts w:hint="default" w:ascii="宋体" w:hAnsi="宋体" w:eastAsia="宋体" w:cs="Times New Roman"/>
          <w:color w:val="auto"/>
          <w:sz w:val="24"/>
          <w:szCs w:val="21"/>
          <w:highlight w:val="none"/>
        </w:rPr>
        <w:t xml:space="preserve">4.</w:t>
      </w:r>
      <w:r>
        <w:rPr>
          <w:rFonts w:hint="eastAsia" w:ascii="宋体" w:hAnsi="宋体" w:eastAsia="宋体" w:cs="Times New Roman"/>
          <w:color w:val="auto"/>
          <w:sz w:val="24"/>
          <w:szCs w:val="21"/>
          <w:highlight w:val="none"/>
        </w:rPr>
        <w:t xml:space="preserve">2</w:t>
      </w:r>
      <w:r>
        <w:rPr>
          <w:rFonts w:hint="default" w:ascii="宋体" w:hAnsi="宋体" w:eastAsia="宋体" w:cs="Times New Roman"/>
          <w:color w:val="auto"/>
          <w:sz w:val="24"/>
          <w:szCs w:val="21"/>
          <w:highlight w:val="none"/>
        </w:rPr>
        <w:t xml:space="preserve">.5</w:t>
      </w:r>
      <w:r>
        <w:rPr>
          <w:rFonts w:hint="eastAsia" w:ascii="宋体" w:hAnsi="宋体" w:eastAsia="宋体" w:cs="Times New Roman"/>
          <w:color w:val="auto"/>
          <w:sz w:val="24"/>
          <w:szCs w:val="21"/>
          <w:highlight w:val="none"/>
        </w:rPr>
        <w:t xml:space="preserve">条 </w:t>
      </w:r>
      <w:r>
        <w:rPr>
          <w:rFonts w:hint="default" w:ascii="宋体" w:hAnsi="宋体" w:eastAsia="宋体" w:cs="Times New Roman"/>
          <w:color w:val="auto"/>
          <w:sz w:val="24"/>
          <w:szCs w:val="21"/>
          <w:highlight w:val="none"/>
        </w:rPr>
        <w:t xml:space="preserve"> 冬季宜对耐寒性差的宿根花卉培土保墒、防寒。</w:t>
      </w:r>
      <w:r/>
    </w:p>
    <w:p>
      <w:pPr>
        <w:ind w:firstLine="480"/>
        <w:jc w:val="both"/>
        <w:spacing w:line="288" w:lineRule="auto"/>
        <w:rPr>
          <w:rFonts w:hint="default"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第</w:t>
      </w:r>
      <w:r>
        <w:rPr>
          <w:rFonts w:hint="default" w:ascii="宋体" w:hAnsi="宋体" w:eastAsia="宋体" w:cs="Times New Roman"/>
          <w:color w:val="auto"/>
          <w:sz w:val="24"/>
          <w:szCs w:val="21"/>
          <w:highlight w:val="none"/>
        </w:rPr>
        <w:t xml:space="preserve">4.</w:t>
      </w:r>
      <w:r>
        <w:rPr>
          <w:rFonts w:hint="eastAsia" w:ascii="宋体" w:hAnsi="宋体" w:eastAsia="宋体" w:cs="Times New Roman"/>
          <w:color w:val="auto"/>
          <w:sz w:val="24"/>
          <w:szCs w:val="21"/>
          <w:highlight w:val="none"/>
        </w:rPr>
        <w:t xml:space="preserve">2</w:t>
      </w:r>
      <w:r>
        <w:rPr>
          <w:rFonts w:hint="default" w:ascii="宋体" w:hAnsi="宋体" w:eastAsia="宋体" w:cs="Times New Roman"/>
          <w:color w:val="auto"/>
          <w:sz w:val="24"/>
          <w:szCs w:val="21"/>
          <w:highlight w:val="none"/>
        </w:rPr>
        <w:t xml:space="preserve">.6</w:t>
      </w:r>
      <w:r>
        <w:rPr>
          <w:rFonts w:hint="eastAsia" w:ascii="宋体" w:hAnsi="宋体" w:eastAsia="宋体" w:cs="Times New Roman"/>
          <w:color w:val="auto"/>
          <w:sz w:val="24"/>
          <w:szCs w:val="21"/>
          <w:highlight w:val="none"/>
        </w:rPr>
        <w:t xml:space="preserve">条 </w:t>
      </w:r>
      <w:r>
        <w:rPr>
          <w:rFonts w:hint="default" w:ascii="宋体" w:hAnsi="宋体" w:eastAsia="宋体" w:cs="Times New Roman"/>
          <w:color w:val="auto"/>
          <w:sz w:val="24"/>
          <w:szCs w:val="21"/>
          <w:highlight w:val="none"/>
        </w:rPr>
        <w:t xml:space="preserve"> </w:t>
      </w:r>
      <w:r>
        <w:rPr>
          <w:rFonts w:hint="eastAsia" w:ascii="宋体" w:hAnsi="宋体" w:eastAsia="宋体" w:cs="Times New Roman"/>
          <w:color w:val="auto"/>
          <w:sz w:val="24"/>
          <w:szCs w:val="21"/>
          <w:highlight w:val="none"/>
          <w:lang w:eastAsia="zh-CN"/>
        </w:rPr>
        <w:t xml:space="preserve">对于</w:t>
      </w:r>
      <w:r>
        <w:rPr>
          <w:rFonts w:hint="default" w:ascii="宋体" w:hAnsi="宋体" w:eastAsia="宋体" w:cs="Times New Roman"/>
          <w:color w:val="auto"/>
          <w:sz w:val="24"/>
          <w:szCs w:val="21"/>
          <w:highlight w:val="none"/>
        </w:rPr>
        <w:t xml:space="preserve">倒伏的宿根花卉应适时修剪。对有二次开花习性的宿根花卉应在花后适时进行修剪。</w:t>
      </w:r>
      <w:r/>
    </w:p>
    <w:p>
      <w:pPr>
        <w:ind w:firstLine="480"/>
        <w:jc w:val="both"/>
        <w:spacing w:line="288" w:lineRule="auto"/>
        <w:rPr>
          <w:rFonts w:hint="default"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第</w:t>
      </w:r>
      <w:r>
        <w:rPr>
          <w:rFonts w:hint="default" w:ascii="宋体" w:hAnsi="宋体" w:eastAsia="宋体" w:cs="Times New Roman"/>
          <w:color w:val="auto"/>
          <w:sz w:val="24"/>
          <w:szCs w:val="21"/>
          <w:highlight w:val="none"/>
        </w:rPr>
        <w:t xml:space="preserve">4.</w:t>
      </w:r>
      <w:r>
        <w:rPr>
          <w:rFonts w:hint="eastAsia" w:ascii="宋体" w:hAnsi="宋体" w:eastAsia="宋体" w:cs="Times New Roman"/>
          <w:color w:val="auto"/>
          <w:sz w:val="24"/>
          <w:szCs w:val="21"/>
          <w:highlight w:val="none"/>
        </w:rPr>
        <w:t xml:space="preserve">2</w:t>
      </w:r>
      <w:r>
        <w:rPr>
          <w:rFonts w:hint="default" w:ascii="宋体" w:hAnsi="宋体" w:eastAsia="宋体" w:cs="Times New Roman"/>
          <w:color w:val="auto"/>
          <w:sz w:val="24"/>
          <w:szCs w:val="21"/>
          <w:highlight w:val="none"/>
        </w:rPr>
        <w:t xml:space="preserve">.7</w:t>
      </w:r>
      <w:r>
        <w:rPr>
          <w:rFonts w:hint="eastAsia" w:ascii="宋体" w:hAnsi="宋体" w:eastAsia="宋体" w:cs="Times New Roman"/>
          <w:color w:val="auto"/>
          <w:sz w:val="24"/>
          <w:szCs w:val="21"/>
          <w:highlight w:val="none"/>
        </w:rPr>
        <w:t xml:space="preserve">条 </w:t>
      </w:r>
      <w:r>
        <w:rPr>
          <w:rFonts w:hint="default" w:ascii="宋体" w:hAnsi="宋体" w:eastAsia="宋体" w:cs="Times New Roman"/>
          <w:color w:val="auto"/>
          <w:sz w:val="24"/>
          <w:szCs w:val="21"/>
          <w:highlight w:val="none"/>
        </w:rPr>
        <w:t xml:space="preserve"> 宿根花卉生长期间应进行追肥或叶面施肥。</w:t>
      </w:r>
      <w:r/>
    </w:p>
    <w:p>
      <w:pPr>
        <w:ind w:firstLine="480"/>
        <w:jc w:val="both"/>
        <w:spacing w:line="288" w:lineRule="auto"/>
        <w:rPr>
          <w:rFonts w:hint="default"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第</w:t>
      </w:r>
      <w:r>
        <w:rPr>
          <w:rFonts w:hint="default" w:ascii="宋体" w:hAnsi="宋体" w:eastAsia="宋体" w:cs="Times New Roman"/>
          <w:color w:val="auto"/>
          <w:sz w:val="24"/>
          <w:szCs w:val="21"/>
          <w:highlight w:val="none"/>
        </w:rPr>
        <w:t xml:space="preserve">4.</w:t>
      </w:r>
      <w:r>
        <w:rPr>
          <w:rFonts w:hint="eastAsia" w:ascii="宋体" w:hAnsi="宋体" w:eastAsia="宋体" w:cs="Times New Roman"/>
          <w:color w:val="auto"/>
          <w:sz w:val="24"/>
          <w:szCs w:val="21"/>
          <w:highlight w:val="none"/>
        </w:rPr>
        <w:t xml:space="preserve">2</w:t>
      </w:r>
      <w:r>
        <w:rPr>
          <w:rFonts w:hint="default" w:ascii="宋体" w:hAnsi="宋体" w:eastAsia="宋体" w:cs="Times New Roman"/>
          <w:color w:val="auto"/>
          <w:sz w:val="24"/>
          <w:szCs w:val="21"/>
          <w:highlight w:val="none"/>
        </w:rPr>
        <w:t xml:space="preserve">.8</w:t>
      </w:r>
      <w:r>
        <w:rPr>
          <w:rFonts w:hint="eastAsia" w:ascii="宋体" w:hAnsi="宋体" w:eastAsia="宋体" w:cs="Times New Roman"/>
          <w:color w:val="auto"/>
          <w:sz w:val="24"/>
          <w:szCs w:val="21"/>
          <w:highlight w:val="none"/>
        </w:rPr>
        <w:t xml:space="preserve">条 </w:t>
      </w:r>
      <w:r>
        <w:rPr>
          <w:rFonts w:hint="default" w:ascii="宋体" w:hAnsi="宋体" w:eastAsia="宋体" w:cs="Times New Roman"/>
          <w:color w:val="auto"/>
          <w:sz w:val="24"/>
          <w:szCs w:val="21"/>
          <w:highlight w:val="none"/>
        </w:rPr>
        <w:t xml:space="preserve"> 应根据土壤墒情适时浇水。喜湿的品种应在生长期保持充足的水分供给。宿根花卉必须浇返青水和冻水。</w:t>
      </w:r>
      <w:r/>
    </w:p>
    <w:p>
      <w:pPr>
        <w:ind w:firstLine="482"/>
        <w:jc w:val="both"/>
        <w:spacing w:line="288" w:lineRule="auto"/>
        <w:rPr>
          <w:rFonts w:hint="eastAsia" w:ascii="宋体" w:hAnsi="宋体" w:eastAsia="宋体" w:cs="Times New Roman"/>
          <w:b/>
          <w:bCs/>
          <w:color w:val="auto"/>
          <w:sz w:val="24"/>
          <w:szCs w:val="21"/>
          <w:highlight w:val="none"/>
        </w:rPr>
        <w:outlineLvl w:val="9"/>
      </w:pPr>
      <w:r>
        <w:rPr>
          <w:rFonts w:hint="eastAsia" w:ascii="宋体" w:hAnsi="宋体" w:eastAsia="宋体" w:cs="Times New Roman"/>
          <w:b/>
          <w:bCs/>
          <w:color w:val="auto"/>
          <w:sz w:val="24"/>
          <w:szCs w:val="21"/>
          <w:highlight w:val="none"/>
        </w:rPr>
        <w:t xml:space="preserve">第三节  草花</w:t>
      </w:r>
      <w:r/>
    </w:p>
    <w:p>
      <w:pPr>
        <w:ind w:firstLine="480"/>
        <w:jc w:val="both"/>
        <w:spacing w:line="288" w:lineRule="auto"/>
        <w:rPr>
          <w:rFonts w:hint="default"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第</w:t>
      </w:r>
      <w:r>
        <w:rPr>
          <w:rFonts w:hint="default" w:ascii="宋体" w:hAnsi="宋体" w:eastAsia="宋体" w:cs="Times New Roman"/>
          <w:color w:val="auto"/>
          <w:sz w:val="24"/>
          <w:szCs w:val="21"/>
          <w:highlight w:val="none"/>
        </w:rPr>
        <w:t xml:space="preserve">4.</w:t>
      </w:r>
      <w:r>
        <w:rPr>
          <w:rFonts w:hint="eastAsia" w:ascii="宋体" w:hAnsi="宋体" w:eastAsia="宋体" w:cs="Times New Roman"/>
          <w:color w:val="auto"/>
          <w:sz w:val="24"/>
          <w:szCs w:val="21"/>
          <w:highlight w:val="none"/>
        </w:rPr>
        <w:t xml:space="preserve">3</w:t>
      </w:r>
      <w:r>
        <w:rPr>
          <w:rFonts w:hint="default" w:ascii="宋体" w:hAnsi="宋体" w:eastAsia="宋体" w:cs="Times New Roman"/>
          <w:color w:val="auto"/>
          <w:sz w:val="24"/>
          <w:szCs w:val="21"/>
          <w:highlight w:val="none"/>
        </w:rPr>
        <w:t xml:space="preserve">.1</w:t>
      </w:r>
      <w:r>
        <w:rPr>
          <w:rFonts w:hint="eastAsia" w:ascii="宋体" w:hAnsi="宋体" w:eastAsia="宋体" w:cs="Times New Roman"/>
          <w:color w:val="auto"/>
          <w:sz w:val="24"/>
          <w:szCs w:val="21"/>
          <w:highlight w:val="none"/>
        </w:rPr>
        <w:t xml:space="preserve">条 </w:t>
      </w:r>
      <w:r>
        <w:rPr>
          <w:rFonts w:hint="default" w:ascii="宋体" w:hAnsi="宋体" w:eastAsia="宋体" w:cs="Times New Roman"/>
          <w:color w:val="auto"/>
          <w:sz w:val="24"/>
          <w:szCs w:val="21"/>
          <w:highlight w:val="none"/>
        </w:rPr>
        <w:t xml:space="preserve"> </w:t>
      </w:r>
      <w:r>
        <w:rPr>
          <w:rFonts w:hint="eastAsia" w:ascii="宋体" w:hAnsi="宋体" w:eastAsia="宋体" w:cs="Times New Roman"/>
          <w:color w:val="auto"/>
          <w:sz w:val="24"/>
          <w:szCs w:val="21"/>
          <w:highlight w:val="none"/>
        </w:rPr>
        <w:t xml:space="preserve">各类花卉的种植，在最高气温</w:t>
      </w:r>
      <w:r>
        <w:rPr>
          <w:rFonts w:hint="default" w:ascii="宋体" w:hAnsi="宋体" w:eastAsia="宋体" w:cs="Times New Roman"/>
          <w:color w:val="auto"/>
          <w:sz w:val="24"/>
          <w:szCs w:val="21"/>
          <w:highlight w:val="none"/>
        </w:rPr>
        <w:t xml:space="preserve">25C</w:t>
      </w:r>
      <w:r>
        <w:rPr>
          <w:rFonts w:hint="eastAsia" w:ascii="宋体" w:hAnsi="宋体" w:eastAsia="宋体" w:cs="Times New Roman"/>
          <w:color w:val="auto"/>
          <w:sz w:val="24"/>
          <w:szCs w:val="21"/>
          <w:highlight w:val="none"/>
          <w:vertAlign w:val="superscript"/>
        </w:rPr>
        <w:t xml:space="preserve">0</w:t>
      </w:r>
      <w:r>
        <w:rPr>
          <w:rFonts w:hint="eastAsia" w:ascii="宋体" w:hAnsi="宋体" w:eastAsia="宋体" w:cs="Times New Roman"/>
          <w:color w:val="auto"/>
          <w:sz w:val="24"/>
          <w:szCs w:val="21"/>
          <w:highlight w:val="none"/>
        </w:rPr>
        <w:t xml:space="preserve">以下时可全天种植；当气温高于</w:t>
      </w:r>
      <w:r>
        <w:rPr>
          <w:rFonts w:hint="default" w:ascii="宋体" w:hAnsi="宋体" w:eastAsia="宋体" w:cs="Times New Roman"/>
          <w:color w:val="auto"/>
          <w:sz w:val="24"/>
          <w:szCs w:val="21"/>
          <w:highlight w:val="none"/>
        </w:rPr>
        <w:t xml:space="preserve">25</w:t>
      </w:r>
      <w:r>
        <w:rPr>
          <w:rFonts w:hint="eastAsia" w:ascii="宋体" w:hAnsi="宋体" w:eastAsia="宋体" w:cs="Times New Roman"/>
          <w:color w:val="auto"/>
          <w:sz w:val="24"/>
          <w:szCs w:val="21"/>
          <w:highlight w:val="none"/>
        </w:rPr>
        <w:t xml:space="preserve">C</w:t>
      </w:r>
      <w:r>
        <w:rPr>
          <w:rFonts w:hint="eastAsia" w:ascii="宋体" w:hAnsi="宋体" w:eastAsia="宋体" w:cs="Times New Roman"/>
          <w:color w:val="auto"/>
          <w:sz w:val="24"/>
          <w:szCs w:val="21"/>
          <w:highlight w:val="none"/>
          <w:vertAlign w:val="superscript"/>
        </w:rPr>
        <w:t xml:space="preserve">0</w:t>
      </w:r>
      <w:r>
        <w:rPr>
          <w:rFonts w:hint="eastAsia" w:ascii="宋体" w:hAnsi="宋体" w:eastAsia="宋体" w:cs="Times New Roman"/>
          <w:color w:val="auto"/>
          <w:sz w:val="24"/>
          <w:szCs w:val="21"/>
          <w:highlight w:val="none"/>
        </w:rPr>
        <w:t xml:space="preserve">时，应避开中午高温时间，宜在早晨、傍晚或阴天进行，移栽后应立即浇透水，浇水时防止土壤冲到茎叶上，保持植株清洁。</w:t>
      </w:r>
      <w:r/>
    </w:p>
    <w:p>
      <w:pPr>
        <w:ind w:firstLine="480"/>
        <w:jc w:val="both"/>
        <w:spacing w:line="288" w:lineRule="auto"/>
        <w:rPr>
          <w:rFonts w:hint="default"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第</w:t>
      </w:r>
      <w:r>
        <w:rPr>
          <w:rFonts w:hint="default" w:ascii="宋体" w:hAnsi="宋体" w:eastAsia="宋体" w:cs="Times New Roman"/>
          <w:color w:val="auto"/>
          <w:sz w:val="24"/>
          <w:szCs w:val="21"/>
          <w:highlight w:val="none"/>
        </w:rPr>
        <w:t xml:space="preserve">4.</w:t>
      </w:r>
      <w:r>
        <w:rPr>
          <w:rFonts w:hint="eastAsia" w:ascii="宋体" w:hAnsi="宋体" w:eastAsia="宋体" w:cs="Times New Roman"/>
          <w:color w:val="auto"/>
          <w:sz w:val="24"/>
          <w:szCs w:val="21"/>
          <w:highlight w:val="none"/>
        </w:rPr>
        <w:t xml:space="preserve">3</w:t>
      </w:r>
      <w:r>
        <w:rPr>
          <w:rFonts w:hint="default" w:ascii="宋体" w:hAnsi="宋体" w:eastAsia="宋体" w:cs="Times New Roman"/>
          <w:color w:val="auto"/>
          <w:sz w:val="24"/>
          <w:szCs w:val="21"/>
          <w:highlight w:val="none"/>
        </w:rPr>
        <w:t xml:space="preserve">.2</w:t>
      </w:r>
      <w:r>
        <w:rPr>
          <w:rFonts w:hint="eastAsia" w:ascii="宋体" w:hAnsi="宋体" w:eastAsia="宋体" w:cs="Times New Roman"/>
          <w:color w:val="auto"/>
          <w:sz w:val="24"/>
          <w:szCs w:val="21"/>
          <w:highlight w:val="none"/>
        </w:rPr>
        <w:t xml:space="preserve">条 </w:t>
      </w:r>
      <w:r>
        <w:rPr>
          <w:rFonts w:hint="default" w:ascii="宋体" w:hAnsi="宋体" w:eastAsia="宋体" w:cs="Times New Roman"/>
          <w:color w:val="auto"/>
          <w:sz w:val="24"/>
          <w:szCs w:val="21"/>
          <w:highlight w:val="none"/>
        </w:rPr>
        <w:t xml:space="preserve"> 草本花卉需摘心的品种</w:t>
      </w:r>
      <w:r>
        <w:rPr>
          <w:rFonts w:hint="eastAsia" w:ascii="宋体" w:hAnsi="宋体" w:eastAsia="宋体" w:cs="Times New Roman"/>
          <w:color w:val="auto"/>
          <w:sz w:val="24"/>
          <w:szCs w:val="21"/>
          <w:highlight w:val="none"/>
          <w:lang w:eastAsia="zh-CN"/>
        </w:rPr>
        <w:t xml:space="preserve">（</w:t>
      </w:r>
      <w:r>
        <w:rPr>
          <w:rFonts w:hint="default" w:ascii="宋体" w:hAnsi="宋体" w:eastAsia="宋体" w:cs="Times New Roman"/>
          <w:color w:val="auto"/>
          <w:sz w:val="24"/>
          <w:szCs w:val="21"/>
          <w:highlight w:val="none"/>
        </w:rPr>
        <w:t xml:space="preserve">如一串红、菊花</w:t>
      </w:r>
      <w:r>
        <w:rPr>
          <w:rFonts w:hint="eastAsia" w:ascii="宋体" w:hAnsi="宋体" w:eastAsia="宋体" w:cs="Times New Roman"/>
          <w:color w:val="auto"/>
          <w:sz w:val="24"/>
          <w:szCs w:val="21"/>
          <w:highlight w:val="none"/>
          <w:lang w:eastAsia="zh-CN"/>
        </w:rPr>
        <w:t xml:space="preserve">）</w:t>
      </w:r>
      <w:r>
        <w:rPr>
          <w:rFonts w:hint="default" w:ascii="宋体" w:hAnsi="宋体" w:eastAsia="宋体" w:cs="Times New Roman"/>
          <w:color w:val="auto"/>
          <w:sz w:val="24"/>
          <w:szCs w:val="21"/>
          <w:highlight w:val="none"/>
        </w:rPr>
        <w:t xml:space="preserve">应及时摘心。对株型高、花茎长、花朵大的品种</w:t>
      </w:r>
      <w:r>
        <w:rPr>
          <w:rFonts w:hint="eastAsia" w:ascii="宋体" w:hAnsi="宋体" w:eastAsia="宋体" w:cs="Times New Roman"/>
          <w:color w:val="auto"/>
          <w:sz w:val="24"/>
          <w:szCs w:val="21"/>
          <w:highlight w:val="none"/>
          <w:lang w:eastAsia="zh-CN"/>
        </w:rPr>
        <w:t xml:space="preserve">（</w:t>
      </w:r>
      <w:r>
        <w:rPr>
          <w:rFonts w:hint="default" w:ascii="宋体" w:hAnsi="宋体" w:eastAsia="宋体" w:cs="Times New Roman"/>
          <w:color w:val="auto"/>
          <w:sz w:val="24"/>
          <w:szCs w:val="21"/>
          <w:highlight w:val="none"/>
        </w:rPr>
        <w:t xml:space="preserve">如菊花</w:t>
      </w:r>
      <w:r>
        <w:rPr>
          <w:rFonts w:hint="eastAsia" w:ascii="宋体" w:hAnsi="宋体" w:eastAsia="宋体" w:cs="Times New Roman"/>
          <w:color w:val="auto"/>
          <w:sz w:val="24"/>
          <w:szCs w:val="21"/>
          <w:highlight w:val="none"/>
          <w:lang w:eastAsia="zh-CN"/>
        </w:rPr>
        <w:t xml:space="preserve">）</w:t>
      </w:r>
      <w:r>
        <w:rPr>
          <w:rFonts w:hint="default" w:ascii="宋体" w:hAnsi="宋体" w:eastAsia="宋体" w:cs="Times New Roman"/>
          <w:color w:val="auto"/>
          <w:sz w:val="24"/>
          <w:szCs w:val="21"/>
          <w:highlight w:val="none"/>
        </w:rPr>
        <w:t xml:space="preserve">，应用支柱固定。</w:t>
      </w:r>
      <w:r/>
    </w:p>
    <w:p>
      <w:pPr>
        <w:ind w:firstLine="480"/>
        <w:jc w:val="both"/>
        <w:spacing w:line="288" w:lineRule="auto"/>
        <w:rPr>
          <w:rFonts w:hint="default"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第</w:t>
      </w:r>
      <w:r>
        <w:rPr>
          <w:rFonts w:hint="default" w:ascii="宋体" w:hAnsi="宋体" w:eastAsia="宋体" w:cs="Times New Roman"/>
          <w:color w:val="auto"/>
          <w:sz w:val="24"/>
          <w:szCs w:val="21"/>
          <w:highlight w:val="none"/>
        </w:rPr>
        <w:t xml:space="preserve">4.</w:t>
      </w:r>
      <w:r>
        <w:rPr>
          <w:rFonts w:hint="eastAsia" w:ascii="宋体" w:hAnsi="宋体" w:eastAsia="宋体" w:cs="Times New Roman"/>
          <w:color w:val="auto"/>
          <w:sz w:val="24"/>
          <w:szCs w:val="21"/>
          <w:highlight w:val="none"/>
        </w:rPr>
        <w:t xml:space="preserve">3</w:t>
      </w:r>
      <w:r>
        <w:rPr>
          <w:rFonts w:hint="default" w:ascii="宋体" w:hAnsi="宋体" w:eastAsia="宋体" w:cs="Times New Roman"/>
          <w:color w:val="auto"/>
          <w:sz w:val="24"/>
          <w:szCs w:val="21"/>
          <w:highlight w:val="none"/>
        </w:rPr>
        <w:t xml:space="preserve">.3</w:t>
      </w:r>
      <w:r>
        <w:rPr>
          <w:rFonts w:hint="eastAsia" w:ascii="宋体" w:hAnsi="宋体" w:eastAsia="宋体" w:cs="Times New Roman"/>
          <w:color w:val="auto"/>
          <w:sz w:val="24"/>
          <w:szCs w:val="21"/>
          <w:highlight w:val="none"/>
        </w:rPr>
        <w:t xml:space="preserve">条 </w:t>
      </w:r>
      <w:r>
        <w:rPr>
          <w:rFonts w:hint="default" w:ascii="宋体" w:hAnsi="宋体" w:eastAsia="宋体" w:cs="Times New Roman"/>
          <w:color w:val="auto"/>
          <w:sz w:val="24"/>
          <w:szCs w:val="21"/>
          <w:highlight w:val="none"/>
        </w:rPr>
        <w:t xml:space="preserve"> </w:t>
      </w:r>
      <w:r>
        <w:rPr>
          <w:rFonts w:hint="eastAsia" w:ascii="宋体" w:hAnsi="宋体" w:eastAsia="宋体" w:cs="Times New Roman"/>
          <w:color w:val="auto"/>
          <w:sz w:val="24"/>
          <w:szCs w:val="21"/>
          <w:highlight w:val="none"/>
        </w:rPr>
        <w:t xml:space="preserve">选择生长健壮的花苗移栽，花苗需带花蕾方可移栽，</w:t>
      </w:r>
      <w:r>
        <w:rPr>
          <w:rFonts w:hint="default" w:ascii="宋体" w:hAnsi="宋体" w:eastAsia="宋体" w:cs="Times New Roman"/>
          <w:color w:val="auto"/>
          <w:sz w:val="24"/>
          <w:szCs w:val="21"/>
          <w:highlight w:val="none"/>
        </w:rPr>
        <w:t xml:space="preserve">应及时摘除残花</w:t>
      </w:r>
      <w:r>
        <w:rPr>
          <w:rFonts w:hint="eastAsia" w:ascii="宋体" w:hAnsi="宋体" w:eastAsia="宋体" w:cs="Times New Roman"/>
          <w:color w:val="auto"/>
          <w:sz w:val="24"/>
          <w:szCs w:val="21"/>
          <w:highlight w:val="none"/>
        </w:rPr>
        <w:t xml:space="preserve">和修剪黄叶，缺株要及时补栽，保持草花区域的清洁、完整。</w:t>
      </w:r>
      <w:r/>
    </w:p>
    <w:p>
      <w:pPr>
        <w:ind w:firstLine="480"/>
        <w:jc w:val="both"/>
        <w:spacing w:line="288" w:lineRule="auto"/>
        <w:rPr>
          <w:rFonts w:hint="default"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第</w:t>
      </w:r>
      <w:r>
        <w:rPr>
          <w:rFonts w:hint="default" w:ascii="宋体" w:hAnsi="宋体" w:eastAsia="宋体" w:cs="Times New Roman"/>
          <w:color w:val="auto"/>
          <w:sz w:val="24"/>
          <w:szCs w:val="21"/>
          <w:highlight w:val="none"/>
        </w:rPr>
        <w:t xml:space="preserve">4.</w:t>
      </w:r>
      <w:r>
        <w:rPr>
          <w:rFonts w:hint="eastAsia" w:ascii="宋体" w:hAnsi="宋体" w:eastAsia="宋体" w:cs="Times New Roman"/>
          <w:color w:val="auto"/>
          <w:sz w:val="24"/>
          <w:szCs w:val="21"/>
          <w:highlight w:val="none"/>
        </w:rPr>
        <w:t xml:space="preserve">3</w:t>
      </w:r>
      <w:r>
        <w:rPr>
          <w:rFonts w:hint="default" w:ascii="宋体" w:hAnsi="宋体" w:eastAsia="宋体" w:cs="Times New Roman"/>
          <w:color w:val="auto"/>
          <w:sz w:val="24"/>
          <w:szCs w:val="21"/>
          <w:highlight w:val="none"/>
        </w:rPr>
        <w:t xml:space="preserve">.4</w:t>
      </w:r>
      <w:r>
        <w:rPr>
          <w:rFonts w:hint="eastAsia" w:ascii="宋体" w:hAnsi="宋体" w:eastAsia="宋体" w:cs="Times New Roman"/>
          <w:color w:val="auto"/>
          <w:sz w:val="24"/>
          <w:szCs w:val="21"/>
          <w:highlight w:val="none"/>
        </w:rPr>
        <w:t xml:space="preserve">条 </w:t>
      </w:r>
      <w:r>
        <w:rPr>
          <w:rFonts w:hint="default" w:ascii="宋体" w:hAnsi="宋体" w:eastAsia="宋体" w:cs="Times New Roman"/>
          <w:color w:val="auto"/>
          <w:sz w:val="24"/>
          <w:szCs w:val="21"/>
          <w:highlight w:val="none"/>
        </w:rPr>
        <w:t xml:space="preserve"> 应对栽于篱垣和棚架的攀缘草花采取适宜的牵引措施。</w:t>
      </w:r>
      <w:r/>
    </w:p>
    <w:p>
      <w:pPr>
        <w:ind w:firstLine="480"/>
        <w:jc w:val="both"/>
        <w:spacing w:line="288" w:lineRule="auto"/>
        <w:rPr>
          <w:rFonts w:hint="default"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第</w:t>
      </w:r>
      <w:r>
        <w:rPr>
          <w:rFonts w:hint="default" w:ascii="宋体" w:hAnsi="宋体" w:eastAsia="宋体" w:cs="Times New Roman"/>
          <w:color w:val="auto"/>
          <w:sz w:val="24"/>
          <w:szCs w:val="21"/>
          <w:highlight w:val="none"/>
        </w:rPr>
        <w:t xml:space="preserve">4.</w:t>
      </w:r>
      <w:r>
        <w:rPr>
          <w:rFonts w:hint="eastAsia" w:ascii="宋体" w:hAnsi="宋体" w:eastAsia="宋体" w:cs="Times New Roman"/>
          <w:color w:val="auto"/>
          <w:sz w:val="24"/>
          <w:szCs w:val="21"/>
          <w:highlight w:val="none"/>
        </w:rPr>
        <w:t xml:space="preserve">3</w:t>
      </w:r>
      <w:r>
        <w:rPr>
          <w:rFonts w:hint="default" w:ascii="宋体" w:hAnsi="宋体" w:eastAsia="宋体" w:cs="Times New Roman"/>
          <w:color w:val="auto"/>
          <w:sz w:val="24"/>
          <w:szCs w:val="21"/>
          <w:highlight w:val="none"/>
        </w:rPr>
        <w:t xml:space="preserve">.5</w:t>
      </w:r>
      <w:r>
        <w:rPr>
          <w:rFonts w:hint="eastAsia" w:ascii="宋体" w:hAnsi="宋体" w:eastAsia="宋体" w:cs="Times New Roman"/>
          <w:color w:val="auto"/>
          <w:sz w:val="24"/>
          <w:szCs w:val="21"/>
          <w:highlight w:val="none"/>
        </w:rPr>
        <w:t xml:space="preserve">条 </w:t>
      </w:r>
      <w:r>
        <w:rPr>
          <w:rFonts w:hint="default" w:ascii="宋体" w:hAnsi="宋体" w:eastAsia="宋体" w:cs="Times New Roman"/>
          <w:color w:val="auto"/>
          <w:sz w:val="24"/>
          <w:szCs w:val="21"/>
          <w:highlight w:val="none"/>
        </w:rPr>
        <w:t xml:space="preserve"> 应适时浇水、施肥或叶面施肥。</w:t>
      </w:r>
      <w:r/>
    </w:p>
    <w:p>
      <w:pPr>
        <w:ind w:firstLine="480"/>
        <w:jc w:val="both"/>
        <w:spacing w:line="288" w:lineRule="auto"/>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第</w:t>
      </w:r>
      <w:r>
        <w:rPr>
          <w:rFonts w:hint="default" w:ascii="宋体" w:hAnsi="宋体" w:eastAsia="宋体" w:cs="Times New Roman"/>
          <w:color w:val="auto"/>
          <w:sz w:val="24"/>
          <w:szCs w:val="21"/>
          <w:highlight w:val="none"/>
        </w:rPr>
        <w:t xml:space="preserve">4.</w:t>
      </w:r>
      <w:r>
        <w:rPr>
          <w:rFonts w:hint="eastAsia" w:ascii="宋体" w:hAnsi="宋体" w:eastAsia="宋体" w:cs="Times New Roman"/>
          <w:color w:val="auto"/>
          <w:sz w:val="24"/>
          <w:szCs w:val="21"/>
          <w:highlight w:val="none"/>
        </w:rPr>
        <w:t xml:space="preserve">3</w:t>
      </w:r>
      <w:r>
        <w:rPr>
          <w:rFonts w:hint="default" w:ascii="宋体" w:hAnsi="宋体" w:eastAsia="宋体" w:cs="Times New Roman"/>
          <w:color w:val="auto"/>
          <w:sz w:val="24"/>
          <w:szCs w:val="21"/>
          <w:highlight w:val="none"/>
        </w:rPr>
        <w:t xml:space="preserve">.</w:t>
      </w:r>
      <w:r>
        <w:rPr>
          <w:rFonts w:hint="eastAsia" w:ascii="宋体" w:hAnsi="宋体" w:eastAsia="宋体" w:cs="Times New Roman"/>
          <w:color w:val="auto"/>
          <w:sz w:val="24"/>
          <w:szCs w:val="21"/>
          <w:highlight w:val="none"/>
        </w:rPr>
        <w:t xml:space="preserve">6条 </w:t>
      </w:r>
      <w:r>
        <w:rPr>
          <w:rFonts w:hint="default" w:ascii="宋体" w:hAnsi="宋体" w:eastAsia="宋体" w:cs="Times New Roman"/>
          <w:color w:val="auto"/>
          <w:sz w:val="24"/>
          <w:szCs w:val="21"/>
          <w:highlight w:val="none"/>
        </w:rPr>
        <w:t xml:space="preserve"> </w:t>
      </w:r>
      <w:r>
        <w:rPr>
          <w:rFonts w:hint="eastAsia" w:ascii="宋体" w:hAnsi="宋体" w:eastAsia="宋体" w:cs="Times New Roman"/>
          <w:color w:val="auto"/>
          <w:sz w:val="24"/>
          <w:szCs w:val="21"/>
          <w:highlight w:val="none"/>
        </w:rPr>
        <w:t xml:space="preserve">花卉生长盛期要及时松土除草，施追肥后立即喷洒清水，并做好病虫害的防治工作。</w:t>
      </w:r>
      <w:r/>
    </w:p>
    <w:p>
      <w:pPr>
        <w:ind w:firstLine="480"/>
        <w:jc w:val="both"/>
        <w:spacing w:line="288" w:lineRule="auto"/>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第</w:t>
      </w:r>
      <w:r>
        <w:rPr>
          <w:rFonts w:hint="default" w:ascii="宋体" w:hAnsi="宋体" w:eastAsia="宋体" w:cs="Times New Roman"/>
          <w:color w:val="auto"/>
          <w:sz w:val="24"/>
          <w:szCs w:val="21"/>
          <w:highlight w:val="none"/>
        </w:rPr>
        <w:t xml:space="preserve">4.</w:t>
      </w:r>
      <w:r>
        <w:rPr>
          <w:rFonts w:hint="eastAsia" w:ascii="宋体" w:hAnsi="宋体" w:eastAsia="宋体" w:cs="Times New Roman"/>
          <w:color w:val="auto"/>
          <w:sz w:val="24"/>
          <w:szCs w:val="21"/>
          <w:highlight w:val="none"/>
        </w:rPr>
        <w:t xml:space="preserve">3</w:t>
      </w:r>
      <w:r>
        <w:rPr>
          <w:rFonts w:hint="default" w:ascii="宋体" w:hAnsi="宋体" w:eastAsia="宋体" w:cs="Times New Roman"/>
          <w:color w:val="auto"/>
          <w:sz w:val="24"/>
          <w:szCs w:val="21"/>
          <w:highlight w:val="none"/>
        </w:rPr>
        <w:t xml:space="preserve">.</w:t>
      </w:r>
      <w:r>
        <w:rPr>
          <w:rFonts w:hint="eastAsia" w:ascii="宋体" w:hAnsi="宋体" w:eastAsia="宋体" w:cs="Times New Roman"/>
          <w:color w:val="auto"/>
          <w:sz w:val="24"/>
          <w:szCs w:val="21"/>
          <w:highlight w:val="none"/>
        </w:rPr>
        <w:t xml:space="preserve">7条 </w:t>
      </w:r>
      <w:r>
        <w:rPr>
          <w:rFonts w:hint="default" w:ascii="宋体" w:hAnsi="宋体" w:eastAsia="宋体" w:cs="Times New Roman"/>
          <w:color w:val="auto"/>
          <w:sz w:val="24"/>
          <w:szCs w:val="21"/>
          <w:highlight w:val="none"/>
        </w:rPr>
        <w:t xml:space="preserve"> </w:t>
      </w:r>
      <w:r>
        <w:rPr>
          <w:rFonts w:hint="eastAsia" w:ascii="宋体" w:hAnsi="宋体" w:eastAsia="宋体" w:cs="Times New Roman"/>
          <w:color w:val="auto"/>
          <w:sz w:val="24"/>
          <w:szCs w:val="21"/>
          <w:highlight w:val="none"/>
        </w:rPr>
        <w:t xml:space="preserve">及时更换草花，观叶类必须在开花前</w:t>
      </w:r>
      <w:r>
        <w:rPr>
          <w:rFonts w:hint="eastAsia" w:ascii="宋体" w:hAnsi="宋体" w:eastAsia="宋体" w:cs="Times New Roman"/>
          <w:color w:val="auto"/>
          <w:sz w:val="24"/>
          <w:szCs w:val="21"/>
          <w:highlight w:val="none"/>
          <w:lang w:eastAsia="zh-CN"/>
        </w:rPr>
        <w:t xml:space="preserve">调换</w:t>
      </w:r>
      <w:r>
        <w:rPr>
          <w:rFonts w:hint="eastAsia" w:ascii="宋体" w:hAnsi="宋体" w:eastAsia="宋体" w:cs="Times New Roman"/>
          <w:color w:val="auto"/>
          <w:sz w:val="24"/>
          <w:szCs w:val="21"/>
          <w:highlight w:val="none"/>
        </w:rPr>
        <w:t xml:space="preserve">，观花类必须在花朵凋谢前</w:t>
      </w:r>
      <w:r>
        <w:rPr>
          <w:rFonts w:hint="eastAsia" w:ascii="宋体" w:hAnsi="宋体" w:eastAsia="宋体" w:cs="Times New Roman"/>
          <w:color w:val="auto"/>
          <w:sz w:val="24"/>
          <w:szCs w:val="21"/>
          <w:highlight w:val="none"/>
          <w:lang w:eastAsia="zh-CN"/>
        </w:rPr>
        <w:t xml:space="preserve">调换</w:t>
      </w:r>
      <w:r>
        <w:rPr>
          <w:rFonts w:hint="eastAsia" w:ascii="宋体" w:hAnsi="宋体" w:eastAsia="宋体" w:cs="Times New Roman"/>
          <w:color w:val="auto"/>
          <w:sz w:val="24"/>
          <w:szCs w:val="21"/>
          <w:highlight w:val="none"/>
        </w:rPr>
        <w:t xml:space="preserve">。</w:t>
      </w:r>
      <w:r/>
    </w:p>
    <w:p>
      <w:pPr>
        <w:ind w:firstLine="480"/>
        <w:jc w:val="both"/>
        <w:spacing w:line="288" w:lineRule="auto"/>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第</w:t>
      </w:r>
      <w:r>
        <w:rPr>
          <w:rFonts w:hint="default" w:ascii="宋体" w:hAnsi="宋体" w:eastAsia="宋体" w:cs="Times New Roman"/>
          <w:color w:val="auto"/>
          <w:sz w:val="24"/>
          <w:szCs w:val="21"/>
          <w:highlight w:val="none"/>
        </w:rPr>
        <w:t xml:space="preserve">4.</w:t>
      </w:r>
      <w:r>
        <w:rPr>
          <w:rFonts w:hint="eastAsia" w:ascii="宋体" w:hAnsi="宋体" w:eastAsia="宋体" w:cs="Times New Roman"/>
          <w:color w:val="auto"/>
          <w:sz w:val="24"/>
          <w:szCs w:val="21"/>
          <w:highlight w:val="none"/>
        </w:rPr>
        <w:t xml:space="preserve">3</w:t>
      </w:r>
      <w:r>
        <w:rPr>
          <w:rFonts w:hint="default" w:ascii="宋体" w:hAnsi="宋体" w:eastAsia="宋体" w:cs="Times New Roman"/>
          <w:color w:val="auto"/>
          <w:sz w:val="24"/>
          <w:szCs w:val="21"/>
          <w:highlight w:val="none"/>
        </w:rPr>
        <w:t xml:space="preserve">.</w:t>
      </w:r>
      <w:r>
        <w:rPr>
          <w:rFonts w:hint="eastAsia" w:ascii="宋体" w:hAnsi="宋体" w:eastAsia="宋体" w:cs="Times New Roman"/>
          <w:color w:val="auto"/>
          <w:sz w:val="24"/>
          <w:szCs w:val="21"/>
          <w:highlight w:val="none"/>
        </w:rPr>
        <w:t xml:space="preserve">8条 </w:t>
      </w:r>
      <w:r>
        <w:rPr>
          <w:rFonts w:hint="default" w:ascii="宋体" w:hAnsi="宋体" w:eastAsia="宋体" w:cs="Times New Roman"/>
          <w:color w:val="auto"/>
          <w:sz w:val="24"/>
          <w:szCs w:val="21"/>
          <w:highlight w:val="none"/>
        </w:rPr>
        <w:t xml:space="preserve"> </w:t>
      </w:r>
      <w:r>
        <w:rPr>
          <w:rFonts w:hint="eastAsia" w:ascii="宋体" w:hAnsi="宋体" w:eastAsia="宋体" w:cs="Times New Roman"/>
          <w:color w:val="auto"/>
          <w:sz w:val="24"/>
          <w:szCs w:val="21"/>
          <w:highlight w:val="none"/>
        </w:rPr>
        <w:t xml:space="preserve">及时清运草花种植区域多余泥土，使其不高于周边草坪。</w:t>
      </w:r>
      <w:r/>
    </w:p>
    <w:p>
      <w:pPr>
        <w:ind w:firstLine="480"/>
        <w:jc w:val="both"/>
        <w:spacing w:line="288" w:lineRule="auto"/>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第</w:t>
      </w:r>
      <w:r>
        <w:rPr>
          <w:rFonts w:hint="default" w:ascii="宋体" w:hAnsi="宋体" w:eastAsia="宋体" w:cs="Times New Roman"/>
          <w:color w:val="auto"/>
          <w:sz w:val="24"/>
          <w:szCs w:val="21"/>
          <w:highlight w:val="none"/>
        </w:rPr>
        <w:t xml:space="preserve">4.</w:t>
      </w:r>
      <w:r>
        <w:rPr>
          <w:rFonts w:hint="eastAsia" w:ascii="宋体" w:hAnsi="宋体" w:eastAsia="宋体" w:cs="Times New Roman"/>
          <w:color w:val="auto"/>
          <w:sz w:val="24"/>
          <w:szCs w:val="21"/>
          <w:highlight w:val="none"/>
        </w:rPr>
        <w:t xml:space="preserve">3</w:t>
      </w:r>
      <w:r>
        <w:rPr>
          <w:rFonts w:hint="default" w:ascii="宋体" w:hAnsi="宋体" w:eastAsia="宋体" w:cs="Times New Roman"/>
          <w:color w:val="auto"/>
          <w:sz w:val="24"/>
          <w:szCs w:val="21"/>
          <w:highlight w:val="none"/>
        </w:rPr>
        <w:t xml:space="preserve">.</w:t>
      </w:r>
      <w:r>
        <w:rPr>
          <w:rFonts w:hint="eastAsia" w:ascii="宋体" w:hAnsi="宋体" w:eastAsia="宋体" w:cs="Times New Roman"/>
          <w:color w:val="auto"/>
          <w:sz w:val="24"/>
          <w:szCs w:val="21"/>
          <w:highlight w:val="none"/>
        </w:rPr>
        <w:t xml:space="preserve">9条 </w:t>
      </w:r>
      <w:r>
        <w:rPr>
          <w:rFonts w:hint="default" w:ascii="宋体" w:hAnsi="宋体" w:eastAsia="宋体" w:cs="Times New Roman"/>
          <w:color w:val="auto"/>
          <w:sz w:val="24"/>
          <w:szCs w:val="21"/>
          <w:highlight w:val="none"/>
        </w:rPr>
        <w:t xml:space="preserve"> </w:t>
      </w:r>
      <w:r>
        <w:rPr>
          <w:rFonts w:hint="eastAsia" w:ascii="宋体" w:hAnsi="宋体" w:eastAsia="宋体" w:cs="Times New Roman"/>
          <w:color w:val="auto"/>
          <w:sz w:val="24"/>
          <w:szCs w:val="21"/>
          <w:highlight w:val="none"/>
        </w:rPr>
        <w:t xml:space="preserve">草花覆盖率应达到90%以上，基本不见裸土，种植密度不低于49株/平方米。</w:t>
      </w:r>
      <w:r/>
    </w:p>
    <w:p>
      <w:pPr>
        <w:ind w:firstLine="480"/>
        <w:jc w:val="both"/>
        <w:spacing w:line="288" w:lineRule="auto"/>
        <w:rPr>
          <w:rFonts w:hint="eastAsia" w:ascii="宋体" w:hAnsi="宋体" w:eastAsia="宋体" w:cs="Times New Roman"/>
          <w:b/>
          <w:color w:val="auto"/>
          <w:sz w:val="24"/>
          <w:szCs w:val="21"/>
          <w:highlight w:val="none"/>
        </w:rPr>
        <w:outlineLvl w:val="9"/>
      </w:pPr>
      <w:r>
        <w:rPr>
          <w:rFonts w:hint="eastAsia" w:ascii="宋体" w:hAnsi="宋体" w:eastAsia="宋体" w:cs="Times New Roman"/>
          <w:color w:val="auto"/>
          <w:sz w:val="24"/>
          <w:szCs w:val="21"/>
          <w:highlight w:val="none"/>
        </w:rPr>
        <w:t xml:space="preserve">第</w:t>
      </w:r>
      <w:r>
        <w:rPr>
          <w:rFonts w:hint="default" w:ascii="宋体" w:hAnsi="宋体" w:eastAsia="宋体" w:cs="Times New Roman"/>
          <w:color w:val="auto"/>
          <w:sz w:val="24"/>
          <w:szCs w:val="21"/>
          <w:highlight w:val="none"/>
        </w:rPr>
        <w:t xml:space="preserve">4.</w:t>
      </w:r>
      <w:r>
        <w:rPr>
          <w:rFonts w:hint="eastAsia" w:ascii="宋体" w:hAnsi="宋体" w:eastAsia="宋体" w:cs="Times New Roman"/>
          <w:color w:val="auto"/>
          <w:sz w:val="24"/>
          <w:szCs w:val="21"/>
          <w:highlight w:val="none"/>
        </w:rPr>
        <w:t xml:space="preserve">3</w:t>
      </w:r>
      <w:r>
        <w:rPr>
          <w:rFonts w:hint="default" w:ascii="宋体" w:hAnsi="宋体" w:eastAsia="宋体" w:cs="Times New Roman"/>
          <w:color w:val="auto"/>
          <w:sz w:val="24"/>
          <w:szCs w:val="21"/>
          <w:highlight w:val="none"/>
        </w:rPr>
        <w:t xml:space="preserve">.</w:t>
      </w:r>
      <w:r>
        <w:rPr>
          <w:rFonts w:hint="eastAsia" w:ascii="宋体" w:hAnsi="宋体" w:eastAsia="宋体" w:cs="Times New Roman"/>
          <w:color w:val="auto"/>
          <w:sz w:val="24"/>
          <w:szCs w:val="21"/>
          <w:highlight w:val="none"/>
        </w:rPr>
        <w:t xml:space="preserve">10条 </w:t>
      </w:r>
      <w:r>
        <w:rPr>
          <w:rFonts w:hint="default" w:ascii="宋体" w:hAnsi="宋体" w:eastAsia="宋体" w:cs="Times New Roman"/>
          <w:color w:val="auto"/>
          <w:sz w:val="24"/>
          <w:szCs w:val="21"/>
          <w:highlight w:val="none"/>
        </w:rPr>
        <w:t xml:space="preserve"> </w:t>
      </w:r>
      <w:r>
        <w:rPr>
          <w:rFonts w:hint="eastAsia" w:ascii="宋体" w:hAnsi="宋体" w:eastAsia="宋体" w:cs="Times New Roman"/>
          <w:color w:val="auto"/>
          <w:sz w:val="24"/>
          <w:szCs w:val="21"/>
          <w:highlight w:val="none"/>
        </w:rPr>
        <w:t xml:space="preserve">花卉应做到图案清晰、色彩鲜艳、花朵繁茂、花期一致。花境搭配科学、层次分明、高矮有序。</w:t>
      </w:r>
      <w:r/>
    </w:p>
    <w:p>
      <w:pPr>
        <w:ind w:firstLine="482"/>
        <w:jc w:val="center"/>
        <w:spacing w:line="288" w:lineRule="auto"/>
        <w:rPr>
          <w:rFonts w:hint="eastAsia" w:ascii="宋体" w:hAnsi="宋体" w:eastAsia="宋体" w:cs="Times New Roman"/>
          <w:b/>
          <w:color w:val="auto"/>
          <w:sz w:val="24"/>
          <w:szCs w:val="21"/>
          <w:highlight w:val="none"/>
        </w:rPr>
        <w:outlineLvl w:val="9"/>
      </w:pPr>
      <w:r>
        <w:rPr>
          <w:rFonts w:hint="eastAsia" w:ascii="宋体" w:hAnsi="宋体" w:eastAsia="宋体" w:cs="Times New Roman"/>
          <w:b/>
          <w:color w:val="auto"/>
          <w:sz w:val="24"/>
          <w:szCs w:val="21"/>
          <w:highlight w:val="none"/>
        </w:rPr>
      </w:r>
      <w:r/>
    </w:p>
    <w:p>
      <w:pPr>
        <w:ind w:firstLine="482"/>
        <w:jc w:val="center"/>
        <w:spacing w:line="288" w:lineRule="auto"/>
        <w:rPr>
          <w:rFonts w:hint="eastAsia" w:ascii="宋体" w:hAnsi="宋体" w:eastAsia="宋体" w:cs="Times New Roman"/>
          <w:b/>
          <w:color w:val="auto"/>
          <w:sz w:val="24"/>
          <w:szCs w:val="21"/>
          <w:highlight w:val="none"/>
        </w:rPr>
        <w:outlineLvl w:val="9"/>
      </w:pPr>
      <w:r>
        <w:rPr>
          <w:rFonts w:hint="eastAsia" w:ascii="宋体" w:hAnsi="宋体" w:eastAsia="宋体" w:cs="Times New Roman"/>
          <w:b/>
          <w:color w:val="auto"/>
          <w:sz w:val="24"/>
          <w:szCs w:val="21"/>
          <w:highlight w:val="none"/>
        </w:rPr>
        <w:t xml:space="preserve">第</w:t>
      </w:r>
      <w:r>
        <w:rPr>
          <w:rFonts w:hint="eastAsia" w:ascii="宋体" w:hAnsi="宋体" w:eastAsia="宋体" w:cs="Times New Roman"/>
          <w:b/>
          <w:color w:val="auto"/>
          <w:sz w:val="24"/>
          <w:szCs w:val="21"/>
          <w:highlight w:val="none"/>
          <w:lang w:val="en-US" w:eastAsia="zh-CN"/>
        </w:rPr>
        <w:t xml:space="preserve">五</w:t>
      </w:r>
      <w:r>
        <w:rPr>
          <w:rFonts w:hint="eastAsia" w:ascii="宋体" w:hAnsi="宋体" w:eastAsia="宋体" w:cs="Times New Roman"/>
          <w:b/>
          <w:color w:val="auto"/>
          <w:sz w:val="24"/>
          <w:szCs w:val="21"/>
          <w:highlight w:val="none"/>
        </w:rPr>
        <w:t xml:space="preserve">章  防止污染和防治病虫害</w:t>
      </w:r>
      <w:r/>
    </w:p>
    <w:p>
      <w:pPr>
        <w:ind w:firstLine="482"/>
        <w:jc w:val="both"/>
        <w:spacing w:line="288" w:lineRule="auto"/>
        <w:rPr>
          <w:rFonts w:hint="eastAsia" w:ascii="宋体" w:hAnsi="宋体" w:eastAsia="宋体" w:cs="Times New Roman"/>
          <w:b/>
          <w:bCs/>
          <w:color w:val="auto"/>
          <w:sz w:val="24"/>
          <w:szCs w:val="21"/>
          <w:highlight w:val="none"/>
        </w:rPr>
        <w:outlineLvl w:val="9"/>
      </w:pPr>
      <w:r>
        <w:rPr>
          <w:rFonts w:hint="eastAsia" w:ascii="宋体" w:hAnsi="宋体" w:eastAsia="宋体" w:cs="Times New Roman"/>
          <w:b/>
          <w:bCs/>
          <w:color w:val="auto"/>
          <w:sz w:val="24"/>
          <w:szCs w:val="21"/>
          <w:highlight w:val="none"/>
        </w:rPr>
        <w:t xml:space="preserve">第一节  防止污染</w:t>
      </w:r>
      <w:r/>
    </w:p>
    <w:p>
      <w:pPr>
        <w:ind w:firstLine="480"/>
        <w:jc w:val="both"/>
        <w:spacing w:line="288" w:lineRule="auto"/>
        <w:rPr>
          <w:rFonts w:hint="default"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第6.</w:t>
      </w:r>
      <w:r>
        <w:rPr>
          <w:rFonts w:hint="default" w:ascii="宋体" w:hAnsi="宋体" w:eastAsia="宋体" w:cs="Times New Roman"/>
          <w:color w:val="auto"/>
          <w:sz w:val="24"/>
          <w:szCs w:val="21"/>
          <w:highlight w:val="none"/>
        </w:rPr>
        <w:t xml:space="preserve">1</w:t>
      </w:r>
      <w:r>
        <w:rPr>
          <w:rFonts w:hint="eastAsia" w:ascii="宋体" w:hAnsi="宋体" w:eastAsia="宋体" w:cs="Times New Roman"/>
          <w:color w:val="auto"/>
          <w:sz w:val="24"/>
          <w:szCs w:val="21"/>
          <w:highlight w:val="none"/>
        </w:rPr>
        <w:t xml:space="preserve">.</w:t>
      </w:r>
      <w:r>
        <w:rPr>
          <w:rFonts w:hint="default" w:ascii="宋体" w:hAnsi="宋体" w:eastAsia="宋体" w:cs="Times New Roman"/>
          <w:color w:val="auto"/>
          <w:sz w:val="24"/>
          <w:szCs w:val="21"/>
          <w:highlight w:val="none"/>
        </w:rPr>
        <w:t xml:space="preserve">1</w:t>
      </w:r>
      <w:r>
        <w:rPr>
          <w:rFonts w:hint="eastAsia" w:ascii="宋体" w:hAnsi="宋体" w:eastAsia="宋体" w:cs="Times New Roman"/>
          <w:color w:val="auto"/>
          <w:sz w:val="24"/>
          <w:szCs w:val="21"/>
          <w:highlight w:val="none"/>
        </w:rPr>
        <w:t xml:space="preserve">条</w:t>
      </w:r>
      <w:r>
        <w:rPr>
          <w:rFonts w:hint="default" w:ascii="宋体" w:hAnsi="宋体" w:eastAsia="宋体" w:cs="Times New Roman"/>
          <w:color w:val="auto"/>
          <w:sz w:val="24"/>
          <w:szCs w:val="21"/>
          <w:highlight w:val="none"/>
        </w:rPr>
        <w:t xml:space="preserve">  </w:t>
      </w:r>
      <w:r>
        <w:rPr>
          <w:rFonts w:hint="eastAsia" w:ascii="宋体" w:hAnsi="宋体" w:eastAsia="宋体" w:cs="Times New Roman"/>
          <w:color w:val="auto"/>
          <w:sz w:val="24"/>
          <w:szCs w:val="21"/>
          <w:highlight w:val="none"/>
        </w:rPr>
        <w:t xml:space="preserve">绿地内的排污管网和排水管网应保证通畅、有效，不得有漏点。</w:t>
      </w:r>
      <w:r/>
    </w:p>
    <w:p>
      <w:pPr>
        <w:ind w:firstLine="480"/>
        <w:jc w:val="both"/>
        <w:spacing w:line="288" w:lineRule="auto"/>
        <w:rPr>
          <w:rFonts w:hint="default"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第6.</w:t>
      </w:r>
      <w:r>
        <w:rPr>
          <w:rFonts w:hint="default" w:ascii="宋体" w:hAnsi="宋体" w:eastAsia="宋体" w:cs="Times New Roman"/>
          <w:color w:val="auto"/>
          <w:sz w:val="24"/>
          <w:szCs w:val="21"/>
          <w:highlight w:val="none"/>
        </w:rPr>
        <w:t xml:space="preserve">1</w:t>
      </w:r>
      <w:r>
        <w:rPr>
          <w:rFonts w:hint="eastAsia" w:ascii="宋体" w:hAnsi="宋体" w:eastAsia="宋体" w:cs="Times New Roman"/>
          <w:color w:val="auto"/>
          <w:sz w:val="24"/>
          <w:szCs w:val="21"/>
          <w:highlight w:val="none"/>
        </w:rPr>
        <w:t xml:space="preserve">.</w:t>
      </w:r>
      <w:r>
        <w:rPr>
          <w:rFonts w:hint="default" w:ascii="宋体" w:hAnsi="宋体" w:eastAsia="宋体" w:cs="Times New Roman"/>
          <w:color w:val="auto"/>
          <w:sz w:val="24"/>
          <w:szCs w:val="21"/>
          <w:highlight w:val="none"/>
        </w:rPr>
        <w:t xml:space="preserve">2</w:t>
      </w:r>
      <w:r>
        <w:rPr>
          <w:rFonts w:hint="eastAsia" w:ascii="宋体" w:hAnsi="宋体" w:eastAsia="宋体" w:cs="Times New Roman"/>
          <w:color w:val="auto"/>
          <w:sz w:val="24"/>
          <w:szCs w:val="21"/>
          <w:highlight w:val="none"/>
        </w:rPr>
        <w:t xml:space="preserve">条</w:t>
      </w:r>
      <w:r>
        <w:rPr>
          <w:rFonts w:hint="default" w:ascii="宋体" w:hAnsi="宋体" w:eastAsia="宋体" w:cs="Times New Roman"/>
          <w:color w:val="auto"/>
          <w:sz w:val="24"/>
          <w:szCs w:val="21"/>
          <w:highlight w:val="none"/>
        </w:rPr>
        <w:t xml:space="preserve">  </w:t>
      </w:r>
      <w:r>
        <w:rPr>
          <w:rFonts w:hint="eastAsia" w:ascii="宋体" w:hAnsi="宋体" w:eastAsia="宋体" w:cs="Times New Roman"/>
          <w:color w:val="auto"/>
          <w:sz w:val="24"/>
          <w:szCs w:val="21"/>
          <w:highlight w:val="none"/>
        </w:rPr>
        <w:t xml:space="preserve">绿地周围如发现有危害植物生长的废气时，应及时向环保部门报告，防止污染，必要时应调整种植抗有害气体的植物种类。</w:t>
      </w:r>
      <w:r/>
    </w:p>
    <w:p>
      <w:pPr>
        <w:ind w:firstLine="480"/>
        <w:jc w:val="both"/>
        <w:spacing w:line="288" w:lineRule="auto"/>
        <w:rPr>
          <w:rFonts w:hint="default"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第6.</w:t>
      </w:r>
      <w:r>
        <w:rPr>
          <w:rFonts w:hint="default" w:ascii="宋体" w:hAnsi="宋体" w:eastAsia="宋体" w:cs="Times New Roman"/>
          <w:color w:val="auto"/>
          <w:sz w:val="24"/>
          <w:szCs w:val="21"/>
          <w:highlight w:val="none"/>
        </w:rPr>
        <w:t xml:space="preserve">1</w:t>
      </w:r>
      <w:r>
        <w:rPr>
          <w:rFonts w:hint="eastAsia" w:ascii="宋体" w:hAnsi="宋体" w:eastAsia="宋体" w:cs="Times New Roman"/>
          <w:color w:val="auto"/>
          <w:sz w:val="24"/>
          <w:szCs w:val="21"/>
          <w:highlight w:val="none"/>
        </w:rPr>
        <w:t xml:space="preserve">.</w:t>
      </w:r>
      <w:r>
        <w:rPr>
          <w:rFonts w:hint="default" w:ascii="宋体" w:hAnsi="宋体" w:eastAsia="宋体" w:cs="Times New Roman"/>
          <w:color w:val="auto"/>
          <w:sz w:val="24"/>
          <w:szCs w:val="21"/>
          <w:highlight w:val="none"/>
        </w:rPr>
        <w:t xml:space="preserve">3</w:t>
      </w:r>
      <w:r>
        <w:rPr>
          <w:rFonts w:hint="eastAsia" w:ascii="宋体" w:hAnsi="宋体" w:eastAsia="宋体" w:cs="Times New Roman"/>
          <w:color w:val="auto"/>
          <w:sz w:val="24"/>
          <w:szCs w:val="21"/>
          <w:highlight w:val="none"/>
        </w:rPr>
        <w:t xml:space="preserve">条</w:t>
      </w:r>
      <w:r>
        <w:rPr>
          <w:rFonts w:hint="default" w:ascii="宋体" w:hAnsi="宋体" w:eastAsia="宋体" w:cs="Times New Roman"/>
          <w:color w:val="auto"/>
          <w:sz w:val="24"/>
          <w:szCs w:val="21"/>
          <w:highlight w:val="none"/>
        </w:rPr>
        <w:t xml:space="preserve">  </w:t>
      </w:r>
      <w:r>
        <w:rPr>
          <w:rFonts w:hint="eastAsia" w:ascii="宋体" w:hAnsi="宋体" w:eastAsia="宋体" w:cs="Times New Roman"/>
          <w:color w:val="auto"/>
          <w:sz w:val="24"/>
          <w:szCs w:val="21"/>
          <w:highlight w:val="none"/>
        </w:rPr>
        <w:t xml:space="preserve">树木根际附近不得有堆放盛有废液的容器、废渣和其他有害植物生长的物质。</w:t>
      </w:r>
      <w:r/>
    </w:p>
    <w:p>
      <w:pPr>
        <w:ind w:firstLine="480"/>
        <w:jc w:val="both"/>
        <w:spacing w:line="288" w:lineRule="auto"/>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第6.</w:t>
      </w:r>
      <w:r>
        <w:rPr>
          <w:rFonts w:hint="default" w:ascii="宋体" w:hAnsi="宋体" w:eastAsia="宋体" w:cs="Times New Roman"/>
          <w:color w:val="auto"/>
          <w:sz w:val="24"/>
          <w:szCs w:val="21"/>
          <w:highlight w:val="none"/>
        </w:rPr>
        <w:t xml:space="preserve">1</w:t>
      </w:r>
      <w:r>
        <w:rPr>
          <w:rFonts w:hint="eastAsia" w:ascii="宋体" w:hAnsi="宋体" w:eastAsia="宋体" w:cs="Times New Roman"/>
          <w:color w:val="auto"/>
          <w:sz w:val="24"/>
          <w:szCs w:val="21"/>
          <w:highlight w:val="none"/>
        </w:rPr>
        <w:t xml:space="preserve">.</w:t>
      </w:r>
      <w:r>
        <w:rPr>
          <w:rFonts w:hint="default" w:ascii="宋体" w:hAnsi="宋体" w:eastAsia="宋体" w:cs="Times New Roman"/>
          <w:color w:val="auto"/>
          <w:sz w:val="24"/>
          <w:szCs w:val="21"/>
          <w:highlight w:val="none"/>
        </w:rPr>
        <w:t xml:space="preserve">4</w:t>
      </w:r>
      <w:r>
        <w:rPr>
          <w:rFonts w:hint="eastAsia" w:ascii="宋体" w:hAnsi="宋体" w:eastAsia="宋体" w:cs="Times New Roman"/>
          <w:color w:val="auto"/>
          <w:sz w:val="24"/>
          <w:szCs w:val="21"/>
          <w:highlight w:val="none"/>
        </w:rPr>
        <w:t xml:space="preserve">条</w:t>
      </w:r>
      <w:r>
        <w:rPr>
          <w:rFonts w:hint="default" w:ascii="宋体" w:hAnsi="宋体" w:eastAsia="宋体" w:cs="Times New Roman"/>
          <w:color w:val="auto"/>
          <w:sz w:val="24"/>
          <w:szCs w:val="21"/>
          <w:highlight w:val="none"/>
        </w:rPr>
        <w:t xml:space="preserve">  </w:t>
      </w:r>
      <w:r>
        <w:rPr>
          <w:rFonts w:hint="eastAsia" w:ascii="宋体" w:hAnsi="宋体" w:eastAsia="宋体" w:cs="Times New Roman"/>
          <w:color w:val="auto"/>
          <w:sz w:val="24"/>
          <w:szCs w:val="21"/>
          <w:highlight w:val="none"/>
        </w:rPr>
        <w:t xml:space="preserve">施用化肥、药剂要合理，不得污染环境。有机肥必须腐熟后使用，不得使用人粪尿和国家明令禁止使用的药品。</w:t>
      </w:r>
      <w:r/>
    </w:p>
    <w:p>
      <w:pPr>
        <w:ind w:firstLine="480"/>
        <w:jc w:val="both"/>
        <w:spacing w:line="288" w:lineRule="auto"/>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第6.</w:t>
      </w:r>
      <w:r>
        <w:rPr>
          <w:rFonts w:hint="default" w:ascii="宋体" w:hAnsi="宋体" w:eastAsia="宋体" w:cs="Times New Roman"/>
          <w:color w:val="auto"/>
          <w:sz w:val="24"/>
          <w:szCs w:val="21"/>
          <w:highlight w:val="none"/>
        </w:rPr>
        <w:t xml:space="preserve">1</w:t>
      </w:r>
      <w:r>
        <w:rPr>
          <w:rFonts w:hint="eastAsia" w:ascii="宋体" w:hAnsi="宋体" w:eastAsia="宋体" w:cs="Times New Roman"/>
          <w:color w:val="auto"/>
          <w:sz w:val="24"/>
          <w:szCs w:val="21"/>
          <w:highlight w:val="none"/>
        </w:rPr>
        <w:t xml:space="preserve">.5条</w:t>
      </w:r>
      <w:r>
        <w:rPr>
          <w:rFonts w:hint="default" w:ascii="宋体" w:hAnsi="宋体" w:eastAsia="宋体" w:cs="Times New Roman"/>
          <w:color w:val="auto"/>
          <w:sz w:val="24"/>
          <w:szCs w:val="21"/>
          <w:highlight w:val="none"/>
        </w:rPr>
        <w:t xml:space="preserve">  </w:t>
      </w:r>
      <w:r>
        <w:rPr>
          <w:rFonts w:hint="eastAsia" w:ascii="宋体" w:hAnsi="宋体" w:eastAsia="宋体" w:cs="Times New Roman"/>
          <w:color w:val="auto"/>
          <w:sz w:val="24"/>
          <w:szCs w:val="21"/>
          <w:highlight w:val="none"/>
        </w:rPr>
        <w:t xml:space="preserve">加强肥料、药剂使用管理，对化肥农药等包装物统一收集堆放，并由专业单位回收，建立肥料、药剂进出仓库使用管理台账。</w:t>
      </w:r>
      <w:r/>
    </w:p>
    <w:p>
      <w:pPr>
        <w:ind w:firstLine="482"/>
        <w:jc w:val="both"/>
        <w:spacing w:line="288" w:lineRule="auto"/>
        <w:rPr>
          <w:rFonts w:hint="eastAsia" w:ascii="宋体" w:hAnsi="宋体" w:eastAsia="宋体" w:cs="Times New Roman"/>
          <w:b/>
          <w:bCs/>
          <w:color w:val="auto"/>
          <w:sz w:val="24"/>
          <w:szCs w:val="21"/>
          <w:highlight w:val="none"/>
        </w:rPr>
        <w:outlineLvl w:val="9"/>
      </w:pPr>
      <w:r>
        <w:rPr>
          <w:rFonts w:hint="eastAsia" w:ascii="宋体" w:hAnsi="宋体" w:eastAsia="宋体" w:cs="Times New Roman"/>
          <w:b/>
          <w:bCs/>
          <w:color w:val="auto"/>
          <w:sz w:val="24"/>
          <w:szCs w:val="21"/>
          <w:highlight w:val="none"/>
        </w:rPr>
        <w:t xml:space="preserve">第二节  防治病虫害</w:t>
      </w:r>
      <w:r/>
    </w:p>
    <w:p>
      <w:pPr>
        <w:ind w:firstLine="480"/>
        <w:jc w:val="both"/>
        <w:spacing w:line="288" w:lineRule="auto"/>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第6.2.1条</w:t>
      </w:r>
      <w:r>
        <w:rPr>
          <w:rFonts w:hint="default" w:ascii="宋体" w:hAnsi="宋体" w:eastAsia="宋体" w:cs="Times New Roman"/>
          <w:color w:val="auto"/>
          <w:sz w:val="24"/>
          <w:szCs w:val="21"/>
          <w:highlight w:val="none"/>
        </w:rPr>
        <w:t xml:space="preserve">  </w:t>
      </w:r>
      <w:r>
        <w:rPr>
          <w:rFonts w:hint="eastAsia" w:ascii="宋体" w:hAnsi="宋体" w:eastAsia="宋体" w:cs="Times New Roman"/>
          <w:color w:val="auto"/>
          <w:sz w:val="24"/>
          <w:szCs w:val="21"/>
          <w:highlight w:val="none"/>
        </w:rPr>
        <w:t xml:space="preserve">贯彻“预防为主，综合防治”的原则。</w:t>
      </w:r>
      <w:r/>
    </w:p>
    <w:p>
      <w:pPr>
        <w:ind w:firstLine="480"/>
        <w:jc w:val="both"/>
        <w:spacing w:line="288" w:lineRule="auto"/>
        <w:rPr>
          <w:rFonts w:hint="eastAsia" w:ascii="宋体" w:hAnsi="宋体" w:eastAsia="宋体" w:cs="Times New Roman"/>
          <w:color w:val="auto"/>
          <w:sz w:val="24"/>
          <w:szCs w:val="21"/>
          <w:highlight w:val="none"/>
        </w:rPr>
        <w:outlineLvl w:val="9"/>
      </w:pPr>
      <w:r>
        <w:rPr>
          <w:rFonts w:hint="default" w:ascii="宋体" w:hAnsi="宋体" w:eastAsia="宋体" w:cs="Times New Roman"/>
          <w:color w:val="auto"/>
          <w:sz w:val="24"/>
          <w:szCs w:val="21"/>
          <w:highlight w:val="none"/>
        </w:rPr>
        <w:t xml:space="preserve">第</w:t>
      </w:r>
      <w:r>
        <w:rPr>
          <w:rFonts w:hint="eastAsia" w:ascii="宋体" w:hAnsi="宋体" w:eastAsia="宋体" w:cs="Times New Roman"/>
          <w:color w:val="auto"/>
          <w:sz w:val="24"/>
          <w:szCs w:val="21"/>
          <w:highlight w:val="none"/>
        </w:rPr>
        <w:t xml:space="preserve">6.</w:t>
      </w:r>
      <w:r>
        <w:rPr>
          <w:rFonts w:hint="default" w:ascii="宋体" w:hAnsi="宋体" w:eastAsia="宋体" w:cs="Times New Roman"/>
          <w:color w:val="auto"/>
          <w:sz w:val="24"/>
          <w:szCs w:val="21"/>
          <w:highlight w:val="none"/>
        </w:rPr>
        <w:t xml:space="preserve">2</w:t>
      </w:r>
      <w:r>
        <w:rPr>
          <w:rFonts w:hint="eastAsia" w:ascii="宋体" w:hAnsi="宋体" w:eastAsia="宋体" w:cs="Times New Roman"/>
          <w:color w:val="auto"/>
          <w:sz w:val="24"/>
          <w:szCs w:val="21"/>
          <w:highlight w:val="none"/>
        </w:rPr>
        <w:t xml:space="preserve">.</w:t>
      </w:r>
      <w:r>
        <w:rPr>
          <w:rFonts w:hint="default" w:ascii="宋体" w:hAnsi="宋体" w:eastAsia="宋体" w:cs="Times New Roman"/>
          <w:color w:val="auto"/>
          <w:sz w:val="24"/>
          <w:szCs w:val="21"/>
          <w:highlight w:val="none"/>
        </w:rPr>
        <w:t xml:space="preserve">2条  引进和输出种苗，必须严格遵守有关植物检疫法规和有关规章制度。</w:t>
      </w:r>
      <w:r/>
    </w:p>
    <w:p>
      <w:pPr>
        <w:ind w:firstLine="480"/>
        <w:jc w:val="both"/>
        <w:spacing w:line="288" w:lineRule="auto"/>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第6.2.3条</w:t>
      </w:r>
      <w:r>
        <w:rPr>
          <w:rFonts w:hint="default" w:ascii="宋体" w:hAnsi="宋体" w:eastAsia="宋体" w:cs="Times New Roman"/>
          <w:color w:val="auto"/>
          <w:sz w:val="24"/>
          <w:szCs w:val="21"/>
          <w:highlight w:val="none"/>
        </w:rPr>
        <w:t xml:space="preserve">  </w:t>
      </w:r>
      <w:r>
        <w:rPr>
          <w:rFonts w:hint="eastAsia" w:ascii="宋体" w:hAnsi="宋体" w:eastAsia="宋体" w:cs="Times New Roman"/>
          <w:color w:val="auto"/>
          <w:sz w:val="24"/>
          <w:szCs w:val="21"/>
          <w:highlight w:val="none"/>
        </w:rPr>
        <w:t xml:space="preserve">做好园林植物病虫害的预测、预报工作，密切注意周边地区的病虫害发生情况，制订好防治计划。</w:t>
      </w:r>
      <w:r/>
    </w:p>
    <w:p>
      <w:pPr>
        <w:ind w:firstLine="480"/>
        <w:jc w:val="both"/>
        <w:spacing w:line="288" w:lineRule="auto"/>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第6.2.4条</w:t>
      </w:r>
      <w:r>
        <w:rPr>
          <w:rFonts w:hint="default" w:ascii="宋体" w:hAnsi="宋体" w:eastAsia="宋体" w:cs="Times New Roman"/>
          <w:color w:val="auto"/>
          <w:sz w:val="24"/>
          <w:szCs w:val="21"/>
          <w:highlight w:val="none"/>
        </w:rPr>
        <w:t xml:space="preserve">  加强观察，局部发生严重病虫害地区必须及时治理，以防止</w:t>
      </w:r>
      <w:r>
        <w:rPr>
          <w:rFonts w:hint="eastAsia" w:ascii="宋体" w:hAnsi="宋体" w:eastAsia="宋体" w:cs="Times New Roman"/>
          <w:color w:val="auto"/>
          <w:sz w:val="24"/>
          <w:szCs w:val="21"/>
          <w:highlight w:val="none"/>
          <w:lang w:eastAsia="zh-CN"/>
        </w:rPr>
        <w:t xml:space="preserve">扩散蔓延。</w:t>
      </w:r>
      <w:r/>
    </w:p>
    <w:p>
      <w:pPr>
        <w:ind w:firstLine="480"/>
        <w:jc w:val="both"/>
        <w:spacing w:line="288" w:lineRule="auto"/>
        <w:rPr>
          <w:rFonts w:hint="default" w:ascii="宋体" w:hAnsi="宋体" w:eastAsia="宋体" w:cs="Times New Roman"/>
          <w:color w:val="auto"/>
          <w:sz w:val="24"/>
          <w:szCs w:val="21"/>
          <w:highlight w:val="none"/>
        </w:rPr>
        <w:outlineLvl w:val="9"/>
      </w:pPr>
      <w:r>
        <w:rPr>
          <w:rFonts w:hint="default" w:ascii="宋体" w:hAnsi="宋体" w:eastAsia="宋体" w:cs="Times New Roman"/>
          <w:color w:val="auto"/>
          <w:sz w:val="24"/>
          <w:szCs w:val="21"/>
          <w:highlight w:val="none"/>
        </w:rPr>
        <w:t xml:space="preserve">第</w:t>
      </w:r>
      <w:r>
        <w:rPr>
          <w:rFonts w:hint="eastAsia" w:ascii="宋体" w:hAnsi="宋体" w:eastAsia="宋体" w:cs="Times New Roman"/>
          <w:color w:val="auto"/>
          <w:sz w:val="24"/>
          <w:szCs w:val="21"/>
          <w:highlight w:val="none"/>
        </w:rPr>
        <w:t xml:space="preserve">6.</w:t>
      </w:r>
      <w:r>
        <w:rPr>
          <w:rFonts w:hint="default" w:ascii="宋体" w:hAnsi="宋体" w:eastAsia="宋体" w:cs="Times New Roman"/>
          <w:color w:val="auto"/>
          <w:sz w:val="24"/>
          <w:szCs w:val="21"/>
          <w:highlight w:val="none"/>
        </w:rPr>
        <w:t xml:space="preserve">2</w:t>
      </w:r>
      <w:r>
        <w:rPr>
          <w:rFonts w:hint="eastAsia" w:ascii="宋体" w:hAnsi="宋体" w:eastAsia="宋体" w:cs="Times New Roman"/>
          <w:color w:val="auto"/>
          <w:sz w:val="24"/>
          <w:szCs w:val="21"/>
          <w:highlight w:val="none"/>
        </w:rPr>
        <w:t xml:space="preserve">.</w:t>
      </w:r>
      <w:r>
        <w:rPr>
          <w:rFonts w:hint="default" w:ascii="宋体" w:hAnsi="宋体" w:eastAsia="宋体" w:cs="Times New Roman"/>
          <w:color w:val="auto"/>
          <w:sz w:val="24"/>
          <w:szCs w:val="21"/>
          <w:highlight w:val="none"/>
        </w:rPr>
        <w:t xml:space="preserve">5条  </w:t>
      </w:r>
      <w:r>
        <w:rPr>
          <w:rFonts w:hint="eastAsia" w:ascii="宋体" w:hAnsi="宋体" w:eastAsia="宋体" w:cs="Times New Roman"/>
          <w:color w:val="auto"/>
          <w:sz w:val="24"/>
          <w:szCs w:val="21"/>
          <w:highlight w:val="none"/>
        </w:rPr>
        <w:t xml:space="preserve">严禁使用剧毒化学药剂和有机氯、有机汞化学农药，使用化学农药应按有关安全操作规定进行作业。</w:t>
      </w:r>
      <w:r/>
    </w:p>
    <w:p>
      <w:pPr>
        <w:ind w:firstLine="480"/>
        <w:jc w:val="both"/>
        <w:spacing w:line="288" w:lineRule="auto"/>
        <w:rPr>
          <w:rFonts w:hint="eastAsia" w:ascii="宋体" w:hAnsi="宋体" w:eastAsia="宋体" w:cs="Times New Roman"/>
          <w:color w:val="auto"/>
          <w:sz w:val="24"/>
          <w:szCs w:val="21"/>
          <w:highlight w:val="none"/>
        </w:rPr>
        <w:outlineLvl w:val="9"/>
      </w:pPr>
      <w:r>
        <w:rPr>
          <w:rFonts w:hint="default" w:ascii="宋体" w:hAnsi="宋体" w:eastAsia="宋体" w:cs="Times New Roman"/>
          <w:color w:val="auto"/>
          <w:sz w:val="24"/>
          <w:szCs w:val="21"/>
          <w:highlight w:val="none"/>
        </w:rPr>
        <w:t xml:space="preserve">第</w:t>
      </w:r>
      <w:r>
        <w:rPr>
          <w:rFonts w:hint="eastAsia" w:ascii="宋体" w:hAnsi="宋体" w:eastAsia="宋体" w:cs="Times New Roman"/>
          <w:color w:val="auto"/>
          <w:sz w:val="24"/>
          <w:szCs w:val="21"/>
          <w:highlight w:val="none"/>
        </w:rPr>
        <w:t xml:space="preserve">6.</w:t>
      </w:r>
      <w:r>
        <w:rPr>
          <w:rFonts w:hint="default" w:ascii="宋体" w:hAnsi="宋体" w:eastAsia="宋体" w:cs="Times New Roman"/>
          <w:color w:val="auto"/>
          <w:sz w:val="24"/>
          <w:szCs w:val="21"/>
          <w:highlight w:val="none"/>
        </w:rPr>
        <w:t xml:space="preserve">2</w:t>
      </w:r>
      <w:r>
        <w:rPr>
          <w:rFonts w:hint="eastAsia" w:ascii="宋体" w:hAnsi="宋体" w:eastAsia="宋体" w:cs="Times New Roman"/>
          <w:color w:val="auto"/>
          <w:sz w:val="24"/>
          <w:szCs w:val="21"/>
          <w:highlight w:val="none"/>
        </w:rPr>
        <w:t xml:space="preserve">.</w:t>
      </w:r>
      <w:r>
        <w:rPr>
          <w:rFonts w:hint="default" w:ascii="宋体" w:hAnsi="宋体" w:eastAsia="宋体" w:cs="Times New Roman"/>
          <w:color w:val="auto"/>
          <w:sz w:val="24"/>
          <w:szCs w:val="21"/>
          <w:highlight w:val="none"/>
        </w:rPr>
        <w:t xml:space="preserve">6条</w:t>
      </w:r>
      <w:r>
        <w:rPr>
          <w:rFonts w:hint="eastAsia" w:ascii="宋体" w:hAnsi="宋体" w:eastAsia="宋体" w:cs="Times New Roman"/>
          <w:color w:val="auto"/>
          <w:sz w:val="24"/>
          <w:szCs w:val="21"/>
          <w:highlight w:val="none"/>
        </w:rPr>
        <w:t xml:space="preserve">  </w:t>
      </w:r>
      <w:r>
        <w:rPr>
          <w:rFonts w:hint="default" w:ascii="宋体" w:hAnsi="宋体" w:eastAsia="宋体" w:cs="Times New Roman"/>
          <w:color w:val="auto"/>
          <w:sz w:val="24"/>
          <w:szCs w:val="21"/>
          <w:highlight w:val="none"/>
        </w:rPr>
        <w:t xml:space="preserve">发现大面积的病虫害应及时通知周边地区。</w:t>
      </w:r>
      <w:r/>
    </w:p>
    <w:p>
      <w:pPr>
        <w:ind w:firstLine="480"/>
        <w:jc w:val="both"/>
        <w:spacing w:line="288" w:lineRule="auto"/>
        <w:rPr>
          <w:rFonts w:hint="eastAsia" w:ascii="宋体" w:hAnsi="宋体" w:eastAsia="宋体" w:cs="Times New Roman"/>
          <w:color w:val="auto"/>
          <w:sz w:val="24"/>
          <w:szCs w:val="21"/>
          <w:highlight w:val="none"/>
        </w:rPr>
        <w:outlineLvl w:val="9"/>
      </w:pPr>
      <w:r>
        <w:rPr>
          <w:rFonts w:hint="default" w:ascii="宋体" w:hAnsi="宋体" w:eastAsia="宋体" w:cs="Times New Roman"/>
          <w:color w:val="auto"/>
          <w:sz w:val="24"/>
          <w:szCs w:val="21"/>
          <w:highlight w:val="none"/>
        </w:rPr>
        <w:t xml:space="preserve">第</w:t>
      </w:r>
      <w:r>
        <w:rPr>
          <w:rFonts w:hint="eastAsia" w:ascii="宋体" w:hAnsi="宋体" w:eastAsia="宋体" w:cs="Times New Roman"/>
          <w:color w:val="auto"/>
          <w:sz w:val="24"/>
          <w:szCs w:val="21"/>
          <w:highlight w:val="none"/>
        </w:rPr>
        <w:t xml:space="preserve">6.</w:t>
      </w:r>
      <w:r>
        <w:rPr>
          <w:rFonts w:hint="default" w:ascii="宋体" w:hAnsi="宋体" w:eastAsia="宋体" w:cs="Times New Roman"/>
          <w:color w:val="auto"/>
          <w:sz w:val="24"/>
          <w:szCs w:val="21"/>
          <w:highlight w:val="none"/>
        </w:rPr>
        <w:t xml:space="preserve">2</w:t>
      </w:r>
      <w:r>
        <w:rPr>
          <w:rFonts w:hint="eastAsia" w:ascii="宋体" w:hAnsi="宋体" w:eastAsia="宋体" w:cs="Times New Roman"/>
          <w:color w:val="auto"/>
          <w:sz w:val="24"/>
          <w:szCs w:val="21"/>
          <w:highlight w:val="none"/>
        </w:rPr>
        <w:t xml:space="preserve">.7</w:t>
      </w:r>
      <w:r>
        <w:rPr>
          <w:rFonts w:hint="default" w:ascii="宋体" w:hAnsi="宋体" w:eastAsia="宋体" w:cs="Times New Roman"/>
          <w:color w:val="auto"/>
          <w:sz w:val="24"/>
          <w:szCs w:val="21"/>
          <w:highlight w:val="none"/>
        </w:rPr>
        <w:t xml:space="preserve">条</w:t>
      </w:r>
      <w:r>
        <w:rPr>
          <w:rFonts w:hint="eastAsia" w:ascii="宋体" w:hAnsi="宋体" w:eastAsia="宋体" w:cs="Times New Roman"/>
          <w:color w:val="auto"/>
          <w:sz w:val="24"/>
          <w:szCs w:val="21"/>
          <w:highlight w:val="none"/>
        </w:rPr>
        <w:t xml:space="preserve">  及时清除病虫害枝条或植株并按要求集中焚烧处理。</w:t>
      </w:r>
      <w:r/>
    </w:p>
    <w:p>
      <w:pPr>
        <w:ind w:firstLine="480"/>
        <w:jc w:val="both"/>
        <w:spacing w:line="288" w:lineRule="auto"/>
        <w:rPr>
          <w:rFonts w:hint="default"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第七章</w:t>
      </w:r>
      <w:r>
        <w:rPr>
          <w:rFonts w:hint="default" w:ascii="宋体" w:hAnsi="宋体" w:eastAsia="宋体" w:cs="Times New Roman"/>
          <w:color w:val="auto"/>
          <w:sz w:val="24"/>
          <w:szCs w:val="21"/>
          <w:highlight w:val="none"/>
        </w:rPr>
        <w:t xml:space="preserve">  技术档案</w:t>
      </w:r>
      <w:r/>
    </w:p>
    <w:p>
      <w:pPr>
        <w:ind w:firstLine="480"/>
        <w:jc w:val="both"/>
        <w:spacing w:line="288" w:lineRule="auto"/>
        <w:rPr>
          <w:rFonts w:hint="default" w:ascii="宋体" w:hAnsi="宋体" w:eastAsia="宋体" w:cs="Times New Roman"/>
          <w:color w:val="auto"/>
          <w:sz w:val="24"/>
          <w:szCs w:val="21"/>
          <w:highlight w:val="none"/>
        </w:rPr>
        <w:outlineLvl w:val="9"/>
      </w:pPr>
      <w:r>
        <w:rPr>
          <w:rFonts w:hint="default" w:ascii="宋体" w:hAnsi="宋体" w:eastAsia="宋体" w:cs="Times New Roman"/>
          <w:color w:val="auto"/>
          <w:sz w:val="24"/>
          <w:szCs w:val="21"/>
          <w:highlight w:val="none"/>
        </w:rPr>
        <w:t xml:space="preserve">第</w:t>
      </w:r>
      <w:r>
        <w:rPr>
          <w:rFonts w:hint="eastAsia" w:ascii="宋体" w:hAnsi="宋体" w:eastAsia="宋体" w:cs="Times New Roman"/>
          <w:color w:val="auto"/>
          <w:sz w:val="24"/>
          <w:szCs w:val="21"/>
          <w:highlight w:val="none"/>
        </w:rPr>
        <w:t xml:space="preserve">7.</w:t>
      </w:r>
      <w:r>
        <w:rPr>
          <w:rFonts w:hint="default" w:ascii="宋体" w:hAnsi="宋体" w:eastAsia="宋体" w:cs="Times New Roman"/>
          <w:color w:val="auto"/>
          <w:sz w:val="24"/>
          <w:szCs w:val="21"/>
          <w:highlight w:val="none"/>
        </w:rPr>
        <w:t xml:space="preserve">1</w:t>
      </w:r>
      <w:r>
        <w:rPr>
          <w:rFonts w:hint="eastAsia" w:ascii="宋体" w:hAnsi="宋体" w:eastAsia="宋体" w:cs="Times New Roman"/>
          <w:color w:val="auto"/>
          <w:sz w:val="24"/>
          <w:szCs w:val="21"/>
          <w:highlight w:val="none"/>
        </w:rPr>
        <w:t xml:space="preserve">.</w:t>
      </w:r>
      <w:r>
        <w:rPr>
          <w:rFonts w:hint="default" w:ascii="宋体" w:hAnsi="宋体" w:eastAsia="宋体" w:cs="Times New Roman"/>
          <w:color w:val="auto"/>
          <w:sz w:val="24"/>
          <w:szCs w:val="21"/>
          <w:highlight w:val="none"/>
        </w:rPr>
        <w:t xml:space="preserve">1条  各单位必须建立完整的园林植物养护技术档案，及时收集、整理和积累资料，总结经验。</w:t>
      </w:r>
      <w:r/>
    </w:p>
    <w:p>
      <w:pPr>
        <w:ind w:firstLine="480"/>
        <w:jc w:val="both"/>
        <w:spacing w:line="288" w:lineRule="auto"/>
        <w:rPr>
          <w:rFonts w:hint="default" w:ascii="宋体" w:hAnsi="宋体" w:eastAsia="宋体" w:cs="Times New Roman"/>
          <w:color w:val="auto"/>
          <w:sz w:val="24"/>
          <w:szCs w:val="21"/>
          <w:highlight w:val="none"/>
        </w:rPr>
        <w:outlineLvl w:val="9"/>
      </w:pPr>
      <w:r>
        <w:rPr>
          <w:rFonts w:hint="default" w:ascii="宋体" w:hAnsi="宋体" w:eastAsia="宋体" w:cs="Times New Roman"/>
          <w:color w:val="auto"/>
          <w:sz w:val="24"/>
          <w:szCs w:val="21"/>
          <w:highlight w:val="none"/>
        </w:rPr>
        <w:t xml:space="preserve">第</w:t>
      </w:r>
      <w:r>
        <w:rPr>
          <w:rFonts w:hint="eastAsia" w:ascii="宋体" w:hAnsi="宋体" w:eastAsia="宋体" w:cs="Times New Roman"/>
          <w:color w:val="auto"/>
          <w:sz w:val="24"/>
          <w:szCs w:val="21"/>
          <w:highlight w:val="none"/>
        </w:rPr>
        <w:t xml:space="preserve">7.</w:t>
      </w:r>
      <w:r>
        <w:rPr>
          <w:rFonts w:hint="default" w:ascii="宋体" w:hAnsi="宋体" w:eastAsia="宋体" w:cs="Times New Roman"/>
          <w:color w:val="auto"/>
          <w:sz w:val="24"/>
          <w:szCs w:val="21"/>
          <w:highlight w:val="none"/>
        </w:rPr>
        <w:t xml:space="preserve">1</w:t>
      </w:r>
      <w:r>
        <w:rPr>
          <w:rFonts w:hint="eastAsia" w:ascii="宋体" w:hAnsi="宋体" w:eastAsia="宋体" w:cs="Times New Roman"/>
          <w:color w:val="auto"/>
          <w:sz w:val="24"/>
          <w:szCs w:val="21"/>
          <w:highlight w:val="none"/>
        </w:rPr>
        <w:t xml:space="preserve">.</w:t>
      </w:r>
      <w:r>
        <w:rPr>
          <w:rFonts w:hint="default" w:ascii="宋体" w:hAnsi="宋体" w:eastAsia="宋体" w:cs="Times New Roman"/>
          <w:color w:val="auto"/>
          <w:sz w:val="24"/>
          <w:szCs w:val="21"/>
          <w:highlight w:val="none"/>
        </w:rPr>
        <w:t xml:space="preserve">2条  技术档案内容</w:t>
      </w:r>
      <w:r/>
    </w:p>
    <w:p>
      <w:pPr>
        <w:ind w:firstLine="480"/>
        <w:jc w:val="both"/>
        <w:spacing w:line="288" w:lineRule="auto"/>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一</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、招投标文件、合同、预决算资料。</w:t>
      </w:r>
      <w:r/>
    </w:p>
    <w:p>
      <w:pPr>
        <w:ind w:firstLine="480"/>
        <w:jc w:val="both"/>
        <w:spacing w:line="288" w:lineRule="auto"/>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二</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、养护施工组织设计（含项目部组成、机械设备各工种投入、目标任务及年度计划）、月度养护工作计划、自检情况、考核结果。</w:t>
      </w:r>
      <w:r/>
    </w:p>
    <w:p>
      <w:pPr>
        <w:ind w:firstLine="480"/>
        <w:jc w:val="both"/>
        <w:spacing w:line="288" w:lineRule="auto"/>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三</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、养护工作日志，包括日常巡查</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附录一</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、病虫害防治[含农药管理台账（附录二）、防汛防台抗雪减灾（应急预案及执行情况）、技术培训等所有养护工作内容</w:t>
      </w:r>
      <w:r>
        <w:rPr>
          <w:rFonts w:hint="eastAsia" w:ascii="宋体" w:hAnsi="宋体" w:eastAsia="宋体" w:cs="Times New Roman"/>
          <w:color w:val="auto"/>
          <w:sz w:val="24"/>
          <w:szCs w:val="21"/>
          <w:highlight w:val="none"/>
          <w:lang w:eastAsia="zh-CN"/>
        </w:rPr>
        <w:t xml:space="preserve">]。</w:t>
      </w:r>
      <w:r/>
    </w:p>
    <w:p>
      <w:pPr>
        <w:ind w:firstLine="480"/>
        <w:jc w:val="both"/>
        <w:spacing w:line="288" w:lineRule="auto"/>
        <w:rPr>
          <w:rFonts w:hint="default"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四</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、绿地建设历史及发展状况。</w:t>
      </w:r>
      <w:r/>
    </w:p>
    <w:p>
      <w:pPr>
        <w:ind w:firstLine="480"/>
        <w:jc w:val="both"/>
        <w:spacing w:line="288" w:lineRule="auto"/>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五</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、古树名木养护记录表</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附录三</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w:t>
      </w:r>
      <w:r/>
    </w:p>
    <w:p>
      <w:pPr>
        <w:ind w:firstLine="480"/>
        <w:jc w:val="both"/>
        <w:spacing w:line="288" w:lineRule="auto"/>
        <w:rPr>
          <w:rFonts w:hint="default"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六</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、养护工作量变更情况。</w:t>
      </w:r>
      <w:r/>
    </w:p>
    <w:p>
      <w:pPr>
        <w:ind w:firstLine="480"/>
        <w:jc w:val="both"/>
        <w:spacing w:line="288" w:lineRule="auto"/>
        <w:rPr>
          <w:rFonts w:hint="default"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七</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、应用新技术、新工艺和新成果的单项技术资料。</w:t>
      </w:r>
      <w:r/>
    </w:p>
    <w:p>
      <w:pPr>
        <w:ind w:firstLine="480"/>
        <w:jc w:val="both"/>
        <w:spacing w:line="288" w:lineRule="auto"/>
        <w:rPr>
          <w:rFonts w:hint="default"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八</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、枯死树木记录表（大树、主景树和名贵树种）</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附录四</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w:t>
      </w:r>
      <w:r/>
    </w:p>
    <w:p>
      <w:pPr>
        <w:ind w:firstLine="480"/>
        <w:jc w:val="both"/>
        <w:spacing w:line="288" w:lineRule="auto"/>
        <w:rPr>
          <w:rFonts w:hint="default"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九</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、各类统计表和调查报告、总结等。</w:t>
      </w:r>
      <w:r/>
    </w:p>
    <w:p>
      <w:pPr>
        <w:ind w:firstLine="480"/>
        <w:jc w:val="both"/>
        <w:spacing w:line="288" w:lineRule="auto"/>
        <w:rPr>
          <w:rFonts w:hint="default"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第7.</w:t>
      </w:r>
      <w:r>
        <w:rPr>
          <w:rFonts w:hint="default" w:ascii="宋体" w:hAnsi="宋体" w:eastAsia="宋体" w:cs="Times New Roman"/>
          <w:color w:val="auto"/>
          <w:sz w:val="24"/>
          <w:szCs w:val="21"/>
          <w:highlight w:val="none"/>
        </w:rPr>
        <w:t xml:space="preserve">1</w:t>
      </w:r>
      <w:r>
        <w:rPr>
          <w:rFonts w:hint="eastAsia" w:ascii="宋体" w:hAnsi="宋体" w:eastAsia="宋体" w:cs="Times New Roman"/>
          <w:color w:val="auto"/>
          <w:sz w:val="24"/>
          <w:szCs w:val="21"/>
          <w:highlight w:val="none"/>
        </w:rPr>
        <w:t xml:space="preserve">.</w:t>
      </w:r>
      <w:r>
        <w:rPr>
          <w:rFonts w:hint="default" w:ascii="宋体" w:hAnsi="宋体" w:eastAsia="宋体" w:cs="Times New Roman"/>
          <w:color w:val="auto"/>
          <w:sz w:val="24"/>
          <w:szCs w:val="21"/>
          <w:highlight w:val="none"/>
        </w:rPr>
        <w:t xml:space="preserve">3</w:t>
      </w:r>
      <w:r>
        <w:rPr>
          <w:rFonts w:hint="eastAsia" w:ascii="宋体" w:hAnsi="宋体" w:eastAsia="宋体" w:cs="Times New Roman"/>
          <w:color w:val="auto"/>
          <w:sz w:val="24"/>
          <w:szCs w:val="21"/>
          <w:highlight w:val="none"/>
        </w:rPr>
        <w:t xml:space="preserve">条</w:t>
      </w:r>
      <w:r>
        <w:rPr>
          <w:rFonts w:hint="default" w:ascii="宋体" w:hAnsi="宋体" w:eastAsia="宋体" w:cs="Times New Roman"/>
          <w:color w:val="auto"/>
          <w:sz w:val="24"/>
          <w:szCs w:val="21"/>
          <w:highlight w:val="none"/>
        </w:rPr>
        <w:t xml:space="preserve">  </w:t>
      </w:r>
      <w:r>
        <w:rPr>
          <w:rFonts w:hint="eastAsia" w:ascii="宋体" w:hAnsi="宋体" w:eastAsia="宋体" w:cs="Times New Roman"/>
          <w:color w:val="auto"/>
          <w:sz w:val="24"/>
          <w:szCs w:val="21"/>
          <w:highlight w:val="none"/>
        </w:rPr>
        <w:t xml:space="preserve">技术档案每年应分类整理，装订成册，编好目录，分类归档。</w:t>
      </w:r>
      <w:r/>
    </w:p>
    <w:p>
      <w:pPr>
        <w:ind w:firstLine="480"/>
        <w:jc w:val="both"/>
        <w:spacing w:line="288" w:lineRule="auto"/>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第八章</w:t>
      </w:r>
      <w:r>
        <w:rPr>
          <w:rFonts w:hint="default" w:ascii="宋体" w:hAnsi="宋体" w:eastAsia="宋体" w:cs="Times New Roman"/>
          <w:color w:val="auto"/>
          <w:sz w:val="24"/>
          <w:szCs w:val="21"/>
          <w:highlight w:val="none"/>
        </w:rPr>
        <w:t xml:space="preserve">  </w:t>
      </w:r>
      <w:r>
        <w:rPr>
          <w:rFonts w:hint="eastAsia" w:ascii="宋体" w:hAnsi="宋体" w:eastAsia="宋体" w:cs="Times New Roman"/>
          <w:color w:val="auto"/>
          <w:sz w:val="24"/>
          <w:szCs w:val="21"/>
          <w:highlight w:val="none"/>
        </w:rPr>
        <w:t xml:space="preserve">其他</w:t>
      </w:r>
      <w:r/>
    </w:p>
    <w:p>
      <w:pPr>
        <w:ind w:firstLine="480"/>
        <w:jc w:val="both"/>
        <w:spacing w:line="288" w:lineRule="auto"/>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第8.</w:t>
      </w:r>
      <w:r>
        <w:rPr>
          <w:rFonts w:hint="default" w:ascii="宋体" w:hAnsi="宋体" w:eastAsia="宋体" w:cs="Times New Roman"/>
          <w:color w:val="auto"/>
          <w:sz w:val="24"/>
          <w:szCs w:val="21"/>
          <w:highlight w:val="none"/>
        </w:rPr>
        <w:t xml:space="preserve">1</w:t>
      </w:r>
      <w:r>
        <w:rPr>
          <w:rFonts w:hint="eastAsia" w:ascii="宋体" w:hAnsi="宋体" w:eastAsia="宋体" w:cs="Times New Roman"/>
          <w:color w:val="auto"/>
          <w:sz w:val="24"/>
          <w:szCs w:val="21"/>
          <w:highlight w:val="none"/>
        </w:rPr>
        <w:t xml:space="preserve">.1条</w:t>
      </w:r>
      <w:r>
        <w:rPr>
          <w:rFonts w:hint="default" w:ascii="宋体" w:hAnsi="宋体" w:eastAsia="宋体" w:cs="Times New Roman"/>
          <w:color w:val="auto"/>
          <w:sz w:val="24"/>
          <w:szCs w:val="21"/>
          <w:highlight w:val="none"/>
        </w:rPr>
        <w:t xml:space="preserve">  </w:t>
      </w:r>
      <w:r>
        <w:rPr>
          <w:rFonts w:hint="eastAsia" w:ascii="宋体" w:hAnsi="宋体" w:eastAsia="宋体" w:cs="Times New Roman"/>
          <w:color w:val="auto"/>
          <w:sz w:val="24"/>
          <w:szCs w:val="21"/>
          <w:highlight w:val="none"/>
        </w:rPr>
        <w:t xml:space="preserve">绿地设施管理：绿地内设施应严格按规范要求进行维修保养，确保常年整洁完好，发现损坏应及时修缮或报有关部门进行维修更换。</w:t>
      </w:r>
      <w:r/>
    </w:p>
    <w:p>
      <w:pPr>
        <w:ind w:firstLine="480"/>
        <w:jc w:val="both"/>
        <w:spacing w:line="288" w:lineRule="auto"/>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第8.</w:t>
      </w:r>
      <w:r>
        <w:rPr>
          <w:rFonts w:hint="default" w:ascii="宋体" w:hAnsi="宋体" w:eastAsia="宋体" w:cs="Times New Roman"/>
          <w:color w:val="auto"/>
          <w:sz w:val="24"/>
          <w:szCs w:val="21"/>
          <w:highlight w:val="none"/>
        </w:rPr>
        <w:t xml:space="preserve">1</w:t>
      </w:r>
      <w:r>
        <w:rPr>
          <w:rFonts w:hint="eastAsia" w:ascii="宋体" w:hAnsi="宋体" w:eastAsia="宋体" w:cs="Times New Roman"/>
          <w:color w:val="auto"/>
          <w:sz w:val="24"/>
          <w:szCs w:val="21"/>
          <w:highlight w:val="none"/>
        </w:rPr>
        <w:t xml:space="preserve">.2条</w:t>
      </w:r>
      <w:r>
        <w:rPr>
          <w:rFonts w:hint="default" w:ascii="宋体" w:hAnsi="宋体" w:eastAsia="宋体" w:cs="Times New Roman"/>
          <w:color w:val="auto"/>
          <w:sz w:val="24"/>
          <w:szCs w:val="21"/>
          <w:highlight w:val="none"/>
        </w:rPr>
        <w:t xml:space="preserve">  </w:t>
      </w:r>
      <w:r>
        <w:rPr>
          <w:rFonts w:hint="eastAsia" w:ascii="宋体" w:hAnsi="宋体" w:eastAsia="宋体" w:cs="Times New Roman"/>
          <w:color w:val="auto"/>
          <w:sz w:val="24"/>
          <w:szCs w:val="21"/>
          <w:highlight w:val="none"/>
        </w:rPr>
        <w:t xml:space="preserve">在管护时，严格按照管护操作规程操作，做到安全管理、文明作业。</w:t>
      </w:r>
      <w:r/>
    </w:p>
    <w:p>
      <w:pPr>
        <w:ind w:firstLine="480"/>
        <w:jc w:val="both"/>
        <w:spacing w:line="288" w:lineRule="auto"/>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第8.</w:t>
      </w:r>
      <w:r>
        <w:rPr>
          <w:rFonts w:hint="default" w:ascii="宋体" w:hAnsi="宋体" w:eastAsia="宋体" w:cs="Times New Roman"/>
          <w:color w:val="auto"/>
          <w:sz w:val="24"/>
          <w:szCs w:val="21"/>
          <w:highlight w:val="none"/>
        </w:rPr>
        <w:t xml:space="preserve">1</w:t>
      </w:r>
      <w:r>
        <w:rPr>
          <w:rFonts w:hint="eastAsia" w:ascii="宋体" w:hAnsi="宋体" w:eastAsia="宋体" w:cs="Times New Roman"/>
          <w:color w:val="auto"/>
          <w:sz w:val="24"/>
          <w:szCs w:val="21"/>
          <w:highlight w:val="none"/>
        </w:rPr>
        <w:t xml:space="preserve">.3条</w:t>
      </w:r>
      <w:r>
        <w:rPr>
          <w:rFonts w:hint="default" w:ascii="宋体" w:hAnsi="宋体" w:eastAsia="宋体" w:cs="Times New Roman"/>
          <w:color w:val="auto"/>
          <w:sz w:val="24"/>
          <w:szCs w:val="21"/>
          <w:highlight w:val="none"/>
        </w:rPr>
        <w:t xml:space="preserve">  </w:t>
      </w:r>
      <w:r>
        <w:rPr>
          <w:rFonts w:hint="eastAsia" w:ascii="宋体" w:hAnsi="宋体" w:eastAsia="宋体" w:cs="Times New Roman"/>
          <w:color w:val="auto"/>
          <w:sz w:val="24"/>
          <w:szCs w:val="21"/>
          <w:highlight w:val="none"/>
        </w:rPr>
        <w:t xml:space="preserve">必须参与系统内的工作培训、技术指导、政治学习等活动，掌握新技术和必要的技能</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更好</w:t>
      </w:r>
      <w:r>
        <w:rPr>
          <w:rFonts w:hint="eastAsia" w:ascii="宋体" w:hAnsi="宋体" w:eastAsia="宋体" w:cs="Times New Roman"/>
          <w:color w:val="auto"/>
          <w:sz w:val="24"/>
          <w:szCs w:val="21"/>
          <w:highlight w:val="none"/>
          <w:lang w:eastAsia="zh-CN"/>
        </w:rPr>
        <w:t xml:space="preserve">地</w:t>
      </w:r>
      <w:r>
        <w:rPr>
          <w:rFonts w:hint="eastAsia" w:ascii="宋体" w:hAnsi="宋体" w:eastAsia="宋体" w:cs="Times New Roman"/>
          <w:color w:val="auto"/>
          <w:sz w:val="24"/>
          <w:szCs w:val="21"/>
          <w:highlight w:val="none"/>
        </w:rPr>
        <w:t xml:space="preserve">做好绿化养护工作。</w:t>
      </w:r>
      <w:r/>
    </w:p>
    <w:p>
      <w:pPr>
        <w:ind w:firstLine="480"/>
        <w:jc w:val="both"/>
        <w:spacing w:line="288" w:lineRule="auto"/>
        <w:rPr>
          <w:rFonts w:hint="eastAsia" w:ascii="宋体" w:hAnsi="宋体" w:eastAsia="宋体" w:cs="Times New Roman"/>
          <w:color w:val="auto"/>
          <w:sz w:val="24"/>
          <w:szCs w:val="21"/>
          <w:highlight w:val="none"/>
          <w:lang w:val="en-US" w:eastAsia="zh-CN"/>
        </w:rPr>
        <w:outlineLvl w:val="9"/>
      </w:pPr>
      <w:r>
        <w:rPr>
          <w:rFonts w:hint="eastAsia" w:ascii="宋体" w:hAnsi="宋体" w:eastAsia="宋体" w:cs="Times New Roman"/>
          <w:color w:val="auto"/>
          <w:sz w:val="24"/>
          <w:szCs w:val="21"/>
          <w:highlight w:val="none"/>
          <w:lang w:val="en-US" w:eastAsia="zh-CN"/>
        </w:rPr>
        <w:t xml:space="preserve">第8.</w:t>
      </w:r>
      <w:r>
        <w:rPr>
          <w:rFonts w:hint="default" w:ascii="宋体" w:hAnsi="宋体" w:eastAsia="宋体" w:cs="Times New Roman"/>
          <w:color w:val="auto"/>
          <w:sz w:val="24"/>
          <w:szCs w:val="21"/>
          <w:highlight w:val="none"/>
          <w:lang w:val="en-US" w:eastAsia="zh-CN"/>
        </w:rPr>
        <w:t xml:space="preserve">1</w:t>
      </w:r>
      <w:r>
        <w:rPr>
          <w:rFonts w:hint="eastAsia" w:ascii="宋体" w:hAnsi="宋体" w:eastAsia="宋体" w:cs="Times New Roman"/>
          <w:color w:val="auto"/>
          <w:sz w:val="24"/>
          <w:szCs w:val="21"/>
          <w:highlight w:val="none"/>
          <w:lang w:val="en-US" w:eastAsia="zh-CN"/>
        </w:rPr>
        <w:t xml:space="preserve">.4条</w:t>
      </w:r>
      <w:r>
        <w:rPr>
          <w:rFonts w:hint="default"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lang w:val="en-US" w:eastAsia="zh-CN"/>
        </w:rPr>
        <w:t xml:space="preserve">按时按质完成业主布置的其他突击性工作。</w:t>
      </w:r>
      <w:r/>
    </w:p>
    <w:p>
      <w:pPr>
        <w:ind w:firstLine="0"/>
        <w:jc w:val="center"/>
        <w:spacing w:line="288" w:lineRule="auto"/>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r>
      <w:r/>
    </w:p>
    <w:p>
      <w:pPr>
        <w:ind w:firstLine="0"/>
        <w:jc w:val="center"/>
        <w:spacing w:line="288" w:lineRule="auto"/>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附录一：项目负责人每日巡查记录表</w:t>
      </w:r>
      <w:r/>
    </w:p>
    <w:p>
      <w:pPr>
        <w:ind w:firstLine="480"/>
        <w:jc w:val="both"/>
        <w:spacing w:line="288" w:lineRule="auto"/>
        <w:rPr>
          <w:rFonts w:hint="eastAsia" w:ascii="宋体" w:hAnsi="宋体" w:eastAsia="宋体" w:cs="Times New Roman"/>
          <w:color w:val="auto"/>
          <w:sz w:val="24"/>
          <w:szCs w:val="21"/>
          <w:highlight w:val="none"/>
          <w:u w:val="single"/>
        </w:rPr>
        <w:outlineLvl w:val="9"/>
      </w:pPr>
      <w:r>
        <w:rPr>
          <w:rFonts w:hint="eastAsia" w:ascii="宋体" w:hAnsi="宋体" w:eastAsia="宋体" w:cs="Times New Roman"/>
          <w:color w:val="auto"/>
          <w:sz w:val="24"/>
          <w:szCs w:val="21"/>
          <w:highlight w:val="none"/>
          <w:u w:val="single"/>
        </w:rPr>
      </w:r>
      <w:r/>
    </w:p>
    <w:p>
      <w:pPr>
        <w:ind w:firstLine="480"/>
        <w:jc w:val="both"/>
        <w:spacing w:line="288" w:lineRule="auto"/>
        <w:rPr>
          <w:rFonts w:hint="eastAsia" w:ascii="宋体" w:hAnsi="宋体" w:eastAsia="宋体" w:cs="Times New Roman"/>
          <w:color w:val="auto"/>
          <w:sz w:val="24"/>
          <w:szCs w:val="21"/>
          <w:highlight w:val="none"/>
          <w:u w:val="single"/>
        </w:rPr>
        <w:outlineLvl w:val="9"/>
      </w:pPr>
      <w:r>
        <w:rPr>
          <w:rFonts w:hint="eastAsia" w:ascii="宋体" w:hAnsi="宋体" w:eastAsia="宋体" w:cs="Times New Roman"/>
          <w:color w:val="auto"/>
          <w:sz w:val="24"/>
          <w:szCs w:val="21"/>
          <w:highlight w:val="none"/>
          <w:u w:val="single"/>
        </w:rPr>
        <w:t xml:space="preserve">    </w:t>
      </w:r>
      <w:r>
        <w:rPr>
          <w:rFonts w:hint="eastAsia" w:ascii="宋体" w:hAnsi="宋体" w:eastAsia="宋体" w:cs="Times New Roman"/>
          <w:color w:val="auto"/>
          <w:sz w:val="24"/>
          <w:szCs w:val="21"/>
          <w:highlight w:val="none"/>
        </w:rPr>
        <w:t xml:space="preserve">年</w:t>
      </w:r>
      <w:r>
        <w:rPr>
          <w:rFonts w:hint="eastAsia" w:ascii="宋体" w:hAnsi="宋体" w:eastAsia="宋体" w:cs="Times New Roman"/>
          <w:color w:val="auto"/>
          <w:sz w:val="24"/>
          <w:szCs w:val="21"/>
          <w:highlight w:val="none"/>
          <w:u w:val="single"/>
        </w:rPr>
        <w:t xml:space="preserve">   </w:t>
      </w:r>
      <w:r>
        <w:rPr>
          <w:rFonts w:hint="eastAsia" w:ascii="宋体" w:hAnsi="宋体" w:eastAsia="宋体" w:cs="Times New Roman"/>
          <w:color w:val="auto"/>
          <w:sz w:val="24"/>
          <w:szCs w:val="21"/>
          <w:highlight w:val="none"/>
        </w:rPr>
        <w:t xml:space="preserve">月</w:t>
      </w:r>
      <w:r>
        <w:rPr>
          <w:rFonts w:hint="eastAsia" w:ascii="宋体" w:hAnsi="宋体" w:eastAsia="宋体" w:cs="Times New Roman"/>
          <w:color w:val="auto"/>
          <w:sz w:val="24"/>
          <w:szCs w:val="21"/>
          <w:highlight w:val="none"/>
          <w:u w:val="single"/>
        </w:rPr>
        <w:t xml:space="preserve">   </w:t>
      </w:r>
      <w:r>
        <w:rPr>
          <w:rFonts w:hint="eastAsia" w:ascii="宋体" w:hAnsi="宋体" w:eastAsia="宋体" w:cs="Times New Roman"/>
          <w:color w:val="auto"/>
          <w:sz w:val="24"/>
          <w:szCs w:val="21"/>
          <w:highlight w:val="none"/>
        </w:rPr>
        <w:t xml:space="preserve">日         星期</w:t>
      </w:r>
      <w:r>
        <w:rPr>
          <w:rFonts w:hint="eastAsia" w:ascii="宋体" w:hAnsi="宋体" w:eastAsia="宋体" w:cs="Times New Roman"/>
          <w:color w:val="auto"/>
          <w:sz w:val="24"/>
          <w:szCs w:val="21"/>
          <w:highlight w:val="none"/>
          <w:u w:val="single"/>
        </w:rPr>
        <w:t xml:space="preserve">    </w:t>
      </w:r>
      <w:r>
        <w:rPr>
          <w:rFonts w:hint="eastAsia" w:ascii="宋体" w:hAnsi="宋体" w:eastAsia="宋体" w:cs="Times New Roman"/>
          <w:color w:val="auto"/>
          <w:sz w:val="24"/>
          <w:szCs w:val="21"/>
          <w:highlight w:val="none"/>
        </w:rPr>
        <w:t xml:space="preserve">         天气：</w:t>
      </w:r>
      <w:r>
        <w:rPr>
          <w:rFonts w:hint="eastAsia" w:ascii="宋体" w:hAnsi="宋体" w:eastAsia="宋体" w:cs="Times New Roman"/>
          <w:color w:val="auto"/>
          <w:sz w:val="24"/>
          <w:szCs w:val="21"/>
          <w:highlight w:val="none"/>
          <w:u w:val="single"/>
        </w:rPr>
        <w:t xml:space="preserve">    </w:t>
      </w:r>
      <w:r/>
    </w:p>
    <w:p>
      <w:pPr>
        <w:ind w:firstLine="480"/>
        <w:jc w:val="both"/>
        <w:spacing w:line="288" w:lineRule="auto"/>
        <w:rPr>
          <w:rFonts w:hint="eastAsia" w:ascii="宋体" w:hAnsi="宋体" w:eastAsia="宋体" w:cs="Times New Roman"/>
          <w:color w:val="auto"/>
          <w:sz w:val="24"/>
          <w:szCs w:val="21"/>
          <w:highlight w:val="none"/>
          <w:u w:val="single"/>
        </w:rPr>
        <w:outlineLvl w:val="9"/>
      </w:pPr>
      <w:r>
        <w:rPr>
          <w:rFonts w:hint="eastAsia" w:ascii="宋体" w:hAnsi="宋体" w:eastAsia="宋体" w:cs="Times New Roman"/>
          <w:color w:val="auto"/>
          <w:sz w:val="24"/>
          <w:szCs w:val="21"/>
          <w:highlight w:val="none"/>
          <w:u w:val="single"/>
        </w:rPr>
      </w:r>
      <w:r/>
    </w:p>
    <w:tbl>
      <w:tblPr>
        <w:tblStyle w:val="70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75"/>
        <w:gridCol w:w="7353"/>
      </w:tblGrid>
      <w:tr>
        <w:trPr>
          <w:jc w:val="center"/>
          <w:trHeight w:val="1012"/>
        </w:trPr>
        <w:tc>
          <w:tcPr>
            <w:tcW w:w="1575" w:type="dxa"/>
            <w:vAlign w:val="center"/>
            <w:textDirection w:val="lrTb"/>
            <w:noWrap w:val="false"/>
          </w:tcPr>
          <w:p>
            <w:pPr>
              <w:ind w:firstLine="0"/>
              <w:jc w:val="both"/>
              <w:spacing w:line="288" w:lineRule="auto"/>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作业路段</w:t>
            </w:r>
            <w:r/>
          </w:p>
        </w:tc>
        <w:tc>
          <w:tcPr>
            <w:tcW w:w="7353" w:type="dxa"/>
            <w:vAlign w:val="center"/>
            <w:textDirection w:val="lrTb"/>
            <w:noWrap w:val="false"/>
          </w:tcPr>
          <w:p>
            <w:pPr>
              <w:ind w:firstLine="640"/>
              <w:jc w:val="center"/>
              <w:spacing w:line="288" w:lineRule="auto"/>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（按每月养护计划填报）</w:t>
            </w:r>
            <w:r/>
          </w:p>
        </w:tc>
      </w:tr>
      <w:tr>
        <w:trPr>
          <w:jc w:val="center"/>
          <w:trHeight w:val="1224"/>
        </w:trPr>
        <w:tc>
          <w:tcPr>
            <w:tcW w:w="1575" w:type="dxa"/>
            <w:vAlign w:val="center"/>
            <w:textDirection w:val="lrTb"/>
            <w:noWrap w:val="false"/>
          </w:tcPr>
          <w:p>
            <w:pPr>
              <w:ind w:firstLine="0"/>
              <w:jc w:val="both"/>
              <w:spacing w:line="288" w:lineRule="auto"/>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作业内容</w:t>
            </w:r>
            <w:r/>
          </w:p>
        </w:tc>
        <w:tc>
          <w:tcPr>
            <w:tcW w:w="7353" w:type="dxa"/>
            <w:vAlign w:val="center"/>
            <w:textDirection w:val="lrTb"/>
            <w:noWrap w:val="false"/>
          </w:tcPr>
          <w:p>
            <w:pPr>
              <w:ind w:firstLine="640"/>
              <w:jc w:val="center"/>
              <w:spacing w:line="288" w:lineRule="auto"/>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（按每月养护计划填报，应包含作业工人数量、领班绿化工姓名、工作内容和工作量、使用机械设备数量等）</w:t>
            </w:r>
            <w:r/>
          </w:p>
        </w:tc>
      </w:tr>
      <w:tr>
        <w:trPr>
          <w:jc w:val="center"/>
          <w:trHeight w:val="1240"/>
        </w:trPr>
        <w:tc>
          <w:tcPr>
            <w:tcW w:w="1575" w:type="dxa"/>
            <w:vAlign w:val="center"/>
            <w:textDirection w:val="lrTb"/>
            <w:noWrap w:val="false"/>
          </w:tcPr>
          <w:p>
            <w:pPr>
              <w:ind w:firstLine="0"/>
              <w:jc w:val="both"/>
              <w:spacing w:line="288" w:lineRule="auto"/>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存在问题</w:t>
            </w:r>
            <w:r/>
          </w:p>
        </w:tc>
        <w:tc>
          <w:tcPr>
            <w:tcW w:w="7353" w:type="dxa"/>
            <w:vAlign w:val="center"/>
            <w:textDirection w:val="lrTb"/>
            <w:noWrap w:val="false"/>
          </w:tcPr>
          <w:p>
            <w:pPr>
              <w:ind w:firstLine="640"/>
              <w:jc w:val="both"/>
              <w:spacing w:line="288" w:lineRule="auto"/>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（项目负责人须对所有中标养护路段进行巡查，每日上报巡查发现问题不得少于5处，发现问题应写明具体路段地点及问题类型）</w:t>
            </w:r>
            <w:r/>
          </w:p>
        </w:tc>
      </w:tr>
      <w:tr>
        <w:trPr>
          <w:jc w:val="center"/>
          <w:trHeight w:val="619"/>
        </w:trPr>
        <w:tc>
          <w:tcPr>
            <w:tcW w:w="1575" w:type="dxa"/>
            <w:vAlign w:val="center"/>
            <w:textDirection w:val="lrTb"/>
            <w:noWrap w:val="false"/>
          </w:tcPr>
          <w:p>
            <w:pPr>
              <w:ind w:firstLine="0"/>
              <w:jc w:val="both"/>
              <w:spacing w:line="288" w:lineRule="auto"/>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整改安排</w:t>
            </w:r>
            <w:r/>
          </w:p>
        </w:tc>
        <w:tc>
          <w:tcPr>
            <w:tcW w:w="7353" w:type="dxa"/>
            <w:vAlign w:val="center"/>
            <w:textDirection w:val="lrTb"/>
            <w:noWrap w:val="false"/>
          </w:tcPr>
          <w:p>
            <w:pPr>
              <w:ind w:firstLine="640"/>
              <w:jc w:val="center"/>
              <w:spacing w:line="288" w:lineRule="auto"/>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（项目负责人对当日巡查发现的问题的整改处置安排）</w:t>
            </w:r>
            <w:r/>
          </w:p>
        </w:tc>
      </w:tr>
      <w:tr>
        <w:trPr>
          <w:jc w:val="center"/>
          <w:trHeight w:val="2001"/>
        </w:trPr>
        <w:tc>
          <w:tcPr>
            <w:tcW w:w="1575" w:type="dxa"/>
            <w:vAlign w:val="center"/>
            <w:textDirection w:val="lrTb"/>
            <w:noWrap w:val="false"/>
          </w:tcPr>
          <w:p>
            <w:pPr>
              <w:ind w:firstLine="0"/>
              <w:jc w:val="both"/>
              <w:spacing w:line="288" w:lineRule="auto"/>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整改复查</w:t>
            </w:r>
            <w:r/>
          </w:p>
        </w:tc>
        <w:tc>
          <w:tcPr>
            <w:tcW w:w="7353" w:type="dxa"/>
            <w:vAlign w:val="center"/>
            <w:textDirection w:val="lrTb"/>
            <w:noWrap w:val="false"/>
          </w:tcPr>
          <w:p>
            <w:pPr>
              <w:ind w:firstLine="640"/>
              <w:jc w:val="center"/>
              <w:spacing w:line="288" w:lineRule="auto"/>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（该栏由第二日值班经理填写，应写明整改复查情况）</w:t>
            </w:r>
            <w:r/>
          </w:p>
          <w:p>
            <w:pPr>
              <w:ind w:firstLine="0"/>
              <w:jc w:val="both"/>
              <w:spacing w:line="288" w:lineRule="auto"/>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r>
            <w:r/>
          </w:p>
          <w:p>
            <w:pPr>
              <w:ind w:firstLine="640"/>
              <w:jc w:val="center"/>
              <w:spacing w:line="288" w:lineRule="auto"/>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       值班经理：</w:t>
            </w:r>
            <w:r/>
          </w:p>
        </w:tc>
      </w:tr>
    </w:tbl>
    <w:p>
      <w:pPr>
        <w:ind w:firstLine="0"/>
        <w:jc w:val="both"/>
        <w:spacing w:line="288" w:lineRule="auto"/>
        <w:rPr>
          <w:rFonts w:hint="eastAsia"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r>
      <w:r/>
    </w:p>
    <w:p>
      <w:pPr>
        <w:ind w:firstLine="360"/>
        <w:spacing w:line="288" w:lineRule="auto"/>
        <w:rPr>
          <w:rFonts w:hint="eastAsia" w:ascii="宋体" w:hAnsi="宋体"/>
          <w:color w:val="auto"/>
          <w:sz w:val="24"/>
          <w:highlight w:val="none"/>
        </w:rPr>
        <w:sectPr>
          <w:headerReference w:type="default" r:id="rId9"/>
          <w:footerReference w:type="default" r:id="rId11"/>
          <w:footnotePr/>
          <w:endnotePr/>
          <w:type w:val="nextPage"/>
          <w:pgSz w:w="11906" w:h="16838" w:orient="portrait"/>
          <w:pgMar w:top="1440" w:right="1417" w:bottom="1440" w:left="1417" w:header="851" w:footer="992" w:gutter="0"/>
          <w:cols w:num="1" w:sep="0" w:space="720" w:equalWidth="1"/>
          <w:docGrid w:linePitch="360"/>
        </w:sectPr>
      </w:pPr>
      <w:r>
        <w:rPr>
          <w:rFonts w:hint="eastAsia" w:ascii="宋体" w:hAnsi="宋体" w:eastAsia="宋体" w:cs="Times New Roman"/>
          <w:color w:val="auto"/>
          <w:sz w:val="24"/>
          <w:szCs w:val="21"/>
          <w:highlight w:val="none"/>
        </w:rPr>
        <w:t xml:space="preserve">项目负责人：                            审核人：</w:t>
      </w:r>
      <w:r/>
    </w:p>
    <w:tbl>
      <w:tblPr>
        <w:tblStyle w:val="704"/>
        <w:tblW w:w="14820" w:type="dxa"/>
        <w:jc w:val="center"/>
        <w:tblLayout w:type="autofit"/>
        <w:tblCellMar>
          <w:left w:w="108" w:type="dxa"/>
          <w:top w:w="0" w:type="dxa"/>
          <w:right w:w="108" w:type="dxa"/>
          <w:bottom w:w="0" w:type="dxa"/>
        </w:tblCellMar>
        <w:tblLook w:val="04A0" w:firstRow="1" w:lastRow="0" w:firstColumn="1" w:lastColumn="0" w:noHBand="0" w:noVBand="1"/>
      </w:tblPr>
      <w:tblGrid>
        <w:gridCol w:w="1004"/>
        <w:gridCol w:w="1004"/>
        <w:gridCol w:w="1477"/>
        <w:gridCol w:w="1004"/>
        <w:gridCol w:w="1004"/>
        <w:gridCol w:w="1004"/>
        <w:gridCol w:w="1477"/>
        <w:gridCol w:w="1004"/>
        <w:gridCol w:w="1004"/>
        <w:gridCol w:w="1477"/>
        <w:gridCol w:w="1681"/>
        <w:gridCol w:w="1680"/>
      </w:tblGrid>
      <w:tr>
        <w:trPr>
          <w:jc w:val="center"/>
          <w:trHeight w:val="630"/>
        </w:trPr>
        <w:tc>
          <w:tcPr>
            <w:gridSpan w:val="12"/>
            <w:tcBorders>
              <w:top w:val="none" w:color="000000" w:sz="4" w:space="0"/>
              <w:left w:val="none" w:color="000000" w:sz="4" w:space="0"/>
              <w:bottom w:val="single" w:color="auto" w:sz="6" w:space="0"/>
              <w:right w:val="none" w:color="000000" w:sz="4" w:space="0"/>
            </w:tcBorders>
            <w:tcW w:w="14820" w:type="dxa"/>
            <w:vAlign w:val="center"/>
            <w:textDirection w:val="lrTb"/>
            <w:noWrap/>
          </w:tcPr>
          <w:p>
            <w:pPr>
              <w:ind w:firstLine="0"/>
              <w:jc w:val="center"/>
              <w:spacing w:line="288" w:lineRule="auto"/>
              <w:rPr>
                <w:rFonts w:hint="default"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附录二：化学药剂出入库及空瓶回收台帐</w:t>
            </w:r>
            <w:r/>
          </w:p>
        </w:tc>
      </w:tr>
      <w:tr>
        <w:trPr>
          <w:jc w:val="center"/>
          <w:trHeight w:val="402"/>
        </w:trPr>
        <w:tc>
          <w:tcPr>
            <w:gridSpan w:val="4"/>
            <w:tcBorders>
              <w:top w:val="single" w:color="auto" w:sz="6" w:space="0"/>
              <w:left w:val="single" w:color="auto" w:sz="6" w:space="0"/>
              <w:bottom w:val="single" w:color="auto" w:sz="4" w:space="0"/>
              <w:right w:val="single" w:color="000000" w:sz="6" w:space="0"/>
            </w:tcBorders>
            <w:tcW w:w="4489" w:type="dxa"/>
            <w:vAlign w:val="center"/>
            <w:textDirection w:val="lrTb"/>
            <w:noWrap/>
          </w:tcPr>
          <w:p>
            <w:pPr>
              <w:ind w:firstLine="0"/>
              <w:jc w:val="center"/>
              <w:spacing w:line="288" w:lineRule="auto"/>
              <w:widowControl/>
              <w:rPr>
                <w:rFonts w:hint="default" w:ascii="宋体" w:hAnsi="宋体" w:eastAsia="宋体" w:cs="宋体"/>
                <w:b/>
                <w:bCs/>
                <w:color w:val="auto"/>
                <w:sz w:val="24"/>
                <w:szCs w:val="21"/>
                <w:highlight w:val="none"/>
              </w:rPr>
              <w:outlineLvl w:val="9"/>
            </w:pPr>
            <w:r>
              <w:rPr>
                <w:rFonts w:hint="eastAsia" w:ascii="宋体" w:hAnsi="宋体" w:eastAsia="宋体" w:cs="宋体"/>
                <w:b/>
                <w:bCs/>
                <w:color w:val="auto"/>
                <w:sz w:val="24"/>
                <w:szCs w:val="21"/>
                <w:highlight w:val="none"/>
              </w:rPr>
              <w:t xml:space="preserve">入库</w:t>
            </w:r>
            <w:r/>
          </w:p>
        </w:tc>
        <w:tc>
          <w:tcPr>
            <w:gridSpan w:val="4"/>
            <w:tcBorders>
              <w:top w:val="single" w:color="auto" w:sz="6" w:space="0"/>
              <w:left w:val="none" w:color="000000" w:sz="4" w:space="0"/>
              <w:bottom w:val="single" w:color="auto" w:sz="4" w:space="0"/>
              <w:right w:val="single" w:color="000000" w:sz="6" w:space="0"/>
            </w:tcBorders>
            <w:tcW w:w="4489" w:type="dxa"/>
            <w:vAlign w:val="center"/>
            <w:textDirection w:val="lrTb"/>
            <w:noWrap/>
          </w:tcPr>
          <w:p>
            <w:pPr>
              <w:ind w:firstLine="0"/>
              <w:jc w:val="center"/>
              <w:spacing w:line="288" w:lineRule="auto"/>
              <w:widowControl/>
              <w:rPr>
                <w:rFonts w:hint="default" w:ascii="宋体" w:hAnsi="宋体" w:eastAsia="宋体" w:cs="宋体"/>
                <w:b/>
                <w:bCs/>
                <w:color w:val="auto"/>
                <w:sz w:val="24"/>
                <w:szCs w:val="21"/>
                <w:highlight w:val="none"/>
              </w:rPr>
              <w:outlineLvl w:val="9"/>
            </w:pPr>
            <w:r>
              <w:rPr>
                <w:rFonts w:hint="eastAsia" w:ascii="宋体" w:hAnsi="宋体" w:eastAsia="宋体" w:cs="宋体"/>
                <w:b/>
                <w:bCs/>
                <w:color w:val="auto"/>
                <w:sz w:val="24"/>
                <w:szCs w:val="21"/>
                <w:highlight w:val="none"/>
              </w:rPr>
              <w:t xml:space="preserve">出库</w:t>
            </w:r>
            <w:r/>
          </w:p>
        </w:tc>
        <w:tc>
          <w:tcPr>
            <w:gridSpan w:val="4"/>
            <w:tcBorders>
              <w:top w:val="single" w:color="auto" w:sz="6" w:space="0"/>
              <w:left w:val="none" w:color="000000" w:sz="4" w:space="0"/>
              <w:bottom w:val="single" w:color="auto" w:sz="4" w:space="0"/>
              <w:right w:val="single" w:color="000000" w:sz="6" w:space="0"/>
            </w:tcBorders>
            <w:tcW w:w="5842" w:type="dxa"/>
            <w:vAlign w:val="center"/>
            <w:textDirection w:val="lrTb"/>
            <w:noWrap/>
          </w:tcPr>
          <w:p>
            <w:pPr>
              <w:ind w:firstLine="0"/>
              <w:jc w:val="center"/>
              <w:spacing w:line="288" w:lineRule="auto"/>
              <w:widowControl/>
              <w:rPr>
                <w:rFonts w:hint="default" w:ascii="宋体" w:hAnsi="宋体" w:eastAsia="宋体" w:cs="宋体"/>
                <w:b/>
                <w:bCs/>
                <w:color w:val="auto"/>
                <w:sz w:val="24"/>
                <w:szCs w:val="21"/>
                <w:highlight w:val="none"/>
              </w:rPr>
              <w:outlineLvl w:val="9"/>
            </w:pPr>
            <w:r>
              <w:rPr>
                <w:rFonts w:hint="eastAsia" w:ascii="宋体" w:hAnsi="宋体" w:eastAsia="宋体" w:cs="宋体"/>
                <w:b/>
                <w:bCs/>
                <w:color w:val="auto"/>
                <w:sz w:val="24"/>
                <w:szCs w:val="21"/>
                <w:highlight w:val="none"/>
              </w:rPr>
              <w:t xml:space="preserve">空瓶回收</w:t>
            </w:r>
            <w:r/>
          </w:p>
        </w:tc>
      </w:tr>
      <w:tr>
        <w:trPr>
          <w:jc w:val="center"/>
          <w:trHeight w:val="402"/>
        </w:trPr>
        <w:tc>
          <w:tcPr>
            <w:tcBorders>
              <w:top w:val="none" w:color="000000" w:sz="4" w:space="0"/>
              <w:left w:val="single" w:color="auto" w:sz="6" w:space="0"/>
              <w:bottom w:val="single" w:color="auto" w:sz="4" w:space="0"/>
              <w:right w:val="single" w:color="auto" w:sz="4" w:space="0"/>
            </w:tcBorders>
            <w:tcW w:w="1004" w:type="dxa"/>
            <w:vAlign w:val="center"/>
            <w:textDirection w:val="lrTb"/>
            <w:noWrap/>
          </w:tcPr>
          <w:p>
            <w:pPr>
              <w:ind w:firstLine="0"/>
              <w:jc w:val="center"/>
              <w:spacing w:line="288" w:lineRule="auto"/>
              <w:widowControl/>
              <w:rPr>
                <w:rFonts w:hint="default" w:ascii="宋体" w:hAnsi="宋体" w:eastAsia="宋体" w:cs="宋体"/>
                <w:b/>
                <w:bCs/>
                <w:color w:val="auto"/>
                <w:sz w:val="24"/>
                <w:szCs w:val="21"/>
                <w:highlight w:val="none"/>
              </w:rPr>
              <w:outlineLvl w:val="9"/>
            </w:pPr>
            <w:r>
              <w:rPr>
                <w:rFonts w:hint="eastAsia" w:ascii="宋体" w:hAnsi="宋体" w:eastAsia="宋体" w:cs="宋体"/>
                <w:b/>
                <w:bCs/>
                <w:color w:val="auto"/>
                <w:sz w:val="24"/>
                <w:szCs w:val="21"/>
                <w:highlight w:val="none"/>
              </w:rPr>
              <w:t xml:space="preserve">品名</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tcPr>
          <w:p>
            <w:pPr>
              <w:ind w:firstLine="0"/>
              <w:jc w:val="center"/>
              <w:spacing w:line="288" w:lineRule="auto"/>
              <w:widowControl/>
              <w:rPr>
                <w:rFonts w:hint="default" w:ascii="宋体" w:hAnsi="宋体" w:eastAsia="宋体" w:cs="宋体"/>
                <w:b/>
                <w:bCs/>
                <w:color w:val="auto"/>
                <w:sz w:val="24"/>
                <w:szCs w:val="21"/>
                <w:highlight w:val="none"/>
              </w:rPr>
              <w:outlineLvl w:val="9"/>
            </w:pPr>
            <w:r>
              <w:rPr>
                <w:rFonts w:hint="eastAsia" w:ascii="宋体" w:hAnsi="宋体" w:eastAsia="宋体" w:cs="宋体"/>
                <w:b/>
                <w:bCs/>
                <w:color w:val="auto"/>
                <w:sz w:val="24"/>
                <w:szCs w:val="21"/>
                <w:highlight w:val="none"/>
              </w:rPr>
              <w:t xml:space="preserve">数量</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tcPr>
          <w:p>
            <w:pPr>
              <w:ind w:firstLine="0"/>
              <w:jc w:val="center"/>
              <w:spacing w:line="288" w:lineRule="auto"/>
              <w:widowControl/>
              <w:rPr>
                <w:rFonts w:hint="default" w:ascii="宋体" w:hAnsi="宋体" w:eastAsia="宋体" w:cs="宋体"/>
                <w:b/>
                <w:bCs/>
                <w:color w:val="auto"/>
                <w:sz w:val="24"/>
                <w:szCs w:val="21"/>
                <w:highlight w:val="none"/>
              </w:rPr>
              <w:outlineLvl w:val="9"/>
            </w:pPr>
            <w:r>
              <w:rPr>
                <w:rFonts w:hint="eastAsia" w:ascii="宋体" w:hAnsi="宋体" w:eastAsia="宋体" w:cs="宋体"/>
                <w:b/>
                <w:bCs/>
                <w:color w:val="auto"/>
                <w:sz w:val="24"/>
                <w:szCs w:val="21"/>
                <w:highlight w:val="none"/>
              </w:rPr>
              <w:t xml:space="preserve">经办人</w:t>
            </w:r>
            <w:r/>
          </w:p>
        </w:tc>
        <w:tc>
          <w:tcPr>
            <w:tcBorders>
              <w:top w:val="none" w:color="000000" w:sz="4" w:space="0"/>
              <w:left w:val="none" w:color="000000" w:sz="4" w:space="0"/>
              <w:bottom w:val="single" w:color="auto" w:sz="4" w:space="0"/>
              <w:right w:val="single" w:color="auto" w:sz="6" w:space="0"/>
            </w:tcBorders>
            <w:tcW w:w="1004" w:type="dxa"/>
            <w:vAlign w:val="center"/>
            <w:textDirection w:val="lrTb"/>
            <w:noWrap/>
          </w:tcPr>
          <w:p>
            <w:pPr>
              <w:ind w:firstLine="0"/>
              <w:jc w:val="center"/>
              <w:spacing w:line="288" w:lineRule="auto"/>
              <w:widowControl/>
              <w:rPr>
                <w:rFonts w:hint="default" w:ascii="宋体" w:hAnsi="宋体" w:eastAsia="宋体" w:cs="宋体"/>
                <w:b/>
                <w:bCs/>
                <w:color w:val="auto"/>
                <w:sz w:val="24"/>
                <w:szCs w:val="21"/>
                <w:highlight w:val="none"/>
              </w:rPr>
              <w:outlineLvl w:val="9"/>
            </w:pPr>
            <w:r>
              <w:rPr>
                <w:rFonts w:hint="eastAsia" w:ascii="宋体" w:hAnsi="宋体" w:eastAsia="宋体" w:cs="宋体"/>
                <w:b/>
                <w:bCs/>
                <w:color w:val="auto"/>
                <w:sz w:val="24"/>
                <w:szCs w:val="21"/>
                <w:highlight w:val="none"/>
              </w:rPr>
              <w:t xml:space="preserve">时间</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tcPr>
          <w:p>
            <w:pPr>
              <w:ind w:firstLine="0"/>
              <w:jc w:val="center"/>
              <w:spacing w:line="288" w:lineRule="auto"/>
              <w:widowControl/>
              <w:rPr>
                <w:rFonts w:hint="default" w:ascii="宋体" w:hAnsi="宋体" w:eastAsia="宋体" w:cs="宋体"/>
                <w:b/>
                <w:bCs/>
                <w:color w:val="auto"/>
                <w:sz w:val="24"/>
                <w:szCs w:val="21"/>
                <w:highlight w:val="none"/>
              </w:rPr>
              <w:outlineLvl w:val="9"/>
            </w:pPr>
            <w:r>
              <w:rPr>
                <w:rFonts w:hint="eastAsia" w:ascii="宋体" w:hAnsi="宋体" w:eastAsia="宋体" w:cs="宋体"/>
                <w:b/>
                <w:bCs/>
                <w:color w:val="auto"/>
                <w:sz w:val="24"/>
                <w:szCs w:val="21"/>
                <w:highlight w:val="none"/>
              </w:rPr>
              <w:t xml:space="preserve">品名</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tcPr>
          <w:p>
            <w:pPr>
              <w:ind w:firstLine="0"/>
              <w:jc w:val="center"/>
              <w:spacing w:line="288" w:lineRule="auto"/>
              <w:widowControl/>
              <w:rPr>
                <w:rFonts w:hint="default" w:ascii="宋体" w:hAnsi="宋体" w:eastAsia="宋体" w:cs="宋体"/>
                <w:b/>
                <w:bCs/>
                <w:color w:val="auto"/>
                <w:sz w:val="24"/>
                <w:szCs w:val="21"/>
                <w:highlight w:val="none"/>
              </w:rPr>
              <w:outlineLvl w:val="9"/>
            </w:pPr>
            <w:r>
              <w:rPr>
                <w:rFonts w:hint="eastAsia" w:ascii="宋体" w:hAnsi="宋体" w:eastAsia="宋体" w:cs="宋体"/>
                <w:b/>
                <w:bCs/>
                <w:color w:val="auto"/>
                <w:sz w:val="24"/>
                <w:szCs w:val="21"/>
                <w:highlight w:val="none"/>
              </w:rPr>
              <w:t xml:space="preserve">数量</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tcPr>
          <w:p>
            <w:pPr>
              <w:ind w:firstLine="0"/>
              <w:jc w:val="center"/>
              <w:spacing w:line="288" w:lineRule="auto"/>
              <w:widowControl/>
              <w:rPr>
                <w:rFonts w:hint="default" w:ascii="宋体" w:hAnsi="宋体" w:eastAsia="宋体" w:cs="宋体"/>
                <w:b/>
                <w:bCs/>
                <w:color w:val="auto"/>
                <w:sz w:val="24"/>
                <w:szCs w:val="21"/>
                <w:highlight w:val="none"/>
              </w:rPr>
              <w:outlineLvl w:val="9"/>
            </w:pPr>
            <w:r>
              <w:rPr>
                <w:rFonts w:hint="eastAsia" w:ascii="宋体" w:hAnsi="宋体" w:eastAsia="宋体" w:cs="宋体"/>
                <w:b/>
                <w:bCs/>
                <w:color w:val="auto"/>
                <w:sz w:val="24"/>
                <w:szCs w:val="21"/>
                <w:highlight w:val="none"/>
              </w:rPr>
              <w:t xml:space="preserve">经办人</w:t>
            </w:r>
            <w:r/>
          </w:p>
        </w:tc>
        <w:tc>
          <w:tcPr>
            <w:tcBorders>
              <w:top w:val="none" w:color="000000" w:sz="4" w:space="0"/>
              <w:left w:val="none" w:color="000000" w:sz="4" w:space="0"/>
              <w:bottom w:val="single" w:color="auto" w:sz="4" w:space="0"/>
              <w:right w:val="single" w:color="auto" w:sz="6" w:space="0"/>
            </w:tcBorders>
            <w:tcW w:w="1004" w:type="dxa"/>
            <w:vAlign w:val="center"/>
            <w:textDirection w:val="lrTb"/>
            <w:noWrap/>
          </w:tcPr>
          <w:p>
            <w:pPr>
              <w:ind w:firstLine="0"/>
              <w:jc w:val="center"/>
              <w:spacing w:line="288" w:lineRule="auto"/>
              <w:widowControl/>
              <w:rPr>
                <w:rFonts w:hint="default" w:ascii="宋体" w:hAnsi="宋体" w:eastAsia="宋体" w:cs="宋体"/>
                <w:b/>
                <w:bCs/>
                <w:color w:val="auto"/>
                <w:sz w:val="24"/>
                <w:szCs w:val="21"/>
                <w:highlight w:val="none"/>
              </w:rPr>
              <w:outlineLvl w:val="9"/>
            </w:pPr>
            <w:r>
              <w:rPr>
                <w:rFonts w:hint="eastAsia" w:ascii="宋体" w:hAnsi="宋体" w:eastAsia="宋体" w:cs="宋体"/>
                <w:b/>
                <w:bCs/>
                <w:color w:val="auto"/>
                <w:sz w:val="24"/>
                <w:szCs w:val="21"/>
                <w:highlight w:val="none"/>
              </w:rPr>
              <w:t xml:space="preserve">时间</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tcPr>
          <w:p>
            <w:pPr>
              <w:ind w:firstLine="0"/>
              <w:jc w:val="center"/>
              <w:spacing w:line="288" w:lineRule="auto"/>
              <w:widowControl/>
              <w:rPr>
                <w:rFonts w:hint="default" w:ascii="宋体" w:hAnsi="宋体" w:eastAsia="宋体" w:cs="宋体"/>
                <w:b/>
                <w:bCs/>
                <w:color w:val="auto"/>
                <w:sz w:val="24"/>
                <w:szCs w:val="21"/>
                <w:highlight w:val="none"/>
              </w:rPr>
              <w:outlineLvl w:val="9"/>
            </w:pPr>
            <w:r>
              <w:rPr>
                <w:rFonts w:hint="eastAsia" w:ascii="宋体" w:hAnsi="宋体" w:eastAsia="宋体" w:cs="宋体"/>
                <w:b/>
                <w:bCs/>
                <w:color w:val="auto"/>
                <w:sz w:val="24"/>
                <w:szCs w:val="21"/>
                <w:highlight w:val="none"/>
              </w:rPr>
              <w:t xml:space="preserve">数量</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tcPr>
          <w:p>
            <w:pPr>
              <w:ind w:firstLine="0"/>
              <w:jc w:val="center"/>
              <w:spacing w:line="288" w:lineRule="auto"/>
              <w:widowControl/>
              <w:rPr>
                <w:rFonts w:hint="default" w:ascii="宋体" w:hAnsi="宋体" w:eastAsia="宋体" w:cs="宋体"/>
                <w:b/>
                <w:bCs/>
                <w:color w:val="auto"/>
                <w:sz w:val="24"/>
                <w:szCs w:val="21"/>
                <w:highlight w:val="none"/>
              </w:rPr>
              <w:outlineLvl w:val="9"/>
            </w:pPr>
            <w:r>
              <w:rPr>
                <w:rFonts w:hint="eastAsia" w:ascii="宋体" w:hAnsi="宋体" w:eastAsia="宋体" w:cs="宋体"/>
                <w:b/>
                <w:bCs/>
                <w:color w:val="auto"/>
                <w:sz w:val="24"/>
                <w:szCs w:val="21"/>
                <w:highlight w:val="none"/>
              </w:rPr>
              <w:t xml:space="preserve">堆放地</w:t>
            </w:r>
            <w:r/>
          </w:p>
        </w:tc>
        <w:tc>
          <w:tcPr>
            <w:tcBorders>
              <w:top w:val="none" w:color="000000" w:sz="4" w:space="0"/>
              <w:left w:val="none" w:color="000000" w:sz="4" w:space="0"/>
              <w:bottom w:val="single" w:color="auto" w:sz="4" w:space="0"/>
              <w:right w:val="single" w:color="auto" w:sz="4" w:space="0"/>
            </w:tcBorders>
            <w:tcW w:w="1681" w:type="dxa"/>
            <w:vAlign w:val="center"/>
            <w:textDirection w:val="lrTb"/>
            <w:noWrap/>
          </w:tcPr>
          <w:p>
            <w:pPr>
              <w:ind w:firstLine="0"/>
              <w:jc w:val="center"/>
              <w:spacing w:line="288" w:lineRule="auto"/>
              <w:widowControl/>
              <w:rPr>
                <w:rFonts w:hint="default" w:ascii="宋体" w:hAnsi="宋体" w:eastAsia="宋体" w:cs="宋体"/>
                <w:b/>
                <w:bCs/>
                <w:color w:val="auto"/>
                <w:sz w:val="24"/>
                <w:szCs w:val="21"/>
                <w:highlight w:val="none"/>
              </w:rPr>
              <w:outlineLvl w:val="9"/>
            </w:pPr>
            <w:r>
              <w:rPr>
                <w:rFonts w:hint="eastAsia" w:ascii="宋体" w:hAnsi="宋体" w:eastAsia="宋体" w:cs="宋体"/>
                <w:b/>
                <w:bCs/>
                <w:color w:val="auto"/>
                <w:sz w:val="24"/>
                <w:szCs w:val="21"/>
                <w:highlight w:val="none"/>
              </w:rPr>
              <w:t xml:space="preserve">回收公司</w:t>
            </w:r>
            <w:r/>
          </w:p>
        </w:tc>
        <w:tc>
          <w:tcPr>
            <w:tcBorders>
              <w:top w:val="none" w:color="000000" w:sz="4" w:space="0"/>
              <w:left w:val="none" w:color="000000" w:sz="4" w:space="0"/>
              <w:bottom w:val="single" w:color="auto" w:sz="4" w:space="0"/>
              <w:right w:val="single" w:color="auto" w:sz="6" w:space="0"/>
            </w:tcBorders>
            <w:tcW w:w="1680" w:type="dxa"/>
            <w:vAlign w:val="center"/>
            <w:textDirection w:val="lrTb"/>
            <w:noWrap/>
          </w:tcPr>
          <w:p>
            <w:pPr>
              <w:ind w:firstLine="0"/>
              <w:jc w:val="center"/>
              <w:spacing w:line="288" w:lineRule="auto"/>
              <w:widowControl/>
              <w:rPr>
                <w:rFonts w:hint="default" w:ascii="宋体" w:hAnsi="宋体" w:eastAsia="宋体" w:cs="宋体"/>
                <w:b/>
                <w:bCs/>
                <w:color w:val="auto"/>
                <w:sz w:val="24"/>
                <w:szCs w:val="21"/>
                <w:highlight w:val="none"/>
              </w:rPr>
              <w:outlineLvl w:val="9"/>
            </w:pPr>
            <w:r>
              <w:rPr>
                <w:rFonts w:hint="eastAsia" w:ascii="宋体" w:hAnsi="宋体" w:eastAsia="宋体" w:cs="宋体"/>
                <w:b/>
                <w:bCs/>
                <w:color w:val="auto"/>
                <w:sz w:val="24"/>
                <w:szCs w:val="21"/>
                <w:highlight w:val="none"/>
              </w:rPr>
              <w:t xml:space="preserve">回收时间</w:t>
            </w:r>
            <w:r/>
          </w:p>
        </w:tc>
      </w:tr>
      <w:tr>
        <w:trPr>
          <w:jc w:val="center"/>
          <w:trHeight w:val="402"/>
        </w:trPr>
        <w:tc>
          <w:tcPr>
            <w:tcBorders>
              <w:top w:val="none" w:color="000000" w:sz="4" w:space="0"/>
              <w:left w:val="single" w:color="auto" w:sz="6" w:space="0"/>
              <w:bottom w:val="single" w:color="auto" w:sz="4" w:space="0"/>
              <w:right w:val="single" w:color="auto" w:sz="4"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6"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6"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681"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6" w:space="0"/>
            </w:tcBorders>
            <w:tcW w:w="1680"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r>
      <w:tr>
        <w:trPr>
          <w:jc w:val="center"/>
          <w:trHeight w:val="402"/>
        </w:trPr>
        <w:tc>
          <w:tcPr>
            <w:tcBorders>
              <w:top w:val="none" w:color="000000" w:sz="4" w:space="0"/>
              <w:left w:val="single" w:color="auto" w:sz="6" w:space="0"/>
              <w:bottom w:val="single" w:color="auto" w:sz="4" w:space="0"/>
              <w:right w:val="single" w:color="auto" w:sz="4"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6"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6"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681"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6" w:space="0"/>
            </w:tcBorders>
            <w:tcW w:w="1680"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r>
      <w:tr>
        <w:trPr>
          <w:jc w:val="center"/>
          <w:trHeight w:val="402"/>
        </w:trPr>
        <w:tc>
          <w:tcPr>
            <w:tcBorders>
              <w:top w:val="none" w:color="000000" w:sz="4" w:space="0"/>
              <w:left w:val="single" w:color="auto" w:sz="6" w:space="0"/>
              <w:bottom w:val="single" w:color="auto" w:sz="4" w:space="0"/>
              <w:right w:val="single" w:color="auto" w:sz="4"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6"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6"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681"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6" w:space="0"/>
            </w:tcBorders>
            <w:tcW w:w="1680"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r>
      <w:tr>
        <w:trPr>
          <w:jc w:val="center"/>
          <w:trHeight w:val="402"/>
        </w:trPr>
        <w:tc>
          <w:tcPr>
            <w:tcBorders>
              <w:top w:val="none" w:color="000000" w:sz="4" w:space="0"/>
              <w:left w:val="single" w:color="auto" w:sz="6" w:space="0"/>
              <w:bottom w:val="single" w:color="auto" w:sz="4" w:space="0"/>
              <w:right w:val="single" w:color="auto" w:sz="4"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6"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6"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681"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6" w:space="0"/>
            </w:tcBorders>
            <w:tcW w:w="1680"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r>
      <w:tr>
        <w:trPr>
          <w:jc w:val="center"/>
          <w:trHeight w:val="402"/>
        </w:trPr>
        <w:tc>
          <w:tcPr>
            <w:tcBorders>
              <w:top w:val="none" w:color="000000" w:sz="4" w:space="0"/>
              <w:left w:val="single" w:color="auto" w:sz="6" w:space="0"/>
              <w:bottom w:val="single" w:color="auto" w:sz="4" w:space="0"/>
              <w:right w:val="single" w:color="auto" w:sz="4"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6"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6"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681"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6" w:space="0"/>
            </w:tcBorders>
            <w:tcW w:w="1680"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r>
      <w:tr>
        <w:trPr>
          <w:jc w:val="center"/>
          <w:trHeight w:val="402"/>
        </w:trPr>
        <w:tc>
          <w:tcPr>
            <w:tcBorders>
              <w:top w:val="none" w:color="000000" w:sz="4" w:space="0"/>
              <w:left w:val="single" w:color="auto" w:sz="6" w:space="0"/>
              <w:bottom w:val="single" w:color="auto" w:sz="4" w:space="0"/>
              <w:right w:val="single" w:color="auto" w:sz="4"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6"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6"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681"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6" w:space="0"/>
            </w:tcBorders>
            <w:tcW w:w="1680"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r>
      <w:tr>
        <w:trPr>
          <w:jc w:val="center"/>
          <w:trHeight w:val="402"/>
        </w:trPr>
        <w:tc>
          <w:tcPr>
            <w:tcBorders>
              <w:top w:val="none" w:color="000000" w:sz="4" w:space="0"/>
              <w:left w:val="single" w:color="auto" w:sz="6" w:space="0"/>
              <w:bottom w:val="single" w:color="auto" w:sz="4" w:space="0"/>
              <w:right w:val="single" w:color="auto" w:sz="4"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6"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6"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681"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6" w:space="0"/>
            </w:tcBorders>
            <w:tcW w:w="1680"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r>
      <w:tr>
        <w:trPr>
          <w:jc w:val="center"/>
          <w:trHeight w:val="402"/>
        </w:trPr>
        <w:tc>
          <w:tcPr>
            <w:tcBorders>
              <w:top w:val="none" w:color="000000" w:sz="4" w:space="0"/>
              <w:left w:val="single" w:color="auto" w:sz="6" w:space="0"/>
              <w:bottom w:val="single" w:color="auto" w:sz="4" w:space="0"/>
              <w:right w:val="single" w:color="auto" w:sz="4"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6"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6"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681"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6" w:space="0"/>
            </w:tcBorders>
            <w:tcW w:w="1680"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r>
      <w:tr>
        <w:trPr>
          <w:jc w:val="center"/>
          <w:trHeight w:val="402"/>
        </w:trPr>
        <w:tc>
          <w:tcPr>
            <w:tcBorders>
              <w:top w:val="none" w:color="000000" w:sz="4" w:space="0"/>
              <w:left w:val="single" w:color="auto" w:sz="6" w:space="0"/>
              <w:bottom w:val="single" w:color="auto" w:sz="4" w:space="0"/>
              <w:right w:val="single" w:color="auto" w:sz="4"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6"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6"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681"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6" w:space="0"/>
            </w:tcBorders>
            <w:tcW w:w="1680"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r>
      <w:tr>
        <w:trPr>
          <w:jc w:val="center"/>
          <w:trHeight w:val="402"/>
        </w:trPr>
        <w:tc>
          <w:tcPr>
            <w:tcBorders>
              <w:top w:val="none" w:color="000000" w:sz="4" w:space="0"/>
              <w:left w:val="single" w:color="auto" w:sz="6" w:space="0"/>
              <w:bottom w:val="single" w:color="auto" w:sz="4" w:space="0"/>
              <w:right w:val="single" w:color="auto" w:sz="4"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6"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6"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681"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6" w:space="0"/>
            </w:tcBorders>
            <w:tcW w:w="1680"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r>
      <w:tr>
        <w:trPr>
          <w:jc w:val="center"/>
          <w:trHeight w:val="402"/>
        </w:trPr>
        <w:tc>
          <w:tcPr>
            <w:tcBorders>
              <w:top w:val="none" w:color="000000" w:sz="4" w:space="0"/>
              <w:left w:val="single" w:color="auto" w:sz="6" w:space="0"/>
              <w:bottom w:val="single" w:color="auto" w:sz="4" w:space="0"/>
              <w:right w:val="single" w:color="auto" w:sz="4"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6"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6"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681"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6" w:space="0"/>
            </w:tcBorders>
            <w:tcW w:w="1680"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r>
      <w:tr>
        <w:trPr>
          <w:jc w:val="center"/>
          <w:trHeight w:val="402"/>
        </w:trPr>
        <w:tc>
          <w:tcPr>
            <w:tcBorders>
              <w:top w:val="none" w:color="000000" w:sz="4" w:space="0"/>
              <w:left w:val="single" w:color="auto" w:sz="6" w:space="0"/>
              <w:bottom w:val="single" w:color="auto" w:sz="4" w:space="0"/>
              <w:right w:val="single" w:color="auto" w:sz="4"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6"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6"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681"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6" w:space="0"/>
            </w:tcBorders>
            <w:tcW w:w="1680"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r>
      <w:tr>
        <w:trPr>
          <w:jc w:val="center"/>
          <w:trHeight w:val="402"/>
        </w:trPr>
        <w:tc>
          <w:tcPr>
            <w:tcBorders>
              <w:top w:val="none" w:color="000000" w:sz="4" w:space="0"/>
              <w:left w:val="single" w:color="auto" w:sz="6" w:space="0"/>
              <w:bottom w:val="single" w:color="auto" w:sz="4" w:space="0"/>
              <w:right w:val="single" w:color="auto" w:sz="4"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6"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6"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477"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1681"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4" w:space="0"/>
              <w:right w:val="single" w:color="auto" w:sz="6" w:space="0"/>
            </w:tcBorders>
            <w:tcW w:w="1680"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r>
      <w:tr>
        <w:trPr>
          <w:jc w:val="center"/>
          <w:trHeight w:val="402"/>
        </w:trPr>
        <w:tc>
          <w:tcPr>
            <w:tcBorders>
              <w:top w:val="none" w:color="000000" w:sz="4" w:space="0"/>
              <w:left w:val="single" w:color="auto" w:sz="6" w:space="0"/>
              <w:bottom w:val="single" w:color="auto" w:sz="6" w:space="0"/>
              <w:right w:val="single" w:color="auto" w:sz="4"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6" w:space="0"/>
              <w:right w:val="single" w:color="auto" w:sz="4"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6" w:space="0"/>
              <w:right w:val="single" w:color="auto" w:sz="4" w:space="0"/>
            </w:tcBorders>
            <w:tcW w:w="1477"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6" w:space="0"/>
              <w:right w:val="single" w:color="auto" w:sz="6"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6" w:space="0"/>
              <w:right w:val="single" w:color="auto" w:sz="4"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6" w:space="0"/>
              <w:right w:val="single" w:color="auto" w:sz="4"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6" w:space="0"/>
              <w:right w:val="single" w:color="auto" w:sz="4" w:space="0"/>
            </w:tcBorders>
            <w:tcW w:w="1477"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6" w:space="0"/>
              <w:right w:val="single" w:color="auto" w:sz="6"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6" w:space="0"/>
              <w:right w:val="single" w:color="auto" w:sz="4"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6" w:space="0"/>
              <w:right w:val="single" w:color="auto" w:sz="4" w:space="0"/>
            </w:tcBorders>
            <w:tcW w:w="1477"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6" w:space="0"/>
              <w:right w:val="single" w:color="auto" w:sz="4" w:space="0"/>
            </w:tcBorders>
            <w:tcW w:w="1681"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Borders>
              <w:top w:val="none" w:color="000000" w:sz="4" w:space="0"/>
              <w:left w:val="none" w:color="000000" w:sz="4" w:space="0"/>
              <w:bottom w:val="single" w:color="auto" w:sz="6" w:space="0"/>
              <w:right w:val="single" w:color="auto" w:sz="6" w:space="0"/>
            </w:tcBorders>
            <w:tcW w:w="1680"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r>
      <w:tr>
        <w:trPr>
          <w:jc w:val="center"/>
          <w:trHeight w:val="300"/>
        </w:trPr>
        <w:tc>
          <w:tcPr>
            <w:tcBorders>
              <w:top w:val="none" w:color="000000" w:sz="4" w:space="0"/>
              <w:left w:val="none" w:color="000000" w:sz="4" w:space="0"/>
              <w:bottom w:val="none" w:color="000000" w:sz="4" w:space="0"/>
              <w:right w:val="none" w:color="000000" w:sz="4"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default" w:ascii="宋体" w:hAnsi="宋体" w:eastAsia="宋体" w:cs="宋体"/>
                <w:color w:val="auto"/>
                <w:sz w:val="24"/>
                <w:szCs w:val="21"/>
                <w:highlight w:val="none"/>
              </w:rPr>
            </w:r>
            <w:r/>
          </w:p>
        </w:tc>
        <w:tc>
          <w:tcPr>
            <w:tcBorders>
              <w:top w:val="none" w:color="000000" w:sz="4" w:space="0"/>
              <w:left w:val="none" w:color="000000" w:sz="4" w:space="0"/>
              <w:bottom w:val="none" w:color="000000" w:sz="4" w:space="0"/>
              <w:right w:val="none" w:color="000000" w:sz="4"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default" w:ascii="宋体" w:hAnsi="宋体" w:eastAsia="宋体" w:cs="宋体"/>
                <w:color w:val="auto"/>
                <w:sz w:val="24"/>
                <w:szCs w:val="21"/>
                <w:highlight w:val="none"/>
              </w:rPr>
            </w:r>
            <w:r/>
          </w:p>
        </w:tc>
        <w:tc>
          <w:tcPr>
            <w:tcBorders>
              <w:top w:val="none" w:color="000000" w:sz="4" w:space="0"/>
              <w:left w:val="none" w:color="000000" w:sz="4" w:space="0"/>
              <w:bottom w:val="none" w:color="000000" w:sz="4" w:space="0"/>
              <w:right w:val="none" w:color="000000" w:sz="4" w:space="0"/>
            </w:tcBorders>
            <w:tcW w:w="1477"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default" w:ascii="宋体" w:hAnsi="宋体" w:eastAsia="宋体" w:cs="宋体"/>
                <w:color w:val="auto"/>
                <w:sz w:val="24"/>
                <w:szCs w:val="21"/>
                <w:highlight w:val="none"/>
              </w:rPr>
            </w:r>
            <w:r/>
          </w:p>
        </w:tc>
        <w:tc>
          <w:tcPr>
            <w:tcBorders>
              <w:top w:val="none" w:color="000000" w:sz="4" w:space="0"/>
              <w:left w:val="none" w:color="000000" w:sz="4" w:space="0"/>
              <w:bottom w:val="none" w:color="000000" w:sz="4" w:space="0"/>
              <w:right w:val="none" w:color="000000" w:sz="4"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default" w:ascii="宋体" w:hAnsi="宋体" w:eastAsia="宋体" w:cs="宋体"/>
                <w:color w:val="auto"/>
                <w:sz w:val="24"/>
                <w:szCs w:val="21"/>
                <w:highlight w:val="none"/>
              </w:rPr>
            </w:r>
            <w:r/>
          </w:p>
        </w:tc>
        <w:tc>
          <w:tcPr>
            <w:tcBorders>
              <w:top w:val="none" w:color="000000" w:sz="4" w:space="0"/>
              <w:left w:val="none" w:color="000000" w:sz="4" w:space="0"/>
              <w:bottom w:val="none" w:color="000000" w:sz="4" w:space="0"/>
              <w:right w:val="none" w:color="000000" w:sz="4"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default" w:ascii="宋体" w:hAnsi="宋体" w:eastAsia="宋体" w:cs="宋体"/>
                <w:color w:val="auto"/>
                <w:sz w:val="24"/>
                <w:szCs w:val="21"/>
                <w:highlight w:val="none"/>
              </w:rPr>
            </w:r>
            <w:r/>
          </w:p>
        </w:tc>
        <w:tc>
          <w:tcPr>
            <w:tcBorders>
              <w:top w:val="none" w:color="000000" w:sz="4" w:space="0"/>
              <w:left w:val="none" w:color="000000" w:sz="4" w:space="0"/>
              <w:bottom w:val="none" w:color="000000" w:sz="4" w:space="0"/>
              <w:right w:val="none" w:color="000000" w:sz="4"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default" w:ascii="宋体" w:hAnsi="宋体" w:eastAsia="宋体" w:cs="宋体"/>
                <w:color w:val="auto"/>
                <w:sz w:val="24"/>
                <w:szCs w:val="21"/>
                <w:highlight w:val="none"/>
              </w:rPr>
            </w:r>
            <w:r/>
          </w:p>
        </w:tc>
        <w:tc>
          <w:tcPr>
            <w:tcBorders>
              <w:top w:val="none" w:color="000000" w:sz="4" w:space="0"/>
              <w:left w:val="none" w:color="000000" w:sz="4" w:space="0"/>
              <w:bottom w:val="none" w:color="000000" w:sz="4" w:space="0"/>
              <w:right w:val="none" w:color="000000" w:sz="4" w:space="0"/>
            </w:tcBorders>
            <w:tcW w:w="1477"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default" w:ascii="宋体" w:hAnsi="宋体" w:eastAsia="宋体" w:cs="宋体"/>
                <w:color w:val="auto"/>
                <w:sz w:val="24"/>
                <w:szCs w:val="21"/>
                <w:highlight w:val="none"/>
              </w:rPr>
            </w:r>
            <w:r/>
          </w:p>
        </w:tc>
        <w:tc>
          <w:tcPr>
            <w:tcBorders>
              <w:top w:val="none" w:color="000000" w:sz="4" w:space="0"/>
              <w:left w:val="none" w:color="000000" w:sz="4" w:space="0"/>
              <w:bottom w:val="none" w:color="000000" w:sz="4" w:space="0"/>
              <w:right w:val="none" w:color="000000" w:sz="4"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default" w:ascii="宋体" w:hAnsi="宋体" w:eastAsia="宋体" w:cs="宋体"/>
                <w:color w:val="auto"/>
                <w:sz w:val="24"/>
                <w:szCs w:val="21"/>
                <w:highlight w:val="none"/>
              </w:rPr>
            </w:r>
            <w:r/>
          </w:p>
        </w:tc>
        <w:tc>
          <w:tcPr>
            <w:tcBorders>
              <w:top w:val="none" w:color="000000" w:sz="4" w:space="0"/>
              <w:left w:val="none" w:color="000000" w:sz="4" w:space="0"/>
              <w:bottom w:val="none" w:color="000000" w:sz="4" w:space="0"/>
              <w:right w:val="none" w:color="000000" w:sz="4"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default" w:ascii="宋体" w:hAnsi="宋体" w:eastAsia="宋体" w:cs="宋体"/>
                <w:color w:val="auto"/>
                <w:sz w:val="24"/>
                <w:szCs w:val="21"/>
                <w:highlight w:val="none"/>
              </w:rPr>
            </w:r>
            <w:r/>
          </w:p>
        </w:tc>
        <w:tc>
          <w:tcPr>
            <w:tcBorders>
              <w:top w:val="none" w:color="000000" w:sz="4" w:space="0"/>
              <w:left w:val="none" w:color="000000" w:sz="4" w:space="0"/>
              <w:bottom w:val="none" w:color="000000" w:sz="4" w:space="0"/>
              <w:right w:val="none" w:color="000000" w:sz="4" w:space="0"/>
            </w:tcBorders>
            <w:tcW w:w="1477"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default" w:ascii="宋体" w:hAnsi="宋体" w:eastAsia="宋体" w:cs="宋体"/>
                <w:color w:val="auto"/>
                <w:sz w:val="24"/>
                <w:szCs w:val="21"/>
                <w:highlight w:val="none"/>
              </w:rPr>
            </w:r>
            <w:r/>
          </w:p>
        </w:tc>
        <w:tc>
          <w:tcPr>
            <w:tcBorders>
              <w:top w:val="none" w:color="000000" w:sz="4" w:space="0"/>
              <w:left w:val="none" w:color="000000" w:sz="4" w:space="0"/>
              <w:bottom w:val="none" w:color="000000" w:sz="4" w:space="0"/>
              <w:right w:val="none" w:color="000000" w:sz="4" w:space="0"/>
            </w:tcBorders>
            <w:tcW w:w="1681"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default" w:ascii="宋体" w:hAnsi="宋体" w:eastAsia="宋体" w:cs="宋体"/>
                <w:color w:val="auto"/>
                <w:sz w:val="24"/>
                <w:szCs w:val="21"/>
                <w:highlight w:val="none"/>
              </w:rPr>
            </w:r>
            <w:r/>
          </w:p>
        </w:tc>
        <w:tc>
          <w:tcPr>
            <w:tcBorders>
              <w:top w:val="none" w:color="000000" w:sz="4" w:space="0"/>
              <w:left w:val="none" w:color="000000" w:sz="4" w:space="0"/>
              <w:bottom w:val="none" w:color="000000" w:sz="4" w:space="0"/>
              <w:right w:val="none" w:color="000000" w:sz="4" w:space="0"/>
            </w:tcBorders>
            <w:tcW w:w="1680"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default" w:ascii="宋体" w:hAnsi="宋体" w:eastAsia="宋体" w:cs="宋体"/>
                <w:color w:val="auto"/>
                <w:sz w:val="24"/>
                <w:szCs w:val="21"/>
                <w:highlight w:val="none"/>
              </w:rPr>
            </w:r>
            <w:r/>
          </w:p>
        </w:tc>
      </w:tr>
      <w:tr>
        <w:trPr>
          <w:jc w:val="center"/>
          <w:trHeight w:val="285"/>
        </w:trPr>
        <w:tc>
          <w:tcPr>
            <w:tcBorders>
              <w:top w:val="none" w:color="000000" w:sz="4" w:space="0"/>
              <w:left w:val="none" w:color="000000" w:sz="4" w:space="0"/>
              <w:bottom w:val="none" w:color="000000" w:sz="4" w:space="0"/>
              <w:right w:val="none" w:color="000000" w:sz="4"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default" w:ascii="宋体" w:hAnsi="宋体" w:eastAsia="宋体" w:cs="宋体"/>
                <w:color w:val="auto"/>
                <w:sz w:val="24"/>
                <w:szCs w:val="21"/>
                <w:highlight w:val="none"/>
              </w:rPr>
            </w:r>
            <w:r/>
          </w:p>
        </w:tc>
        <w:tc>
          <w:tcPr>
            <w:tcBorders>
              <w:top w:val="none" w:color="000000" w:sz="4" w:space="0"/>
              <w:left w:val="none" w:color="000000" w:sz="4" w:space="0"/>
              <w:bottom w:val="none" w:color="000000" w:sz="4" w:space="0"/>
              <w:right w:val="none" w:color="000000" w:sz="4"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default" w:ascii="宋体" w:hAnsi="宋体" w:eastAsia="宋体" w:cs="宋体"/>
                <w:color w:val="auto"/>
                <w:sz w:val="24"/>
                <w:szCs w:val="21"/>
                <w:highlight w:val="none"/>
              </w:rPr>
            </w:r>
            <w:r/>
          </w:p>
        </w:tc>
        <w:tc>
          <w:tcPr>
            <w:tcBorders>
              <w:top w:val="none" w:color="000000" w:sz="4" w:space="0"/>
              <w:left w:val="none" w:color="000000" w:sz="4" w:space="0"/>
              <w:bottom w:val="none" w:color="000000" w:sz="4" w:space="0"/>
              <w:right w:val="none" w:color="000000" w:sz="4" w:space="0"/>
            </w:tcBorders>
            <w:tcW w:w="1477"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default" w:ascii="宋体" w:hAnsi="宋体" w:eastAsia="宋体" w:cs="宋体"/>
                <w:color w:val="auto"/>
                <w:sz w:val="24"/>
                <w:szCs w:val="21"/>
                <w:highlight w:val="none"/>
              </w:rPr>
            </w:r>
            <w:r/>
          </w:p>
        </w:tc>
        <w:tc>
          <w:tcPr>
            <w:tcBorders>
              <w:top w:val="none" w:color="000000" w:sz="4" w:space="0"/>
              <w:left w:val="none" w:color="000000" w:sz="4" w:space="0"/>
              <w:bottom w:val="none" w:color="000000" w:sz="4" w:space="0"/>
              <w:right w:val="none" w:color="000000" w:sz="4"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default" w:ascii="宋体" w:hAnsi="宋体" w:eastAsia="宋体" w:cs="宋体"/>
                <w:color w:val="auto"/>
                <w:sz w:val="24"/>
                <w:szCs w:val="21"/>
                <w:highlight w:val="none"/>
              </w:rPr>
            </w:r>
            <w:r/>
          </w:p>
        </w:tc>
        <w:tc>
          <w:tcPr>
            <w:tcBorders>
              <w:top w:val="none" w:color="000000" w:sz="4" w:space="0"/>
              <w:left w:val="none" w:color="000000" w:sz="4" w:space="0"/>
              <w:bottom w:val="none" w:color="000000" w:sz="4" w:space="0"/>
              <w:right w:val="none" w:color="000000" w:sz="4"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default" w:ascii="宋体" w:hAnsi="宋体" w:eastAsia="宋体" w:cs="宋体"/>
                <w:color w:val="auto"/>
                <w:sz w:val="24"/>
                <w:szCs w:val="21"/>
                <w:highlight w:val="none"/>
              </w:rPr>
            </w:r>
            <w:r/>
          </w:p>
        </w:tc>
        <w:tc>
          <w:tcPr>
            <w:tcBorders>
              <w:top w:val="none" w:color="000000" w:sz="4" w:space="0"/>
              <w:left w:val="none" w:color="000000" w:sz="4" w:space="0"/>
              <w:bottom w:val="none" w:color="000000" w:sz="4" w:space="0"/>
              <w:right w:val="none" w:color="000000" w:sz="4"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default" w:ascii="宋体" w:hAnsi="宋体" w:eastAsia="宋体" w:cs="宋体"/>
                <w:color w:val="auto"/>
                <w:sz w:val="24"/>
                <w:szCs w:val="21"/>
                <w:highlight w:val="none"/>
              </w:rPr>
            </w:r>
            <w:r/>
          </w:p>
        </w:tc>
        <w:tc>
          <w:tcPr>
            <w:tcBorders>
              <w:top w:val="none" w:color="000000" w:sz="4" w:space="0"/>
              <w:left w:val="none" w:color="000000" w:sz="4" w:space="0"/>
              <w:bottom w:val="none" w:color="000000" w:sz="4" w:space="0"/>
              <w:right w:val="none" w:color="000000" w:sz="4" w:space="0"/>
            </w:tcBorders>
            <w:tcW w:w="1477"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default" w:ascii="宋体" w:hAnsi="宋体" w:eastAsia="宋体" w:cs="宋体"/>
                <w:color w:val="auto"/>
                <w:sz w:val="24"/>
                <w:szCs w:val="21"/>
                <w:highlight w:val="none"/>
              </w:rPr>
            </w:r>
            <w:r/>
          </w:p>
        </w:tc>
        <w:tc>
          <w:tcPr>
            <w:tcBorders>
              <w:top w:val="none" w:color="000000" w:sz="4" w:space="0"/>
              <w:left w:val="none" w:color="000000" w:sz="4" w:space="0"/>
              <w:bottom w:val="none" w:color="000000" w:sz="4" w:space="0"/>
              <w:right w:val="none" w:color="000000" w:sz="4" w:space="0"/>
            </w:tcBorders>
            <w:tcW w:w="1004"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default" w:ascii="宋体" w:hAnsi="宋体" w:eastAsia="宋体" w:cs="宋体"/>
                <w:color w:val="auto"/>
                <w:sz w:val="24"/>
                <w:szCs w:val="21"/>
                <w:highlight w:val="none"/>
              </w:rPr>
            </w:r>
            <w:r/>
          </w:p>
        </w:tc>
        <w:tc>
          <w:tcPr>
            <w:gridSpan w:val="2"/>
            <w:tcBorders>
              <w:top w:val="none" w:color="000000" w:sz="4" w:space="0"/>
              <w:left w:val="none" w:color="000000" w:sz="4" w:space="0"/>
              <w:bottom w:val="none" w:color="000000" w:sz="4" w:space="0"/>
              <w:right w:val="none" w:color="000000" w:sz="4" w:space="0"/>
            </w:tcBorders>
            <w:tcW w:w="2481"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单位（盖章）：</w:t>
            </w:r>
            <w:r/>
          </w:p>
        </w:tc>
        <w:tc>
          <w:tcPr>
            <w:tcBorders>
              <w:top w:val="none" w:color="000000" w:sz="4" w:space="0"/>
              <w:left w:val="none" w:color="000000" w:sz="4" w:space="0"/>
              <w:bottom w:val="none" w:color="000000" w:sz="4" w:space="0"/>
              <w:right w:val="none" w:color="000000" w:sz="4" w:space="0"/>
            </w:tcBorders>
            <w:tcW w:w="1681"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default" w:ascii="宋体" w:hAnsi="宋体" w:eastAsia="宋体" w:cs="宋体"/>
                <w:color w:val="auto"/>
                <w:sz w:val="24"/>
                <w:szCs w:val="21"/>
                <w:highlight w:val="none"/>
              </w:rPr>
            </w:r>
            <w:r/>
          </w:p>
        </w:tc>
        <w:tc>
          <w:tcPr>
            <w:tcBorders>
              <w:top w:val="none" w:color="000000" w:sz="4" w:space="0"/>
              <w:left w:val="none" w:color="000000" w:sz="4" w:space="0"/>
              <w:bottom w:val="none" w:color="000000" w:sz="4" w:space="0"/>
              <w:right w:val="none" w:color="000000" w:sz="4" w:space="0"/>
            </w:tcBorders>
            <w:tcW w:w="1680" w:type="dxa"/>
            <w:vAlign w:val="center"/>
            <w:textDirection w:val="lrTb"/>
            <w:noWrap/>
          </w:tcPr>
          <w:p>
            <w:pPr>
              <w:ind w:firstLine="0"/>
              <w:jc w:val="left"/>
              <w:spacing w:line="288" w:lineRule="auto"/>
              <w:widowControl/>
              <w:rPr>
                <w:rFonts w:hint="default" w:ascii="宋体" w:hAnsi="宋体" w:eastAsia="宋体" w:cs="宋体"/>
                <w:color w:val="auto"/>
                <w:sz w:val="24"/>
                <w:szCs w:val="21"/>
                <w:highlight w:val="none"/>
              </w:rPr>
              <w:outlineLvl w:val="9"/>
            </w:pPr>
            <w:r>
              <w:rPr>
                <w:rFonts w:hint="default" w:ascii="宋体" w:hAnsi="宋体" w:eastAsia="宋体" w:cs="宋体"/>
                <w:color w:val="auto"/>
                <w:sz w:val="24"/>
                <w:szCs w:val="21"/>
                <w:highlight w:val="none"/>
              </w:rPr>
            </w:r>
            <w:r/>
          </w:p>
        </w:tc>
      </w:tr>
    </w:tbl>
    <w:p>
      <w:pPr>
        <w:jc w:val="both"/>
        <w:spacing w:line="288" w:lineRule="auto"/>
        <w:rPr>
          <w:rFonts w:hint="eastAsia" w:ascii="宋体" w:hAnsi="宋体"/>
          <w:color w:val="auto"/>
          <w:sz w:val="24"/>
          <w:highlight w:val="none"/>
        </w:rPr>
        <w:sectPr>
          <w:footnotePr/>
          <w:endnotePr/>
          <w:type w:val="nextPage"/>
          <w:pgSz w:w="16838" w:h="11906" w:orient="landscape"/>
          <w:pgMar w:top="1800" w:right="1440" w:bottom="1800" w:left="1440" w:header="851" w:footer="992" w:gutter="0"/>
          <w:cols w:num="1" w:sep="0" w:space="720" w:equalWidth="1"/>
          <w:docGrid w:linePitch="360"/>
        </w:sectPr>
      </w:pPr>
      <w:r>
        <w:rPr>
          <w:rFonts w:hint="eastAsia" w:ascii="宋体" w:hAnsi="宋体"/>
          <w:color w:val="auto"/>
          <w:sz w:val="24"/>
          <w:highlight w:val="none"/>
        </w:rPr>
      </w:r>
      <w:r/>
    </w:p>
    <w:p>
      <w:pPr>
        <w:ind w:firstLine="0"/>
        <w:jc w:val="center"/>
        <w:spacing w:line="288" w:lineRule="auto"/>
        <w:rPr>
          <w:rFonts w:hint="default"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附录三：无锡市新吴区</w:t>
      </w:r>
      <w:r>
        <w:rPr>
          <w:rFonts w:hint="eastAsia" w:ascii="宋体" w:hAnsi="宋体" w:eastAsia="宋体" w:cs="Times New Roman"/>
          <w:color w:val="auto"/>
          <w:sz w:val="24"/>
          <w:szCs w:val="21"/>
          <w:highlight w:val="none"/>
          <w:lang w:eastAsia="zh-CN"/>
        </w:rPr>
        <w:t xml:space="preserve">江溪街道</w:t>
      </w:r>
      <w:r>
        <w:rPr>
          <w:rFonts w:hint="eastAsia" w:ascii="宋体" w:hAnsi="宋体" w:eastAsia="宋体" w:cs="Times New Roman"/>
          <w:color w:val="auto"/>
          <w:sz w:val="24"/>
          <w:szCs w:val="21"/>
          <w:highlight w:val="none"/>
        </w:rPr>
        <w:t xml:space="preserve">枯死树木记录表</w:t>
      </w:r>
      <w:r/>
    </w:p>
    <w:tbl>
      <w:tblPr>
        <w:tblStyle w:val="704"/>
        <w:tblW w:w="0" w:type="auto"/>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fixed"/>
        <w:tblCellMar>
          <w:left w:w="0" w:type="dxa"/>
          <w:top w:w="0" w:type="dxa"/>
          <w:right w:w="0" w:type="dxa"/>
          <w:bottom w:w="0" w:type="dxa"/>
        </w:tblCellMar>
        <w:tblLook w:val="04A0" w:firstRow="1" w:lastRow="0" w:firstColumn="1" w:lastColumn="0" w:noHBand="0" w:noVBand="1"/>
      </w:tblPr>
      <w:tblGrid>
        <w:gridCol w:w="1521"/>
        <w:gridCol w:w="3639"/>
        <w:gridCol w:w="1123"/>
        <w:gridCol w:w="1949"/>
      </w:tblGrid>
      <w:tr>
        <w:trPr>
          <w:jc w:val="center"/>
          <w:trHeight w:val="560"/>
        </w:trPr>
        <w:tc>
          <w:tcPr>
            <w:tcW w:w="1521" w:type="dxa"/>
            <w:vAlign w:val="center"/>
            <w:textDirection w:val="lrTb"/>
            <w:noWrap w:val="false"/>
          </w:tcPr>
          <w:p>
            <w:pPr>
              <w:ind w:firstLine="0"/>
              <w:jc w:val="center"/>
              <w:spacing w:line="288" w:lineRule="auto"/>
              <w:rPr>
                <w:rFonts w:hint="default"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绿地名称</w:t>
            </w:r>
            <w:r/>
          </w:p>
        </w:tc>
        <w:tc>
          <w:tcPr>
            <w:tcW w:w="3639" w:type="dxa"/>
            <w:vAlign w:val="center"/>
            <w:textDirection w:val="lrTb"/>
            <w:noWrap w:val="false"/>
          </w:tcPr>
          <w:p>
            <w:pPr>
              <w:ind w:firstLine="0"/>
              <w:jc w:val="center"/>
              <w:spacing w:line="288" w:lineRule="auto"/>
              <w:rPr>
                <w:rFonts w:hint="default" w:ascii="宋体" w:hAnsi="宋体" w:eastAsia="宋体" w:cs="Times New Roman"/>
                <w:color w:val="auto"/>
                <w:sz w:val="24"/>
                <w:szCs w:val="21"/>
                <w:highlight w:val="none"/>
              </w:rPr>
              <w:outlineLvl w:val="9"/>
            </w:pPr>
            <w:r>
              <w:rPr>
                <w:rFonts w:hint="default" w:ascii="宋体" w:hAnsi="宋体" w:eastAsia="宋体" w:cs="Times New Roman"/>
                <w:color w:val="auto"/>
                <w:sz w:val="24"/>
                <w:szCs w:val="21"/>
                <w:highlight w:val="none"/>
              </w:rPr>
            </w:r>
            <w:r/>
          </w:p>
        </w:tc>
        <w:tc>
          <w:tcPr>
            <w:tcW w:w="1123" w:type="dxa"/>
            <w:vAlign w:val="center"/>
            <w:textDirection w:val="lrTb"/>
            <w:noWrap w:val="false"/>
          </w:tcPr>
          <w:p>
            <w:pPr>
              <w:ind w:firstLine="0"/>
              <w:jc w:val="center"/>
              <w:spacing w:line="288" w:lineRule="auto"/>
              <w:rPr>
                <w:rFonts w:hint="default"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地</w:t>
            </w:r>
            <w:r>
              <w:rPr>
                <w:rFonts w:hint="default" w:ascii="宋体" w:hAnsi="宋体" w:eastAsia="宋体" w:cs="Times New Roman"/>
                <w:color w:val="auto"/>
                <w:sz w:val="24"/>
                <w:szCs w:val="21"/>
                <w:highlight w:val="none"/>
              </w:rPr>
              <w:t xml:space="preserve">  </w:t>
            </w:r>
            <w:r>
              <w:rPr>
                <w:rFonts w:hint="eastAsia" w:ascii="宋体" w:hAnsi="宋体" w:eastAsia="宋体" w:cs="Times New Roman"/>
                <w:color w:val="auto"/>
                <w:sz w:val="24"/>
                <w:szCs w:val="21"/>
                <w:highlight w:val="none"/>
              </w:rPr>
              <w:t xml:space="preserve">点</w:t>
            </w:r>
            <w:r/>
          </w:p>
        </w:tc>
        <w:tc>
          <w:tcPr>
            <w:tcW w:w="1949" w:type="dxa"/>
            <w:vAlign w:val="center"/>
            <w:textDirection w:val="lrTb"/>
            <w:noWrap w:val="false"/>
          </w:tcPr>
          <w:p>
            <w:pPr>
              <w:ind w:firstLine="0"/>
              <w:jc w:val="center"/>
              <w:spacing w:line="288" w:lineRule="auto"/>
              <w:rPr>
                <w:rFonts w:hint="default" w:ascii="宋体" w:hAnsi="宋体" w:eastAsia="宋体" w:cs="Times New Roman"/>
                <w:color w:val="auto"/>
                <w:sz w:val="24"/>
                <w:szCs w:val="21"/>
                <w:highlight w:val="none"/>
              </w:rPr>
              <w:outlineLvl w:val="9"/>
            </w:pPr>
            <w:r>
              <w:rPr>
                <w:rFonts w:hint="default" w:ascii="宋体" w:hAnsi="宋体" w:eastAsia="宋体" w:cs="Times New Roman"/>
                <w:color w:val="auto"/>
                <w:sz w:val="24"/>
                <w:szCs w:val="21"/>
                <w:highlight w:val="none"/>
              </w:rPr>
            </w:r>
            <w:r/>
          </w:p>
        </w:tc>
      </w:tr>
      <w:tr>
        <w:trPr>
          <w:jc w:val="center"/>
          <w:trHeight w:val="620"/>
        </w:trPr>
        <w:tc>
          <w:tcPr>
            <w:tcW w:w="1521" w:type="dxa"/>
            <w:vAlign w:val="center"/>
            <w:textDirection w:val="lrTb"/>
            <w:noWrap w:val="false"/>
          </w:tcPr>
          <w:p>
            <w:pPr>
              <w:ind w:firstLine="0"/>
              <w:jc w:val="center"/>
              <w:spacing w:line="288" w:lineRule="auto"/>
              <w:rPr>
                <w:rFonts w:hint="default"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植物名称</w:t>
            </w:r>
            <w:r/>
          </w:p>
        </w:tc>
        <w:tc>
          <w:tcPr>
            <w:tcW w:w="3639" w:type="dxa"/>
            <w:vAlign w:val="center"/>
            <w:textDirection w:val="lrTb"/>
            <w:noWrap w:val="false"/>
          </w:tcPr>
          <w:p>
            <w:pPr>
              <w:ind w:firstLine="0"/>
              <w:jc w:val="center"/>
              <w:spacing w:line="288" w:lineRule="auto"/>
              <w:rPr>
                <w:rFonts w:hint="default" w:ascii="宋体" w:hAnsi="宋体" w:eastAsia="宋体" w:cs="Times New Roman"/>
                <w:color w:val="auto"/>
                <w:sz w:val="24"/>
                <w:szCs w:val="21"/>
                <w:highlight w:val="none"/>
              </w:rPr>
              <w:outlineLvl w:val="9"/>
            </w:pPr>
            <w:r>
              <w:rPr>
                <w:rFonts w:hint="default" w:ascii="宋体" w:hAnsi="宋体" w:eastAsia="宋体" w:cs="Times New Roman"/>
                <w:color w:val="auto"/>
                <w:sz w:val="24"/>
                <w:szCs w:val="21"/>
                <w:highlight w:val="none"/>
              </w:rPr>
            </w:r>
            <w:r/>
          </w:p>
        </w:tc>
        <w:tc>
          <w:tcPr>
            <w:tcW w:w="1123" w:type="dxa"/>
            <w:vAlign w:val="center"/>
            <w:textDirection w:val="lrTb"/>
            <w:noWrap w:val="false"/>
          </w:tcPr>
          <w:p>
            <w:pPr>
              <w:ind w:firstLine="0"/>
              <w:jc w:val="center"/>
              <w:spacing w:line="288" w:lineRule="auto"/>
              <w:rPr>
                <w:rFonts w:hint="default"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编</w:t>
            </w:r>
            <w:r>
              <w:rPr>
                <w:rFonts w:hint="default" w:ascii="宋体" w:hAnsi="宋体" w:eastAsia="宋体" w:cs="Times New Roman"/>
                <w:color w:val="auto"/>
                <w:sz w:val="24"/>
                <w:szCs w:val="21"/>
                <w:highlight w:val="none"/>
              </w:rPr>
              <w:t xml:space="preserve">  </w:t>
            </w:r>
            <w:r>
              <w:rPr>
                <w:rFonts w:hint="eastAsia" w:ascii="宋体" w:hAnsi="宋体" w:eastAsia="宋体" w:cs="Times New Roman"/>
                <w:color w:val="auto"/>
                <w:sz w:val="24"/>
                <w:szCs w:val="21"/>
                <w:highlight w:val="none"/>
              </w:rPr>
              <w:t xml:space="preserve">号</w:t>
            </w:r>
            <w:r/>
          </w:p>
        </w:tc>
        <w:tc>
          <w:tcPr>
            <w:tcW w:w="1949" w:type="dxa"/>
            <w:vAlign w:val="center"/>
            <w:textDirection w:val="lrTb"/>
            <w:noWrap w:val="false"/>
          </w:tcPr>
          <w:p>
            <w:pPr>
              <w:ind w:firstLine="0"/>
              <w:jc w:val="center"/>
              <w:spacing w:line="288" w:lineRule="auto"/>
              <w:rPr>
                <w:rFonts w:hint="default" w:ascii="宋体" w:hAnsi="宋体" w:eastAsia="宋体" w:cs="Times New Roman"/>
                <w:color w:val="auto"/>
                <w:sz w:val="24"/>
                <w:szCs w:val="21"/>
                <w:highlight w:val="none"/>
              </w:rPr>
              <w:outlineLvl w:val="9"/>
            </w:pPr>
            <w:r>
              <w:rPr>
                <w:rFonts w:hint="default" w:ascii="宋体" w:hAnsi="宋体" w:eastAsia="宋体" w:cs="Times New Roman"/>
                <w:color w:val="auto"/>
                <w:sz w:val="24"/>
                <w:szCs w:val="21"/>
                <w:highlight w:val="none"/>
              </w:rPr>
            </w:r>
            <w:r/>
          </w:p>
        </w:tc>
      </w:tr>
      <w:tr>
        <w:trPr>
          <w:jc w:val="center"/>
          <w:trHeight w:val="600"/>
        </w:trPr>
        <w:tc>
          <w:tcPr>
            <w:tcW w:w="1521" w:type="dxa"/>
            <w:vAlign w:val="center"/>
            <w:textDirection w:val="lrTb"/>
            <w:noWrap w:val="false"/>
          </w:tcPr>
          <w:p>
            <w:pPr>
              <w:ind w:firstLine="0"/>
              <w:jc w:val="center"/>
              <w:spacing w:line="288" w:lineRule="auto"/>
              <w:rPr>
                <w:rFonts w:hint="default"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学</w:t>
            </w:r>
            <w:r>
              <w:rPr>
                <w:rFonts w:hint="default" w:ascii="宋体" w:hAnsi="宋体" w:eastAsia="宋体" w:cs="Times New Roman"/>
                <w:color w:val="auto"/>
                <w:sz w:val="24"/>
                <w:szCs w:val="21"/>
                <w:highlight w:val="none"/>
              </w:rPr>
              <w:t xml:space="preserve">  </w:t>
            </w:r>
            <w:r>
              <w:rPr>
                <w:rFonts w:hint="eastAsia" w:ascii="宋体" w:hAnsi="宋体" w:eastAsia="宋体" w:cs="Times New Roman"/>
                <w:color w:val="auto"/>
                <w:sz w:val="24"/>
                <w:szCs w:val="21"/>
                <w:highlight w:val="none"/>
              </w:rPr>
              <w:t xml:space="preserve">名</w:t>
            </w:r>
            <w:r/>
          </w:p>
        </w:tc>
        <w:tc>
          <w:tcPr>
            <w:gridSpan w:val="3"/>
            <w:tcW w:w="6711" w:type="dxa"/>
            <w:vAlign w:val="center"/>
            <w:textDirection w:val="lrTb"/>
            <w:noWrap w:val="false"/>
          </w:tcPr>
          <w:p>
            <w:pPr>
              <w:ind w:firstLine="0"/>
              <w:jc w:val="center"/>
              <w:spacing w:line="288" w:lineRule="auto"/>
              <w:rPr>
                <w:rFonts w:hint="default" w:ascii="宋体" w:hAnsi="宋体" w:eastAsia="宋体" w:cs="Times New Roman"/>
                <w:color w:val="auto"/>
                <w:sz w:val="24"/>
                <w:szCs w:val="21"/>
                <w:highlight w:val="none"/>
              </w:rPr>
              <w:outlineLvl w:val="9"/>
            </w:pPr>
            <w:r>
              <w:rPr>
                <w:rFonts w:hint="default" w:ascii="宋体" w:hAnsi="宋体" w:eastAsia="宋体" w:cs="Times New Roman"/>
                <w:color w:val="auto"/>
                <w:sz w:val="24"/>
                <w:szCs w:val="21"/>
                <w:highlight w:val="none"/>
              </w:rPr>
            </w:r>
            <w:r/>
          </w:p>
        </w:tc>
      </w:tr>
      <w:tr>
        <w:trPr>
          <w:jc w:val="center"/>
          <w:trHeight w:val="620"/>
        </w:trPr>
        <w:tc>
          <w:tcPr>
            <w:tcW w:w="1521" w:type="dxa"/>
            <w:vAlign w:val="center"/>
            <w:textDirection w:val="lrTb"/>
            <w:noWrap w:val="false"/>
          </w:tcPr>
          <w:p>
            <w:pPr>
              <w:ind w:firstLine="0"/>
              <w:jc w:val="center"/>
              <w:spacing w:line="288" w:lineRule="auto"/>
              <w:rPr>
                <w:rFonts w:hint="default"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规</w:t>
            </w:r>
            <w:r>
              <w:rPr>
                <w:rFonts w:hint="default" w:ascii="宋体" w:hAnsi="宋体" w:eastAsia="宋体" w:cs="Times New Roman"/>
                <w:color w:val="auto"/>
                <w:sz w:val="24"/>
                <w:szCs w:val="21"/>
                <w:highlight w:val="none"/>
              </w:rPr>
              <w:t xml:space="preserve">  </w:t>
            </w:r>
            <w:r>
              <w:rPr>
                <w:rFonts w:hint="eastAsia" w:ascii="宋体" w:hAnsi="宋体" w:eastAsia="宋体" w:cs="Times New Roman"/>
                <w:color w:val="auto"/>
                <w:sz w:val="24"/>
                <w:szCs w:val="21"/>
                <w:highlight w:val="none"/>
              </w:rPr>
              <w:t xml:space="preserve">格</w:t>
            </w:r>
            <w:r/>
          </w:p>
        </w:tc>
        <w:tc>
          <w:tcPr>
            <w:tcW w:w="3639" w:type="dxa"/>
            <w:vAlign w:val="center"/>
            <w:textDirection w:val="lrTb"/>
            <w:noWrap w:val="false"/>
          </w:tcPr>
          <w:p>
            <w:pPr>
              <w:ind w:firstLine="0"/>
              <w:jc w:val="center"/>
              <w:spacing w:line="288" w:lineRule="auto"/>
              <w:rPr>
                <w:rFonts w:hint="default" w:ascii="宋体" w:hAnsi="宋体" w:eastAsia="宋体" w:cs="Times New Roman"/>
                <w:color w:val="auto"/>
                <w:sz w:val="24"/>
                <w:szCs w:val="21"/>
                <w:highlight w:val="none"/>
              </w:rPr>
              <w:outlineLvl w:val="9"/>
            </w:pPr>
            <w:r>
              <w:rPr>
                <w:rFonts w:hint="default" w:ascii="宋体" w:hAnsi="宋体" w:eastAsia="宋体" w:cs="Times New Roman"/>
                <w:color w:val="auto"/>
                <w:sz w:val="24"/>
                <w:szCs w:val="21"/>
                <w:highlight w:val="none"/>
              </w:rPr>
            </w:r>
            <w:r/>
          </w:p>
        </w:tc>
        <w:tc>
          <w:tcPr>
            <w:tcW w:w="1123" w:type="dxa"/>
            <w:vAlign w:val="center"/>
            <w:textDirection w:val="lrTb"/>
            <w:noWrap w:val="false"/>
          </w:tcPr>
          <w:p>
            <w:pPr>
              <w:ind w:firstLine="0"/>
              <w:jc w:val="center"/>
              <w:spacing w:line="288" w:lineRule="auto"/>
              <w:rPr>
                <w:rFonts w:hint="default"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数</w:t>
            </w:r>
            <w:r>
              <w:rPr>
                <w:rFonts w:hint="default" w:ascii="宋体" w:hAnsi="宋体" w:eastAsia="宋体" w:cs="Times New Roman"/>
                <w:color w:val="auto"/>
                <w:sz w:val="24"/>
                <w:szCs w:val="21"/>
                <w:highlight w:val="none"/>
              </w:rPr>
              <w:t xml:space="preserve">  </w:t>
            </w:r>
            <w:r>
              <w:rPr>
                <w:rFonts w:hint="eastAsia" w:ascii="宋体" w:hAnsi="宋体" w:eastAsia="宋体" w:cs="Times New Roman"/>
                <w:color w:val="auto"/>
                <w:sz w:val="24"/>
                <w:szCs w:val="21"/>
                <w:highlight w:val="none"/>
              </w:rPr>
              <w:t xml:space="preserve">量</w:t>
            </w:r>
            <w:r/>
          </w:p>
        </w:tc>
        <w:tc>
          <w:tcPr>
            <w:tcW w:w="1949" w:type="dxa"/>
            <w:vAlign w:val="center"/>
            <w:textDirection w:val="lrTb"/>
            <w:noWrap w:val="false"/>
          </w:tcPr>
          <w:p>
            <w:pPr>
              <w:ind w:firstLine="0"/>
              <w:jc w:val="center"/>
              <w:spacing w:line="288" w:lineRule="auto"/>
              <w:rPr>
                <w:rFonts w:hint="default" w:ascii="宋体" w:hAnsi="宋体" w:eastAsia="宋体" w:cs="Times New Roman"/>
                <w:color w:val="auto"/>
                <w:sz w:val="24"/>
                <w:szCs w:val="21"/>
                <w:highlight w:val="none"/>
              </w:rPr>
              <w:outlineLvl w:val="9"/>
            </w:pPr>
            <w:r>
              <w:rPr>
                <w:rFonts w:hint="default" w:ascii="宋体" w:hAnsi="宋体" w:eastAsia="宋体" w:cs="Times New Roman"/>
                <w:color w:val="auto"/>
                <w:sz w:val="24"/>
                <w:szCs w:val="21"/>
                <w:highlight w:val="none"/>
              </w:rPr>
            </w:r>
            <w:r/>
          </w:p>
        </w:tc>
      </w:tr>
      <w:tr>
        <w:trPr>
          <w:jc w:val="center"/>
          <w:trHeight w:val="600"/>
        </w:trPr>
        <w:tc>
          <w:tcPr>
            <w:tcW w:w="1521" w:type="dxa"/>
            <w:vAlign w:val="center"/>
            <w:textDirection w:val="lrTb"/>
            <w:noWrap w:val="false"/>
          </w:tcPr>
          <w:p>
            <w:pPr>
              <w:ind w:firstLine="0"/>
              <w:jc w:val="center"/>
              <w:spacing w:line="288" w:lineRule="auto"/>
              <w:rPr>
                <w:rFonts w:hint="default"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死亡时间</w:t>
            </w:r>
            <w:r/>
          </w:p>
        </w:tc>
        <w:tc>
          <w:tcPr>
            <w:tcW w:w="3639" w:type="dxa"/>
            <w:vAlign w:val="center"/>
            <w:textDirection w:val="lrTb"/>
            <w:noWrap w:val="false"/>
          </w:tcPr>
          <w:p>
            <w:pPr>
              <w:ind w:firstLine="0"/>
              <w:jc w:val="center"/>
              <w:spacing w:line="288" w:lineRule="auto"/>
              <w:rPr>
                <w:rFonts w:hint="default" w:ascii="宋体" w:hAnsi="宋体" w:eastAsia="宋体" w:cs="Times New Roman"/>
                <w:color w:val="auto"/>
                <w:sz w:val="24"/>
                <w:szCs w:val="21"/>
                <w:highlight w:val="none"/>
              </w:rPr>
              <w:outlineLvl w:val="9"/>
            </w:pPr>
            <w:r>
              <w:rPr>
                <w:rFonts w:hint="default" w:ascii="宋体" w:hAnsi="宋体" w:eastAsia="宋体" w:cs="Times New Roman"/>
                <w:color w:val="auto"/>
                <w:sz w:val="24"/>
                <w:szCs w:val="21"/>
                <w:highlight w:val="none"/>
              </w:rPr>
            </w:r>
            <w:r/>
          </w:p>
        </w:tc>
        <w:tc>
          <w:tcPr>
            <w:tcW w:w="1123" w:type="dxa"/>
            <w:vAlign w:val="center"/>
            <w:textDirection w:val="lrTb"/>
            <w:noWrap w:val="false"/>
          </w:tcPr>
          <w:p>
            <w:pPr>
              <w:ind w:firstLine="0"/>
              <w:jc w:val="center"/>
              <w:spacing w:line="288" w:lineRule="auto"/>
              <w:rPr>
                <w:rFonts w:hint="default"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挖除时间</w:t>
            </w:r>
            <w:r/>
          </w:p>
        </w:tc>
        <w:tc>
          <w:tcPr>
            <w:tcW w:w="1949" w:type="dxa"/>
            <w:vAlign w:val="center"/>
            <w:textDirection w:val="lrTb"/>
            <w:noWrap w:val="false"/>
          </w:tcPr>
          <w:p>
            <w:pPr>
              <w:ind w:firstLine="0"/>
              <w:jc w:val="center"/>
              <w:spacing w:line="288" w:lineRule="auto"/>
              <w:rPr>
                <w:rFonts w:hint="default" w:ascii="宋体" w:hAnsi="宋体" w:eastAsia="宋体" w:cs="Times New Roman"/>
                <w:color w:val="auto"/>
                <w:sz w:val="24"/>
                <w:szCs w:val="21"/>
                <w:highlight w:val="none"/>
              </w:rPr>
              <w:outlineLvl w:val="9"/>
            </w:pPr>
            <w:r>
              <w:rPr>
                <w:rFonts w:hint="default" w:ascii="宋体" w:hAnsi="宋体" w:eastAsia="宋体" w:cs="Times New Roman"/>
                <w:color w:val="auto"/>
                <w:sz w:val="24"/>
                <w:szCs w:val="21"/>
                <w:highlight w:val="none"/>
              </w:rPr>
            </w:r>
            <w:r/>
          </w:p>
        </w:tc>
      </w:tr>
      <w:tr>
        <w:trPr>
          <w:jc w:val="center"/>
          <w:trHeight w:val="3020"/>
        </w:trPr>
        <w:tc>
          <w:tcPr>
            <w:tcW w:w="1521" w:type="dxa"/>
            <w:vAlign w:val="center"/>
            <w:textDirection w:val="lrTb"/>
            <w:noWrap w:val="false"/>
          </w:tcPr>
          <w:p>
            <w:pPr>
              <w:ind w:firstLine="0"/>
              <w:jc w:val="center"/>
              <w:spacing w:line="288" w:lineRule="auto"/>
              <w:rPr>
                <w:rFonts w:hint="default"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死亡原因</w:t>
            </w:r>
            <w:r/>
          </w:p>
        </w:tc>
        <w:tc>
          <w:tcPr>
            <w:gridSpan w:val="3"/>
            <w:tcW w:w="6711" w:type="dxa"/>
            <w:vAlign w:val="center"/>
            <w:textDirection w:val="lrTb"/>
            <w:noWrap w:val="false"/>
          </w:tcPr>
          <w:p>
            <w:pPr>
              <w:ind w:firstLine="0"/>
              <w:jc w:val="center"/>
              <w:spacing w:line="288" w:lineRule="auto"/>
              <w:rPr>
                <w:rFonts w:hint="default" w:ascii="宋体" w:hAnsi="宋体" w:eastAsia="宋体" w:cs="Times New Roman"/>
                <w:color w:val="auto"/>
                <w:sz w:val="24"/>
                <w:szCs w:val="21"/>
                <w:highlight w:val="none"/>
              </w:rPr>
              <w:outlineLvl w:val="9"/>
            </w:pPr>
            <w:r>
              <w:rPr>
                <w:rFonts w:hint="default" w:ascii="宋体" w:hAnsi="宋体" w:eastAsia="宋体" w:cs="Times New Roman"/>
                <w:color w:val="auto"/>
                <w:sz w:val="24"/>
                <w:szCs w:val="21"/>
                <w:highlight w:val="none"/>
              </w:rPr>
            </w:r>
            <w:r/>
          </w:p>
        </w:tc>
      </w:tr>
      <w:tr>
        <w:trPr>
          <w:jc w:val="center"/>
          <w:trHeight w:val="3020"/>
        </w:trPr>
        <w:tc>
          <w:tcPr>
            <w:tcW w:w="1521" w:type="dxa"/>
            <w:vAlign w:val="center"/>
            <w:textDirection w:val="lrTb"/>
            <w:noWrap w:val="false"/>
          </w:tcPr>
          <w:p>
            <w:pPr>
              <w:ind w:firstLine="0"/>
              <w:jc w:val="center"/>
              <w:spacing w:line="288" w:lineRule="auto"/>
              <w:rPr>
                <w:rFonts w:hint="default"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已采取何种</w:t>
            </w:r>
            <w:r/>
          </w:p>
          <w:p>
            <w:pPr>
              <w:ind w:firstLine="0"/>
              <w:jc w:val="center"/>
              <w:spacing w:line="288" w:lineRule="auto"/>
              <w:rPr>
                <w:rFonts w:hint="default"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抢救措施</w:t>
            </w:r>
            <w:r/>
          </w:p>
        </w:tc>
        <w:tc>
          <w:tcPr>
            <w:gridSpan w:val="3"/>
            <w:tcW w:w="6711" w:type="dxa"/>
            <w:vAlign w:val="center"/>
            <w:textDirection w:val="lrTb"/>
            <w:noWrap w:val="false"/>
          </w:tcPr>
          <w:p>
            <w:pPr>
              <w:ind w:firstLine="0"/>
              <w:jc w:val="center"/>
              <w:spacing w:line="288" w:lineRule="auto"/>
              <w:rPr>
                <w:rFonts w:hint="default" w:ascii="宋体" w:hAnsi="宋体" w:eastAsia="宋体" w:cs="Times New Roman"/>
                <w:color w:val="auto"/>
                <w:sz w:val="24"/>
                <w:szCs w:val="21"/>
                <w:highlight w:val="none"/>
              </w:rPr>
              <w:outlineLvl w:val="9"/>
            </w:pPr>
            <w:r>
              <w:rPr>
                <w:rFonts w:hint="default" w:ascii="宋体" w:hAnsi="宋体" w:eastAsia="宋体" w:cs="Times New Roman"/>
                <w:color w:val="auto"/>
                <w:sz w:val="24"/>
                <w:szCs w:val="21"/>
                <w:highlight w:val="none"/>
              </w:rPr>
            </w:r>
            <w:r/>
          </w:p>
        </w:tc>
      </w:tr>
      <w:tr>
        <w:trPr>
          <w:jc w:val="center"/>
          <w:trHeight w:val="760"/>
        </w:trPr>
        <w:tc>
          <w:tcPr>
            <w:tcW w:w="1521" w:type="dxa"/>
            <w:vAlign w:val="center"/>
            <w:textDirection w:val="lrTb"/>
            <w:noWrap w:val="false"/>
          </w:tcPr>
          <w:p>
            <w:pPr>
              <w:ind w:firstLine="0"/>
              <w:jc w:val="center"/>
              <w:spacing w:line="288" w:lineRule="auto"/>
              <w:rPr>
                <w:rFonts w:hint="default"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挖除人</w:t>
            </w:r>
            <w:r/>
          </w:p>
        </w:tc>
        <w:tc>
          <w:tcPr>
            <w:tcW w:w="3639" w:type="dxa"/>
            <w:vAlign w:val="center"/>
            <w:textDirection w:val="lrTb"/>
            <w:noWrap w:val="false"/>
          </w:tcPr>
          <w:p>
            <w:pPr>
              <w:ind w:firstLine="0"/>
              <w:jc w:val="center"/>
              <w:spacing w:line="288" w:lineRule="auto"/>
              <w:rPr>
                <w:rFonts w:hint="default" w:ascii="宋体" w:hAnsi="宋体" w:eastAsia="宋体" w:cs="Times New Roman"/>
                <w:color w:val="auto"/>
                <w:sz w:val="24"/>
                <w:szCs w:val="21"/>
                <w:highlight w:val="none"/>
              </w:rPr>
              <w:outlineLvl w:val="9"/>
            </w:pPr>
            <w:r>
              <w:rPr>
                <w:rFonts w:hint="default" w:ascii="宋体" w:hAnsi="宋体" w:eastAsia="宋体" w:cs="Times New Roman"/>
                <w:color w:val="auto"/>
                <w:sz w:val="24"/>
                <w:szCs w:val="21"/>
                <w:highlight w:val="none"/>
              </w:rPr>
            </w:r>
            <w:r/>
          </w:p>
        </w:tc>
        <w:tc>
          <w:tcPr>
            <w:tcW w:w="1123" w:type="dxa"/>
            <w:vAlign w:val="center"/>
            <w:textDirection w:val="lrTb"/>
            <w:noWrap w:val="false"/>
          </w:tcPr>
          <w:p>
            <w:pPr>
              <w:ind w:firstLine="0"/>
              <w:jc w:val="center"/>
              <w:spacing w:line="288" w:lineRule="auto"/>
              <w:rPr>
                <w:rFonts w:hint="default"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记录人</w:t>
            </w:r>
            <w:r/>
          </w:p>
        </w:tc>
        <w:tc>
          <w:tcPr>
            <w:tcW w:w="1949" w:type="dxa"/>
            <w:vAlign w:val="center"/>
            <w:textDirection w:val="lrTb"/>
            <w:noWrap w:val="false"/>
          </w:tcPr>
          <w:p>
            <w:pPr>
              <w:ind w:firstLine="0"/>
              <w:jc w:val="center"/>
              <w:spacing w:line="288" w:lineRule="auto"/>
              <w:rPr>
                <w:rFonts w:hint="default" w:ascii="宋体" w:hAnsi="宋体" w:eastAsia="宋体" w:cs="Times New Roman"/>
                <w:color w:val="auto"/>
                <w:sz w:val="24"/>
                <w:szCs w:val="21"/>
                <w:highlight w:val="none"/>
              </w:rPr>
              <w:outlineLvl w:val="9"/>
            </w:pPr>
            <w:r>
              <w:rPr>
                <w:rFonts w:hint="default" w:ascii="宋体" w:hAnsi="宋体" w:eastAsia="宋体" w:cs="Times New Roman"/>
                <w:color w:val="auto"/>
                <w:sz w:val="24"/>
                <w:szCs w:val="21"/>
                <w:highlight w:val="none"/>
              </w:rPr>
            </w:r>
            <w:r/>
          </w:p>
        </w:tc>
      </w:tr>
      <w:tr>
        <w:trPr>
          <w:jc w:val="center"/>
          <w:trHeight w:val="740"/>
        </w:trPr>
        <w:tc>
          <w:tcPr>
            <w:tcW w:w="1521" w:type="dxa"/>
            <w:vAlign w:val="center"/>
            <w:textDirection w:val="lrTb"/>
            <w:noWrap w:val="false"/>
          </w:tcPr>
          <w:p>
            <w:pPr>
              <w:ind w:firstLine="0"/>
              <w:jc w:val="center"/>
              <w:spacing w:line="288" w:lineRule="auto"/>
              <w:rPr>
                <w:rFonts w:hint="default"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单位负责人</w:t>
            </w:r>
            <w:r/>
          </w:p>
        </w:tc>
        <w:tc>
          <w:tcPr>
            <w:tcW w:w="3639" w:type="dxa"/>
            <w:vAlign w:val="center"/>
            <w:textDirection w:val="lrTb"/>
            <w:noWrap w:val="false"/>
          </w:tcPr>
          <w:p>
            <w:pPr>
              <w:ind w:firstLine="0"/>
              <w:jc w:val="center"/>
              <w:spacing w:line="288" w:lineRule="auto"/>
              <w:rPr>
                <w:rFonts w:hint="default" w:ascii="宋体" w:hAnsi="宋体" w:eastAsia="宋体" w:cs="Times New Roman"/>
                <w:color w:val="auto"/>
                <w:sz w:val="24"/>
                <w:szCs w:val="21"/>
                <w:highlight w:val="none"/>
              </w:rPr>
              <w:outlineLvl w:val="9"/>
            </w:pPr>
            <w:r>
              <w:rPr>
                <w:rFonts w:hint="default" w:ascii="宋体" w:hAnsi="宋体" w:eastAsia="宋体" w:cs="Times New Roman"/>
                <w:color w:val="auto"/>
                <w:sz w:val="24"/>
                <w:szCs w:val="21"/>
                <w:highlight w:val="none"/>
              </w:rPr>
            </w:r>
            <w:r/>
          </w:p>
        </w:tc>
        <w:tc>
          <w:tcPr>
            <w:tcW w:w="1123" w:type="dxa"/>
            <w:vAlign w:val="center"/>
            <w:textDirection w:val="lrTb"/>
            <w:noWrap w:val="false"/>
          </w:tcPr>
          <w:p>
            <w:pPr>
              <w:ind w:firstLine="0"/>
              <w:jc w:val="center"/>
              <w:spacing w:line="288" w:lineRule="auto"/>
              <w:rPr>
                <w:rFonts w:hint="default" w:ascii="宋体" w:hAnsi="宋体" w:eastAsia="宋体" w:cs="Times New Roman"/>
                <w:color w:val="auto"/>
                <w:sz w:val="24"/>
                <w:szCs w:val="21"/>
                <w:highlight w:val="none"/>
              </w:rPr>
              <w:outlineLvl w:val="9"/>
            </w:pPr>
            <w:r>
              <w:rPr>
                <w:rFonts w:hint="eastAsia" w:ascii="宋体" w:hAnsi="宋体" w:eastAsia="宋体" w:cs="Times New Roman"/>
                <w:color w:val="auto"/>
                <w:sz w:val="24"/>
                <w:szCs w:val="21"/>
                <w:highlight w:val="none"/>
              </w:rPr>
              <w:t xml:space="preserve">记录日期</w:t>
            </w:r>
            <w:r/>
          </w:p>
        </w:tc>
        <w:tc>
          <w:tcPr>
            <w:tcW w:w="1949" w:type="dxa"/>
            <w:vAlign w:val="center"/>
            <w:textDirection w:val="lrTb"/>
            <w:noWrap w:val="false"/>
          </w:tcPr>
          <w:p>
            <w:pPr>
              <w:ind w:firstLine="0"/>
              <w:jc w:val="center"/>
              <w:spacing w:line="288" w:lineRule="auto"/>
              <w:rPr>
                <w:rFonts w:hint="default" w:ascii="宋体" w:hAnsi="宋体" w:eastAsia="宋体" w:cs="Times New Roman"/>
                <w:color w:val="auto"/>
                <w:sz w:val="24"/>
                <w:szCs w:val="21"/>
                <w:highlight w:val="none"/>
              </w:rPr>
              <w:outlineLvl w:val="9"/>
            </w:pPr>
            <w:r>
              <w:rPr>
                <w:rFonts w:hint="default" w:ascii="宋体" w:hAnsi="宋体" w:eastAsia="宋体" w:cs="Times New Roman"/>
                <w:color w:val="auto"/>
                <w:sz w:val="24"/>
                <w:szCs w:val="21"/>
                <w:highlight w:val="none"/>
              </w:rPr>
            </w:r>
            <w:r/>
          </w:p>
        </w:tc>
      </w:tr>
    </w:tbl>
    <w:p>
      <w:pPr>
        <w:ind w:firstLine="0"/>
        <w:jc w:val="center"/>
        <w:spacing w:line="360" w:lineRule="auto"/>
        <w:rPr>
          <w:rFonts w:hint="default" w:ascii="宋体" w:hAnsi="宋体" w:eastAsia="宋体" w:cs="Times New Roman"/>
          <w:b/>
          <w:color w:val="auto"/>
          <w:sz w:val="44"/>
          <w:szCs w:val="44"/>
          <w:highlight w:val="none"/>
        </w:rPr>
        <w:outlineLvl w:val="0"/>
      </w:pPr>
      <w:r>
        <w:rPr>
          <w:rFonts w:hint="default" w:ascii="宋体" w:hAnsi="宋体" w:eastAsia="宋体" w:cs="Times New Roman"/>
          <w:b/>
          <w:color w:val="auto"/>
          <w:sz w:val="44"/>
          <w:szCs w:val="44"/>
          <w:highlight w:val="none"/>
        </w:rPr>
      </w:r>
      <w:r/>
    </w:p>
    <w:p>
      <w:pPr>
        <w:ind w:firstLine="0"/>
        <w:jc w:val="both"/>
        <w:spacing w:line="288" w:lineRule="auto"/>
        <w:rPr>
          <w:rFonts w:hint="eastAsia" w:ascii="Times New Roman" w:hAnsi="宋体" w:eastAsia="宋体" w:cs="Times New Roman"/>
          <w:color w:val="auto"/>
          <w:sz w:val="24"/>
          <w:szCs w:val="21"/>
          <w:highlight w:val="none"/>
        </w:rPr>
        <w:outlineLvl w:val="9"/>
      </w:pPr>
      <w:r>
        <w:rPr>
          <w:rFonts w:hint="default" w:ascii="宋体" w:hAnsi="宋体" w:eastAsia="宋体" w:cs="Times New Roman"/>
          <w:b/>
          <w:color w:val="auto"/>
          <w:sz w:val="44"/>
          <w:szCs w:val="44"/>
          <w:highlight w:val="none"/>
        </w:rPr>
        <w:br w:type="page" w:clear="all"/>
      </w:r>
      <w:r/>
    </w:p>
    <w:p>
      <w:pPr>
        <w:numPr>
          <w:ilvl w:val="2"/>
          <w:numId w:val="0"/>
        </w:numPr>
        <w:ind w:firstLine="0"/>
        <w:jc w:val="center"/>
        <w:keepLines/>
        <w:keepNext/>
        <w:spacing w:before="0" w:after="0" w:line="288" w:lineRule="auto"/>
        <w:widowControl/>
        <w:tabs>
          <w:tab w:val="left" w:pos="14" w:leader="none"/>
        </w:tabs>
        <w:rPr>
          <w:rFonts w:hint="eastAsia" w:ascii="黑体" w:hAnsi="Times New Roman" w:eastAsia="黑体" w:cs="黑体"/>
          <w:b w:val="0"/>
          <w:bCs w:val="0"/>
          <w:color w:val="auto"/>
          <w:sz w:val="32"/>
          <w:szCs w:val="32"/>
          <w:highlight w:val="none"/>
          <w:lang w:val="en-US" w:eastAsia="zh-CN" w:bidi="ar-SA"/>
        </w:rPr>
        <w:outlineLvl w:val="2"/>
      </w:pPr>
      <w:r>
        <w:rPr>
          <w:rFonts w:hint="eastAsia" w:ascii="黑体" w:hAnsi="Times New Roman" w:eastAsia="黑体" w:cs="黑体"/>
          <w:color w:val="auto"/>
          <w:sz w:val="32"/>
          <w:szCs w:val="32"/>
          <w:highlight w:val="none"/>
          <w:lang w:val="en-US" w:eastAsia="zh-CN" w:bidi="ar-SA"/>
        </w:rPr>
        <w:t xml:space="preserve">附件3：无锡市新吴区江溪街道绿地养护管理检查考核评分表</w:t>
      </w:r>
      <w:r/>
    </w:p>
    <w:p>
      <w:pPr>
        <w:ind w:left="95" w:firstLine="0"/>
        <w:jc w:val="left"/>
        <w:widowControl/>
        <w:tabs>
          <w:tab w:val="left" w:pos="2305" w:leader="none"/>
          <w:tab w:val="left" w:pos="8765" w:leader="none"/>
        </w:tabs>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单位：                                                      年    月    日   </w:t>
      </w:r>
      <w:r/>
    </w:p>
    <w:tbl>
      <w:tblPr>
        <w:tblStyle w:val="704"/>
        <w:tblW w:w="9440" w:type="dxa"/>
        <w:tblInd w:w="9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20"/>
        <w:gridCol w:w="1336"/>
        <w:gridCol w:w="1284"/>
        <w:gridCol w:w="4811"/>
        <w:gridCol w:w="689"/>
        <w:gridCol w:w="800"/>
      </w:tblGrid>
      <w:tr>
        <w:trPr>
          <w:trHeight w:val="405"/>
        </w:trPr>
        <w:tc>
          <w:tcPr>
            <w:tcW w:w="520" w:type="dxa"/>
            <w:vAlign w:val="center"/>
            <w:textDirection w:val="lrTb"/>
            <w:noWrap w:val="false"/>
          </w:tcPr>
          <w:p>
            <w:pPr>
              <w:ind w:firstLine="0"/>
              <w:jc w:val="center"/>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序号</w:t>
            </w:r>
            <w:r/>
          </w:p>
        </w:tc>
        <w:tc>
          <w:tcPr>
            <w:tcW w:w="1336" w:type="dxa"/>
            <w:vAlign w:val="center"/>
            <w:textDirection w:val="lrTb"/>
            <w:noWrap w:val="false"/>
          </w:tcPr>
          <w:p>
            <w:pPr>
              <w:ind w:firstLine="0"/>
              <w:jc w:val="center"/>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内容</w:t>
            </w:r>
            <w:r/>
          </w:p>
        </w:tc>
        <w:tc>
          <w:tcPr>
            <w:gridSpan w:val="2"/>
            <w:tcW w:w="6095" w:type="dxa"/>
            <w:vAlign w:val="center"/>
            <w:textDirection w:val="lrTb"/>
            <w:noWrap w:val="false"/>
          </w:tcPr>
          <w:p>
            <w:pPr>
              <w:ind w:firstLine="0"/>
              <w:jc w:val="center"/>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评分细则</w:t>
            </w:r>
            <w:r/>
          </w:p>
        </w:tc>
        <w:tc>
          <w:tcPr>
            <w:tcW w:w="689" w:type="dxa"/>
            <w:vAlign w:val="center"/>
            <w:textDirection w:val="lrTb"/>
            <w:noWrap w:val="false"/>
          </w:tcPr>
          <w:p>
            <w:pPr>
              <w:ind w:firstLine="0"/>
              <w:jc w:val="center"/>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分值</w:t>
            </w:r>
            <w:r/>
          </w:p>
        </w:tc>
        <w:tc>
          <w:tcPr>
            <w:tcW w:w="800" w:type="dxa"/>
            <w:vAlign w:val="center"/>
            <w:textDirection w:val="lrTb"/>
            <w:noWrap w:val="false"/>
          </w:tcPr>
          <w:p>
            <w:pPr>
              <w:ind w:firstLine="0"/>
              <w:jc w:val="center"/>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得分</w:t>
            </w:r>
            <w:r/>
          </w:p>
        </w:tc>
      </w:tr>
      <w:tr>
        <w:trPr>
          <w:trHeight w:val="619"/>
        </w:trPr>
        <w:tc>
          <w:tcPr>
            <w:tcW w:w="520" w:type="dxa"/>
            <w:vAlign w:val="center"/>
            <w:textDirection w:val="lrTb"/>
            <w:noWrap w:val="false"/>
          </w:tcPr>
          <w:p>
            <w:pPr>
              <w:ind w:firstLine="0"/>
              <w:jc w:val="center"/>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1</w:t>
            </w:r>
            <w:r/>
          </w:p>
        </w:tc>
        <w:tc>
          <w:tcPr>
            <w:tcW w:w="1336" w:type="dxa"/>
            <w:vAlign w:val="center"/>
            <w:textDirection w:val="lrTb"/>
            <w:noWrap w:val="false"/>
          </w:tcPr>
          <w:p>
            <w:pPr>
              <w:ind w:left="-46" w:right="-107" w:firstLine="0"/>
              <w:jc w:val="center"/>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养护计划上报和完成情况</w:t>
            </w:r>
            <w:r/>
          </w:p>
        </w:tc>
        <w:tc>
          <w:tcPr>
            <w:gridSpan w:val="2"/>
            <w:tcW w:w="6095" w:type="dxa"/>
            <w:vAlign w:val="center"/>
            <w:textDirection w:val="lrTb"/>
            <w:noWrap w:val="false"/>
          </w:tcPr>
          <w:p>
            <w:pPr>
              <w:ind w:firstLine="0"/>
              <w:jc w:val="left"/>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未上报年度养护组织设计，扣2分；未上报月度和周养护计划，一次扣1分；未按计划落实养护工作，1项视情扣0.5-1分。</w:t>
            </w:r>
            <w:r/>
          </w:p>
        </w:tc>
        <w:tc>
          <w:tcPr>
            <w:tcW w:w="689" w:type="dxa"/>
            <w:vAlign w:val="center"/>
            <w:textDirection w:val="lrTb"/>
            <w:noWrap w:val="false"/>
          </w:tcPr>
          <w:p>
            <w:pPr>
              <w:ind w:firstLine="0"/>
              <w:jc w:val="center"/>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2</w:t>
            </w:r>
            <w:r/>
          </w:p>
        </w:tc>
        <w:tc>
          <w:tcPr>
            <w:tcW w:w="800" w:type="dxa"/>
            <w:vAlign w:val="center"/>
            <w:textDirection w:val="lrTb"/>
            <w:noWrap/>
          </w:tcPr>
          <w:p>
            <w:pPr>
              <w:ind w:firstLine="0"/>
              <w:jc w:val="left"/>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r>
      <w:tr>
        <w:trPr>
          <w:trHeight w:val="830"/>
        </w:trPr>
        <w:tc>
          <w:tcPr>
            <w:tcW w:w="520" w:type="dxa"/>
            <w:vAlign w:val="center"/>
            <w:textDirection w:val="lrTb"/>
            <w:noWrap w:val="false"/>
          </w:tcPr>
          <w:p>
            <w:pPr>
              <w:ind w:firstLine="0"/>
              <w:jc w:val="center"/>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2</w:t>
            </w:r>
            <w:r/>
          </w:p>
        </w:tc>
        <w:tc>
          <w:tcPr>
            <w:tcW w:w="1336" w:type="dxa"/>
            <w:vAlign w:val="center"/>
            <w:textDirection w:val="lrTb"/>
            <w:noWrap w:val="false"/>
          </w:tcPr>
          <w:p>
            <w:pPr>
              <w:ind w:left="-46" w:right="-107" w:firstLine="0"/>
              <w:jc w:val="center"/>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安全文明生产和工作纪律</w:t>
            </w:r>
            <w:r/>
          </w:p>
        </w:tc>
        <w:tc>
          <w:tcPr>
            <w:gridSpan w:val="2"/>
            <w:tcW w:w="6095" w:type="dxa"/>
            <w:vAlign w:val="center"/>
            <w:textDirection w:val="lrTb"/>
            <w:noWrap w:val="false"/>
          </w:tcPr>
          <w:p>
            <w:pPr>
              <w:ind w:firstLine="0"/>
              <w:jc w:val="left"/>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因管理不善或因安全措施不力造成事故，一次视情扣2-4分；作业时没有充分利用机械设备，夜间作业未设置警戒标志，行道树修剪喷药、绿化带喷水除尘等处理不当影响行人及企业工作等，视情扣除1.5-2分；养护人员工作时未穿工作服，擅离职守，工作马虎，一人一次扣0.5分。</w:t>
            </w:r>
            <w:r/>
          </w:p>
        </w:tc>
        <w:tc>
          <w:tcPr>
            <w:tcW w:w="689" w:type="dxa"/>
            <w:vAlign w:val="center"/>
            <w:textDirection w:val="lrTb"/>
            <w:noWrap w:val="false"/>
          </w:tcPr>
          <w:p>
            <w:pPr>
              <w:ind w:firstLine="0"/>
              <w:jc w:val="center"/>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4</w:t>
            </w:r>
            <w:r/>
          </w:p>
        </w:tc>
        <w:tc>
          <w:tcPr>
            <w:tcW w:w="800" w:type="dxa"/>
            <w:vAlign w:val="center"/>
            <w:textDirection w:val="lrTb"/>
            <w:noWrap/>
          </w:tcPr>
          <w:p>
            <w:pPr>
              <w:ind w:firstLine="0"/>
              <w:jc w:val="left"/>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r>
      <w:tr>
        <w:trPr>
          <w:trHeight w:val="447"/>
        </w:trPr>
        <w:tc>
          <w:tcPr>
            <w:tcW w:w="520" w:type="dxa"/>
            <w:vAlign w:val="center"/>
            <w:textDirection w:val="lrTb"/>
            <w:noWrap w:val="false"/>
          </w:tcPr>
          <w:p>
            <w:pPr>
              <w:ind w:firstLine="0"/>
              <w:jc w:val="center"/>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3</w:t>
            </w:r>
            <w:r/>
          </w:p>
        </w:tc>
        <w:tc>
          <w:tcPr>
            <w:tcW w:w="1336" w:type="dxa"/>
            <w:vAlign w:val="center"/>
            <w:textDirection w:val="lrTb"/>
            <w:noWrap w:val="false"/>
          </w:tcPr>
          <w:p>
            <w:pPr>
              <w:ind w:left="-46" w:right="-107" w:firstLine="0"/>
              <w:jc w:val="center"/>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突击性、指令性任务完成情况</w:t>
            </w:r>
            <w:r/>
          </w:p>
        </w:tc>
        <w:tc>
          <w:tcPr>
            <w:gridSpan w:val="2"/>
            <w:tcW w:w="6095" w:type="dxa"/>
            <w:vAlign w:val="center"/>
            <w:textDirection w:val="lrTb"/>
            <w:noWrap w:val="false"/>
          </w:tcPr>
          <w:p>
            <w:pPr>
              <w:ind w:firstLine="0"/>
              <w:jc w:val="left"/>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没有执行，一项扣4分；执行不及时，一项扣3分；完成质量不符合要求，视情扣0.5-2分；完成质量优异受到上级领导表扬，视情加2-4分。</w:t>
            </w:r>
            <w:r/>
          </w:p>
        </w:tc>
        <w:tc>
          <w:tcPr>
            <w:tcW w:w="689" w:type="dxa"/>
            <w:vAlign w:val="center"/>
            <w:textDirection w:val="lrTb"/>
            <w:noWrap w:val="false"/>
          </w:tcPr>
          <w:p>
            <w:pPr>
              <w:ind w:firstLine="0"/>
              <w:jc w:val="center"/>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4</w:t>
            </w:r>
            <w:r/>
          </w:p>
        </w:tc>
        <w:tc>
          <w:tcPr>
            <w:tcW w:w="800" w:type="dxa"/>
            <w:vAlign w:val="center"/>
            <w:textDirection w:val="lrTb"/>
            <w:noWrap/>
          </w:tcPr>
          <w:p>
            <w:pPr>
              <w:ind w:firstLine="0"/>
              <w:jc w:val="left"/>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r>
      <w:tr>
        <w:trPr>
          <w:trHeight w:val="396"/>
        </w:trPr>
        <w:tc>
          <w:tcPr>
            <w:tcW w:w="520" w:type="dxa"/>
            <w:vAlign w:val="center"/>
            <w:textDirection w:val="lrTb"/>
            <w:noWrap w:val="false"/>
          </w:tcPr>
          <w:p>
            <w:pPr>
              <w:ind w:firstLine="0"/>
              <w:jc w:val="center"/>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4</w:t>
            </w:r>
            <w:r/>
          </w:p>
        </w:tc>
        <w:tc>
          <w:tcPr>
            <w:tcW w:w="1336" w:type="dxa"/>
            <w:vAlign w:val="center"/>
            <w:textDirection w:val="lrTb"/>
            <w:noWrap w:val="false"/>
          </w:tcPr>
          <w:p>
            <w:pPr>
              <w:ind w:left="-46" w:right="-107" w:firstLine="0"/>
              <w:jc w:val="center"/>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参加会议</w:t>
            </w:r>
            <w:r/>
          </w:p>
        </w:tc>
        <w:tc>
          <w:tcPr>
            <w:gridSpan w:val="2"/>
            <w:tcW w:w="6095" w:type="dxa"/>
            <w:vAlign w:val="center"/>
            <w:textDirection w:val="lrTb"/>
            <w:noWrap w:val="false"/>
          </w:tcPr>
          <w:p>
            <w:pPr>
              <w:ind w:firstLine="0"/>
              <w:jc w:val="left"/>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没有参加（含迟到早退），一次扣1分</w:t>
            </w:r>
            <w:r/>
          </w:p>
        </w:tc>
        <w:tc>
          <w:tcPr>
            <w:tcW w:w="689" w:type="dxa"/>
            <w:vAlign w:val="center"/>
            <w:textDirection w:val="lrTb"/>
            <w:noWrap w:val="false"/>
          </w:tcPr>
          <w:p>
            <w:pPr>
              <w:ind w:firstLine="0"/>
              <w:jc w:val="center"/>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1</w:t>
            </w:r>
            <w:r/>
          </w:p>
        </w:tc>
        <w:tc>
          <w:tcPr>
            <w:tcW w:w="800" w:type="dxa"/>
            <w:vAlign w:val="center"/>
            <w:textDirection w:val="lrTb"/>
            <w:noWrap/>
          </w:tcPr>
          <w:p>
            <w:pPr>
              <w:ind w:firstLine="0"/>
              <w:jc w:val="left"/>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r>
      <w:tr>
        <w:trPr>
          <w:trHeight w:val="488"/>
        </w:trPr>
        <w:tc>
          <w:tcPr>
            <w:tcW w:w="520" w:type="dxa"/>
            <w:vAlign w:val="center"/>
            <w:textDirection w:val="lrTb"/>
            <w:noWrap w:val="false"/>
          </w:tcPr>
          <w:p>
            <w:pPr>
              <w:ind w:firstLine="0"/>
              <w:jc w:val="center"/>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5</w:t>
            </w:r>
            <w:r/>
          </w:p>
        </w:tc>
        <w:tc>
          <w:tcPr>
            <w:tcW w:w="1336" w:type="dxa"/>
            <w:vAlign w:val="center"/>
            <w:textDirection w:val="lrTb"/>
            <w:noWrap w:val="false"/>
          </w:tcPr>
          <w:p>
            <w:pPr>
              <w:ind w:left="-46" w:right="-107" w:firstLine="0"/>
              <w:jc w:val="center"/>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巡视报告制度落实情况</w:t>
            </w:r>
            <w:r/>
          </w:p>
        </w:tc>
        <w:tc>
          <w:tcPr>
            <w:gridSpan w:val="2"/>
            <w:tcW w:w="6095" w:type="dxa"/>
            <w:vAlign w:val="center"/>
            <w:textDirection w:val="lrTb"/>
            <w:noWrap w:val="false"/>
          </w:tcPr>
          <w:p>
            <w:pPr>
              <w:ind w:firstLine="0"/>
              <w:jc w:val="left"/>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无巡视记录或记录不规范，一次扣1-2分；未按要求巡视，或发现绿化设施损坏未及时处理，或处理不当，或未及时上报，一次视情扣0.5-2分。</w:t>
            </w:r>
            <w:r/>
          </w:p>
        </w:tc>
        <w:tc>
          <w:tcPr>
            <w:tcW w:w="689" w:type="dxa"/>
            <w:vAlign w:val="center"/>
            <w:textDirection w:val="lrTb"/>
            <w:noWrap w:val="false"/>
          </w:tcPr>
          <w:p>
            <w:pPr>
              <w:ind w:firstLine="0"/>
              <w:jc w:val="center"/>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2</w:t>
            </w:r>
            <w:r/>
          </w:p>
        </w:tc>
        <w:tc>
          <w:tcPr>
            <w:tcW w:w="800" w:type="dxa"/>
            <w:vAlign w:val="center"/>
            <w:textDirection w:val="lrTb"/>
            <w:noWrap/>
          </w:tcPr>
          <w:p>
            <w:pPr>
              <w:ind w:firstLine="0"/>
              <w:jc w:val="left"/>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r>
      <w:tr>
        <w:trPr>
          <w:trHeight w:val="411"/>
        </w:trPr>
        <w:tc>
          <w:tcPr>
            <w:tcW w:w="520" w:type="dxa"/>
            <w:vAlign w:val="center"/>
            <w:textDirection w:val="lrTb"/>
            <w:noWrap w:val="false"/>
          </w:tcPr>
          <w:p>
            <w:pPr>
              <w:ind w:firstLine="0"/>
              <w:jc w:val="center"/>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6</w:t>
            </w:r>
            <w:r/>
          </w:p>
        </w:tc>
        <w:tc>
          <w:tcPr>
            <w:tcW w:w="1336" w:type="dxa"/>
            <w:vAlign w:val="center"/>
            <w:textDirection w:val="lrTb"/>
            <w:noWrap w:val="false"/>
          </w:tcPr>
          <w:p>
            <w:pPr>
              <w:ind w:left="-46" w:right="-107" w:firstLine="0"/>
              <w:jc w:val="center"/>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lang w:eastAsia="zh-CN"/>
              </w:rPr>
              <w:t xml:space="preserve">台账资料</w:t>
            </w:r>
            <w:r/>
          </w:p>
        </w:tc>
        <w:tc>
          <w:tcPr>
            <w:gridSpan w:val="2"/>
            <w:tcW w:w="6095" w:type="dxa"/>
            <w:vAlign w:val="center"/>
            <w:textDirection w:val="lrTb"/>
            <w:noWrap w:val="false"/>
          </w:tcPr>
          <w:p>
            <w:pPr>
              <w:ind w:firstLine="0"/>
              <w:jc w:val="left"/>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资料不全，缺一项扣1分；养护日志缺一天扣0.25分；内容不实、整理装订不规范视情扣0.5-2分。</w:t>
            </w:r>
            <w:r/>
          </w:p>
        </w:tc>
        <w:tc>
          <w:tcPr>
            <w:tcW w:w="689" w:type="dxa"/>
            <w:vAlign w:val="center"/>
            <w:textDirection w:val="lrTb"/>
            <w:noWrap w:val="false"/>
          </w:tcPr>
          <w:p>
            <w:pPr>
              <w:ind w:firstLine="0"/>
              <w:jc w:val="center"/>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2</w:t>
            </w:r>
            <w:r/>
          </w:p>
        </w:tc>
        <w:tc>
          <w:tcPr>
            <w:tcW w:w="800" w:type="dxa"/>
            <w:vAlign w:val="center"/>
            <w:textDirection w:val="lrTb"/>
            <w:noWrap/>
          </w:tcPr>
          <w:p>
            <w:pPr>
              <w:ind w:firstLine="0"/>
              <w:jc w:val="left"/>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r>
      <w:tr>
        <w:trPr>
          <w:trHeight w:val="502"/>
        </w:trPr>
        <w:tc>
          <w:tcPr>
            <w:tcW w:w="520" w:type="dxa"/>
            <w:vAlign w:val="center"/>
            <w:textDirection w:val="lrTb"/>
            <w:noWrap w:val="false"/>
          </w:tcPr>
          <w:p>
            <w:pPr>
              <w:ind w:firstLine="0"/>
              <w:jc w:val="center"/>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7</w:t>
            </w:r>
            <w:r/>
          </w:p>
        </w:tc>
        <w:tc>
          <w:tcPr>
            <w:tcW w:w="1336" w:type="dxa"/>
            <w:vAlign w:val="center"/>
            <w:textDirection w:val="lrTb"/>
            <w:noWrap w:val="false"/>
          </w:tcPr>
          <w:p>
            <w:pPr>
              <w:ind w:left="-46" w:right="-107" w:firstLine="0"/>
              <w:jc w:val="center"/>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上级领导批评、市民投诉和媒体曝光</w:t>
            </w:r>
            <w:r/>
          </w:p>
        </w:tc>
        <w:tc>
          <w:tcPr>
            <w:gridSpan w:val="2"/>
            <w:tcW w:w="6095" w:type="dxa"/>
            <w:vAlign w:val="center"/>
            <w:textDirection w:val="lrTb"/>
            <w:noWrap w:val="false"/>
          </w:tcPr>
          <w:p>
            <w:pPr>
              <w:ind w:firstLine="0"/>
              <w:jc w:val="left"/>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被上级领导批评、市民投诉、新闻媒体曝光属养护单位责任的一次扣</w:t>
            </w:r>
            <w:r>
              <w:rPr>
                <w:rFonts w:hint="eastAsia" w:ascii="宋体" w:hAnsi="宋体" w:eastAsia="宋体" w:cs="宋体"/>
                <w:color w:val="auto"/>
                <w:sz w:val="24"/>
                <w:szCs w:val="21"/>
                <w:highlight w:val="none"/>
                <w:lang w:val="en-US" w:eastAsia="zh-CN"/>
              </w:rPr>
              <w:t xml:space="preserve">2</w:t>
            </w:r>
            <w:r>
              <w:rPr>
                <w:rFonts w:hint="eastAsia" w:ascii="宋体" w:hAnsi="宋体" w:eastAsia="宋体" w:cs="宋体"/>
                <w:color w:val="auto"/>
                <w:sz w:val="24"/>
                <w:szCs w:val="21"/>
                <w:highlight w:val="none"/>
              </w:rPr>
              <w:t xml:space="preserve">分，在养护</w:t>
            </w:r>
            <w:r>
              <w:rPr>
                <w:rFonts w:hint="eastAsia" w:ascii="宋体" w:hAnsi="宋体" w:eastAsia="宋体" w:cs="宋体"/>
                <w:color w:val="auto"/>
                <w:sz w:val="24"/>
                <w:szCs w:val="21"/>
                <w:highlight w:val="none"/>
                <w:lang w:val="en-US" w:eastAsia="zh-CN"/>
              </w:rPr>
              <w:t xml:space="preserve">范围</w:t>
            </w:r>
            <w:r>
              <w:rPr>
                <w:rFonts w:hint="eastAsia" w:ascii="宋体" w:hAnsi="宋体" w:eastAsia="宋体" w:cs="宋体"/>
                <w:color w:val="auto"/>
                <w:sz w:val="24"/>
                <w:szCs w:val="21"/>
                <w:highlight w:val="none"/>
              </w:rPr>
              <w:t xml:space="preserve">内但非养护单位责任且已及时上报的不扣分、未及时上报的一次扣1分。</w:t>
            </w:r>
            <w:r/>
          </w:p>
        </w:tc>
        <w:tc>
          <w:tcPr>
            <w:tcW w:w="689" w:type="dxa"/>
            <w:vAlign w:val="center"/>
            <w:textDirection w:val="lrTb"/>
            <w:noWrap w:val="false"/>
          </w:tcPr>
          <w:p>
            <w:pPr>
              <w:ind w:firstLine="0"/>
              <w:jc w:val="center"/>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4</w:t>
            </w:r>
            <w:r/>
          </w:p>
        </w:tc>
        <w:tc>
          <w:tcPr>
            <w:tcW w:w="800" w:type="dxa"/>
            <w:vAlign w:val="center"/>
            <w:textDirection w:val="lrTb"/>
            <w:noWrap/>
          </w:tcPr>
          <w:p>
            <w:pPr>
              <w:ind w:firstLine="0"/>
              <w:jc w:val="left"/>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r>
      <w:tr>
        <w:trPr>
          <w:trHeight w:val="619"/>
        </w:trPr>
        <w:tc>
          <w:tcPr>
            <w:tcW w:w="520" w:type="dxa"/>
            <w:vAlign w:val="center"/>
            <w:textDirection w:val="lrTb"/>
            <w:noWrap w:val="false"/>
          </w:tcPr>
          <w:p>
            <w:pPr>
              <w:ind w:firstLine="0"/>
              <w:jc w:val="center"/>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8</w:t>
            </w:r>
            <w:r/>
          </w:p>
        </w:tc>
        <w:tc>
          <w:tcPr>
            <w:tcW w:w="1336" w:type="dxa"/>
            <w:vAlign w:val="center"/>
            <w:textDirection w:val="lrTb"/>
            <w:noWrap w:val="false"/>
          </w:tcPr>
          <w:p>
            <w:pPr>
              <w:ind w:left="-46" w:right="-107" w:firstLine="0"/>
              <w:jc w:val="center"/>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整改措施落实情况</w:t>
            </w:r>
            <w:r/>
          </w:p>
        </w:tc>
        <w:tc>
          <w:tcPr>
            <w:gridSpan w:val="2"/>
            <w:tcW w:w="6095" w:type="dxa"/>
            <w:vAlign w:val="center"/>
            <w:textDirection w:val="lrTb"/>
            <w:noWrap w:val="false"/>
          </w:tcPr>
          <w:p>
            <w:pPr>
              <w:ind w:firstLine="0"/>
              <w:jc w:val="left"/>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规定时间内未整改，扣3倍原扣分值；整改不及时扣2倍原扣分值分；整改后仍不符合要求，视情扣1-2倍原扣分值。</w:t>
            </w:r>
            <w:r/>
          </w:p>
        </w:tc>
        <w:tc>
          <w:tcPr>
            <w:tcW w:w="689" w:type="dxa"/>
            <w:vAlign w:val="center"/>
            <w:textDirection w:val="lrTb"/>
            <w:noWrap w:val="false"/>
          </w:tcPr>
          <w:p>
            <w:pPr>
              <w:ind w:firstLine="0"/>
              <w:jc w:val="center"/>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6</w:t>
            </w:r>
            <w:r/>
          </w:p>
        </w:tc>
        <w:tc>
          <w:tcPr>
            <w:tcW w:w="800" w:type="dxa"/>
            <w:vAlign w:val="center"/>
            <w:textDirection w:val="lrTb"/>
            <w:noWrap/>
          </w:tcPr>
          <w:p>
            <w:pPr>
              <w:ind w:firstLine="0"/>
              <w:jc w:val="left"/>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r>
      <w:tr>
        <w:trPr>
          <w:trHeight w:val="1429"/>
        </w:trPr>
        <w:tc>
          <w:tcPr>
            <w:tcW w:w="520" w:type="dxa"/>
            <w:vAlign w:val="center"/>
            <w:vMerge w:val="restart"/>
            <w:textDirection w:val="lrTb"/>
            <w:noWrap w:val="false"/>
          </w:tcPr>
          <w:p>
            <w:pPr>
              <w:ind w:firstLine="0"/>
              <w:jc w:val="center"/>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9</w:t>
            </w:r>
            <w:r/>
          </w:p>
        </w:tc>
        <w:tc>
          <w:tcPr>
            <w:tcW w:w="1336" w:type="dxa"/>
            <w:vAlign w:val="center"/>
            <w:vMerge w:val="restart"/>
            <w:textDirection w:val="lrTb"/>
            <w:noWrap w:val="false"/>
          </w:tcPr>
          <w:p>
            <w:pPr>
              <w:ind w:firstLine="0"/>
              <w:jc w:val="center"/>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绿地养护质量标准执行情况</w:t>
            </w:r>
            <w:r/>
          </w:p>
        </w:tc>
        <w:tc>
          <w:tcPr>
            <w:tcW w:w="1284" w:type="dxa"/>
            <w:vAlign w:val="center"/>
            <w:textDirection w:val="lrTb"/>
            <w:noWrap w:val="false"/>
          </w:tcPr>
          <w:p>
            <w:pPr>
              <w:ind w:firstLine="0"/>
              <w:jc w:val="center"/>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树木</w:t>
            </w:r>
            <w:r/>
          </w:p>
        </w:tc>
        <w:tc>
          <w:tcPr>
            <w:tcW w:w="4811" w:type="dxa"/>
            <w:vAlign w:val="center"/>
            <w:textDirection w:val="lrTb"/>
            <w:noWrap w:val="false"/>
          </w:tcPr>
          <w:p>
            <w:pPr>
              <w:ind w:firstLine="0"/>
              <w:jc w:val="left"/>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1.乔木生长旺盛，树冠完整，修剪适当，主侧枝分枝均匀，数量适宜，内膛通风透光；灌木树形完整，无枯死枝，不符合要求每株扣0.5-1分；2.叶色正常，无病虫害，不</w:t>
            </w:r>
            <w:r>
              <w:rPr>
                <w:rFonts w:hint="eastAsia" w:ascii="宋体" w:hAnsi="宋体" w:eastAsia="宋体" w:cs="宋体"/>
                <w:color w:val="auto"/>
                <w:sz w:val="24"/>
                <w:szCs w:val="21"/>
                <w:highlight w:val="none"/>
                <w:lang w:eastAsia="zh-CN"/>
              </w:rPr>
              <w:t xml:space="preserve">符合</w:t>
            </w:r>
            <w:r>
              <w:rPr>
                <w:rFonts w:hint="eastAsia" w:ascii="宋体" w:hAnsi="宋体" w:eastAsia="宋体" w:cs="宋体"/>
                <w:color w:val="auto"/>
                <w:sz w:val="24"/>
                <w:szCs w:val="21"/>
                <w:highlight w:val="none"/>
              </w:rPr>
              <w:t xml:space="preserve">要求，每株扣0.5分；3.缺株在2％以下（含），不得有连续2株缺株，补植树木与原树木径级基本一致，不符合要求每株扣0.5-1分；4.枝干上牵绳挂物、树穴内有垃圾杂草、切边整修不及时，一处扣0.25分。</w:t>
            </w:r>
            <w:r/>
          </w:p>
        </w:tc>
        <w:tc>
          <w:tcPr>
            <w:tcW w:w="689" w:type="dxa"/>
            <w:vAlign w:val="center"/>
            <w:vMerge w:val="restart"/>
            <w:textDirection w:val="lrTb"/>
            <w:noWrap w:val="false"/>
          </w:tcPr>
          <w:p>
            <w:pPr>
              <w:ind w:firstLine="0"/>
              <w:jc w:val="center"/>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75</w:t>
            </w:r>
            <w:r/>
          </w:p>
        </w:tc>
        <w:tc>
          <w:tcPr>
            <w:tcW w:w="800" w:type="dxa"/>
            <w:vAlign w:val="center"/>
            <w:textDirection w:val="lrTb"/>
            <w:noWrap/>
          </w:tcPr>
          <w:p>
            <w:pPr>
              <w:ind w:firstLine="0"/>
              <w:jc w:val="left"/>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r>
      <w:tr>
        <w:trPr>
          <w:trHeight w:val="458"/>
        </w:trPr>
        <w:tc>
          <w:tcPr>
            <w:tcW w:w="520" w:type="dxa"/>
            <w:vAlign w:val="center"/>
            <w:vMerge w:val="continue"/>
            <w:textDirection w:val="lrTb"/>
            <w:noWrap w:val="false"/>
          </w:tcPr>
          <w:p>
            <w:pPr>
              <w:ind w:firstLine="0"/>
              <w:jc w:val="left"/>
              <w:widowControl/>
              <w:rPr>
                <w:rFonts w:hint="default" w:ascii="宋体" w:hAnsi="宋体" w:eastAsia="宋体" w:cs="宋体"/>
                <w:color w:val="auto"/>
                <w:sz w:val="24"/>
                <w:szCs w:val="21"/>
                <w:highlight w:val="none"/>
              </w:rPr>
              <w:outlineLvl w:val="9"/>
            </w:pPr>
            <w:r>
              <w:rPr>
                <w:rFonts w:hint="default" w:ascii="宋体" w:hAnsi="宋体" w:eastAsia="宋体" w:cs="宋体"/>
                <w:color w:val="auto"/>
                <w:sz w:val="24"/>
                <w:szCs w:val="21"/>
                <w:highlight w:val="none"/>
              </w:rPr>
            </w:r>
            <w:r/>
          </w:p>
        </w:tc>
        <w:tc>
          <w:tcPr>
            <w:tcW w:w="1336" w:type="dxa"/>
            <w:vAlign w:val="center"/>
            <w:vMerge w:val="continue"/>
            <w:textDirection w:val="lrTb"/>
            <w:noWrap w:val="false"/>
          </w:tcPr>
          <w:p>
            <w:pPr>
              <w:ind w:firstLine="0"/>
              <w:jc w:val="left"/>
              <w:widowControl/>
              <w:rPr>
                <w:rFonts w:hint="default" w:ascii="宋体" w:hAnsi="宋体" w:eastAsia="宋体" w:cs="宋体"/>
                <w:color w:val="auto"/>
                <w:sz w:val="24"/>
                <w:szCs w:val="21"/>
                <w:highlight w:val="none"/>
              </w:rPr>
              <w:outlineLvl w:val="9"/>
            </w:pPr>
            <w:r>
              <w:rPr>
                <w:rFonts w:hint="default" w:ascii="宋体" w:hAnsi="宋体" w:eastAsia="宋体" w:cs="宋体"/>
                <w:color w:val="auto"/>
                <w:sz w:val="24"/>
                <w:szCs w:val="21"/>
                <w:highlight w:val="none"/>
              </w:rPr>
            </w:r>
            <w:r/>
          </w:p>
        </w:tc>
        <w:tc>
          <w:tcPr>
            <w:tcW w:w="1284" w:type="dxa"/>
            <w:vAlign w:val="center"/>
            <w:textDirection w:val="lrTb"/>
            <w:noWrap w:val="false"/>
          </w:tcPr>
          <w:p>
            <w:pPr>
              <w:ind w:firstLine="0"/>
              <w:jc w:val="center"/>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草坪</w:t>
            </w:r>
            <w:r/>
          </w:p>
        </w:tc>
        <w:tc>
          <w:tcPr>
            <w:tcW w:w="4811" w:type="dxa"/>
            <w:vAlign w:val="center"/>
            <w:textDirection w:val="lrTb"/>
            <w:noWrap w:val="false"/>
          </w:tcPr>
          <w:p>
            <w:pPr>
              <w:ind w:firstLine="0"/>
              <w:jc w:val="left"/>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1.生长旺盛，草根不裸露，不符合要求扣1－2分；2.生长季节枯黄，有杂草（杂草率大于10％），覆盖率在95％以下，一次扣1-2分；3.修剪不及时，一次扣1-2分，修剪高度不符合要求，一次扣0.5-1分；4.垃圾清理不及时，一处扣0.5分；5.集中空秃面积超过0.1平方米，一处扣0.5分。</w:t>
            </w:r>
            <w:r/>
          </w:p>
        </w:tc>
        <w:tc>
          <w:tcPr>
            <w:tcW w:w="689" w:type="dxa"/>
            <w:vAlign w:val="center"/>
            <w:vMerge w:val="continue"/>
            <w:textDirection w:val="lrTb"/>
            <w:noWrap w:val="false"/>
          </w:tcPr>
          <w:p>
            <w:pPr>
              <w:ind w:firstLine="0"/>
              <w:jc w:val="left"/>
              <w:widowControl/>
              <w:rPr>
                <w:rFonts w:hint="default" w:ascii="宋体" w:hAnsi="宋体" w:eastAsia="宋体" w:cs="宋体"/>
                <w:color w:val="auto"/>
                <w:sz w:val="24"/>
                <w:szCs w:val="21"/>
                <w:highlight w:val="none"/>
              </w:rPr>
              <w:outlineLvl w:val="9"/>
            </w:pPr>
            <w:r>
              <w:rPr>
                <w:rFonts w:hint="default" w:ascii="宋体" w:hAnsi="宋体" w:eastAsia="宋体" w:cs="宋体"/>
                <w:color w:val="auto"/>
                <w:sz w:val="24"/>
                <w:szCs w:val="21"/>
                <w:highlight w:val="none"/>
              </w:rPr>
            </w:r>
            <w:r/>
          </w:p>
        </w:tc>
        <w:tc>
          <w:tcPr>
            <w:tcW w:w="800" w:type="dxa"/>
            <w:vAlign w:val="center"/>
            <w:textDirection w:val="lrTb"/>
            <w:noWrap/>
          </w:tcPr>
          <w:p>
            <w:pPr>
              <w:ind w:firstLine="0"/>
              <w:jc w:val="left"/>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r>
      <w:tr>
        <w:trPr>
          <w:trHeight w:val="1545"/>
        </w:trPr>
        <w:tc>
          <w:tcPr>
            <w:tcW w:w="520" w:type="dxa"/>
            <w:vAlign w:val="center"/>
            <w:vMerge w:val="continue"/>
            <w:textDirection w:val="lrTb"/>
            <w:noWrap w:val="false"/>
          </w:tcPr>
          <w:p>
            <w:pPr>
              <w:ind w:firstLine="0"/>
              <w:jc w:val="left"/>
              <w:widowControl/>
              <w:rPr>
                <w:rFonts w:hint="default" w:ascii="宋体" w:hAnsi="宋体" w:eastAsia="宋体" w:cs="宋体"/>
                <w:color w:val="auto"/>
                <w:sz w:val="24"/>
                <w:szCs w:val="21"/>
                <w:highlight w:val="none"/>
              </w:rPr>
              <w:outlineLvl w:val="9"/>
            </w:pPr>
            <w:r>
              <w:rPr>
                <w:rFonts w:hint="default" w:ascii="宋体" w:hAnsi="宋体" w:eastAsia="宋体" w:cs="宋体"/>
                <w:color w:val="auto"/>
                <w:sz w:val="24"/>
                <w:szCs w:val="21"/>
                <w:highlight w:val="none"/>
              </w:rPr>
            </w:r>
            <w:r/>
          </w:p>
        </w:tc>
        <w:tc>
          <w:tcPr>
            <w:tcW w:w="1336" w:type="dxa"/>
            <w:vAlign w:val="center"/>
            <w:vMerge w:val="continue"/>
            <w:textDirection w:val="lrTb"/>
            <w:noWrap w:val="false"/>
          </w:tcPr>
          <w:p>
            <w:pPr>
              <w:ind w:firstLine="0"/>
              <w:jc w:val="left"/>
              <w:widowControl/>
              <w:rPr>
                <w:rFonts w:hint="default" w:ascii="宋体" w:hAnsi="宋体" w:eastAsia="宋体" w:cs="宋体"/>
                <w:color w:val="auto"/>
                <w:sz w:val="24"/>
                <w:szCs w:val="21"/>
                <w:highlight w:val="none"/>
              </w:rPr>
              <w:outlineLvl w:val="9"/>
            </w:pPr>
            <w:r>
              <w:rPr>
                <w:rFonts w:hint="default" w:ascii="宋体" w:hAnsi="宋体" w:eastAsia="宋体" w:cs="宋体"/>
                <w:color w:val="auto"/>
                <w:sz w:val="24"/>
                <w:szCs w:val="21"/>
                <w:highlight w:val="none"/>
              </w:rPr>
            </w:r>
            <w:r/>
          </w:p>
        </w:tc>
        <w:tc>
          <w:tcPr>
            <w:tcW w:w="1284" w:type="dxa"/>
            <w:vAlign w:val="center"/>
            <w:textDirection w:val="lrTb"/>
            <w:noWrap w:val="false"/>
          </w:tcPr>
          <w:p>
            <w:pPr>
              <w:ind w:firstLine="0"/>
              <w:jc w:val="center"/>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花卉</w:t>
            </w:r>
            <w:r/>
          </w:p>
        </w:tc>
        <w:tc>
          <w:tcPr>
            <w:tcW w:w="4811" w:type="dxa"/>
            <w:vAlign w:val="center"/>
            <w:textDirection w:val="lrTb"/>
            <w:noWrap w:val="false"/>
          </w:tcPr>
          <w:p>
            <w:pPr>
              <w:ind w:firstLine="0"/>
              <w:jc w:val="left"/>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1.花卉生长不正常，视情扣2</w:t>
            </w:r>
            <w:r>
              <w:rPr>
                <w:rFonts w:hint="eastAsia" w:ascii="宋体" w:hAnsi="宋体" w:eastAsia="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5分</w:t>
            </w:r>
            <w:r>
              <w:rPr>
                <w:rFonts w:hint="eastAsia" w:ascii="宋体" w:hAnsi="宋体" w:eastAsia="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有枯枝残花（残花数量大）扣2</w:t>
            </w:r>
            <w:r>
              <w:rPr>
                <w:rFonts w:hint="eastAsia" w:ascii="宋体" w:hAnsi="宋体" w:eastAsia="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3分</w:t>
            </w:r>
            <w:r>
              <w:rPr>
                <w:rFonts w:hint="eastAsia" w:ascii="宋体" w:hAnsi="宋体" w:eastAsia="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缺株、倒伏超过2</w:t>
            </w:r>
            <w:r>
              <w:rPr>
                <w:rFonts w:hint="eastAsia" w:ascii="宋体" w:hAnsi="宋体" w:eastAsia="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3处，每处扣0.2</w:t>
            </w:r>
            <w:r>
              <w:rPr>
                <w:rFonts w:hint="eastAsia" w:ascii="宋体" w:hAnsi="宋体" w:eastAsia="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0.5分；2.花坛图案清晰，色彩鲜艳，花朵繁茂，花期一致，不符合要求一次扣0.5分</w:t>
            </w:r>
            <w:r>
              <w:rPr>
                <w:rFonts w:hint="eastAsia" w:ascii="宋体" w:hAnsi="宋体" w:eastAsia="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覆盖面未达90</w:t>
            </w:r>
            <w:r>
              <w:rPr>
                <w:rFonts w:hint="eastAsia" w:ascii="宋体" w:hAnsi="宋体" w:eastAsia="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以上，一次扣2分；3.花境花卉搭配科学、层次分明，高矮有序</w:t>
            </w:r>
            <w:r>
              <w:rPr>
                <w:rFonts w:hint="eastAsia" w:ascii="宋体" w:hAnsi="宋体" w:eastAsia="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不符合要求扣1-2分。</w:t>
            </w:r>
            <w:r/>
          </w:p>
        </w:tc>
        <w:tc>
          <w:tcPr>
            <w:tcW w:w="689" w:type="dxa"/>
            <w:vAlign w:val="center"/>
            <w:vMerge w:val="continue"/>
            <w:textDirection w:val="lrTb"/>
            <w:noWrap w:val="false"/>
          </w:tcPr>
          <w:p>
            <w:pPr>
              <w:ind w:firstLine="0"/>
              <w:jc w:val="left"/>
              <w:widowControl/>
              <w:rPr>
                <w:rFonts w:hint="default" w:ascii="宋体" w:hAnsi="宋体" w:eastAsia="宋体" w:cs="宋体"/>
                <w:color w:val="auto"/>
                <w:sz w:val="24"/>
                <w:szCs w:val="21"/>
                <w:highlight w:val="none"/>
              </w:rPr>
              <w:outlineLvl w:val="9"/>
            </w:pPr>
            <w:r>
              <w:rPr>
                <w:rFonts w:hint="default" w:ascii="宋体" w:hAnsi="宋体" w:eastAsia="宋体" w:cs="宋体"/>
                <w:color w:val="auto"/>
                <w:sz w:val="24"/>
                <w:szCs w:val="21"/>
                <w:highlight w:val="none"/>
              </w:rPr>
            </w:r>
            <w:r/>
          </w:p>
        </w:tc>
        <w:tc>
          <w:tcPr>
            <w:tcW w:w="800" w:type="dxa"/>
            <w:vAlign w:val="center"/>
            <w:textDirection w:val="lrTb"/>
            <w:noWrap/>
          </w:tcPr>
          <w:p>
            <w:pPr>
              <w:ind w:firstLine="0"/>
              <w:jc w:val="left"/>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r>
      <w:tr>
        <w:trPr>
          <w:trHeight w:val="730"/>
        </w:trPr>
        <w:tc>
          <w:tcPr>
            <w:tcW w:w="520" w:type="dxa"/>
            <w:vAlign w:val="center"/>
            <w:vMerge w:val="continue"/>
            <w:textDirection w:val="lrTb"/>
            <w:noWrap w:val="false"/>
          </w:tcPr>
          <w:p>
            <w:pPr>
              <w:ind w:firstLine="0"/>
              <w:jc w:val="left"/>
              <w:widowControl/>
              <w:rPr>
                <w:rFonts w:hint="default" w:ascii="宋体" w:hAnsi="宋体" w:eastAsia="宋体" w:cs="宋体"/>
                <w:color w:val="auto"/>
                <w:sz w:val="24"/>
                <w:szCs w:val="21"/>
                <w:highlight w:val="none"/>
              </w:rPr>
              <w:outlineLvl w:val="9"/>
            </w:pPr>
            <w:r>
              <w:rPr>
                <w:rFonts w:hint="default" w:ascii="宋体" w:hAnsi="宋体" w:eastAsia="宋体" w:cs="宋体"/>
                <w:color w:val="auto"/>
                <w:sz w:val="24"/>
                <w:szCs w:val="21"/>
                <w:highlight w:val="none"/>
              </w:rPr>
            </w:r>
            <w:r/>
          </w:p>
        </w:tc>
        <w:tc>
          <w:tcPr>
            <w:tcW w:w="1336" w:type="dxa"/>
            <w:vAlign w:val="center"/>
            <w:vMerge w:val="continue"/>
            <w:textDirection w:val="lrTb"/>
            <w:noWrap w:val="false"/>
          </w:tcPr>
          <w:p>
            <w:pPr>
              <w:ind w:firstLine="0"/>
              <w:jc w:val="left"/>
              <w:widowControl/>
              <w:rPr>
                <w:rFonts w:hint="default" w:ascii="宋体" w:hAnsi="宋体" w:eastAsia="宋体" w:cs="宋体"/>
                <w:color w:val="auto"/>
                <w:sz w:val="24"/>
                <w:szCs w:val="21"/>
                <w:highlight w:val="none"/>
              </w:rPr>
              <w:outlineLvl w:val="9"/>
            </w:pPr>
            <w:r>
              <w:rPr>
                <w:rFonts w:hint="default" w:ascii="宋体" w:hAnsi="宋体" w:eastAsia="宋体" w:cs="宋体"/>
                <w:color w:val="auto"/>
                <w:sz w:val="24"/>
                <w:szCs w:val="21"/>
                <w:highlight w:val="none"/>
              </w:rPr>
            </w:r>
            <w:r/>
          </w:p>
        </w:tc>
        <w:tc>
          <w:tcPr>
            <w:tcW w:w="1284" w:type="dxa"/>
            <w:vAlign w:val="center"/>
            <w:textDirection w:val="lrTb"/>
            <w:noWrap w:val="false"/>
          </w:tcPr>
          <w:p>
            <w:pPr>
              <w:ind w:firstLine="0"/>
              <w:jc w:val="center"/>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藤本、绿篱及地被</w:t>
            </w:r>
            <w:r/>
          </w:p>
        </w:tc>
        <w:tc>
          <w:tcPr>
            <w:tcW w:w="4811" w:type="dxa"/>
            <w:vAlign w:val="center"/>
            <w:textDirection w:val="lrTb"/>
            <w:noWrap w:val="false"/>
          </w:tcPr>
          <w:p>
            <w:pPr>
              <w:ind w:firstLine="0"/>
              <w:jc w:val="left"/>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1.生长不正常，一处扣1</w:t>
            </w:r>
            <w:r>
              <w:rPr>
                <w:rFonts w:hint="eastAsia" w:ascii="宋体" w:hAnsi="宋体" w:eastAsia="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3分；2.有枯枝、断枝，一处扣0.5分；3.修剪不及时，一次扣2</w:t>
            </w:r>
            <w:r>
              <w:rPr>
                <w:rFonts w:hint="eastAsia" w:ascii="宋体" w:hAnsi="宋体" w:eastAsia="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5分</w:t>
            </w:r>
            <w:r>
              <w:rPr>
                <w:rFonts w:hint="eastAsia" w:ascii="宋体" w:hAnsi="宋体" w:eastAsia="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修剪不成型、不完整，一次扣1</w:t>
            </w:r>
            <w:r>
              <w:rPr>
                <w:rFonts w:hint="eastAsia" w:ascii="宋体" w:hAnsi="宋体" w:eastAsia="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3分；4.有垃圾杂物，一处扣0.5</w:t>
            </w:r>
            <w:r>
              <w:rPr>
                <w:rFonts w:hint="eastAsia" w:ascii="宋体" w:hAnsi="宋体" w:eastAsia="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2分。</w:t>
            </w:r>
            <w:r/>
          </w:p>
        </w:tc>
        <w:tc>
          <w:tcPr>
            <w:tcW w:w="689" w:type="dxa"/>
            <w:vAlign w:val="center"/>
            <w:vMerge w:val="continue"/>
            <w:textDirection w:val="lrTb"/>
            <w:noWrap w:val="false"/>
          </w:tcPr>
          <w:p>
            <w:pPr>
              <w:ind w:firstLine="0"/>
              <w:jc w:val="left"/>
              <w:widowControl/>
              <w:rPr>
                <w:rFonts w:hint="default" w:ascii="宋体" w:hAnsi="宋体" w:eastAsia="宋体" w:cs="宋体"/>
                <w:color w:val="auto"/>
                <w:sz w:val="24"/>
                <w:szCs w:val="21"/>
                <w:highlight w:val="none"/>
              </w:rPr>
              <w:outlineLvl w:val="9"/>
            </w:pPr>
            <w:r>
              <w:rPr>
                <w:rFonts w:hint="default" w:ascii="宋体" w:hAnsi="宋体" w:eastAsia="宋体" w:cs="宋体"/>
                <w:color w:val="auto"/>
                <w:sz w:val="24"/>
                <w:szCs w:val="21"/>
                <w:highlight w:val="none"/>
              </w:rPr>
            </w:r>
            <w:r/>
          </w:p>
        </w:tc>
        <w:tc>
          <w:tcPr>
            <w:tcW w:w="800" w:type="dxa"/>
            <w:vAlign w:val="center"/>
            <w:textDirection w:val="lrTb"/>
            <w:noWrap/>
          </w:tcPr>
          <w:p>
            <w:pPr>
              <w:ind w:firstLine="0"/>
              <w:jc w:val="left"/>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r>
      <w:tr>
        <w:trPr>
          <w:trHeight w:val="619"/>
        </w:trPr>
        <w:tc>
          <w:tcPr>
            <w:tcW w:w="520" w:type="dxa"/>
            <w:vAlign w:val="center"/>
            <w:vMerge w:val="continue"/>
            <w:textDirection w:val="lrTb"/>
            <w:noWrap w:val="false"/>
          </w:tcPr>
          <w:p>
            <w:pPr>
              <w:ind w:firstLine="0"/>
              <w:jc w:val="left"/>
              <w:widowControl/>
              <w:rPr>
                <w:rFonts w:hint="default" w:ascii="宋体" w:hAnsi="宋体" w:eastAsia="宋体" w:cs="宋体"/>
                <w:color w:val="auto"/>
                <w:sz w:val="24"/>
                <w:szCs w:val="21"/>
                <w:highlight w:val="none"/>
              </w:rPr>
              <w:outlineLvl w:val="9"/>
            </w:pPr>
            <w:r>
              <w:rPr>
                <w:rFonts w:hint="default" w:ascii="宋体" w:hAnsi="宋体" w:eastAsia="宋体" w:cs="宋体"/>
                <w:color w:val="auto"/>
                <w:sz w:val="24"/>
                <w:szCs w:val="21"/>
                <w:highlight w:val="none"/>
              </w:rPr>
            </w:r>
            <w:r/>
          </w:p>
        </w:tc>
        <w:tc>
          <w:tcPr>
            <w:tcW w:w="1336" w:type="dxa"/>
            <w:vAlign w:val="center"/>
            <w:vMerge w:val="continue"/>
            <w:textDirection w:val="lrTb"/>
            <w:noWrap w:val="false"/>
          </w:tcPr>
          <w:p>
            <w:pPr>
              <w:ind w:firstLine="0"/>
              <w:jc w:val="left"/>
              <w:widowControl/>
              <w:rPr>
                <w:rFonts w:hint="default" w:ascii="宋体" w:hAnsi="宋体" w:eastAsia="宋体" w:cs="宋体"/>
                <w:color w:val="auto"/>
                <w:sz w:val="24"/>
                <w:szCs w:val="21"/>
                <w:highlight w:val="none"/>
              </w:rPr>
              <w:outlineLvl w:val="9"/>
            </w:pPr>
            <w:r>
              <w:rPr>
                <w:rFonts w:hint="default" w:ascii="宋体" w:hAnsi="宋体" w:eastAsia="宋体" w:cs="宋体"/>
                <w:color w:val="auto"/>
                <w:sz w:val="24"/>
                <w:szCs w:val="21"/>
                <w:highlight w:val="none"/>
              </w:rPr>
            </w:r>
            <w:r/>
          </w:p>
        </w:tc>
        <w:tc>
          <w:tcPr>
            <w:tcW w:w="1284" w:type="dxa"/>
            <w:vAlign w:val="center"/>
            <w:textDirection w:val="lrTb"/>
            <w:noWrap w:val="false"/>
          </w:tcPr>
          <w:p>
            <w:pPr>
              <w:ind w:firstLine="0"/>
              <w:jc w:val="center"/>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施肥、浇水、打药</w:t>
            </w:r>
            <w:r/>
          </w:p>
        </w:tc>
        <w:tc>
          <w:tcPr>
            <w:tcW w:w="4811" w:type="dxa"/>
            <w:vAlign w:val="center"/>
            <w:textDirection w:val="lrTb"/>
            <w:noWrap w:val="false"/>
          </w:tcPr>
          <w:p>
            <w:pPr>
              <w:ind w:firstLine="0"/>
              <w:jc w:val="left"/>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1.未按要求操作，一次扣1</w:t>
            </w:r>
            <w:r>
              <w:rPr>
                <w:rFonts w:hint="eastAsia" w:ascii="宋体" w:hAnsi="宋体" w:eastAsia="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3分</w:t>
            </w:r>
            <w:r>
              <w:rPr>
                <w:rFonts w:hint="eastAsia" w:ascii="宋体" w:hAnsi="宋体" w:eastAsia="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工作不及时，一次扣0.5-1分；3.造成路面污染，一处扣0.5</w:t>
            </w:r>
            <w:r>
              <w:rPr>
                <w:rFonts w:hint="eastAsia" w:ascii="宋体" w:hAnsi="宋体" w:eastAsia="宋体" w:cs="宋体"/>
                <w:color w:val="auto"/>
                <w:sz w:val="24"/>
                <w:szCs w:val="21"/>
                <w:highlight w:val="none"/>
                <w:lang w:eastAsia="zh-CN"/>
              </w:rPr>
              <w:t xml:space="preserve">～</w:t>
            </w:r>
            <w:r>
              <w:rPr>
                <w:rFonts w:hint="eastAsia" w:ascii="宋体" w:hAnsi="宋体" w:eastAsia="宋体" w:cs="宋体"/>
                <w:color w:val="auto"/>
                <w:sz w:val="24"/>
                <w:szCs w:val="21"/>
                <w:highlight w:val="none"/>
              </w:rPr>
              <w:t xml:space="preserve">2分。</w:t>
            </w:r>
            <w:r/>
          </w:p>
        </w:tc>
        <w:tc>
          <w:tcPr>
            <w:tcW w:w="689" w:type="dxa"/>
            <w:vAlign w:val="center"/>
            <w:vMerge w:val="continue"/>
            <w:textDirection w:val="lrTb"/>
            <w:noWrap w:val="false"/>
          </w:tcPr>
          <w:p>
            <w:pPr>
              <w:ind w:firstLine="0"/>
              <w:jc w:val="left"/>
              <w:widowControl/>
              <w:rPr>
                <w:rFonts w:hint="default" w:ascii="宋体" w:hAnsi="宋体" w:eastAsia="宋体" w:cs="宋体"/>
                <w:color w:val="auto"/>
                <w:sz w:val="24"/>
                <w:szCs w:val="21"/>
                <w:highlight w:val="none"/>
              </w:rPr>
              <w:outlineLvl w:val="9"/>
            </w:pPr>
            <w:r>
              <w:rPr>
                <w:rFonts w:hint="default" w:ascii="宋体" w:hAnsi="宋体" w:eastAsia="宋体" w:cs="宋体"/>
                <w:color w:val="auto"/>
                <w:sz w:val="24"/>
                <w:szCs w:val="21"/>
                <w:highlight w:val="none"/>
              </w:rPr>
            </w:r>
            <w:r/>
          </w:p>
        </w:tc>
        <w:tc>
          <w:tcPr>
            <w:tcW w:w="800" w:type="dxa"/>
            <w:vAlign w:val="center"/>
            <w:textDirection w:val="lrTb"/>
            <w:noWrap/>
          </w:tcPr>
          <w:p>
            <w:pPr>
              <w:ind w:firstLine="0"/>
              <w:jc w:val="left"/>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r>
      <w:tr>
        <w:trPr>
          <w:trHeight w:val="457"/>
        </w:trPr>
        <w:tc>
          <w:tcPr>
            <w:gridSpan w:val="2"/>
            <w:tcW w:w="1856" w:type="dxa"/>
            <w:vAlign w:val="center"/>
            <w:textDirection w:val="lrTb"/>
            <w:noWrap w:val="false"/>
          </w:tcPr>
          <w:p>
            <w:pPr>
              <w:ind w:firstLine="0"/>
              <w:jc w:val="center"/>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总分</w:t>
            </w:r>
            <w:r/>
          </w:p>
        </w:tc>
        <w:tc>
          <w:tcPr>
            <w:tcW w:w="1284" w:type="dxa"/>
            <w:vAlign w:val="center"/>
            <w:textDirection w:val="lrTb"/>
            <w:noWrap w:val="false"/>
          </w:tcPr>
          <w:p>
            <w:pPr>
              <w:ind w:firstLine="0"/>
              <w:jc w:val="center"/>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W w:w="4811" w:type="dxa"/>
            <w:vAlign w:val="center"/>
            <w:textDirection w:val="lrTb"/>
            <w:noWrap w:val="false"/>
          </w:tcPr>
          <w:p>
            <w:pPr>
              <w:ind w:firstLine="0"/>
              <w:jc w:val="center"/>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c>
          <w:tcPr>
            <w:tcW w:w="689" w:type="dxa"/>
            <w:vAlign w:val="center"/>
            <w:textDirection w:val="lrTb"/>
            <w:noWrap w:val="false"/>
          </w:tcPr>
          <w:p>
            <w:pPr>
              <w:ind w:firstLine="0"/>
              <w:jc w:val="center"/>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100</w:t>
            </w:r>
            <w:r/>
          </w:p>
        </w:tc>
        <w:tc>
          <w:tcPr>
            <w:tcW w:w="800" w:type="dxa"/>
            <w:vAlign w:val="center"/>
            <w:textDirection w:val="lrTb"/>
            <w:noWrap/>
          </w:tcPr>
          <w:p>
            <w:pPr>
              <w:ind w:firstLine="0"/>
              <w:jc w:val="left"/>
              <w:widowControl/>
              <w:rPr>
                <w:rFonts w:hint="default" w:ascii="宋体" w:hAnsi="宋体" w:eastAsia="宋体" w:cs="宋体"/>
                <w:color w:val="auto"/>
                <w:sz w:val="24"/>
                <w:szCs w:val="21"/>
                <w:highlight w:val="none"/>
              </w:rPr>
              <w:outlineLvl w:val="9"/>
            </w:pPr>
            <w:r>
              <w:rPr>
                <w:rFonts w:hint="eastAsia" w:ascii="宋体" w:hAnsi="宋体" w:eastAsia="宋体" w:cs="宋体"/>
                <w:color w:val="auto"/>
                <w:sz w:val="24"/>
                <w:szCs w:val="21"/>
                <w:highlight w:val="none"/>
              </w:rPr>
              <w:t xml:space="preserve">　</w:t>
            </w:r>
            <w:r/>
          </w:p>
        </w:tc>
      </w:tr>
    </w:tbl>
    <w:p>
      <w:pPr>
        <w:ind w:firstLine="0"/>
        <w:jc w:val="both"/>
        <w:widowControl w:val="off"/>
        <w:rPr>
          <w:rFonts w:hint="eastAsia" w:ascii="华文中宋" w:hAnsi="Calibri" w:eastAsia="华文中宋" w:cs="Times New Roman"/>
          <w:bCs/>
          <w:sz w:val="28"/>
          <w:szCs w:val="24"/>
          <w:highlight w:val="none"/>
          <w:lang w:val="en-US" w:eastAsia="zh-CN" w:bidi="ar-SA"/>
        </w:rPr>
        <w:outlineLvl w:val="9"/>
      </w:pPr>
      <w:r>
        <w:rPr>
          <w:rFonts w:hint="eastAsia" w:ascii="华文中宋" w:hAnsi="Calibri" w:eastAsia="华文中宋" w:cs="Times New Roman"/>
          <w:bCs/>
          <w:sz w:val="28"/>
          <w:szCs w:val="24"/>
          <w:highlight w:val="none"/>
          <w:lang w:val="en-US" w:eastAsia="zh-CN" w:bidi="ar-SA"/>
        </w:rPr>
      </w:r>
      <w:r/>
    </w:p>
    <w:p>
      <w:pPr>
        <w:ind w:firstLine="464"/>
        <w:jc w:val="both"/>
        <w:spacing w:line="288" w:lineRule="auto"/>
        <w:rPr>
          <w:rFonts w:hint="eastAsia" w:ascii="宋体" w:hAnsi="宋体" w:eastAsia="宋体" w:cs="Times New Roman"/>
          <w:color w:val="auto"/>
          <w:spacing w:val="-4"/>
          <w:sz w:val="24"/>
          <w:szCs w:val="21"/>
          <w:highlight w:val="none"/>
          <w:lang w:val="en-US" w:eastAsia="zh-CN"/>
        </w:rPr>
        <w:outlineLvl w:val="9"/>
      </w:pPr>
      <w:r>
        <w:rPr>
          <w:rFonts w:hint="eastAsia" w:ascii="宋体" w:hAnsi="宋体" w:eastAsia="宋体" w:cs="Times New Roman"/>
          <w:color w:val="auto"/>
          <w:spacing w:val="-4"/>
          <w:sz w:val="24"/>
          <w:szCs w:val="21"/>
          <w:highlight w:val="none"/>
          <w:lang w:val="en-US" w:eastAsia="zh-CN"/>
        </w:rPr>
      </w:r>
      <w:r/>
    </w:p>
    <w:p>
      <w:pPr>
        <w:ind w:firstLine="0"/>
        <w:jc w:val="both"/>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p>
      <w:pPr>
        <w:ind w:firstLine="0"/>
        <w:jc w:val="both"/>
        <w:rPr>
          <w:rFonts w:hint="eastAsia" w:ascii="宋体" w:hAnsi="宋体" w:eastAsia="宋体" w:cs="宋体"/>
          <w:color w:val="auto"/>
          <w:szCs w:val="21"/>
          <w:highlight w:val="none"/>
        </w:rPr>
        <w:outlineLvl w:val="9"/>
      </w:pPr>
      <w:r>
        <w:rPr>
          <w:rFonts w:hint="eastAsia" w:ascii="宋体" w:hAnsi="宋体" w:eastAsia="宋体" w:cs="宋体"/>
          <w:color w:val="auto"/>
          <w:szCs w:val="21"/>
          <w:highlight w:val="none"/>
        </w:rPr>
      </w:r>
      <w:r/>
    </w:p>
    <w:p>
      <w:pPr>
        <w:ind w:firstLine="0"/>
        <w:jc w:val="both"/>
        <w:spacing w:before="100" w:beforeAutospacing="1" w:after="100" w:afterAutospacing="1" w:line="315" w:lineRule="atLeast"/>
        <w:widowControl/>
        <w:rPr>
          <w:rFonts w:hint="eastAsia" w:ascii="宋体" w:hAnsi="宋体" w:eastAsia="宋体" w:cs="宋体"/>
          <w:color w:val="auto"/>
          <w:sz w:val="32"/>
          <w:szCs w:val="32"/>
          <w:highlight w:val="none"/>
        </w:rPr>
        <w:outlineLvl w:val="9"/>
      </w:pPr>
      <w:r>
        <w:rPr>
          <w:rFonts w:hint="eastAsia" w:ascii="宋体" w:hAnsi="宋体" w:eastAsia="宋体" w:cs="宋体"/>
          <w:color w:val="auto"/>
          <w:sz w:val="32"/>
          <w:szCs w:val="32"/>
          <w:highlight w:val="none"/>
        </w:rPr>
        <w:br w:type="page" w:clear="all"/>
      </w:r>
      <w:r/>
    </w:p>
    <w:tbl>
      <w:tblPr>
        <w:tblStyle w:val="704"/>
        <w:tblW w:w="4815" w:type="pct"/>
        <w:tblCellSpacing w:w="0" w:type="dxa"/>
        <w:tblInd w:w="142" w:type="dxa"/>
        <w:tblLayout w:type="autofit"/>
        <w:tblCellMar>
          <w:left w:w="0" w:type="dxa"/>
          <w:top w:w="0" w:type="dxa"/>
          <w:right w:w="0" w:type="dxa"/>
          <w:bottom w:w="0" w:type="dxa"/>
        </w:tblCellMar>
        <w:tblLook w:val="04A0" w:firstRow="1" w:lastRow="0" w:firstColumn="1" w:lastColumn="0" w:noHBand="0" w:noVBand="1"/>
      </w:tblPr>
      <w:tblGrid>
        <w:gridCol w:w="9281"/>
      </w:tblGrid>
      <w:tr>
        <w:trPr>
          <w:tblCellSpacing w:w="0" w:type="dxa"/>
        </w:trPr>
        <w:tc>
          <w:tcPr>
            <w:tcW w:w="5000" w:type="pct"/>
            <w:vAlign w:val="center"/>
            <w:textDirection w:val="lrTb"/>
            <w:noWrap w:val="false"/>
          </w:tcPr>
          <w:p>
            <w:pPr>
              <w:ind w:firstLine="0"/>
              <w:jc w:val="both"/>
              <w:spacing w:before="100" w:beforeAutospacing="1" w:after="100" w:afterAutospacing="1" w:line="315" w:lineRule="atLeast"/>
              <w:widowControl/>
              <w:rPr>
                <w:rFonts w:hint="eastAsia" w:ascii="宋体" w:hAnsi="宋体" w:eastAsia="宋体" w:cs="宋体"/>
                <w:color w:val="auto"/>
                <w:sz w:val="32"/>
                <w:szCs w:val="32"/>
                <w:highlight w:val="none"/>
                <w:lang w:eastAsia="zh-CN"/>
              </w:rPr>
              <w:outlineLvl w:val="9"/>
            </w:pPr>
            <w:r>
              <w:rPr>
                <w:rFonts w:hint="eastAsia" w:ascii="宋体" w:hAnsi="宋体" w:eastAsia="宋体" w:cs="宋体"/>
                <w:color w:val="auto"/>
                <w:sz w:val="32"/>
                <w:szCs w:val="32"/>
                <w:highlight w:val="none"/>
              </w:rPr>
              <w:t xml:space="preserve">附件</w:t>
            </w:r>
            <w:r>
              <w:rPr>
                <w:rFonts w:hint="eastAsia" w:ascii="宋体" w:hAnsi="宋体" w:eastAsia="宋体" w:cs="宋体"/>
                <w:color w:val="auto"/>
                <w:sz w:val="32"/>
                <w:szCs w:val="32"/>
                <w:highlight w:val="none"/>
                <w:lang w:val="en-US" w:eastAsia="zh-CN"/>
              </w:rPr>
              <w:t xml:space="preserve">4：</w:t>
            </w:r>
            <w:r/>
          </w:p>
          <w:p>
            <w:pPr>
              <w:ind w:firstLine="0"/>
              <w:jc w:val="center"/>
              <w:spacing w:before="100" w:beforeAutospacing="1" w:after="100" w:afterAutospacing="1" w:line="315" w:lineRule="atLeast"/>
              <w:widowControl/>
              <w:rPr>
                <w:rFonts w:hint="eastAsia" w:ascii="宋体" w:hAnsi="宋体" w:eastAsia="宋体" w:cs="宋体"/>
                <w:color w:val="auto"/>
                <w:sz w:val="18"/>
                <w:szCs w:val="18"/>
                <w:highlight w:val="none"/>
              </w:rPr>
              <w:outlineLvl w:val="9"/>
            </w:pPr>
            <w:r>
              <w:rPr>
                <w:rFonts w:hint="eastAsia" w:ascii="宋体" w:hAnsi="宋体" w:eastAsia="宋体" w:cs="宋体"/>
                <w:color w:val="auto"/>
                <w:sz w:val="40"/>
                <w:szCs w:val="40"/>
                <w:highlight w:val="none"/>
              </w:rPr>
              <w:t xml:space="preserve">新吴区绿化养护管理分级标准</w:t>
            </w:r>
            <w:r/>
          </w:p>
          <w:tbl>
            <w:tblPr>
              <w:tblStyle w:val="704"/>
              <w:tblW w:w="8582"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autofit"/>
              <w:tblCellMar>
                <w:left w:w="0" w:type="dxa"/>
                <w:top w:w="0" w:type="dxa"/>
                <w:right w:w="0" w:type="dxa"/>
                <w:bottom w:w="0" w:type="dxa"/>
              </w:tblCellMar>
              <w:tblLook w:val="04A0" w:firstRow="1" w:lastRow="0" w:firstColumn="1" w:lastColumn="0" w:noHBand="0" w:noVBand="1"/>
            </w:tblPr>
            <w:tblGrid>
              <w:gridCol w:w="860"/>
              <w:gridCol w:w="32"/>
              <w:gridCol w:w="9"/>
              <w:gridCol w:w="604"/>
              <w:gridCol w:w="40"/>
              <w:gridCol w:w="28"/>
              <w:gridCol w:w="10"/>
              <w:gridCol w:w="3369"/>
              <w:gridCol w:w="12"/>
              <w:gridCol w:w="24"/>
              <w:gridCol w:w="3594"/>
            </w:tblGrid>
            <w:tr>
              <w:trPr>
                <w:jc w:val="center"/>
                <w:trHeight w:val="292"/>
              </w:trPr>
              <w:tc>
                <w:tcPr>
                  <w:gridSpan w:val="4"/>
                  <w:tcMar>
                    <w:left w:w="108" w:type="dxa"/>
                    <w:top w:w="0" w:type="dxa"/>
                    <w:right w:w="108" w:type="dxa"/>
                    <w:bottom w:w="0" w:type="dxa"/>
                  </w:tcMar>
                  <w:tcW w:w="1505" w:type="dxa"/>
                  <w:vAlign w:val="center"/>
                  <w:textDirection w:val="lrTb"/>
                  <w:noWrap w:val="false"/>
                </w:tcPr>
                <w:p>
                  <w:pPr>
                    <w:ind w:left="-105" w:right="-105" w:firstLine="0"/>
                    <w:jc w:val="center"/>
                    <w:spacing w:line="240" w:lineRule="exact"/>
                    <w:widowControl/>
                    <w:rPr>
                      <w:rFonts w:hint="eastAsia" w:ascii="宋体" w:hAnsi="宋体" w:eastAsia="宋体" w:cs="宋体"/>
                      <w:b/>
                      <w:bCs/>
                      <w:color w:val="auto"/>
                      <w:sz w:val="20"/>
                      <w:szCs w:val="20"/>
                      <w:highlight w:val="none"/>
                    </w:rPr>
                    <w:outlineLvl w:val="9"/>
                  </w:pPr>
                  <w:r>
                    <w:rPr>
                      <w:rFonts w:hint="eastAsia" w:ascii="宋体" w:hAnsi="宋体" w:eastAsia="宋体" w:cs="宋体"/>
                      <w:b/>
                      <w:bCs/>
                      <w:color w:val="auto"/>
                      <w:sz w:val="20"/>
                      <w:szCs w:val="20"/>
                      <w:highlight w:val="none"/>
                    </w:rPr>
                    <w:t xml:space="preserve">管护类别</w:t>
                  </w:r>
                  <w:r/>
                </w:p>
              </w:tc>
              <w:tc>
                <w:tcPr>
                  <w:gridSpan w:val="4"/>
                  <w:tcMar>
                    <w:left w:w="108" w:type="dxa"/>
                    <w:top w:w="0" w:type="dxa"/>
                    <w:right w:w="108" w:type="dxa"/>
                    <w:bottom w:w="0" w:type="dxa"/>
                  </w:tcMar>
                  <w:tcW w:w="3447" w:type="dxa"/>
                  <w:vAlign w:val="center"/>
                  <w:textDirection w:val="lrTb"/>
                  <w:noWrap w:val="false"/>
                </w:tcPr>
                <w:p>
                  <w:pPr>
                    <w:ind w:left="-105" w:right="-105" w:firstLine="0"/>
                    <w:jc w:val="center"/>
                    <w:spacing w:line="240" w:lineRule="exact"/>
                    <w:widowControl/>
                    <w:rPr>
                      <w:rFonts w:hint="eastAsia" w:ascii="宋体" w:hAnsi="宋体" w:eastAsia="宋体" w:cs="宋体"/>
                      <w:b/>
                      <w:bCs/>
                      <w:color w:val="auto"/>
                      <w:sz w:val="20"/>
                      <w:szCs w:val="20"/>
                      <w:highlight w:val="none"/>
                    </w:rPr>
                    <w:outlineLvl w:val="9"/>
                  </w:pPr>
                  <w:r>
                    <w:rPr>
                      <w:rFonts w:hint="eastAsia" w:ascii="宋体" w:hAnsi="宋体" w:eastAsia="宋体" w:cs="宋体"/>
                      <w:b/>
                      <w:bCs/>
                      <w:color w:val="auto"/>
                      <w:sz w:val="20"/>
                      <w:szCs w:val="20"/>
                      <w:highlight w:val="none"/>
                    </w:rPr>
                    <w:t xml:space="preserve">一级管护绿地</w:t>
                  </w:r>
                  <w:r/>
                </w:p>
              </w:tc>
              <w:tc>
                <w:tcPr>
                  <w:gridSpan w:val="3"/>
                  <w:tcMar>
                    <w:left w:w="108" w:type="dxa"/>
                    <w:top w:w="0" w:type="dxa"/>
                    <w:right w:w="108" w:type="dxa"/>
                    <w:bottom w:w="0" w:type="dxa"/>
                  </w:tcMar>
                  <w:tcW w:w="3630" w:type="dxa"/>
                  <w:vAlign w:val="center"/>
                  <w:textDirection w:val="lrTb"/>
                  <w:noWrap w:val="false"/>
                </w:tcPr>
                <w:p>
                  <w:pPr>
                    <w:ind w:left="-105" w:right="-105" w:firstLine="0"/>
                    <w:jc w:val="center"/>
                    <w:spacing w:line="240" w:lineRule="exact"/>
                    <w:widowControl/>
                    <w:rPr>
                      <w:rFonts w:hint="eastAsia" w:ascii="宋体" w:hAnsi="宋体" w:eastAsia="宋体" w:cs="宋体"/>
                      <w:b/>
                      <w:bCs/>
                      <w:color w:val="auto"/>
                      <w:sz w:val="20"/>
                      <w:szCs w:val="20"/>
                      <w:highlight w:val="none"/>
                    </w:rPr>
                    <w:outlineLvl w:val="9"/>
                  </w:pPr>
                  <w:r>
                    <w:rPr>
                      <w:rFonts w:hint="eastAsia" w:ascii="宋体" w:hAnsi="宋体" w:eastAsia="宋体" w:cs="宋体"/>
                      <w:b/>
                      <w:bCs/>
                      <w:color w:val="auto"/>
                      <w:sz w:val="20"/>
                      <w:szCs w:val="20"/>
                      <w:highlight w:val="none"/>
                    </w:rPr>
                    <w:t xml:space="preserve">二级管护绿地</w:t>
                  </w:r>
                  <w:r/>
                </w:p>
              </w:tc>
            </w:tr>
            <w:tr>
              <w:trPr>
                <w:jc w:val="center"/>
                <w:trHeight w:val="1401"/>
              </w:trPr>
              <w:tc>
                <w:tcPr>
                  <w:tcMar>
                    <w:left w:w="108" w:type="dxa"/>
                    <w:top w:w="0" w:type="dxa"/>
                    <w:right w:w="108" w:type="dxa"/>
                    <w:bottom w:w="0" w:type="dxa"/>
                  </w:tcMar>
                  <w:tcW w:w="860" w:type="dxa"/>
                  <w:vAlign w:val="center"/>
                  <w:vMerge w:val="restart"/>
                  <w:textDirection w:val="lrTb"/>
                  <w:noWrap w:val="false"/>
                </w:tcPr>
                <w:p>
                  <w:pPr>
                    <w:ind w:left="-105" w:right="-105" w:firstLine="0"/>
                    <w:jc w:val="center"/>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rPr>
                    <w:t xml:space="preserve">一</w:t>
                  </w:r>
                  <w:r/>
                </w:p>
                <w:p>
                  <w:pPr>
                    <w:ind w:left="-105" w:right="-105" w:firstLine="0"/>
                    <w:jc w:val="center"/>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rPr>
                    <w:t xml:space="preserve">园</w:t>
                  </w:r>
                  <w:r/>
                </w:p>
                <w:p>
                  <w:pPr>
                    <w:ind w:left="-105" w:right="-105" w:firstLine="0"/>
                    <w:jc w:val="center"/>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rPr>
                    <w:t xml:space="preserve">林</w:t>
                  </w:r>
                  <w:r/>
                </w:p>
                <w:p>
                  <w:pPr>
                    <w:ind w:left="-105" w:right="-105" w:firstLine="0"/>
                    <w:jc w:val="center"/>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rPr>
                    <w:t xml:space="preserve">植</w:t>
                  </w:r>
                  <w:r/>
                </w:p>
                <w:p>
                  <w:pPr>
                    <w:ind w:left="-105" w:right="-105" w:firstLine="0"/>
                    <w:jc w:val="center"/>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rPr>
                    <w:t xml:space="preserve">物</w:t>
                  </w:r>
                  <w:r/>
                </w:p>
                <w:p>
                  <w:pPr>
                    <w:ind w:left="-105" w:right="-105" w:firstLine="0"/>
                    <w:jc w:val="center"/>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rPr>
                    <w:t xml:space="preserve">管</w:t>
                  </w:r>
                  <w:r/>
                </w:p>
                <w:p>
                  <w:pPr>
                    <w:ind w:left="-105" w:right="-105" w:firstLine="0"/>
                    <w:jc w:val="center"/>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rPr>
                    <w:t xml:space="preserve">护</w:t>
                  </w:r>
                  <w:r/>
                </w:p>
              </w:tc>
              <w:tc>
                <w:tcPr>
                  <w:gridSpan w:val="3"/>
                  <w:tcMar>
                    <w:left w:w="108" w:type="dxa"/>
                    <w:top w:w="0" w:type="dxa"/>
                    <w:right w:w="108" w:type="dxa"/>
                    <w:bottom w:w="0" w:type="dxa"/>
                  </w:tcMar>
                  <w:tcW w:w="645" w:type="dxa"/>
                  <w:vAlign w:val="center"/>
                  <w:textDirection w:val="lrTb"/>
                  <w:noWrap w:val="false"/>
                </w:tcPr>
                <w:p>
                  <w:pPr>
                    <w:ind w:left="-105" w:right="-105" w:firstLine="0"/>
                    <w:jc w:val="center"/>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rPr>
                    <w:t xml:space="preserve">乔</w:t>
                  </w:r>
                  <w:r/>
                </w:p>
                <w:p>
                  <w:pPr>
                    <w:ind w:left="-105" w:right="-105" w:firstLine="0"/>
                    <w:jc w:val="center"/>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rPr>
                    <w:t xml:space="preserve">木</w:t>
                  </w:r>
                  <w:r/>
                </w:p>
              </w:tc>
              <w:tc>
                <w:tcPr>
                  <w:gridSpan w:val="4"/>
                  <w:tcMar>
                    <w:left w:w="108" w:type="dxa"/>
                    <w:top w:w="0" w:type="dxa"/>
                    <w:right w:w="108" w:type="dxa"/>
                    <w:bottom w:w="0" w:type="dxa"/>
                  </w:tcMar>
                  <w:tcW w:w="3447" w:type="dxa"/>
                  <w:textDirection w:val="lrTb"/>
                  <w:noWrap w:val="false"/>
                </w:tcPr>
                <w:p>
                  <w:pPr>
                    <w:ind w:left="-108" w:right="-108"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生长健壮，树冠完整，树形优美。</w:t>
                  </w:r>
                  <w:r/>
                </w:p>
                <w:p>
                  <w:pPr>
                    <w:ind w:left="-108" w:right="-108"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分枝点合适，无枯枝死杈；主侧枝分布匀称、数量适宜；修剪及时、合理，内膛不乱，通风透光。树木不歪斜（造型树木除外）。叶片大小、颜色正常，无黄叶、焦叶、卷叶。</w:t>
                  </w:r>
                  <w:r/>
                </w:p>
                <w:p>
                  <w:pPr>
                    <w:ind w:left="-108" w:right="-108"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无缺株、死株。无可视的病虫危害症状，被害株率≤2%，地下害虫≤2头/m</w:t>
                  </w:r>
                  <w:r>
                    <w:rPr>
                      <w:rFonts w:hint="eastAsia" w:ascii="宋体" w:hAnsi="宋体" w:eastAsia="宋体" w:cs="宋体"/>
                      <w:color w:val="auto"/>
                      <w:sz w:val="20"/>
                      <w:szCs w:val="20"/>
                      <w:highlight w:val="none"/>
                      <w:vertAlign w:val="superscript"/>
                    </w:rPr>
                    <w:t xml:space="preserve">2</w:t>
                  </w:r>
                  <w:r>
                    <w:rPr>
                      <w:rFonts w:hint="eastAsia" w:ascii="宋体" w:hAnsi="宋体" w:eastAsia="宋体" w:cs="宋体"/>
                      <w:color w:val="auto"/>
                      <w:sz w:val="20"/>
                      <w:szCs w:val="20"/>
                      <w:highlight w:val="none"/>
                    </w:rPr>
                    <w:t xml:space="preserve">。</w:t>
                  </w:r>
                  <w:r/>
                </w:p>
              </w:tc>
              <w:tc>
                <w:tcPr>
                  <w:gridSpan w:val="3"/>
                  <w:tcMar>
                    <w:left w:w="108" w:type="dxa"/>
                    <w:top w:w="0" w:type="dxa"/>
                    <w:right w:w="108" w:type="dxa"/>
                    <w:bottom w:w="0" w:type="dxa"/>
                  </w:tcMar>
                  <w:tcW w:w="3630" w:type="dxa"/>
                  <w:textDirection w:val="lrTb"/>
                  <w:noWrap w:val="false"/>
                </w:tcPr>
                <w:p>
                  <w:pPr>
                    <w:ind w:left="-108" w:right="-108"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生长正常，树冠完整，树形较优美。</w:t>
                  </w:r>
                  <w:r/>
                </w:p>
                <w:p>
                  <w:pPr>
                    <w:ind w:left="-108" w:right="-108"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分枝点较合适，基本无枯枝死杈；主侧枝分布匀称、数量较适宜；修剪及时、合理，内膛不乱，通风透光；树木基本不歪斜（造型树木除外）。叶片大小、颜色正常，无明显黄叶、焦叶、卷叶。</w:t>
                  </w:r>
                  <w:r/>
                </w:p>
                <w:p>
                  <w:pPr>
                    <w:ind w:left="-108" w:right="-108"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基本无枯死株。基本无可视的病虫危害症状，被害株率≤5%。</w:t>
                  </w:r>
                  <w:r/>
                </w:p>
              </w:tc>
            </w:tr>
            <w:tr>
              <w:trPr>
                <w:jc w:val="center"/>
              </w:trPr>
              <w:tc>
                <w:tcPr>
                  <w:tcW w:w="860" w:type="dxa"/>
                  <w:vAlign w:val="center"/>
                  <w:vMerge w:val="continue"/>
                  <w:textDirection w:val="lrTb"/>
                  <w:noWrap w:val="false"/>
                </w:tcPr>
                <w:p>
                  <w:pPr>
                    <w:ind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gridSpan w:val="3"/>
                  <w:tcMar>
                    <w:left w:w="108" w:type="dxa"/>
                    <w:top w:w="0" w:type="dxa"/>
                    <w:right w:w="108" w:type="dxa"/>
                    <w:bottom w:w="0" w:type="dxa"/>
                  </w:tcMar>
                  <w:tcW w:w="645" w:type="dxa"/>
                  <w:vAlign w:val="center"/>
                  <w:textDirection w:val="lrTb"/>
                  <w:noWrap w:val="false"/>
                </w:tcPr>
                <w:p>
                  <w:pPr>
                    <w:ind w:left="-105" w:right="-105" w:firstLine="0"/>
                    <w:jc w:val="center"/>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rPr>
                    <w:t xml:space="preserve">行</w:t>
                  </w:r>
                  <w:r/>
                </w:p>
                <w:p>
                  <w:pPr>
                    <w:ind w:left="-105" w:right="-105" w:firstLine="0"/>
                    <w:jc w:val="center"/>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rPr>
                    <w:t xml:space="preserve">道</w:t>
                  </w:r>
                  <w:r/>
                </w:p>
                <w:p>
                  <w:pPr>
                    <w:ind w:left="-105" w:right="-105" w:firstLine="0"/>
                    <w:jc w:val="center"/>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rPr>
                    <w:t xml:space="preserve">树</w:t>
                  </w:r>
                  <w:r/>
                </w:p>
              </w:tc>
              <w:tc>
                <w:tcPr>
                  <w:gridSpan w:val="4"/>
                  <w:tcMar>
                    <w:left w:w="108" w:type="dxa"/>
                    <w:top w:w="0" w:type="dxa"/>
                    <w:right w:w="108" w:type="dxa"/>
                    <w:bottom w:w="0" w:type="dxa"/>
                  </w:tcMar>
                  <w:tcW w:w="3447" w:type="dxa"/>
                  <w:textDirection w:val="lrTb"/>
                  <w:noWrap w:val="false"/>
                </w:tcPr>
                <w:p>
                  <w:pPr>
                    <w:ind w:left="-108" w:right="-108"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树形完整、树冠舒展，分枝点偏差在正负10cm内；保留3级及以上分枝，长势良好，无徒长枝、病虫枝、交叉枝、重叠枝、下垂枝、扭伤枝、萌蘖枝、枯枝以及烂头等。</w:t>
                  </w:r>
                  <w:r/>
                </w:p>
                <w:p>
                  <w:pPr>
                    <w:ind w:left="-108" w:right="-108"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树穴有平整盖板或种植地被植物、覆盖植物树皮碎屑，黄土不裸露，树穴设施完好。</w:t>
                  </w:r>
                  <w:r/>
                </w:p>
                <w:p>
                  <w:pPr>
                    <w:ind w:left="-108" w:right="-108"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补植的行道树品种与原行道树一致，规格适宜，一般为：落叶树种的胸径在15cm以下，常绿树种的胸径在12cm以下。</w:t>
                  </w:r>
                  <w:r/>
                </w:p>
                <w:p>
                  <w:pPr>
                    <w:ind w:left="-108" w:right="-108"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无可视的病虫危害症状，被害株率≤2%，地下害虫≤2头/m</w:t>
                  </w:r>
                  <w:r>
                    <w:rPr>
                      <w:rFonts w:hint="eastAsia" w:ascii="宋体" w:hAnsi="宋体" w:eastAsia="宋体" w:cs="宋体"/>
                      <w:color w:val="auto"/>
                      <w:sz w:val="20"/>
                      <w:szCs w:val="20"/>
                      <w:highlight w:val="none"/>
                      <w:vertAlign w:val="superscript"/>
                    </w:rPr>
                    <w:t xml:space="preserve">2</w:t>
                  </w:r>
                  <w:r>
                    <w:rPr>
                      <w:rFonts w:hint="eastAsia" w:ascii="宋体" w:hAnsi="宋体" w:eastAsia="宋体" w:cs="宋体"/>
                      <w:color w:val="auto"/>
                      <w:sz w:val="20"/>
                      <w:szCs w:val="20"/>
                      <w:highlight w:val="none"/>
                    </w:rPr>
                    <w:t xml:space="preserve">。</w:t>
                  </w:r>
                  <w:r/>
                </w:p>
              </w:tc>
              <w:tc>
                <w:tcPr>
                  <w:gridSpan w:val="3"/>
                  <w:tcMar>
                    <w:left w:w="108" w:type="dxa"/>
                    <w:top w:w="0" w:type="dxa"/>
                    <w:right w:w="108" w:type="dxa"/>
                    <w:bottom w:w="0" w:type="dxa"/>
                  </w:tcMar>
                  <w:tcW w:w="3630" w:type="dxa"/>
                  <w:vAlign w:val="center"/>
                  <w:textDirection w:val="lrTb"/>
                  <w:noWrap w:val="false"/>
                </w:tcPr>
                <w:p>
                  <w:pPr>
                    <w:ind w:left="-108" w:right="-108"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树形、树冠舒展，分枝点偏差在正负20cm内；保留2级及以上分枝，长势良好，无明显徒长枝、病虫枝、交叉枝、重叠枝、下垂枝、扭伤枝、枯枝和烂头以及萌蘖枝等。</w:t>
                  </w:r>
                  <w:r/>
                </w:p>
                <w:p>
                  <w:pPr>
                    <w:ind w:left="-108" w:right="-108"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补植的行道树品种与原行道树一致，规格适宜，一般为：落叶树种的胸径在15cm以下，常绿树种的胸径在12cm以下。</w:t>
                  </w:r>
                  <w:r/>
                </w:p>
                <w:p>
                  <w:pPr>
                    <w:ind w:left="-108" w:right="-108"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基本无可视的病虫危害症状，被害株率≤5%。</w:t>
                  </w:r>
                  <w:r/>
                </w:p>
              </w:tc>
            </w:tr>
            <w:tr>
              <w:trPr>
                <w:jc w:val="center"/>
              </w:trPr>
              <w:tc>
                <w:tcPr>
                  <w:tcW w:w="860" w:type="dxa"/>
                  <w:vAlign w:val="center"/>
                  <w:vMerge w:val="continue"/>
                  <w:textDirection w:val="lrTb"/>
                  <w:noWrap w:val="false"/>
                </w:tcPr>
                <w:p>
                  <w:pPr>
                    <w:ind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gridSpan w:val="3"/>
                  <w:tcMar>
                    <w:left w:w="108" w:type="dxa"/>
                    <w:top w:w="0" w:type="dxa"/>
                    <w:right w:w="108" w:type="dxa"/>
                    <w:bottom w:w="0" w:type="dxa"/>
                  </w:tcMar>
                  <w:tcW w:w="645" w:type="dxa"/>
                  <w:vAlign w:val="center"/>
                  <w:textDirection w:val="lrTb"/>
                  <w:noWrap w:val="false"/>
                </w:tcPr>
                <w:p>
                  <w:pPr>
                    <w:ind w:left="-105" w:right="-105" w:firstLine="0"/>
                    <w:jc w:val="center"/>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rPr>
                    <w:t xml:space="preserve">花</w:t>
                  </w:r>
                  <w:r/>
                </w:p>
                <w:p>
                  <w:pPr>
                    <w:ind w:left="-105" w:right="-105" w:firstLine="0"/>
                    <w:jc w:val="center"/>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rPr>
                    <w:t xml:space="preserve">灌</w:t>
                  </w:r>
                  <w:r/>
                </w:p>
                <w:p>
                  <w:pPr>
                    <w:ind w:left="-105" w:right="-105" w:firstLine="0"/>
                    <w:jc w:val="center"/>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rPr>
                    <w:t xml:space="preserve">木</w:t>
                  </w:r>
                  <w:r/>
                </w:p>
              </w:tc>
              <w:tc>
                <w:tcPr>
                  <w:gridSpan w:val="4"/>
                  <w:tcMar>
                    <w:left w:w="108" w:type="dxa"/>
                    <w:top w:w="0" w:type="dxa"/>
                    <w:right w:w="108" w:type="dxa"/>
                    <w:bottom w:w="0" w:type="dxa"/>
                  </w:tcMar>
                  <w:tcW w:w="3447" w:type="dxa"/>
                  <w:vAlign w:val="center"/>
                  <w:textDirection w:val="lrTb"/>
                  <w:noWrap w:val="false"/>
                </w:tcPr>
                <w:p>
                  <w:pPr>
                    <w:ind w:left="-108" w:right="-108"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花灌木</w:t>
                  </w:r>
                  <w:r>
                    <w:rPr>
                      <w:rFonts w:hint="eastAsia" w:ascii="宋体" w:hAnsi="宋体" w:eastAsia="宋体" w:cs="宋体"/>
                      <w:color w:val="auto"/>
                      <w:sz w:val="20"/>
                      <w:szCs w:val="20"/>
                      <w:highlight w:val="none"/>
                      <w:lang w:eastAsia="zh-CN"/>
                    </w:rPr>
                    <w:t xml:space="preserve">株型</w:t>
                  </w:r>
                  <w:r>
                    <w:rPr>
                      <w:rFonts w:hint="eastAsia" w:ascii="宋体" w:hAnsi="宋体" w:eastAsia="宋体" w:cs="宋体"/>
                      <w:color w:val="auto"/>
                      <w:sz w:val="20"/>
                      <w:szCs w:val="20"/>
                      <w:highlight w:val="none"/>
                    </w:rPr>
                    <w:t xml:space="preserve">丰满，枝叶茂密，开花适时，花后修剪及时合理。</w:t>
                  </w:r>
                  <w:r/>
                </w:p>
                <w:p>
                  <w:pPr>
                    <w:ind w:left="-108" w:right="-108"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无可视的病虫危害症状，被害株率≤2%，地下害虫≤2头/m</w:t>
                  </w:r>
                  <w:r>
                    <w:rPr>
                      <w:rFonts w:hint="eastAsia" w:ascii="宋体" w:hAnsi="宋体" w:eastAsia="宋体" w:cs="宋体"/>
                      <w:color w:val="auto"/>
                      <w:sz w:val="20"/>
                      <w:szCs w:val="20"/>
                      <w:highlight w:val="none"/>
                      <w:vertAlign w:val="superscript"/>
                    </w:rPr>
                    <w:t xml:space="preserve">2</w:t>
                  </w:r>
                  <w:r>
                    <w:rPr>
                      <w:rFonts w:hint="eastAsia" w:ascii="宋体" w:hAnsi="宋体" w:eastAsia="宋体" w:cs="宋体"/>
                      <w:color w:val="auto"/>
                      <w:sz w:val="20"/>
                      <w:szCs w:val="20"/>
                      <w:highlight w:val="none"/>
                    </w:rPr>
                    <w:t xml:space="preserve">。</w:t>
                  </w:r>
                  <w:r/>
                </w:p>
              </w:tc>
              <w:tc>
                <w:tcPr>
                  <w:gridSpan w:val="3"/>
                  <w:tcMar>
                    <w:left w:w="108" w:type="dxa"/>
                    <w:top w:w="0" w:type="dxa"/>
                    <w:right w:w="108" w:type="dxa"/>
                    <w:bottom w:w="0" w:type="dxa"/>
                  </w:tcMar>
                  <w:tcW w:w="3630" w:type="dxa"/>
                  <w:vAlign w:val="center"/>
                  <w:textDirection w:val="lrTb"/>
                  <w:noWrap w:val="false"/>
                </w:tcPr>
                <w:p>
                  <w:pPr>
                    <w:ind w:left="-108" w:right="-108"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花灌木</w:t>
                  </w:r>
                  <w:r>
                    <w:rPr>
                      <w:rFonts w:hint="eastAsia" w:ascii="宋体" w:hAnsi="宋体" w:eastAsia="宋体" w:cs="宋体"/>
                      <w:color w:val="auto"/>
                      <w:sz w:val="20"/>
                      <w:szCs w:val="20"/>
                      <w:highlight w:val="none"/>
                      <w:lang w:eastAsia="zh-CN"/>
                    </w:rPr>
                    <w:t xml:space="preserve">株型</w:t>
                  </w:r>
                  <w:r>
                    <w:rPr>
                      <w:rFonts w:hint="eastAsia" w:ascii="宋体" w:hAnsi="宋体" w:eastAsia="宋体" w:cs="宋体"/>
                      <w:color w:val="auto"/>
                      <w:sz w:val="20"/>
                      <w:szCs w:val="20"/>
                      <w:highlight w:val="none"/>
                    </w:rPr>
                    <w:t xml:space="preserve">丰满，开花适时，花后修剪及时合理。</w:t>
                  </w:r>
                  <w:r/>
                </w:p>
                <w:p>
                  <w:pPr>
                    <w:ind w:left="-108" w:right="-108"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基本无可视的病虫危害症状，被害株率≤5%。</w:t>
                  </w:r>
                  <w:r/>
                </w:p>
              </w:tc>
            </w:tr>
            <w:tr>
              <w:trPr>
                <w:jc w:val="center"/>
              </w:trPr>
              <w:tc>
                <w:tcPr>
                  <w:tcW w:w="860" w:type="dxa"/>
                  <w:vAlign w:val="center"/>
                  <w:vMerge w:val="continue"/>
                  <w:textDirection w:val="lrTb"/>
                  <w:noWrap w:val="false"/>
                </w:tcPr>
                <w:p>
                  <w:pPr>
                    <w:ind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gridSpan w:val="3"/>
                  <w:tcMar>
                    <w:left w:w="108" w:type="dxa"/>
                    <w:top w:w="0" w:type="dxa"/>
                    <w:right w:w="108" w:type="dxa"/>
                    <w:bottom w:w="0" w:type="dxa"/>
                  </w:tcMar>
                  <w:tcW w:w="645" w:type="dxa"/>
                  <w:vAlign w:val="center"/>
                  <w:textDirection w:val="lrTb"/>
                  <w:noWrap w:val="false"/>
                </w:tcPr>
                <w:p>
                  <w:pPr>
                    <w:ind w:left="-105" w:right="-105" w:firstLine="0"/>
                    <w:jc w:val="center"/>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rPr>
                    <w:t xml:space="preserve">古树名木</w:t>
                  </w:r>
                  <w:r/>
                </w:p>
              </w:tc>
              <w:tc>
                <w:tcPr>
                  <w:gridSpan w:val="7"/>
                  <w:tcMar>
                    <w:left w:w="108" w:type="dxa"/>
                    <w:top w:w="0" w:type="dxa"/>
                    <w:right w:w="108" w:type="dxa"/>
                    <w:bottom w:w="0" w:type="dxa"/>
                  </w:tcMar>
                  <w:tcW w:w="7077" w:type="dxa"/>
                  <w:vAlign w:val="center"/>
                  <w:textDirection w:val="lrTb"/>
                  <w:noWrap w:val="false"/>
                </w:tcPr>
                <w:p>
                  <w:pPr>
                    <w:ind w:left="-108" w:right="-108"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古树名木按照国家、省相关要求进行养护，各项养护管理措施到位，植株生长正常，状态良好。</w:t>
                  </w:r>
                  <w:r/>
                </w:p>
              </w:tc>
            </w:tr>
            <w:tr>
              <w:trPr>
                <w:jc w:val="center"/>
                <w:trHeight w:val="1395"/>
              </w:trPr>
              <w:tc>
                <w:tcPr>
                  <w:tcMar>
                    <w:left w:w="108" w:type="dxa"/>
                    <w:top w:w="0" w:type="dxa"/>
                    <w:right w:w="108" w:type="dxa"/>
                    <w:bottom w:w="0" w:type="dxa"/>
                  </w:tcMar>
                  <w:tcW w:w="860" w:type="dxa"/>
                  <w:vAlign w:val="center"/>
                  <w:vMerge w:val="restart"/>
                  <w:textDirection w:val="lrTb"/>
                  <w:noWrap w:val="false"/>
                </w:tcPr>
                <w:p>
                  <w:pPr>
                    <w:ind w:left="-105" w:right="-105" w:firstLine="0"/>
                    <w:jc w:val="center"/>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rPr>
                    <w:t xml:space="preserve">一</w:t>
                  </w:r>
                  <w:r/>
                </w:p>
                <w:p>
                  <w:pPr>
                    <w:ind w:left="-105" w:right="-105" w:firstLine="0"/>
                    <w:jc w:val="center"/>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rPr>
                    <w:t xml:space="preserve">园</w:t>
                  </w:r>
                  <w:r/>
                </w:p>
                <w:p>
                  <w:pPr>
                    <w:ind w:left="-105" w:right="-105" w:firstLine="0"/>
                    <w:jc w:val="center"/>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rPr>
                    <w:t xml:space="preserve">林</w:t>
                  </w:r>
                  <w:r/>
                </w:p>
                <w:p>
                  <w:pPr>
                    <w:ind w:left="-105" w:right="-105" w:firstLine="0"/>
                    <w:jc w:val="center"/>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rPr>
                    <w:t xml:space="preserve">植</w:t>
                  </w:r>
                  <w:r/>
                </w:p>
                <w:p>
                  <w:pPr>
                    <w:ind w:left="-105" w:right="-105" w:firstLine="0"/>
                    <w:jc w:val="center"/>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rPr>
                    <w:t xml:space="preserve">物</w:t>
                  </w:r>
                  <w:r/>
                </w:p>
                <w:p>
                  <w:pPr>
                    <w:ind w:left="-105" w:right="-105" w:firstLine="0"/>
                    <w:jc w:val="center"/>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rPr>
                    <w:t xml:space="preserve">管</w:t>
                  </w:r>
                  <w:r/>
                </w:p>
                <w:p>
                  <w:pPr>
                    <w:ind w:left="-105" w:right="-105" w:firstLine="0"/>
                    <w:jc w:val="center"/>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rPr>
                    <w:t xml:space="preserve">护</w:t>
                  </w:r>
                  <w:r/>
                </w:p>
              </w:tc>
              <w:tc>
                <w:tcPr>
                  <w:gridSpan w:val="4"/>
                  <w:tcMar>
                    <w:left w:w="108" w:type="dxa"/>
                    <w:top w:w="0" w:type="dxa"/>
                    <w:right w:w="108" w:type="dxa"/>
                    <w:bottom w:w="0" w:type="dxa"/>
                  </w:tcMar>
                  <w:tcW w:w="685" w:type="dxa"/>
                  <w:vAlign w:val="center"/>
                  <w:textDirection w:val="lrTb"/>
                  <w:noWrap w:val="false"/>
                </w:tcPr>
                <w:p>
                  <w:pPr>
                    <w:ind w:left="-108" w:right="-108"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rPr>
                    <w:t xml:space="preserve">绿篱（模纹、色块）等</w:t>
                  </w:r>
                  <w:r/>
                </w:p>
              </w:tc>
              <w:tc>
                <w:tcPr>
                  <w:gridSpan w:val="4"/>
                  <w:tcMar>
                    <w:left w:w="108" w:type="dxa"/>
                    <w:top w:w="0" w:type="dxa"/>
                    <w:right w:w="108" w:type="dxa"/>
                    <w:bottom w:w="0" w:type="dxa"/>
                  </w:tcMar>
                  <w:tcW w:w="3419" w:type="dxa"/>
                  <w:vAlign w:val="center"/>
                  <w:textDirection w:val="lrTb"/>
                  <w:noWrap w:val="false"/>
                </w:tcPr>
                <w:p>
                  <w:pPr>
                    <w:ind w:left="-108" w:right="-108"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pacing w:val="-6"/>
                      <w:sz w:val="20"/>
                      <w:szCs w:val="20"/>
                      <w:highlight w:val="none"/>
                    </w:rPr>
                    <w:t xml:space="preserve">绿篱、模纹和色块等修剪及时。绿篱线条清晰，同类观赏面规则，整齐一致；模纹和色块线条流畅、主要观赏面圆润饱满，符合设计要求。</w:t>
                  </w:r>
                  <w:r/>
                </w:p>
                <w:p>
                  <w:pPr>
                    <w:ind w:left="-108" w:right="-108"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枝叶茂密，造型优美。造型树木根据不同的生长特性及时摘心、攀扎。</w:t>
                  </w:r>
                  <w:r/>
                </w:p>
                <w:p>
                  <w:pPr>
                    <w:ind w:left="-108" w:right="-108"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无可视的病虫危害症状，被害株率≤2%，地下害虫≤2头/m</w:t>
                  </w:r>
                  <w:r>
                    <w:rPr>
                      <w:rFonts w:hint="eastAsia" w:ascii="宋体" w:hAnsi="宋体" w:eastAsia="宋体" w:cs="宋体"/>
                      <w:color w:val="auto"/>
                      <w:sz w:val="20"/>
                      <w:szCs w:val="20"/>
                      <w:highlight w:val="none"/>
                      <w:vertAlign w:val="superscript"/>
                    </w:rPr>
                    <w:t xml:space="preserve">2</w:t>
                  </w:r>
                  <w:r>
                    <w:rPr>
                      <w:rFonts w:hint="eastAsia" w:ascii="宋体" w:hAnsi="宋体" w:eastAsia="宋体" w:cs="宋体"/>
                      <w:color w:val="auto"/>
                      <w:sz w:val="20"/>
                      <w:szCs w:val="20"/>
                      <w:highlight w:val="none"/>
                    </w:rPr>
                    <w:t xml:space="preserve">。</w:t>
                  </w:r>
                  <w:r/>
                </w:p>
              </w:tc>
              <w:tc>
                <w:tcPr>
                  <w:gridSpan w:val="2"/>
                  <w:tcMar>
                    <w:left w:w="108" w:type="dxa"/>
                    <w:top w:w="0" w:type="dxa"/>
                    <w:right w:w="108" w:type="dxa"/>
                    <w:bottom w:w="0" w:type="dxa"/>
                  </w:tcMar>
                  <w:tcW w:w="3618" w:type="dxa"/>
                  <w:vAlign w:val="center"/>
                  <w:textDirection w:val="lrTb"/>
                  <w:noWrap w:val="false"/>
                </w:tcPr>
                <w:p>
                  <w:pPr>
                    <w:ind w:left="-108" w:right="-108"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绿篱、模纹和色块等修剪较及时，枝叶茂密，造型优美。</w:t>
                  </w:r>
                  <w:r/>
                </w:p>
                <w:p>
                  <w:pPr>
                    <w:ind w:left="-108" w:right="-108"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基本无可视的病虫危害症状，被害株率≤5%。</w:t>
                  </w:r>
                  <w:r/>
                </w:p>
              </w:tc>
            </w:tr>
            <w:tr>
              <w:trPr>
                <w:jc w:val="center"/>
              </w:trPr>
              <w:tc>
                <w:tcPr>
                  <w:tcW w:w="860" w:type="dxa"/>
                  <w:vAlign w:val="center"/>
                  <w:vMerge w:val="continue"/>
                  <w:textDirection w:val="lrTb"/>
                  <w:noWrap w:val="false"/>
                </w:tcPr>
                <w:p>
                  <w:pPr>
                    <w:ind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gridSpan w:val="4"/>
                  <w:tcMar>
                    <w:left w:w="108" w:type="dxa"/>
                    <w:top w:w="0" w:type="dxa"/>
                    <w:right w:w="108" w:type="dxa"/>
                    <w:bottom w:w="0" w:type="dxa"/>
                  </w:tcMar>
                  <w:tcW w:w="685" w:type="dxa"/>
                  <w:vAlign w:val="center"/>
                  <w:textDirection w:val="lrTb"/>
                  <w:noWrap w:val="false"/>
                </w:tcPr>
                <w:p>
                  <w:pPr>
                    <w:ind w:left="-108" w:right="-108" w:firstLine="0"/>
                    <w:jc w:val="center"/>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rPr>
                    <w:t xml:space="preserve">水生植物</w:t>
                  </w:r>
                  <w:r/>
                </w:p>
              </w:tc>
              <w:tc>
                <w:tcPr>
                  <w:gridSpan w:val="4"/>
                  <w:tcMar>
                    <w:left w:w="108" w:type="dxa"/>
                    <w:top w:w="0" w:type="dxa"/>
                    <w:right w:w="108" w:type="dxa"/>
                    <w:bottom w:w="0" w:type="dxa"/>
                  </w:tcMar>
                  <w:tcW w:w="3419" w:type="dxa"/>
                  <w:vAlign w:val="center"/>
                  <w:textDirection w:val="lrTb"/>
                  <w:noWrap w:val="false"/>
                </w:tcPr>
                <w:p>
                  <w:pPr>
                    <w:ind w:left="-108" w:right="-108"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水生植物密度适宜，花期正常、花色鲜艳美观，无干枯叶、残花等。</w:t>
                  </w:r>
                  <w:r/>
                </w:p>
                <w:p>
                  <w:pPr>
                    <w:ind w:left="-108" w:right="-108"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无可视的病虫危害症状，被害株率≤2%。</w:t>
                  </w:r>
                  <w:r/>
                </w:p>
              </w:tc>
              <w:tc>
                <w:tcPr>
                  <w:gridSpan w:val="2"/>
                  <w:tcMar>
                    <w:left w:w="108" w:type="dxa"/>
                    <w:top w:w="0" w:type="dxa"/>
                    <w:right w:w="108" w:type="dxa"/>
                    <w:bottom w:w="0" w:type="dxa"/>
                  </w:tcMar>
                  <w:tcW w:w="3618" w:type="dxa"/>
                  <w:vAlign w:val="center"/>
                  <w:textDirection w:val="lrTb"/>
                  <w:noWrap w:val="false"/>
                </w:tcPr>
                <w:p>
                  <w:pPr>
                    <w:ind w:left="-108" w:right="-108"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水生植物密度适宜，花期、花色正常，无明显干枯叶、残花等。</w:t>
                  </w:r>
                  <w:r/>
                </w:p>
                <w:p>
                  <w:pPr>
                    <w:ind w:left="-108" w:right="-108"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pacing w:val="-10"/>
                      <w:sz w:val="20"/>
                      <w:szCs w:val="20"/>
                      <w:highlight w:val="none"/>
                    </w:rPr>
                    <w:t xml:space="preserve">基本无可视的病虫危害症状，被害株率≤5%。</w:t>
                  </w:r>
                  <w:r/>
                </w:p>
              </w:tc>
            </w:tr>
            <w:tr>
              <w:trPr>
                <w:jc w:val="center"/>
                <w:trHeight w:val="939"/>
              </w:trPr>
              <w:tc>
                <w:tcPr>
                  <w:tcW w:w="860" w:type="dxa"/>
                  <w:vAlign w:val="center"/>
                  <w:vMerge w:val="continue"/>
                  <w:textDirection w:val="lrTb"/>
                  <w:noWrap w:val="false"/>
                </w:tcPr>
                <w:p>
                  <w:pPr>
                    <w:ind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gridSpan w:val="4"/>
                  <w:tcMar>
                    <w:left w:w="108" w:type="dxa"/>
                    <w:top w:w="0" w:type="dxa"/>
                    <w:right w:w="108" w:type="dxa"/>
                    <w:bottom w:w="0" w:type="dxa"/>
                  </w:tcMar>
                  <w:tcW w:w="685" w:type="dxa"/>
                  <w:vAlign w:val="center"/>
                  <w:textDirection w:val="lrTb"/>
                  <w:noWrap w:val="false"/>
                </w:tcPr>
                <w:p>
                  <w:pPr>
                    <w:ind w:left="-108" w:right="-108" w:firstLine="0"/>
                    <w:jc w:val="center"/>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lang w:eastAsia="zh-CN"/>
                    </w:rPr>
                    <w:t xml:space="preserve">攀缘</w:t>
                  </w:r>
                  <w:r>
                    <w:rPr>
                      <w:rFonts w:hint="eastAsia" w:ascii="宋体" w:hAnsi="宋体" w:eastAsia="宋体" w:cs="宋体"/>
                      <w:b/>
                      <w:bCs/>
                      <w:color w:val="auto"/>
                      <w:sz w:val="20"/>
                      <w:szCs w:val="20"/>
                      <w:highlight w:val="none"/>
                    </w:rPr>
                    <w:t xml:space="preserve">植物</w:t>
                  </w:r>
                  <w:r/>
                </w:p>
              </w:tc>
              <w:tc>
                <w:tcPr>
                  <w:gridSpan w:val="4"/>
                  <w:tcMar>
                    <w:left w:w="108" w:type="dxa"/>
                    <w:top w:w="0" w:type="dxa"/>
                    <w:right w:w="108" w:type="dxa"/>
                    <w:bottom w:w="0" w:type="dxa"/>
                  </w:tcMar>
                  <w:tcW w:w="3419" w:type="dxa"/>
                  <w:vAlign w:val="center"/>
                  <w:textDirection w:val="lrTb"/>
                  <w:noWrap w:val="false"/>
                </w:tcPr>
                <w:p>
                  <w:pPr>
                    <w:ind w:left="-108" w:right="-108"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根据不同植物的攀缘特点，及时采取相应的技术措施，生长旺盛。</w:t>
                  </w:r>
                  <w:r/>
                </w:p>
                <w:p>
                  <w:pPr>
                    <w:ind w:left="-108" w:right="-108"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及时清除枯枝，疏删老弱藤蔓；开花的攀缘植物适时开花。</w:t>
                  </w:r>
                  <w:r/>
                </w:p>
                <w:p>
                  <w:pPr>
                    <w:ind w:left="-108" w:right="-108"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无可视的病虫危害症状，被害株率≤2%。</w:t>
                  </w:r>
                  <w:r/>
                </w:p>
              </w:tc>
              <w:tc>
                <w:tcPr>
                  <w:gridSpan w:val="2"/>
                  <w:tcMar>
                    <w:left w:w="108" w:type="dxa"/>
                    <w:top w:w="0" w:type="dxa"/>
                    <w:right w:w="108" w:type="dxa"/>
                    <w:bottom w:w="0" w:type="dxa"/>
                  </w:tcMar>
                  <w:tcW w:w="3618" w:type="dxa"/>
                  <w:vAlign w:val="center"/>
                  <w:textDirection w:val="lrTb"/>
                  <w:noWrap w:val="false"/>
                </w:tcPr>
                <w:p>
                  <w:pPr>
                    <w:ind w:left="-108" w:right="-108"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根据不同植物的攀缘特点，能及时采取相应的技术措施，生长良好。</w:t>
                  </w:r>
                  <w:r/>
                </w:p>
                <w:p>
                  <w:pPr>
                    <w:ind w:left="-108" w:right="-108"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及时清除枯枝，疏删老弱藤蔓；开花的攀缘植物能适时开花。</w:t>
                  </w:r>
                  <w:r/>
                </w:p>
                <w:p>
                  <w:pPr>
                    <w:ind w:left="-108" w:right="-108"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pacing w:val="-10"/>
                      <w:sz w:val="20"/>
                      <w:szCs w:val="20"/>
                      <w:highlight w:val="none"/>
                    </w:rPr>
                    <w:t xml:space="preserve">基本无可视的病虫危害症状，被害株率≤5%。</w:t>
                  </w:r>
                  <w:r/>
                </w:p>
              </w:tc>
            </w:tr>
            <w:tr>
              <w:trPr>
                <w:jc w:val="center"/>
                <w:trHeight w:val="1092"/>
              </w:trPr>
              <w:tc>
                <w:tcPr>
                  <w:tcW w:w="860" w:type="dxa"/>
                  <w:vAlign w:val="center"/>
                  <w:vMerge w:val="continue"/>
                  <w:textDirection w:val="lrTb"/>
                  <w:noWrap w:val="false"/>
                </w:tcPr>
                <w:p>
                  <w:pPr>
                    <w:ind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gridSpan w:val="4"/>
                  <w:tcMar>
                    <w:left w:w="108" w:type="dxa"/>
                    <w:top w:w="0" w:type="dxa"/>
                    <w:right w:w="108" w:type="dxa"/>
                    <w:bottom w:w="0" w:type="dxa"/>
                  </w:tcMar>
                  <w:tcW w:w="685" w:type="dxa"/>
                  <w:vAlign w:val="center"/>
                  <w:textDirection w:val="lrTb"/>
                  <w:noWrap w:val="false"/>
                </w:tcPr>
                <w:p>
                  <w:pPr>
                    <w:ind w:left="-108" w:right="-108" w:firstLine="0"/>
                    <w:jc w:val="center"/>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rPr>
                    <w:t xml:space="preserve">地被花卉</w:t>
                  </w:r>
                  <w:r/>
                </w:p>
              </w:tc>
              <w:tc>
                <w:tcPr>
                  <w:gridSpan w:val="4"/>
                  <w:tcMar>
                    <w:left w:w="108" w:type="dxa"/>
                    <w:top w:w="0" w:type="dxa"/>
                    <w:right w:w="108" w:type="dxa"/>
                    <w:bottom w:w="0" w:type="dxa"/>
                  </w:tcMar>
                  <w:tcW w:w="3419" w:type="dxa"/>
                  <w:vAlign w:val="center"/>
                  <w:textDirection w:val="lrTb"/>
                  <w:noWrap w:val="false"/>
                </w:tcPr>
                <w:p>
                  <w:pPr>
                    <w:ind w:left="-108" w:right="-108"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多年生地被植物（含花境）和露地一、二年生花卉生长健壮，株行距适宜，色彩鲜艳，花期整齐，图案清晰。</w:t>
                  </w:r>
                  <w:r/>
                </w:p>
                <w:p>
                  <w:pPr>
                    <w:ind w:left="-108" w:right="-108"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无缺株、倒伏，残花量不大于10％。</w:t>
                  </w:r>
                  <w:r/>
                </w:p>
                <w:p>
                  <w:pPr>
                    <w:ind w:left="-108" w:right="-108"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无可视的病虫危害症状，被害株率≤2%，地下害虫≤2头/m</w:t>
                  </w:r>
                  <w:r>
                    <w:rPr>
                      <w:rFonts w:hint="eastAsia" w:ascii="宋体" w:hAnsi="宋体" w:eastAsia="宋体" w:cs="宋体"/>
                      <w:color w:val="auto"/>
                      <w:sz w:val="20"/>
                      <w:szCs w:val="20"/>
                      <w:highlight w:val="none"/>
                      <w:vertAlign w:val="superscript"/>
                    </w:rPr>
                    <w:t xml:space="preserve">2</w:t>
                  </w:r>
                  <w:r>
                    <w:rPr>
                      <w:rFonts w:hint="eastAsia" w:ascii="宋体" w:hAnsi="宋体" w:eastAsia="宋体" w:cs="宋体"/>
                      <w:color w:val="auto"/>
                      <w:sz w:val="20"/>
                      <w:szCs w:val="20"/>
                      <w:highlight w:val="none"/>
                    </w:rPr>
                    <w:t xml:space="preserve">。</w:t>
                  </w:r>
                  <w:r/>
                </w:p>
              </w:tc>
              <w:tc>
                <w:tcPr>
                  <w:gridSpan w:val="2"/>
                  <w:tcMar>
                    <w:left w:w="108" w:type="dxa"/>
                    <w:top w:w="0" w:type="dxa"/>
                    <w:right w:w="108" w:type="dxa"/>
                    <w:bottom w:w="0" w:type="dxa"/>
                  </w:tcMar>
                  <w:tcW w:w="3618" w:type="dxa"/>
                  <w:vAlign w:val="center"/>
                  <w:textDirection w:val="lrTb"/>
                  <w:noWrap w:val="false"/>
                </w:tcPr>
                <w:p>
                  <w:pPr>
                    <w:ind w:left="-108" w:right="-108"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多年生地被植物（含花境）和露地一、二年生花卉栽植轮廓较清晰、美观，覆盖率98%以上。</w:t>
                  </w:r>
                  <w:r/>
                </w:p>
                <w:p>
                  <w:pPr>
                    <w:ind w:left="-108" w:right="-108"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无明显残缺、残花、残叶、杂草等</w:t>
                  </w:r>
                  <w:r>
                    <w:rPr>
                      <w:rFonts w:hint="eastAsia" w:ascii="宋体" w:hAnsi="宋体" w:eastAsia="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残花量不大于15%。</w:t>
                  </w:r>
                  <w:r/>
                </w:p>
                <w:p>
                  <w:pPr>
                    <w:ind w:left="-108" w:right="-108"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基本无可视的病虫危害症状，被害面积≤5%，地下害虫≤5头/m</w:t>
                  </w:r>
                  <w:r>
                    <w:rPr>
                      <w:rFonts w:hint="eastAsia" w:ascii="宋体" w:hAnsi="宋体" w:eastAsia="宋体" w:cs="宋体"/>
                      <w:color w:val="auto"/>
                      <w:sz w:val="20"/>
                      <w:szCs w:val="20"/>
                      <w:highlight w:val="none"/>
                      <w:vertAlign w:val="superscript"/>
                    </w:rPr>
                    <w:t xml:space="preserve">2</w:t>
                  </w:r>
                  <w:r>
                    <w:rPr>
                      <w:rFonts w:hint="eastAsia" w:ascii="宋体" w:hAnsi="宋体" w:eastAsia="宋体" w:cs="宋体"/>
                      <w:color w:val="auto"/>
                      <w:sz w:val="20"/>
                      <w:szCs w:val="20"/>
                      <w:highlight w:val="none"/>
                    </w:rPr>
                    <w:t xml:space="preserve">。</w:t>
                  </w:r>
                  <w:r/>
                </w:p>
              </w:tc>
            </w:tr>
            <w:tr>
              <w:trPr>
                <w:jc w:val="center"/>
                <w:trHeight w:val="925"/>
              </w:trPr>
              <w:tc>
                <w:tcPr>
                  <w:tcW w:w="860" w:type="dxa"/>
                  <w:vAlign w:val="center"/>
                  <w:vMerge w:val="continue"/>
                  <w:textDirection w:val="lrTb"/>
                  <w:noWrap w:val="false"/>
                </w:tcPr>
                <w:p>
                  <w:pPr>
                    <w:ind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gridSpan w:val="4"/>
                  <w:tcMar>
                    <w:left w:w="108" w:type="dxa"/>
                    <w:top w:w="0" w:type="dxa"/>
                    <w:right w:w="108" w:type="dxa"/>
                    <w:bottom w:w="0" w:type="dxa"/>
                  </w:tcMar>
                  <w:tcW w:w="685" w:type="dxa"/>
                  <w:vAlign w:val="center"/>
                  <w:textDirection w:val="lrTb"/>
                  <w:noWrap w:val="false"/>
                </w:tcPr>
                <w:p>
                  <w:pPr>
                    <w:ind w:left="-108" w:right="-108" w:firstLine="0"/>
                    <w:jc w:val="center"/>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rPr>
                    <w:t xml:space="preserve">竹类</w:t>
                  </w:r>
                  <w:r/>
                </w:p>
              </w:tc>
              <w:tc>
                <w:tcPr>
                  <w:gridSpan w:val="4"/>
                  <w:tcMar>
                    <w:left w:w="108" w:type="dxa"/>
                    <w:top w:w="0" w:type="dxa"/>
                    <w:right w:w="108" w:type="dxa"/>
                    <w:bottom w:w="0" w:type="dxa"/>
                  </w:tcMar>
                  <w:tcW w:w="3419" w:type="dxa"/>
                  <w:vAlign w:val="center"/>
                  <w:textDirection w:val="lrTb"/>
                  <w:noWrap w:val="false"/>
                </w:tcPr>
                <w:p>
                  <w:pPr>
                    <w:ind w:left="-108" w:right="-108"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竹林保持适宜密度，通风透光、生长健壮、叶色正常，及时清除老鞭、砍伐后的竹蔸、干枯株等。</w:t>
                  </w:r>
                  <w:r/>
                </w:p>
                <w:p>
                  <w:pPr>
                    <w:ind w:left="-108" w:right="-108"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无可视的病虫危害症状，被害株率≤2%，地下害虫≤2头/m</w:t>
                  </w:r>
                  <w:r>
                    <w:rPr>
                      <w:rFonts w:hint="eastAsia" w:ascii="宋体" w:hAnsi="宋体" w:eastAsia="宋体" w:cs="宋体"/>
                      <w:color w:val="auto"/>
                      <w:sz w:val="20"/>
                      <w:szCs w:val="20"/>
                      <w:highlight w:val="none"/>
                      <w:vertAlign w:val="superscript"/>
                    </w:rPr>
                    <w:t xml:space="preserve">2</w:t>
                  </w:r>
                  <w:r>
                    <w:rPr>
                      <w:rFonts w:hint="eastAsia" w:ascii="宋体" w:hAnsi="宋体" w:eastAsia="宋体" w:cs="宋体"/>
                      <w:color w:val="auto"/>
                      <w:sz w:val="20"/>
                      <w:szCs w:val="20"/>
                      <w:highlight w:val="none"/>
                    </w:rPr>
                    <w:t xml:space="preserve">。</w:t>
                  </w:r>
                  <w:r/>
                </w:p>
              </w:tc>
              <w:tc>
                <w:tcPr>
                  <w:gridSpan w:val="2"/>
                  <w:tcMar>
                    <w:left w:w="108" w:type="dxa"/>
                    <w:top w:w="0" w:type="dxa"/>
                    <w:right w:w="108" w:type="dxa"/>
                    <w:bottom w:w="0" w:type="dxa"/>
                  </w:tcMar>
                  <w:tcW w:w="3618" w:type="dxa"/>
                  <w:vAlign w:val="center"/>
                  <w:textDirection w:val="lrTb"/>
                  <w:noWrap w:val="false"/>
                </w:tcPr>
                <w:p>
                  <w:pPr>
                    <w:ind w:left="-108" w:right="-108"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竹林保持较适宜密度，通风透光良好、生长较健壮，叶色基本正常，能及时清除老鞭、砍伐后的竹蔸、干枯株等。</w:t>
                  </w:r>
                  <w:r/>
                </w:p>
                <w:p>
                  <w:pPr>
                    <w:ind w:left="-108" w:right="-108"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基本无可视的病虫危害症状，被害株率≤5%，地下害虫≤5头/m</w:t>
                  </w:r>
                  <w:r>
                    <w:rPr>
                      <w:rFonts w:hint="eastAsia" w:ascii="宋体" w:hAnsi="宋体" w:eastAsia="宋体" w:cs="宋体"/>
                      <w:color w:val="auto"/>
                      <w:sz w:val="20"/>
                      <w:szCs w:val="20"/>
                      <w:highlight w:val="none"/>
                      <w:vertAlign w:val="superscript"/>
                    </w:rPr>
                    <w:t xml:space="preserve">2</w:t>
                  </w:r>
                  <w:r>
                    <w:rPr>
                      <w:rFonts w:hint="eastAsia" w:ascii="宋体" w:hAnsi="宋体" w:eastAsia="宋体" w:cs="宋体"/>
                      <w:color w:val="auto"/>
                      <w:sz w:val="20"/>
                      <w:szCs w:val="20"/>
                      <w:highlight w:val="none"/>
                    </w:rPr>
                    <w:t xml:space="preserve">。</w:t>
                  </w:r>
                  <w:r/>
                </w:p>
              </w:tc>
            </w:tr>
            <w:tr>
              <w:trPr>
                <w:jc w:val="center"/>
                <w:trHeight w:val="1550"/>
              </w:trPr>
              <w:tc>
                <w:tcPr>
                  <w:tcMar>
                    <w:left w:w="108" w:type="dxa"/>
                    <w:top w:w="0" w:type="dxa"/>
                    <w:right w:w="108" w:type="dxa"/>
                    <w:bottom w:w="0" w:type="dxa"/>
                  </w:tcMar>
                  <w:tcW w:w="860" w:type="dxa"/>
                  <w:vAlign w:val="center"/>
                  <w:textDirection w:val="lrTb"/>
                  <w:noWrap w:val="false"/>
                </w:tcPr>
                <w:p>
                  <w:pPr>
                    <w:ind w:left="-105" w:right="-105" w:firstLine="0"/>
                    <w:jc w:val="center"/>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rPr>
                    <w:t xml:space="preserve">一</w:t>
                  </w:r>
                  <w:r/>
                </w:p>
                <w:p>
                  <w:pPr>
                    <w:ind w:left="-105" w:right="-105" w:firstLine="0"/>
                    <w:jc w:val="center"/>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rPr>
                    <w:t xml:space="preserve">园</w:t>
                  </w:r>
                  <w:r/>
                </w:p>
                <w:p>
                  <w:pPr>
                    <w:ind w:left="-105" w:right="-105" w:firstLine="0"/>
                    <w:jc w:val="center"/>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rPr>
                    <w:t xml:space="preserve">林</w:t>
                  </w:r>
                  <w:r/>
                </w:p>
                <w:p>
                  <w:pPr>
                    <w:ind w:left="-105" w:right="-105" w:firstLine="0"/>
                    <w:jc w:val="center"/>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rPr>
                    <w:t xml:space="preserve">植</w:t>
                  </w:r>
                  <w:r/>
                </w:p>
                <w:p>
                  <w:pPr>
                    <w:ind w:left="-105" w:right="-105" w:firstLine="0"/>
                    <w:jc w:val="center"/>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rPr>
                    <w:t xml:space="preserve">物</w:t>
                  </w:r>
                  <w:r/>
                </w:p>
                <w:p>
                  <w:pPr>
                    <w:ind w:left="-105" w:right="-105" w:firstLine="0"/>
                    <w:jc w:val="center"/>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rPr>
                    <w:t xml:space="preserve">管</w:t>
                  </w:r>
                  <w:r/>
                </w:p>
                <w:p>
                  <w:pPr>
                    <w:ind w:left="-105" w:right="-105" w:firstLine="0"/>
                    <w:jc w:val="center"/>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rPr>
                    <w:t xml:space="preserve">护</w:t>
                  </w:r>
                  <w:r/>
                </w:p>
              </w:tc>
              <w:tc>
                <w:tcPr>
                  <w:gridSpan w:val="4"/>
                  <w:tcMar>
                    <w:left w:w="108" w:type="dxa"/>
                    <w:top w:w="0" w:type="dxa"/>
                    <w:right w:w="108" w:type="dxa"/>
                    <w:bottom w:w="0" w:type="dxa"/>
                  </w:tcMar>
                  <w:tcW w:w="685" w:type="dxa"/>
                  <w:vAlign w:val="center"/>
                  <w:textDirection w:val="lrTb"/>
                  <w:noWrap w:val="false"/>
                </w:tcPr>
                <w:p>
                  <w:pPr>
                    <w:ind w:left="-108" w:right="-108" w:firstLine="0"/>
                    <w:jc w:val="center"/>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rPr>
                    <w:t xml:space="preserve">草坪</w:t>
                  </w:r>
                  <w:r/>
                </w:p>
              </w:tc>
              <w:tc>
                <w:tcPr>
                  <w:gridSpan w:val="4"/>
                  <w:tcMar>
                    <w:left w:w="108" w:type="dxa"/>
                    <w:top w:w="0" w:type="dxa"/>
                    <w:right w:w="108" w:type="dxa"/>
                    <w:bottom w:w="0" w:type="dxa"/>
                  </w:tcMar>
                  <w:tcW w:w="3419" w:type="dxa"/>
                  <w:vAlign w:val="center"/>
                  <w:textDirection w:val="lrTb"/>
                  <w:noWrap w:val="false"/>
                </w:tcPr>
                <w:p>
                  <w:pPr>
                    <w:ind w:left="-108" w:right="-108"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草坪外观整齐，边缘线清晰，生长旺盛，草根不裸露；无可视斑秃；生长季节不枯黄，修剪及时，绿地内杂草率≤2%。</w:t>
                  </w:r>
                  <w:r/>
                </w:p>
                <w:p>
                  <w:pPr>
                    <w:ind w:left="-108" w:right="-108"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无可视的病虫危害症状，被害株率≤2%，地下害虫≤2头/m</w:t>
                  </w:r>
                  <w:r>
                    <w:rPr>
                      <w:rFonts w:hint="eastAsia" w:ascii="宋体" w:hAnsi="宋体" w:eastAsia="宋体" w:cs="宋体"/>
                      <w:color w:val="auto"/>
                      <w:sz w:val="20"/>
                      <w:szCs w:val="20"/>
                      <w:highlight w:val="none"/>
                      <w:vertAlign w:val="superscript"/>
                    </w:rPr>
                    <w:t xml:space="preserve">2</w:t>
                  </w:r>
                  <w:r>
                    <w:rPr>
                      <w:rFonts w:hint="eastAsia" w:ascii="宋体" w:hAnsi="宋体" w:eastAsia="宋体" w:cs="宋体"/>
                      <w:color w:val="auto"/>
                      <w:sz w:val="20"/>
                      <w:szCs w:val="20"/>
                      <w:highlight w:val="none"/>
                    </w:rPr>
                    <w:t xml:space="preserve">。</w:t>
                  </w:r>
                  <w:r/>
                </w:p>
              </w:tc>
              <w:tc>
                <w:tcPr>
                  <w:gridSpan w:val="2"/>
                  <w:tcMar>
                    <w:left w:w="108" w:type="dxa"/>
                    <w:top w:w="0" w:type="dxa"/>
                    <w:right w:w="108" w:type="dxa"/>
                    <w:bottom w:w="0" w:type="dxa"/>
                  </w:tcMar>
                  <w:tcW w:w="3618" w:type="dxa"/>
                  <w:vAlign w:val="center"/>
                  <w:textDirection w:val="lrTb"/>
                  <w:noWrap w:val="false"/>
                </w:tcPr>
                <w:p>
                  <w:pPr>
                    <w:ind w:left="-108" w:right="-108"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草坪覆盖率95%以上，单块斑秃面积不超过0.2m</w:t>
                  </w:r>
                  <w:r>
                    <w:rPr>
                      <w:rFonts w:hint="eastAsia" w:ascii="宋体" w:hAnsi="宋体" w:eastAsia="宋体" w:cs="宋体"/>
                      <w:color w:val="auto"/>
                      <w:sz w:val="20"/>
                      <w:szCs w:val="20"/>
                      <w:highlight w:val="none"/>
                      <w:vertAlign w:val="superscript"/>
                    </w:rPr>
                    <w:t xml:space="preserve">2</w:t>
                  </w:r>
                  <w:r>
                    <w:rPr>
                      <w:rFonts w:hint="eastAsia" w:ascii="宋体" w:hAnsi="宋体" w:eastAsia="宋体" w:cs="宋体"/>
                      <w:color w:val="auto"/>
                      <w:sz w:val="20"/>
                      <w:szCs w:val="20"/>
                      <w:highlight w:val="none"/>
                    </w:rPr>
                    <w:t xml:space="preserve">或10m</w:t>
                  </w:r>
                  <w:r>
                    <w:rPr>
                      <w:rFonts w:hint="eastAsia" w:ascii="宋体" w:hAnsi="宋体" w:eastAsia="宋体" w:cs="宋体"/>
                      <w:color w:val="auto"/>
                      <w:sz w:val="20"/>
                      <w:szCs w:val="20"/>
                      <w:highlight w:val="none"/>
                      <w:vertAlign w:val="superscript"/>
                    </w:rPr>
                    <w:t xml:space="preserve">2</w:t>
                  </w:r>
                  <w:r>
                    <w:rPr>
                      <w:rFonts w:hint="eastAsia" w:ascii="宋体" w:hAnsi="宋体" w:eastAsia="宋体" w:cs="宋体"/>
                      <w:color w:val="auto"/>
                      <w:sz w:val="20"/>
                      <w:szCs w:val="20"/>
                      <w:highlight w:val="none"/>
                    </w:rPr>
                    <w:t xml:space="preserve">绿地内斑秃面积不超过3块；草坪内杂草率≤10%。</w:t>
                  </w:r>
                  <w:r/>
                </w:p>
                <w:p>
                  <w:pPr>
                    <w:ind w:left="-108" w:right="-108"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草坪绿色期：冷季型草坪不得少于260天，暖季型草坪不得少于170天。</w:t>
                  </w:r>
                  <w:r/>
                </w:p>
                <w:p>
                  <w:pPr>
                    <w:ind w:left="-108" w:right="-108"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基本无可视的病虫危害症状，被害面积≤5%，地下害虫≤5头/m</w:t>
                  </w:r>
                  <w:r>
                    <w:rPr>
                      <w:rFonts w:hint="eastAsia" w:ascii="宋体" w:hAnsi="宋体" w:eastAsia="宋体" w:cs="宋体"/>
                      <w:color w:val="auto"/>
                      <w:sz w:val="20"/>
                      <w:szCs w:val="20"/>
                      <w:highlight w:val="none"/>
                      <w:vertAlign w:val="superscript"/>
                    </w:rPr>
                    <w:t xml:space="preserve">2</w:t>
                  </w:r>
                  <w:r>
                    <w:rPr>
                      <w:rFonts w:hint="eastAsia" w:ascii="宋体" w:hAnsi="宋体" w:eastAsia="宋体" w:cs="宋体"/>
                      <w:color w:val="auto"/>
                      <w:sz w:val="20"/>
                      <w:szCs w:val="20"/>
                      <w:highlight w:val="none"/>
                    </w:rPr>
                    <w:t xml:space="preserve">。</w:t>
                  </w:r>
                  <w:r/>
                </w:p>
              </w:tc>
            </w:tr>
            <w:tr>
              <w:trPr>
                <w:jc w:val="center"/>
                <w:trHeight w:val="1550"/>
              </w:trPr>
              <w:tc>
                <w:tcPr>
                  <w:tcMar>
                    <w:left w:w="108" w:type="dxa"/>
                    <w:top w:w="0" w:type="dxa"/>
                    <w:right w:w="108" w:type="dxa"/>
                    <w:bottom w:w="0" w:type="dxa"/>
                  </w:tcMar>
                  <w:tcW w:w="860" w:type="dxa"/>
                  <w:vAlign w:val="center"/>
                  <w:textDirection w:val="lrTb"/>
                  <w:noWrap w:val="false"/>
                </w:tcPr>
                <w:p>
                  <w:pPr>
                    <w:ind w:left="-105" w:right="-105" w:firstLine="0"/>
                    <w:jc w:val="center"/>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rPr>
                    <w:t xml:space="preserve">二</w:t>
                  </w:r>
                  <w:r/>
                </w:p>
                <w:p>
                  <w:pPr>
                    <w:ind w:left="-105" w:right="-105" w:firstLine="0"/>
                    <w:jc w:val="center"/>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rPr>
                    <w:t xml:space="preserve">园</w:t>
                  </w:r>
                  <w:r/>
                </w:p>
                <w:p>
                  <w:pPr>
                    <w:ind w:left="-105" w:right="-105" w:firstLine="0"/>
                    <w:jc w:val="center"/>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rPr>
                    <w:t xml:space="preserve">林</w:t>
                  </w:r>
                  <w:r/>
                </w:p>
                <w:p>
                  <w:pPr>
                    <w:ind w:left="-105" w:right="-105" w:firstLine="0"/>
                    <w:jc w:val="center"/>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rPr>
                    <w:t xml:space="preserve">设</w:t>
                  </w:r>
                  <w:r/>
                </w:p>
                <w:p>
                  <w:pPr>
                    <w:ind w:left="-105" w:right="-105" w:firstLine="0"/>
                    <w:jc w:val="center"/>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rPr>
                    <w:t xml:space="preserve">施</w:t>
                  </w:r>
                  <w:r/>
                </w:p>
                <w:p>
                  <w:pPr>
                    <w:ind w:left="-105" w:right="-105" w:firstLine="0"/>
                    <w:jc w:val="center"/>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rPr>
                    <w:t xml:space="preserve">维</w:t>
                  </w:r>
                  <w:r/>
                </w:p>
                <w:p>
                  <w:pPr>
                    <w:ind w:left="-105" w:right="-105" w:firstLine="0"/>
                    <w:jc w:val="center"/>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rPr>
                    <w:t xml:space="preserve">护</w:t>
                  </w:r>
                  <w:r/>
                </w:p>
              </w:tc>
              <w:tc>
                <w:tcPr>
                  <w:gridSpan w:val="4"/>
                  <w:tcMar>
                    <w:left w:w="108" w:type="dxa"/>
                    <w:top w:w="0" w:type="dxa"/>
                    <w:right w:w="108" w:type="dxa"/>
                    <w:bottom w:w="0" w:type="dxa"/>
                  </w:tcMar>
                  <w:tcW w:w="685" w:type="dxa"/>
                  <w:vAlign w:val="center"/>
                  <w:textDirection w:val="lrTb"/>
                  <w:noWrap w:val="false"/>
                </w:tcPr>
                <w:p>
                  <w:pPr>
                    <w:ind w:left="-108" w:right="-108" w:firstLine="0"/>
                    <w:jc w:val="center"/>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rPr>
                    <w:t xml:space="preserve">古建筑</w:t>
                  </w:r>
                  <w:r/>
                </w:p>
              </w:tc>
              <w:tc>
                <w:tcPr>
                  <w:gridSpan w:val="4"/>
                  <w:tcMar>
                    <w:left w:w="108" w:type="dxa"/>
                    <w:top w:w="0" w:type="dxa"/>
                    <w:right w:w="108" w:type="dxa"/>
                    <w:bottom w:w="0" w:type="dxa"/>
                  </w:tcMar>
                  <w:tcW w:w="3419" w:type="dxa"/>
                  <w:vAlign w:val="center"/>
                  <w:textDirection w:val="lrTb"/>
                  <w:noWrap w:val="false"/>
                </w:tcPr>
                <w:p>
                  <w:pPr>
                    <w:ind w:left="-108" w:right="-108"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外观完整；构件、陈设清洁、完好；墙面、屋面、地面无污染、无渗漏；及时维修，无安全隐患。</w:t>
                  </w:r>
                  <w:r/>
                </w:p>
                <w:p>
                  <w:pPr>
                    <w:ind w:left="-108" w:right="-108"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防火、防雪、防台风暴雨、防蚁等保护措施落实有效。</w:t>
                  </w:r>
                  <w:r/>
                </w:p>
              </w:tc>
              <w:tc>
                <w:tcPr>
                  <w:gridSpan w:val="2"/>
                  <w:tcMar>
                    <w:left w:w="108" w:type="dxa"/>
                    <w:top w:w="0" w:type="dxa"/>
                    <w:right w:w="108" w:type="dxa"/>
                    <w:bottom w:w="0" w:type="dxa"/>
                  </w:tcMar>
                  <w:tcW w:w="3618" w:type="dxa"/>
                  <w:vAlign w:val="center"/>
                  <w:textDirection w:val="lrTb"/>
                  <w:noWrap w:val="false"/>
                </w:tcPr>
                <w:p>
                  <w:pPr>
                    <w:ind w:left="-108" w:right="-108"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外观完整；构件、陈设较清洁、较完好；墙面、屋面、地面基本无污染、无渗漏；定期维修，无安全隐患。</w:t>
                  </w:r>
                  <w:r/>
                </w:p>
                <w:p>
                  <w:pPr>
                    <w:ind w:left="-108" w:right="-108"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防火、防雪、防台风暴雨、防蚁等保护措施落实有效。</w:t>
                  </w:r>
                  <w:r/>
                </w:p>
              </w:tc>
            </w:tr>
            <w:tr>
              <w:trPr>
                <w:jc w:val="center"/>
                <w:trHeight w:val="1328"/>
              </w:trPr>
              <w:tc>
                <w:tcPr>
                  <w:tcW w:w="860" w:type="dxa"/>
                  <w:vAlign w:val="center"/>
                  <w:vMerge w:val="restart"/>
                  <w:textDirection w:val="lrTb"/>
                  <w:noWrap w:val="false"/>
                </w:tcPr>
                <w:p>
                  <w:pPr>
                    <w:ind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gridSpan w:val="4"/>
                  <w:tcMar>
                    <w:left w:w="108" w:type="dxa"/>
                    <w:top w:w="0" w:type="dxa"/>
                    <w:right w:w="108" w:type="dxa"/>
                    <w:bottom w:w="0" w:type="dxa"/>
                  </w:tcMar>
                  <w:tcW w:w="685" w:type="dxa"/>
                  <w:vAlign w:val="center"/>
                  <w:textDirection w:val="lrTb"/>
                  <w:noWrap w:val="false"/>
                </w:tcPr>
                <w:p>
                  <w:pPr>
                    <w:ind w:left="-108" w:right="-108" w:firstLine="0"/>
                    <w:jc w:val="center"/>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rPr>
                    <w:t xml:space="preserve">仿古建筑</w:t>
                  </w:r>
                  <w:r/>
                </w:p>
              </w:tc>
              <w:tc>
                <w:tcPr>
                  <w:gridSpan w:val="4"/>
                  <w:tcMar>
                    <w:left w:w="108" w:type="dxa"/>
                    <w:top w:w="0" w:type="dxa"/>
                    <w:right w:w="108" w:type="dxa"/>
                    <w:bottom w:w="0" w:type="dxa"/>
                  </w:tcMar>
                  <w:tcW w:w="3419" w:type="dxa"/>
                  <w:vAlign w:val="center"/>
                  <w:textDirection w:val="lrTb"/>
                  <w:noWrap w:val="false"/>
                </w:tcPr>
                <w:p>
                  <w:pPr>
                    <w:ind w:left="-108" w:right="-108"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外观完整；构件、陈设清洁、完好；墙面、屋面、地面无污染、无渗漏，管道无堵塞及锈蚀；及时维修，无安全隐患。</w:t>
                  </w:r>
                  <w:r/>
                </w:p>
                <w:p>
                  <w:pPr>
                    <w:ind w:left="-108" w:right="-108"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防火、防雪、防台风暴雨、防蚁等保护措施落实有效。</w:t>
                  </w:r>
                  <w:r/>
                </w:p>
              </w:tc>
              <w:tc>
                <w:tcPr>
                  <w:gridSpan w:val="2"/>
                  <w:tcMar>
                    <w:left w:w="108" w:type="dxa"/>
                    <w:top w:w="0" w:type="dxa"/>
                    <w:right w:w="108" w:type="dxa"/>
                    <w:bottom w:w="0" w:type="dxa"/>
                  </w:tcMar>
                  <w:tcW w:w="3618" w:type="dxa"/>
                  <w:vAlign w:val="center"/>
                  <w:textDirection w:val="lrTb"/>
                  <w:noWrap w:val="false"/>
                </w:tcPr>
                <w:p>
                  <w:pPr>
                    <w:ind w:left="-108" w:right="-108"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外观完整；构件、陈设较清洁、较完好；墙面、屋面、地面基本无污染、无渗漏，管道无堵塞、基本无锈蚀；定期维修，无安全隐患。</w:t>
                  </w:r>
                  <w:r/>
                </w:p>
                <w:p>
                  <w:pPr>
                    <w:ind w:left="-108" w:right="-108"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防火、防雪、防台风暴雨、防蚁等保护措施落实有效。</w:t>
                  </w:r>
                  <w:r/>
                </w:p>
              </w:tc>
            </w:tr>
            <w:tr>
              <w:trPr>
                <w:jc w:val="center"/>
                <w:trHeight w:val="3260"/>
              </w:trPr>
              <w:tc>
                <w:tcPr>
                  <w:tcW w:w="860" w:type="dxa"/>
                  <w:vAlign w:val="center"/>
                  <w:vMerge w:val="continue"/>
                  <w:textDirection w:val="lrTb"/>
                  <w:noWrap w:val="false"/>
                </w:tcPr>
                <w:p>
                  <w:pPr>
                    <w:ind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gridSpan w:val="4"/>
                  <w:tcMar>
                    <w:left w:w="108" w:type="dxa"/>
                    <w:top w:w="0" w:type="dxa"/>
                    <w:right w:w="108" w:type="dxa"/>
                    <w:bottom w:w="0" w:type="dxa"/>
                  </w:tcMar>
                  <w:tcW w:w="685" w:type="dxa"/>
                  <w:vAlign w:val="center"/>
                  <w:textDirection w:val="lrTb"/>
                  <w:noWrap w:val="false"/>
                </w:tcPr>
                <w:p>
                  <w:pPr>
                    <w:ind w:left="-108" w:right="-108" w:firstLine="0"/>
                    <w:jc w:val="center"/>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rPr>
                    <w:t xml:space="preserve">现代建筑</w:t>
                  </w:r>
                  <w:r/>
                </w:p>
              </w:tc>
              <w:tc>
                <w:tcPr>
                  <w:gridSpan w:val="4"/>
                  <w:tcMar>
                    <w:left w:w="108" w:type="dxa"/>
                    <w:top w:w="0" w:type="dxa"/>
                    <w:right w:w="108" w:type="dxa"/>
                    <w:bottom w:w="0" w:type="dxa"/>
                  </w:tcMar>
                  <w:tcW w:w="3419" w:type="dxa"/>
                  <w:vAlign w:val="center"/>
                  <w:textDirection w:val="lrTb"/>
                  <w:noWrap w:val="false"/>
                </w:tcPr>
                <w:p>
                  <w:pPr>
                    <w:ind w:left="-108" w:right="-108"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外观完整，外貌整洁；设施清洁、完好，设备安全运行；墙面、屋面、地面及时粉刷、清洗；无污染、无渗漏，管道无堵塞及锈蚀；及时维修，无安全隐患。</w:t>
                  </w:r>
                  <w:r/>
                </w:p>
                <w:p>
                  <w:pPr>
                    <w:ind w:left="-108" w:right="-108"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防火、防雪、防台风暴雨等保护措施落实有效。</w:t>
                  </w:r>
                  <w:r/>
                </w:p>
              </w:tc>
              <w:tc>
                <w:tcPr>
                  <w:gridSpan w:val="2"/>
                  <w:tcMar>
                    <w:left w:w="108" w:type="dxa"/>
                    <w:top w:w="0" w:type="dxa"/>
                    <w:right w:w="108" w:type="dxa"/>
                    <w:bottom w:w="0" w:type="dxa"/>
                  </w:tcMar>
                  <w:tcW w:w="3618" w:type="dxa"/>
                  <w:vAlign w:val="center"/>
                  <w:textDirection w:val="lrTb"/>
                  <w:noWrap w:val="false"/>
                </w:tcPr>
                <w:p>
                  <w:pPr>
                    <w:ind w:left="-108" w:right="-108"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外观完整，外貌较整洁，定期粉刷、清洗；设施清洁、完好，设备安全运行；墙面、屋面、地面及时粉刷、清洗，基本无污染、无渗漏，管道无堵塞、基本无锈蚀；定期维修，无安全隐患。</w:t>
                  </w:r>
                  <w:r/>
                </w:p>
                <w:p>
                  <w:pPr>
                    <w:ind w:left="-108" w:right="-108"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防火、防雪、防台风暴雨等保护措施落实有效。</w:t>
                  </w:r>
                  <w:r/>
                </w:p>
              </w:tc>
            </w:tr>
            <w:tr>
              <w:trPr>
                <w:jc w:val="center"/>
                <w:trHeight w:val="292"/>
              </w:trPr>
              <w:tc>
                <w:tcPr>
                  <w:gridSpan w:val="7"/>
                  <w:tcMar>
                    <w:left w:w="108" w:type="dxa"/>
                    <w:top w:w="0" w:type="dxa"/>
                    <w:right w:w="108" w:type="dxa"/>
                    <w:bottom w:w="0" w:type="dxa"/>
                  </w:tcMar>
                  <w:tcW w:w="1583" w:type="dxa"/>
                  <w:vAlign w:val="center"/>
                  <w:textDirection w:val="lrTb"/>
                  <w:noWrap w:val="false"/>
                </w:tcPr>
                <w:p>
                  <w:pPr>
                    <w:ind w:left="-105" w:right="-105" w:firstLine="0"/>
                    <w:jc w:val="center"/>
                    <w:spacing w:line="240" w:lineRule="exact"/>
                    <w:widowControl/>
                    <w:rPr>
                      <w:rFonts w:hint="eastAsia" w:ascii="宋体" w:hAnsi="宋体" w:eastAsia="宋体" w:cs="宋体"/>
                      <w:b/>
                      <w:bCs/>
                      <w:color w:val="auto"/>
                      <w:sz w:val="20"/>
                      <w:szCs w:val="20"/>
                      <w:highlight w:val="none"/>
                    </w:rPr>
                    <w:outlineLvl w:val="9"/>
                  </w:pPr>
                  <w:r>
                    <w:rPr>
                      <w:rFonts w:hint="eastAsia" w:ascii="宋体" w:hAnsi="宋体" w:eastAsia="宋体" w:cs="宋体"/>
                      <w:b/>
                      <w:bCs/>
                      <w:color w:val="auto"/>
                      <w:sz w:val="20"/>
                      <w:szCs w:val="20"/>
                      <w:highlight w:val="none"/>
                    </w:rPr>
                    <w:t xml:space="preserve"> 管护类别</w:t>
                  </w:r>
                  <w:r/>
                </w:p>
              </w:tc>
              <w:tc>
                <w:tcPr>
                  <w:gridSpan w:val="3"/>
                  <w:tcMar>
                    <w:left w:w="108" w:type="dxa"/>
                    <w:top w:w="0" w:type="dxa"/>
                    <w:right w:w="108" w:type="dxa"/>
                    <w:bottom w:w="0" w:type="dxa"/>
                  </w:tcMar>
                  <w:tcW w:w="3405" w:type="dxa"/>
                  <w:vAlign w:val="center"/>
                  <w:textDirection w:val="lrTb"/>
                  <w:noWrap w:val="false"/>
                </w:tcPr>
                <w:p>
                  <w:pPr>
                    <w:ind w:left="-105" w:right="-105" w:firstLine="0"/>
                    <w:jc w:val="center"/>
                    <w:spacing w:line="240" w:lineRule="exact"/>
                    <w:widowControl/>
                    <w:rPr>
                      <w:rFonts w:hint="eastAsia" w:ascii="宋体" w:hAnsi="宋体" w:eastAsia="宋体" w:cs="宋体"/>
                      <w:b/>
                      <w:bCs/>
                      <w:color w:val="auto"/>
                      <w:sz w:val="20"/>
                      <w:szCs w:val="20"/>
                      <w:highlight w:val="none"/>
                    </w:rPr>
                    <w:outlineLvl w:val="9"/>
                  </w:pPr>
                  <w:r>
                    <w:rPr>
                      <w:rFonts w:hint="eastAsia" w:ascii="宋体" w:hAnsi="宋体" w:eastAsia="宋体" w:cs="宋体"/>
                      <w:b/>
                      <w:bCs/>
                      <w:color w:val="auto"/>
                      <w:sz w:val="20"/>
                      <w:szCs w:val="20"/>
                      <w:highlight w:val="none"/>
                    </w:rPr>
                    <w:t xml:space="preserve">一级管护绿地</w:t>
                  </w:r>
                  <w:r/>
                </w:p>
              </w:tc>
              <w:tc>
                <w:tcPr>
                  <w:tcMar>
                    <w:left w:w="108" w:type="dxa"/>
                    <w:top w:w="0" w:type="dxa"/>
                    <w:right w:w="108" w:type="dxa"/>
                    <w:bottom w:w="0" w:type="dxa"/>
                  </w:tcMar>
                  <w:tcW w:w="3594" w:type="dxa"/>
                  <w:vAlign w:val="center"/>
                  <w:textDirection w:val="lrTb"/>
                  <w:noWrap w:val="false"/>
                </w:tcPr>
                <w:p>
                  <w:pPr>
                    <w:ind w:left="-105" w:right="-105" w:firstLine="0"/>
                    <w:jc w:val="center"/>
                    <w:spacing w:line="240" w:lineRule="exact"/>
                    <w:widowControl/>
                    <w:rPr>
                      <w:rFonts w:hint="eastAsia" w:ascii="宋体" w:hAnsi="宋体" w:eastAsia="宋体" w:cs="宋体"/>
                      <w:b/>
                      <w:bCs/>
                      <w:color w:val="auto"/>
                      <w:sz w:val="20"/>
                      <w:szCs w:val="20"/>
                      <w:highlight w:val="none"/>
                    </w:rPr>
                    <w:outlineLvl w:val="9"/>
                  </w:pPr>
                  <w:r>
                    <w:rPr>
                      <w:rFonts w:hint="eastAsia" w:ascii="宋体" w:hAnsi="宋体" w:eastAsia="宋体" w:cs="宋体"/>
                      <w:b/>
                      <w:bCs/>
                      <w:color w:val="auto"/>
                      <w:sz w:val="20"/>
                      <w:szCs w:val="20"/>
                      <w:highlight w:val="none"/>
                    </w:rPr>
                    <w:t xml:space="preserve">二级管护绿地</w:t>
                  </w:r>
                  <w:r/>
                </w:p>
              </w:tc>
            </w:tr>
            <w:tr>
              <w:trPr>
                <w:jc w:val="center"/>
                <w:trHeight w:val="1239"/>
              </w:trPr>
              <w:tc>
                <w:tcPr>
                  <w:gridSpan w:val="3"/>
                  <w:tcMar>
                    <w:left w:w="108" w:type="dxa"/>
                    <w:top w:w="0" w:type="dxa"/>
                    <w:right w:w="108" w:type="dxa"/>
                    <w:bottom w:w="0" w:type="dxa"/>
                  </w:tcMar>
                  <w:tcW w:w="901" w:type="dxa"/>
                  <w:vAlign w:val="center"/>
                  <w:vMerge w:val="restart"/>
                  <w:textDirection w:val="lrTb"/>
                  <w:noWrap w:val="false"/>
                </w:tcPr>
                <w:p>
                  <w:pPr>
                    <w:ind w:left="-105" w:right="-105" w:firstLine="0"/>
                    <w:jc w:val="center"/>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rPr>
                    <w:t xml:space="preserve">二</w:t>
                  </w:r>
                  <w:r/>
                </w:p>
                <w:p>
                  <w:pPr>
                    <w:ind w:left="-105" w:right="-105" w:firstLine="0"/>
                    <w:jc w:val="center"/>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rPr>
                    <w:t xml:space="preserve">园</w:t>
                  </w:r>
                  <w:r/>
                </w:p>
                <w:p>
                  <w:pPr>
                    <w:ind w:left="-105" w:right="-105" w:firstLine="0"/>
                    <w:jc w:val="center"/>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rPr>
                    <w:t xml:space="preserve">林</w:t>
                  </w:r>
                  <w:r/>
                </w:p>
                <w:p>
                  <w:pPr>
                    <w:ind w:left="-105" w:right="-105" w:firstLine="0"/>
                    <w:jc w:val="center"/>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rPr>
                    <w:t xml:space="preserve">设</w:t>
                  </w:r>
                  <w:r/>
                </w:p>
                <w:p>
                  <w:pPr>
                    <w:ind w:left="-105" w:right="-105" w:firstLine="0"/>
                    <w:jc w:val="center"/>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rPr>
                    <w:t xml:space="preserve">施</w:t>
                  </w:r>
                  <w:r/>
                </w:p>
                <w:p>
                  <w:pPr>
                    <w:ind w:left="-105" w:right="-105" w:firstLine="0"/>
                    <w:jc w:val="center"/>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rPr>
                    <w:t xml:space="preserve">维</w:t>
                  </w:r>
                  <w:r/>
                </w:p>
                <w:p>
                  <w:pPr>
                    <w:ind w:left="-105" w:right="-105" w:firstLine="0"/>
                    <w:jc w:val="center"/>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rPr>
                    <w:t xml:space="preserve">护</w:t>
                  </w:r>
                  <w:r/>
                </w:p>
              </w:tc>
              <w:tc>
                <w:tcPr>
                  <w:gridSpan w:val="4"/>
                  <w:tcMar>
                    <w:left w:w="108" w:type="dxa"/>
                    <w:top w:w="0" w:type="dxa"/>
                    <w:right w:w="108" w:type="dxa"/>
                    <w:bottom w:w="0" w:type="dxa"/>
                  </w:tcMar>
                  <w:tcW w:w="682" w:type="dxa"/>
                  <w:vAlign w:val="center"/>
                  <w:textDirection w:val="lrTb"/>
                  <w:noWrap w:val="false"/>
                </w:tcPr>
                <w:p>
                  <w:pPr>
                    <w:ind w:left="-105" w:right="-105" w:firstLine="0"/>
                    <w:jc w:val="center"/>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rPr>
                    <w:t xml:space="preserve">假山</w:t>
                  </w:r>
                  <w:r/>
                </w:p>
              </w:tc>
              <w:tc>
                <w:tcPr>
                  <w:gridSpan w:val="3"/>
                  <w:tcMar>
                    <w:left w:w="108" w:type="dxa"/>
                    <w:top w:w="0" w:type="dxa"/>
                    <w:right w:w="108" w:type="dxa"/>
                    <w:bottom w:w="0" w:type="dxa"/>
                  </w:tcMar>
                  <w:tcW w:w="3405" w:type="dxa"/>
                  <w:vAlign w:val="center"/>
                  <w:textDirection w:val="lrTb"/>
                  <w:noWrap w:val="false"/>
                </w:tcPr>
                <w:p>
                  <w:pPr>
                    <w:ind w:left="-105" w:right="-105"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假山叠石完整、稳固、安全。禁止攀爬的假山有醒目标志和防护设施；假山周围10m及石缝内无影响安全和景观的杂草、杂物，种植穴不空缺；假山及孤赏石表面无乱涂乱刻痕迹。</w:t>
                  </w:r>
                  <w:r/>
                </w:p>
              </w:tc>
              <w:tc>
                <w:tcPr>
                  <w:tcMar>
                    <w:left w:w="108" w:type="dxa"/>
                    <w:top w:w="0" w:type="dxa"/>
                    <w:right w:w="108" w:type="dxa"/>
                    <w:bottom w:w="0" w:type="dxa"/>
                  </w:tcMar>
                  <w:tcW w:w="3594" w:type="dxa"/>
                  <w:vAlign w:val="center"/>
                  <w:textDirection w:val="lrTb"/>
                  <w:noWrap w:val="false"/>
                </w:tcPr>
                <w:p>
                  <w:pPr>
                    <w:ind w:left="-105" w:right="-105"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假山叠石完整、稳固、安全。禁止攀爬的假山有醒目标志和防护设施；假山周围5m及石缝内无影响安全和景观的杂草、杂物； 假山及孤赏石表面基本无乱涂乱刻痕迹。</w:t>
                  </w:r>
                  <w:r/>
                </w:p>
              </w:tc>
            </w:tr>
            <w:tr>
              <w:trPr>
                <w:jc w:val="center"/>
                <w:trHeight w:val="772"/>
              </w:trPr>
              <w:tc>
                <w:tcPr>
                  <w:gridSpan w:val="3"/>
                  <w:tcW w:w="901" w:type="dxa"/>
                  <w:vAlign w:val="center"/>
                  <w:vMerge w:val="continue"/>
                  <w:textDirection w:val="lrTb"/>
                  <w:noWrap w:val="false"/>
                </w:tcPr>
                <w:p>
                  <w:pPr>
                    <w:ind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gridSpan w:val="4"/>
                  <w:tcMar>
                    <w:left w:w="108" w:type="dxa"/>
                    <w:top w:w="0" w:type="dxa"/>
                    <w:right w:w="108" w:type="dxa"/>
                    <w:bottom w:w="0" w:type="dxa"/>
                  </w:tcMar>
                  <w:tcW w:w="682" w:type="dxa"/>
                  <w:vAlign w:val="center"/>
                  <w:textDirection w:val="lrTb"/>
                  <w:noWrap w:val="false"/>
                </w:tcPr>
                <w:p>
                  <w:pPr>
                    <w:ind w:left="-105" w:right="-105" w:firstLine="0"/>
                    <w:jc w:val="center"/>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rPr>
                    <w:t xml:space="preserve">花坛</w:t>
                  </w:r>
                  <w:r/>
                </w:p>
              </w:tc>
              <w:tc>
                <w:tcPr>
                  <w:gridSpan w:val="3"/>
                  <w:tcMar>
                    <w:left w:w="108" w:type="dxa"/>
                    <w:top w:w="0" w:type="dxa"/>
                    <w:right w:w="108" w:type="dxa"/>
                    <w:bottom w:w="0" w:type="dxa"/>
                  </w:tcMar>
                  <w:tcW w:w="3405" w:type="dxa"/>
                  <w:vAlign w:val="center"/>
                  <w:textDirection w:val="lrTb"/>
                  <w:noWrap w:val="false"/>
                </w:tcPr>
                <w:p>
                  <w:pPr>
                    <w:ind w:left="-105" w:right="-105"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花坛表面整洁、无破损；叠石花坛的叠石无松动。补缝颜色与石材接近，无明显色差。</w:t>
                  </w:r>
                  <w:r/>
                </w:p>
              </w:tc>
              <w:tc>
                <w:tcPr>
                  <w:tcMar>
                    <w:left w:w="108" w:type="dxa"/>
                    <w:top w:w="0" w:type="dxa"/>
                    <w:right w:w="108" w:type="dxa"/>
                    <w:bottom w:w="0" w:type="dxa"/>
                  </w:tcMar>
                  <w:tcW w:w="3594" w:type="dxa"/>
                  <w:vAlign w:val="center"/>
                  <w:textDirection w:val="lrTb"/>
                  <w:noWrap w:val="false"/>
                </w:tcPr>
                <w:p>
                  <w:pPr>
                    <w:ind w:left="-105" w:right="-105"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花坛表面整洁、基本无破损；叠石花坛的叠石基本不松动。补缝颜色与石材基本接近。</w:t>
                  </w:r>
                  <w:r/>
                </w:p>
              </w:tc>
            </w:tr>
            <w:tr>
              <w:trPr>
                <w:jc w:val="center"/>
                <w:trHeight w:val="613"/>
              </w:trPr>
              <w:tc>
                <w:tcPr>
                  <w:gridSpan w:val="3"/>
                  <w:tcW w:w="901" w:type="dxa"/>
                  <w:vAlign w:val="center"/>
                  <w:vMerge w:val="continue"/>
                  <w:textDirection w:val="lrTb"/>
                  <w:noWrap w:val="false"/>
                </w:tcPr>
                <w:p>
                  <w:pPr>
                    <w:ind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gridSpan w:val="4"/>
                  <w:tcMar>
                    <w:left w:w="108" w:type="dxa"/>
                    <w:top w:w="0" w:type="dxa"/>
                    <w:right w:w="108" w:type="dxa"/>
                    <w:bottom w:w="0" w:type="dxa"/>
                  </w:tcMar>
                  <w:tcW w:w="682" w:type="dxa"/>
                  <w:vAlign w:val="center"/>
                  <w:textDirection w:val="lrTb"/>
                  <w:noWrap w:val="false"/>
                </w:tcPr>
                <w:p>
                  <w:pPr>
                    <w:ind w:left="-105" w:right="-105" w:firstLine="0"/>
                    <w:jc w:val="center"/>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rPr>
                    <w:t xml:space="preserve">雕塑</w:t>
                  </w:r>
                  <w:r/>
                </w:p>
              </w:tc>
              <w:tc>
                <w:tcPr>
                  <w:gridSpan w:val="3"/>
                  <w:tcMar>
                    <w:left w:w="108" w:type="dxa"/>
                    <w:top w:w="0" w:type="dxa"/>
                    <w:right w:w="108" w:type="dxa"/>
                    <w:bottom w:w="0" w:type="dxa"/>
                  </w:tcMar>
                  <w:tcW w:w="3405" w:type="dxa"/>
                  <w:vAlign w:val="center"/>
                  <w:textDirection w:val="lrTb"/>
                  <w:noWrap w:val="false"/>
                </w:tcPr>
                <w:p>
                  <w:pPr>
                    <w:ind w:left="-105" w:right="-105"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雕塑结构、基础安全完整。表面清洁无垢，无刻写痕迹。</w:t>
                  </w:r>
                  <w:r/>
                </w:p>
              </w:tc>
              <w:tc>
                <w:tcPr>
                  <w:tcMar>
                    <w:left w:w="108" w:type="dxa"/>
                    <w:top w:w="0" w:type="dxa"/>
                    <w:right w:w="108" w:type="dxa"/>
                    <w:bottom w:w="0" w:type="dxa"/>
                  </w:tcMar>
                  <w:tcW w:w="3594" w:type="dxa"/>
                  <w:vAlign w:val="center"/>
                  <w:textDirection w:val="lrTb"/>
                  <w:noWrap w:val="false"/>
                </w:tcPr>
                <w:p>
                  <w:pPr>
                    <w:ind w:left="-105" w:right="-105"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雕塑结构、基础安全完整。表面基本清洁无垢，无刻写痕迹。</w:t>
                  </w:r>
                  <w:r/>
                </w:p>
              </w:tc>
            </w:tr>
            <w:tr>
              <w:trPr>
                <w:jc w:val="center"/>
                <w:trHeight w:val="613"/>
              </w:trPr>
              <w:tc>
                <w:tcPr>
                  <w:gridSpan w:val="3"/>
                  <w:tcW w:w="901" w:type="dxa"/>
                  <w:vAlign w:val="center"/>
                  <w:vMerge w:val="continue"/>
                  <w:textDirection w:val="lrTb"/>
                  <w:noWrap w:val="false"/>
                </w:tcPr>
                <w:p>
                  <w:pPr>
                    <w:ind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gridSpan w:val="4"/>
                  <w:tcMar>
                    <w:left w:w="108" w:type="dxa"/>
                    <w:top w:w="0" w:type="dxa"/>
                    <w:right w:w="108" w:type="dxa"/>
                    <w:bottom w:w="0" w:type="dxa"/>
                  </w:tcMar>
                  <w:tcW w:w="682" w:type="dxa"/>
                  <w:vAlign w:val="center"/>
                  <w:textDirection w:val="lrTb"/>
                  <w:noWrap w:val="false"/>
                </w:tcPr>
                <w:p>
                  <w:pPr>
                    <w:ind w:left="-105" w:right="-105"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rPr>
                    <w:t xml:space="preserve">喷泉（水景设施）</w:t>
                  </w:r>
                  <w:r/>
                </w:p>
              </w:tc>
              <w:tc>
                <w:tcPr>
                  <w:gridSpan w:val="3"/>
                  <w:tcMar>
                    <w:left w:w="108" w:type="dxa"/>
                    <w:top w:w="0" w:type="dxa"/>
                    <w:right w:w="108" w:type="dxa"/>
                    <w:bottom w:w="0" w:type="dxa"/>
                  </w:tcMar>
                  <w:tcW w:w="3405" w:type="dxa"/>
                  <w:vAlign w:val="center"/>
                  <w:textDirection w:val="lrTb"/>
                  <w:noWrap w:val="false"/>
                </w:tcPr>
                <w:p>
                  <w:pPr>
                    <w:ind w:left="-105" w:right="-105"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设备按照规定检查维护，损坏部件及时更换，确保安全运行；</w:t>
                  </w:r>
                  <w:r/>
                </w:p>
                <w:p>
                  <w:pPr>
                    <w:ind w:left="-105" w:right="-105"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喷嘴无堵塞，喷涌效果好，景观优良；循环、动力及水位控制设施完好，运行正常。</w:t>
                  </w:r>
                  <w:r/>
                </w:p>
              </w:tc>
              <w:tc>
                <w:tcPr>
                  <w:tcMar>
                    <w:left w:w="108" w:type="dxa"/>
                    <w:top w:w="0" w:type="dxa"/>
                    <w:right w:w="108" w:type="dxa"/>
                    <w:bottom w:w="0" w:type="dxa"/>
                  </w:tcMar>
                  <w:tcW w:w="3594" w:type="dxa"/>
                  <w:vAlign w:val="center"/>
                  <w:textDirection w:val="lrTb"/>
                  <w:noWrap w:val="false"/>
                </w:tcPr>
                <w:p>
                  <w:pPr>
                    <w:ind w:left="-105" w:right="-105"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设备按照规定检查维护，损坏部件及时更换，确保安全运行；</w:t>
                  </w:r>
                  <w:r/>
                </w:p>
                <w:p>
                  <w:pPr>
                    <w:ind w:left="-105" w:right="-105"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喷嘴基本无堵塞，喷涌效果较好，基本保证景观质量；循环、动力及水位控制设施完好，运行正常。</w:t>
                  </w:r>
                  <w:r/>
                </w:p>
              </w:tc>
            </w:tr>
            <w:tr>
              <w:trPr>
                <w:jc w:val="center"/>
              </w:trPr>
              <w:tc>
                <w:tcPr>
                  <w:gridSpan w:val="3"/>
                  <w:tcW w:w="901" w:type="dxa"/>
                  <w:vAlign w:val="center"/>
                  <w:vMerge w:val="continue"/>
                  <w:textDirection w:val="lrTb"/>
                  <w:noWrap w:val="false"/>
                </w:tcPr>
                <w:p>
                  <w:pPr>
                    <w:ind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gridSpan w:val="4"/>
                  <w:tcMar>
                    <w:left w:w="108" w:type="dxa"/>
                    <w:top w:w="0" w:type="dxa"/>
                    <w:right w:w="108" w:type="dxa"/>
                    <w:bottom w:w="0" w:type="dxa"/>
                  </w:tcMar>
                  <w:tcW w:w="682" w:type="dxa"/>
                  <w:vAlign w:val="center"/>
                  <w:textDirection w:val="lrTb"/>
                  <w:noWrap w:val="false"/>
                </w:tcPr>
                <w:p>
                  <w:pPr>
                    <w:ind w:left="-105" w:right="-105" w:firstLine="0"/>
                    <w:jc w:val="center"/>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rPr>
                    <w:t xml:space="preserve">栏杆</w:t>
                  </w:r>
                  <w:r/>
                </w:p>
              </w:tc>
              <w:tc>
                <w:tcPr>
                  <w:gridSpan w:val="3"/>
                  <w:tcMar>
                    <w:left w:w="108" w:type="dxa"/>
                    <w:top w:w="0" w:type="dxa"/>
                    <w:right w:w="108" w:type="dxa"/>
                    <w:bottom w:w="0" w:type="dxa"/>
                  </w:tcMar>
                  <w:tcW w:w="3405" w:type="dxa"/>
                  <w:vAlign w:val="center"/>
                  <w:textDirection w:val="lrTb"/>
                  <w:noWrap w:val="false"/>
                </w:tcPr>
                <w:p>
                  <w:pPr>
                    <w:ind w:right="-105" w:firstLine="0"/>
                    <w:jc w:val="left"/>
                    <w:spacing w:before="100" w:beforeAutospacing="1" w:after="100" w:afterAutospacing="1"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完整、清洁、无缺损，无刻划痕迹；</w:t>
                  </w:r>
                  <w:r/>
                </w:p>
                <w:p>
                  <w:pPr>
                    <w:ind w:left="-105" w:right="-105"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竹、木材质无腐朽，金属类材质无锈蚀，无安全隐患。</w:t>
                  </w:r>
                  <w:r/>
                </w:p>
              </w:tc>
              <w:tc>
                <w:tcPr>
                  <w:tcMar>
                    <w:left w:w="108" w:type="dxa"/>
                    <w:top w:w="0" w:type="dxa"/>
                    <w:right w:w="108" w:type="dxa"/>
                    <w:bottom w:w="0" w:type="dxa"/>
                  </w:tcMar>
                  <w:tcW w:w="3594" w:type="dxa"/>
                  <w:vAlign w:val="center"/>
                  <w:textDirection w:val="lrTb"/>
                  <w:noWrap w:val="false"/>
                </w:tcPr>
                <w:p>
                  <w:pPr>
                    <w:ind w:left="-105" w:right="-105"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完整、清洁、无缺损，基本无刻划痕迹；</w:t>
                  </w:r>
                  <w:r/>
                </w:p>
                <w:p>
                  <w:pPr>
                    <w:ind w:left="-105" w:right="-105"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竹、木材质基本无腐朽，金属类材质基本无锈蚀，无安全隐患。</w:t>
                  </w:r>
                  <w:r/>
                </w:p>
              </w:tc>
            </w:tr>
            <w:tr>
              <w:trPr>
                <w:jc w:val="center"/>
                <w:trHeight w:val="830"/>
              </w:trPr>
              <w:tc>
                <w:tcPr>
                  <w:gridSpan w:val="3"/>
                  <w:tcW w:w="901" w:type="dxa"/>
                  <w:vAlign w:val="center"/>
                  <w:vMerge w:val="continue"/>
                  <w:textDirection w:val="lrTb"/>
                  <w:noWrap w:val="false"/>
                </w:tcPr>
                <w:p>
                  <w:pPr>
                    <w:ind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gridSpan w:val="4"/>
                  <w:tcMar>
                    <w:left w:w="108" w:type="dxa"/>
                    <w:top w:w="0" w:type="dxa"/>
                    <w:right w:w="108" w:type="dxa"/>
                    <w:bottom w:w="0" w:type="dxa"/>
                  </w:tcMar>
                  <w:tcW w:w="682" w:type="dxa"/>
                  <w:vAlign w:val="center"/>
                  <w:textDirection w:val="lrTb"/>
                  <w:noWrap w:val="false"/>
                </w:tcPr>
                <w:p>
                  <w:pPr>
                    <w:ind w:left="-105" w:right="-105" w:firstLine="0"/>
                    <w:jc w:val="center"/>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rPr>
                    <w:t xml:space="preserve">桌凳</w:t>
                  </w:r>
                  <w:r/>
                </w:p>
              </w:tc>
              <w:tc>
                <w:tcPr>
                  <w:gridSpan w:val="3"/>
                  <w:tcMar>
                    <w:left w:w="108" w:type="dxa"/>
                    <w:top w:w="0" w:type="dxa"/>
                    <w:right w:w="108" w:type="dxa"/>
                    <w:bottom w:w="0" w:type="dxa"/>
                  </w:tcMar>
                  <w:tcW w:w="3405" w:type="dxa"/>
                  <w:vAlign w:val="center"/>
                  <w:textDirection w:val="lrTb"/>
                  <w:noWrap w:val="false"/>
                </w:tcPr>
                <w:p>
                  <w:pPr>
                    <w:ind w:right="-105" w:firstLine="0"/>
                    <w:jc w:val="left"/>
                    <w:spacing w:before="100" w:beforeAutospacing="1" w:after="100" w:afterAutospacing="1"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桌凳表面清洁；</w:t>
                  </w:r>
                  <w:r/>
                </w:p>
                <w:p>
                  <w:pPr>
                    <w:ind w:left="-105" w:right="-105"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竹木类材料无腐朽，其他类材料无锈蚀。无</w:t>
                  </w:r>
                  <w:r>
                    <w:rPr>
                      <w:rFonts w:hint="eastAsia" w:ascii="宋体" w:hAnsi="宋体" w:eastAsia="宋体" w:cs="宋体"/>
                      <w:color w:val="auto"/>
                      <w:sz w:val="20"/>
                      <w:szCs w:val="20"/>
                      <w:highlight w:val="none"/>
                      <w:lang w:eastAsia="zh-CN"/>
                    </w:rPr>
                    <w:t xml:space="preserve">刻画</w:t>
                  </w:r>
                  <w:r>
                    <w:rPr>
                      <w:rFonts w:hint="eastAsia" w:ascii="宋体" w:hAnsi="宋体" w:eastAsia="宋体" w:cs="宋体"/>
                      <w:color w:val="auto"/>
                      <w:sz w:val="20"/>
                      <w:szCs w:val="20"/>
                      <w:highlight w:val="none"/>
                    </w:rPr>
                    <w:t xml:space="preserve">。安全坚固，无松动，无缺损。</w:t>
                  </w:r>
                  <w:r/>
                </w:p>
              </w:tc>
              <w:tc>
                <w:tcPr>
                  <w:tcMar>
                    <w:left w:w="108" w:type="dxa"/>
                    <w:top w:w="0" w:type="dxa"/>
                    <w:right w:w="108" w:type="dxa"/>
                    <w:bottom w:w="0" w:type="dxa"/>
                  </w:tcMar>
                  <w:tcW w:w="3594" w:type="dxa"/>
                  <w:vAlign w:val="center"/>
                  <w:textDirection w:val="lrTb"/>
                  <w:noWrap w:val="false"/>
                </w:tcPr>
                <w:p>
                  <w:pPr>
                    <w:ind w:right="-105" w:firstLine="0"/>
                    <w:jc w:val="left"/>
                    <w:spacing w:before="100" w:beforeAutospacing="1" w:after="100" w:afterAutospacing="1"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桌凳表面清洁；</w:t>
                  </w:r>
                  <w:r/>
                </w:p>
                <w:p>
                  <w:pPr>
                    <w:ind w:left="-105" w:right="-105"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竹木类基本无腐朽，其他类材料基本无锈蚀。无</w:t>
                  </w:r>
                  <w:r>
                    <w:rPr>
                      <w:rFonts w:hint="eastAsia" w:ascii="宋体" w:hAnsi="宋体" w:eastAsia="宋体" w:cs="宋体"/>
                      <w:color w:val="auto"/>
                      <w:sz w:val="20"/>
                      <w:szCs w:val="20"/>
                      <w:highlight w:val="none"/>
                      <w:lang w:eastAsia="zh-CN"/>
                    </w:rPr>
                    <w:t xml:space="preserve">刻画</w:t>
                  </w:r>
                  <w:r>
                    <w:rPr>
                      <w:rFonts w:hint="eastAsia" w:ascii="宋体" w:hAnsi="宋体" w:eastAsia="宋体" w:cs="宋体"/>
                      <w:color w:val="auto"/>
                      <w:sz w:val="20"/>
                      <w:szCs w:val="20"/>
                      <w:highlight w:val="none"/>
                    </w:rPr>
                    <w:t xml:space="preserve">。安全坚固，无松动，基本无缺损。</w:t>
                  </w:r>
                  <w:r/>
                </w:p>
              </w:tc>
            </w:tr>
            <w:tr>
              <w:trPr>
                <w:jc w:val="center"/>
                <w:trHeight w:val="292"/>
              </w:trPr>
              <w:tc>
                <w:tcPr>
                  <w:gridSpan w:val="3"/>
                  <w:tcMar>
                    <w:left w:w="108" w:type="dxa"/>
                    <w:top w:w="0" w:type="dxa"/>
                    <w:right w:w="108" w:type="dxa"/>
                    <w:bottom w:w="0" w:type="dxa"/>
                  </w:tcMar>
                  <w:tcW w:w="901" w:type="dxa"/>
                  <w:vAlign w:val="center"/>
                  <w:vMerge w:val="restart"/>
                  <w:textDirection w:val="lrTb"/>
                  <w:noWrap w:val="false"/>
                </w:tcPr>
                <w:p>
                  <w:pPr>
                    <w:ind w:firstLine="0"/>
                    <w:jc w:val="center"/>
                    <w:spacing w:before="100" w:beforeAutospacing="1" w:after="100" w:afterAutospacing="1"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rPr>
                    <w:t xml:space="preserve">二</w:t>
                  </w:r>
                  <w:r/>
                </w:p>
                <w:p>
                  <w:pPr>
                    <w:ind w:firstLine="0"/>
                    <w:jc w:val="center"/>
                    <w:spacing w:before="100" w:beforeAutospacing="1" w:after="100" w:afterAutospacing="1"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rPr>
                    <w:t xml:space="preserve">园</w:t>
                  </w:r>
                  <w:r/>
                </w:p>
                <w:p>
                  <w:pPr>
                    <w:ind w:firstLine="0"/>
                    <w:jc w:val="center"/>
                    <w:spacing w:before="100" w:beforeAutospacing="1" w:after="100" w:afterAutospacing="1"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rPr>
                    <w:t xml:space="preserve">林</w:t>
                  </w:r>
                  <w:r/>
                </w:p>
                <w:p>
                  <w:pPr>
                    <w:ind w:firstLine="0"/>
                    <w:jc w:val="center"/>
                    <w:spacing w:before="100" w:beforeAutospacing="1" w:after="100" w:afterAutospacing="1"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rPr>
                    <w:t xml:space="preserve">设</w:t>
                  </w:r>
                  <w:r/>
                </w:p>
                <w:p>
                  <w:pPr>
                    <w:ind w:firstLine="0"/>
                    <w:jc w:val="center"/>
                    <w:spacing w:before="100" w:beforeAutospacing="1" w:after="100" w:afterAutospacing="1"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rPr>
                    <w:t xml:space="preserve">施</w:t>
                  </w:r>
                  <w:r/>
                </w:p>
                <w:p>
                  <w:pPr>
                    <w:ind w:firstLine="0"/>
                    <w:jc w:val="center"/>
                    <w:spacing w:before="100" w:beforeAutospacing="1" w:after="100" w:afterAutospacing="1"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rPr>
                    <w:t xml:space="preserve">维</w:t>
                  </w:r>
                  <w:r/>
                </w:p>
                <w:p>
                  <w:pPr>
                    <w:ind w:firstLine="0"/>
                    <w:jc w:val="center"/>
                    <w:spacing w:before="100" w:beforeAutospacing="1" w:after="100" w:afterAutospacing="1"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rPr>
                    <w:t xml:space="preserve">护</w:t>
                  </w:r>
                  <w:r/>
                </w:p>
              </w:tc>
              <w:tc>
                <w:tcPr>
                  <w:gridSpan w:val="4"/>
                  <w:tcMar>
                    <w:left w:w="108" w:type="dxa"/>
                    <w:top w:w="0" w:type="dxa"/>
                    <w:right w:w="108" w:type="dxa"/>
                    <w:bottom w:w="0" w:type="dxa"/>
                  </w:tcMar>
                  <w:tcW w:w="682" w:type="dxa"/>
                  <w:vAlign w:val="center"/>
                  <w:textDirection w:val="lrTb"/>
                  <w:noWrap w:val="false"/>
                </w:tcPr>
                <w:p>
                  <w:pPr>
                    <w:ind w:left="-105" w:right="-105" w:firstLine="0"/>
                    <w:jc w:val="center"/>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rPr>
                    <w:t xml:space="preserve">围墙</w:t>
                  </w:r>
                  <w:r/>
                </w:p>
              </w:tc>
              <w:tc>
                <w:tcPr>
                  <w:gridSpan w:val="3"/>
                  <w:tcMar>
                    <w:left w:w="108" w:type="dxa"/>
                    <w:top w:w="0" w:type="dxa"/>
                    <w:right w:w="108" w:type="dxa"/>
                    <w:bottom w:w="0" w:type="dxa"/>
                  </w:tcMar>
                  <w:tcW w:w="3405" w:type="dxa"/>
                  <w:vAlign w:val="center"/>
                  <w:textDirection w:val="lrTb"/>
                  <w:noWrap w:val="false"/>
                </w:tcPr>
                <w:p>
                  <w:pPr>
                    <w:ind w:left="-105" w:right="-105"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外观整洁、完整；墙面、顶面无污染、无渗漏；及时维修，无安全隐患。</w:t>
                  </w:r>
                  <w:r/>
                </w:p>
                <w:p>
                  <w:pPr>
                    <w:ind w:left="-105" w:right="-105"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防火、防雪、防台风暴雨、防蚁等保护措施落实有效。</w:t>
                  </w:r>
                  <w:r/>
                </w:p>
              </w:tc>
              <w:tc>
                <w:tcPr>
                  <w:tcMar>
                    <w:left w:w="108" w:type="dxa"/>
                    <w:top w:w="0" w:type="dxa"/>
                    <w:right w:w="108" w:type="dxa"/>
                    <w:bottom w:w="0" w:type="dxa"/>
                  </w:tcMar>
                  <w:tcW w:w="3594" w:type="dxa"/>
                  <w:vAlign w:val="center"/>
                  <w:textDirection w:val="lrTb"/>
                  <w:noWrap w:val="false"/>
                </w:tcPr>
                <w:p>
                  <w:pPr>
                    <w:ind w:left="-105" w:right="-105"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外观完整；墙面、顶面基本无污染、无渗漏；定期维修，无安全隐患。</w:t>
                  </w:r>
                  <w:r/>
                </w:p>
                <w:p>
                  <w:pPr>
                    <w:ind w:left="-105" w:right="-105"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防火、防雪、防台风暴雨、防蚁等保护措施落实有效。</w:t>
                  </w:r>
                  <w:r/>
                </w:p>
              </w:tc>
            </w:tr>
            <w:tr>
              <w:trPr>
                <w:jc w:val="center"/>
                <w:trHeight w:val="757"/>
              </w:trPr>
              <w:tc>
                <w:tcPr>
                  <w:gridSpan w:val="3"/>
                  <w:tcW w:w="901" w:type="dxa"/>
                  <w:vAlign w:val="center"/>
                  <w:vMerge w:val="continue"/>
                  <w:textDirection w:val="lrTb"/>
                  <w:noWrap w:val="false"/>
                </w:tcPr>
                <w:p>
                  <w:pPr>
                    <w:ind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gridSpan w:val="4"/>
                  <w:tcMar>
                    <w:left w:w="108" w:type="dxa"/>
                    <w:top w:w="0" w:type="dxa"/>
                    <w:right w:w="108" w:type="dxa"/>
                    <w:bottom w:w="0" w:type="dxa"/>
                  </w:tcMar>
                  <w:tcW w:w="682" w:type="dxa"/>
                  <w:vAlign w:val="center"/>
                  <w:textDirection w:val="lrTb"/>
                  <w:noWrap w:val="false"/>
                </w:tcPr>
                <w:p>
                  <w:pPr>
                    <w:ind w:left="-105" w:right="-105" w:firstLine="0"/>
                    <w:jc w:val="center"/>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rPr>
                    <w:t xml:space="preserve">树穴</w:t>
                  </w:r>
                  <w:r/>
                </w:p>
              </w:tc>
              <w:tc>
                <w:tcPr>
                  <w:gridSpan w:val="3"/>
                  <w:tcMar>
                    <w:left w:w="108" w:type="dxa"/>
                    <w:top w:w="0" w:type="dxa"/>
                    <w:right w:w="108" w:type="dxa"/>
                    <w:bottom w:w="0" w:type="dxa"/>
                  </w:tcMar>
                  <w:tcW w:w="3405" w:type="dxa"/>
                  <w:vAlign w:val="center"/>
                  <w:textDirection w:val="lrTb"/>
                  <w:noWrap w:val="false"/>
                </w:tcPr>
                <w:p>
                  <w:pPr>
                    <w:ind w:left="-105" w:right="-105"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侧石及盖板坚固无松动，无缺损；盖板平整，无坑洼、沉陷、倾覆、腐朽、锈蚀；池体整洁。</w:t>
                  </w:r>
                  <w:r/>
                </w:p>
              </w:tc>
              <w:tc>
                <w:tcPr>
                  <w:tcMar>
                    <w:left w:w="108" w:type="dxa"/>
                    <w:top w:w="0" w:type="dxa"/>
                    <w:right w:w="108" w:type="dxa"/>
                    <w:bottom w:w="0" w:type="dxa"/>
                  </w:tcMar>
                  <w:tcW w:w="3594" w:type="dxa"/>
                  <w:vAlign w:val="center"/>
                  <w:textDirection w:val="lrTb"/>
                  <w:noWrap w:val="false"/>
                </w:tcPr>
                <w:p>
                  <w:pPr>
                    <w:ind w:left="-105" w:right="-105"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侧石及盖板坚固无松动，无缺损；盖板基本平整，无明显坑洼、沉陷、倾覆、腐朽、锈蚀；池体基本整洁。</w:t>
                  </w:r>
                  <w:r/>
                </w:p>
              </w:tc>
            </w:tr>
            <w:tr>
              <w:trPr>
                <w:jc w:val="center"/>
                <w:trHeight w:val="1390"/>
              </w:trPr>
              <w:tc>
                <w:tcPr>
                  <w:gridSpan w:val="3"/>
                  <w:tcW w:w="901" w:type="dxa"/>
                  <w:vAlign w:val="center"/>
                  <w:vMerge w:val="continue"/>
                  <w:textDirection w:val="lrTb"/>
                  <w:noWrap w:val="false"/>
                </w:tcPr>
                <w:p>
                  <w:pPr>
                    <w:ind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gridSpan w:val="4"/>
                  <w:tcMar>
                    <w:left w:w="108" w:type="dxa"/>
                    <w:top w:w="0" w:type="dxa"/>
                    <w:right w:w="108" w:type="dxa"/>
                    <w:bottom w:w="0" w:type="dxa"/>
                  </w:tcMar>
                  <w:tcW w:w="682" w:type="dxa"/>
                  <w:vAlign w:val="center"/>
                  <w:textDirection w:val="lrTb"/>
                  <w:noWrap w:val="false"/>
                </w:tcPr>
                <w:p>
                  <w:pPr>
                    <w:ind w:left="-105" w:right="-105" w:firstLine="0"/>
                    <w:jc w:val="center"/>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rPr>
                    <w:t xml:space="preserve">园路</w:t>
                  </w:r>
                  <w:r/>
                </w:p>
              </w:tc>
              <w:tc>
                <w:tcPr>
                  <w:gridSpan w:val="3"/>
                  <w:tcMar>
                    <w:left w:w="108" w:type="dxa"/>
                    <w:top w:w="0" w:type="dxa"/>
                    <w:right w:w="108" w:type="dxa"/>
                    <w:bottom w:w="0" w:type="dxa"/>
                  </w:tcMar>
                  <w:tcW w:w="3405" w:type="dxa"/>
                  <w:vAlign w:val="center"/>
                  <w:textDirection w:val="lrTb"/>
                  <w:noWrap w:val="false"/>
                </w:tcPr>
                <w:p>
                  <w:pPr>
                    <w:ind w:left="-105" w:right="-105"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路面平整，无坑洼破损（小于等于维修率），无面层松动、沉陷、倾覆或面层脱落。伸缩缝嵌缝完好。</w:t>
                  </w:r>
                  <w:r/>
                </w:p>
                <w:p>
                  <w:pPr>
                    <w:ind w:left="-50" w:right="-105"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路面、路沿、台阶清洁，无垃圾及痰迹。</w:t>
                  </w:r>
                  <w:r/>
                </w:p>
                <w:p>
                  <w:pPr>
                    <w:ind w:left="-105" w:right="-105"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无障碍通道及应急通道整洁畅通。</w:t>
                  </w:r>
                  <w:r/>
                </w:p>
              </w:tc>
              <w:tc>
                <w:tcPr>
                  <w:tcMar>
                    <w:left w:w="108" w:type="dxa"/>
                    <w:top w:w="0" w:type="dxa"/>
                    <w:right w:w="108" w:type="dxa"/>
                    <w:bottom w:w="0" w:type="dxa"/>
                  </w:tcMar>
                  <w:tcW w:w="3594" w:type="dxa"/>
                  <w:vAlign w:val="center"/>
                  <w:textDirection w:val="lrTb"/>
                  <w:noWrap w:val="false"/>
                </w:tcPr>
                <w:p>
                  <w:pPr>
                    <w:ind w:left="-105" w:right="-105"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路面平整，无坑洼破损（小于等于维修率），无面层松动、沉陷、倾覆或面层脱落。伸缩缝嵌缝基本完好；</w:t>
                  </w:r>
                  <w:r/>
                </w:p>
                <w:p>
                  <w:pPr>
                    <w:ind w:left="-105" w:right="-105"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路面基本清洁，基本无垃圾、无痰迹。</w:t>
                  </w:r>
                  <w:r/>
                </w:p>
                <w:p>
                  <w:pPr>
                    <w:ind w:left="-105" w:right="-105"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无障碍通道及应急通道畅通，基本整洁。</w:t>
                  </w:r>
                  <w:r/>
                </w:p>
              </w:tc>
            </w:tr>
            <w:tr>
              <w:trPr>
                <w:jc w:val="center"/>
                <w:trHeight w:val="1252"/>
              </w:trPr>
              <w:tc>
                <w:tcPr>
                  <w:gridSpan w:val="3"/>
                  <w:tcW w:w="901" w:type="dxa"/>
                  <w:vAlign w:val="center"/>
                  <w:vMerge w:val="continue"/>
                  <w:textDirection w:val="lrTb"/>
                  <w:noWrap w:val="false"/>
                </w:tcPr>
                <w:p>
                  <w:pPr>
                    <w:ind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gridSpan w:val="4"/>
                  <w:tcMar>
                    <w:left w:w="108" w:type="dxa"/>
                    <w:top w:w="0" w:type="dxa"/>
                    <w:right w:w="108" w:type="dxa"/>
                    <w:bottom w:w="0" w:type="dxa"/>
                  </w:tcMar>
                  <w:tcW w:w="682" w:type="dxa"/>
                  <w:vAlign w:val="center"/>
                  <w:textDirection w:val="lrTb"/>
                  <w:noWrap w:val="false"/>
                </w:tcPr>
                <w:p>
                  <w:pPr>
                    <w:ind w:left="-105" w:right="-105" w:firstLine="0"/>
                    <w:jc w:val="center"/>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rPr>
                    <w:t xml:space="preserve">桥梁</w:t>
                  </w:r>
                  <w:r/>
                </w:p>
              </w:tc>
              <w:tc>
                <w:tcPr>
                  <w:gridSpan w:val="3"/>
                  <w:tcMar>
                    <w:left w:w="108" w:type="dxa"/>
                    <w:top w:w="0" w:type="dxa"/>
                    <w:right w:w="108" w:type="dxa"/>
                    <w:bottom w:w="0" w:type="dxa"/>
                  </w:tcMar>
                  <w:tcW w:w="3405" w:type="dxa"/>
                  <w:vAlign w:val="center"/>
                  <w:textDirection w:val="lrTb"/>
                  <w:noWrap w:val="false"/>
                </w:tcPr>
                <w:p>
                  <w:pPr>
                    <w:ind w:left="-105" w:right="-105"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桥面平整，无坑洼，排水通畅。栏杆无缺损，墩台无混凝土剥落、露筋等。</w:t>
                  </w:r>
                  <w:r/>
                </w:p>
                <w:p>
                  <w:pPr>
                    <w:ind w:left="-105" w:right="-105"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桥梁限高、限载及相关交通和安全警示标志清晰齐全；雨雪冰冻季节防范措施落实有效。</w:t>
                  </w:r>
                  <w:r/>
                </w:p>
              </w:tc>
              <w:tc>
                <w:tcPr>
                  <w:tcMar>
                    <w:left w:w="108" w:type="dxa"/>
                    <w:top w:w="0" w:type="dxa"/>
                    <w:right w:w="108" w:type="dxa"/>
                    <w:bottom w:w="0" w:type="dxa"/>
                  </w:tcMar>
                  <w:tcW w:w="3594" w:type="dxa"/>
                  <w:vAlign w:val="center"/>
                  <w:textDirection w:val="lrTb"/>
                  <w:noWrap w:val="false"/>
                </w:tcPr>
                <w:p>
                  <w:pPr>
                    <w:ind w:left="-105" w:right="-105"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桥面基本平整，无明显坑洼破损，排水基本通畅。栏杆无缺损，墩台无明显混凝土剥落、露筋等。</w:t>
                  </w:r>
                  <w:r/>
                </w:p>
                <w:p>
                  <w:pPr>
                    <w:ind w:left="-105" w:right="-105"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桥梁限高、限载及相关交通和安全警示标志清晰齐全；雨雪冰冻季节防范措施落实有效。</w:t>
                  </w:r>
                  <w:r/>
                </w:p>
              </w:tc>
            </w:tr>
            <w:tr>
              <w:trPr>
                <w:jc w:val="center"/>
              </w:trPr>
              <w:tc>
                <w:tcPr>
                  <w:gridSpan w:val="3"/>
                  <w:tcW w:w="901" w:type="dxa"/>
                  <w:vAlign w:val="center"/>
                  <w:vMerge w:val="continue"/>
                  <w:textDirection w:val="lrTb"/>
                  <w:noWrap w:val="false"/>
                </w:tcPr>
                <w:p>
                  <w:pPr>
                    <w:ind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gridSpan w:val="4"/>
                  <w:tcMar>
                    <w:left w:w="108" w:type="dxa"/>
                    <w:top w:w="0" w:type="dxa"/>
                    <w:right w:w="108" w:type="dxa"/>
                    <w:bottom w:w="0" w:type="dxa"/>
                  </w:tcMar>
                  <w:tcW w:w="682" w:type="dxa"/>
                  <w:vAlign w:val="center"/>
                  <w:textDirection w:val="lrTb"/>
                  <w:noWrap w:val="false"/>
                </w:tcPr>
                <w:p>
                  <w:pPr>
                    <w:ind w:left="-105" w:right="-105" w:firstLine="0"/>
                    <w:jc w:val="center"/>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rPr>
                    <w:t xml:space="preserve">停车场</w:t>
                  </w:r>
                  <w:r/>
                </w:p>
              </w:tc>
              <w:tc>
                <w:tcPr>
                  <w:gridSpan w:val="3"/>
                  <w:tcMar>
                    <w:left w:w="108" w:type="dxa"/>
                    <w:top w:w="0" w:type="dxa"/>
                    <w:right w:w="108" w:type="dxa"/>
                    <w:bottom w:w="0" w:type="dxa"/>
                  </w:tcMar>
                  <w:tcW w:w="3405" w:type="dxa"/>
                  <w:vAlign w:val="center"/>
                  <w:textDirection w:val="lrTb"/>
                  <w:noWrap w:val="false"/>
                </w:tcPr>
                <w:p>
                  <w:pPr>
                    <w:ind w:left="-105" w:right="-105"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场地平整、无坑洼，环境清洁，排水良好，车位标志清晰；</w:t>
                  </w:r>
                  <w:r/>
                </w:p>
                <w:p>
                  <w:pPr>
                    <w:ind w:left="-105" w:right="-105"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乔木枝下高满足停车需要，无影响驾驶视线的植物枝叶；</w:t>
                  </w:r>
                  <w:r/>
                </w:p>
                <w:p>
                  <w:pPr>
                    <w:ind w:left="-105" w:right="-105"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收费明示。</w:t>
                  </w:r>
                  <w:r/>
                </w:p>
              </w:tc>
              <w:tc>
                <w:tcPr>
                  <w:tcMar>
                    <w:left w:w="108" w:type="dxa"/>
                    <w:top w:w="0" w:type="dxa"/>
                    <w:right w:w="108" w:type="dxa"/>
                    <w:bottom w:w="0" w:type="dxa"/>
                  </w:tcMar>
                  <w:tcW w:w="3594" w:type="dxa"/>
                  <w:vAlign w:val="center"/>
                  <w:textDirection w:val="lrTb"/>
                  <w:noWrap w:val="false"/>
                </w:tcPr>
                <w:p>
                  <w:pPr>
                    <w:ind w:left="-105" w:right="-105"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场地较平整、清洁，排水基本通畅，车位标志清晰；</w:t>
                  </w:r>
                  <w:r/>
                </w:p>
                <w:p>
                  <w:pPr>
                    <w:ind w:left="-105" w:right="-105"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乔木枝下高满足停车需要，无影响驾驶视线的植物枝叶；</w:t>
                  </w:r>
                  <w:r/>
                </w:p>
                <w:p>
                  <w:pPr>
                    <w:ind w:left="-105" w:right="-105"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收费明示。</w:t>
                  </w:r>
                  <w:r/>
                </w:p>
              </w:tc>
            </w:tr>
            <w:tr>
              <w:trPr>
                <w:jc w:val="center"/>
                <w:trHeight w:val="292"/>
              </w:trPr>
              <w:tc>
                <w:tcPr>
                  <w:gridSpan w:val="6"/>
                  <w:tcMar>
                    <w:left w:w="108" w:type="dxa"/>
                    <w:top w:w="0" w:type="dxa"/>
                    <w:right w:w="108" w:type="dxa"/>
                    <w:bottom w:w="0" w:type="dxa"/>
                  </w:tcMar>
                  <w:tcW w:w="1573" w:type="dxa"/>
                  <w:vAlign w:val="center"/>
                  <w:textDirection w:val="lrTb"/>
                  <w:noWrap w:val="false"/>
                </w:tcPr>
                <w:p>
                  <w:pPr>
                    <w:ind w:left="-105" w:right="-105" w:firstLine="0"/>
                    <w:jc w:val="center"/>
                    <w:spacing w:line="240" w:lineRule="exact"/>
                    <w:widowControl/>
                    <w:rPr>
                      <w:rFonts w:hint="eastAsia" w:ascii="宋体" w:hAnsi="宋体" w:eastAsia="宋体" w:cs="宋体"/>
                      <w:b/>
                      <w:bCs/>
                      <w:color w:val="auto"/>
                      <w:sz w:val="20"/>
                      <w:szCs w:val="20"/>
                      <w:highlight w:val="none"/>
                    </w:rPr>
                    <w:outlineLvl w:val="9"/>
                  </w:pPr>
                  <w:r>
                    <w:rPr>
                      <w:rFonts w:hint="eastAsia" w:ascii="宋体" w:hAnsi="宋体" w:eastAsia="宋体" w:cs="宋体"/>
                      <w:b/>
                      <w:bCs/>
                      <w:color w:val="auto"/>
                      <w:sz w:val="20"/>
                      <w:szCs w:val="20"/>
                      <w:highlight w:val="none"/>
                    </w:rPr>
                    <w:t xml:space="preserve"> 管护类别</w:t>
                  </w:r>
                  <w:r/>
                </w:p>
              </w:tc>
              <w:tc>
                <w:tcPr>
                  <w:gridSpan w:val="4"/>
                  <w:tcMar>
                    <w:left w:w="108" w:type="dxa"/>
                    <w:top w:w="0" w:type="dxa"/>
                    <w:right w:w="108" w:type="dxa"/>
                    <w:bottom w:w="0" w:type="dxa"/>
                  </w:tcMar>
                  <w:tcW w:w="3415" w:type="dxa"/>
                  <w:vAlign w:val="center"/>
                  <w:textDirection w:val="lrTb"/>
                  <w:noWrap w:val="false"/>
                </w:tcPr>
                <w:p>
                  <w:pPr>
                    <w:ind w:left="-105" w:right="-105" w:firstLine="0"/>
                    <w:jc w:val="center"/>
                    <w:spacing w:line="240" w:lineRule="exact"/>
                    <w:widowControl/>
                    <w:rPr>
                      <w:rFonts w:hint="eastAsia" w:ascii="宋体" w:hAnsi="宋体" w:eastAsia="宋体" w:cs="宋体"/>
                      <w:b/>
                      <w:bCs/>
                      <w:color w:val="auto"/>
                      <w:sz w:val="20"/>
                      <w:szCs w:val="20"/>
                      <w:highlight w:val="none"/>
                    </w:rPr>
                    <w:outlineLvl w:val="9"/>
                  </w:pPr>
                  <w:r>
                    <w:rPr>
                      <w:rFonts w:hint="eastAsia" w:ascii="宋体" w:hAnsi="宋体" w:eastAsia="宋体" w:cs="宋体"/>
                      <w:b/>
                      <w:bCs/>
                      <w:color w:val="auto"/>
                      <w:sz w:val="20"/>
                      <w:szCs w:val="20"/>
                      <w:highlight w:val="none"/>
                    </w:rPr>
                    <w:t xml:space="preserve">一级管护绿地</w:t>
                  </w:r>
                  <w:r/>
                </w:p>
              </w:tc>
              <w:tc>
                <w:tcPr>
                  <w:tcMar>
                    <w:left w:w="108" w:type="dxa"/>
                    <w:top w:w="0" w:type="dxa"/>
                    <w:right w:w="108" w:type="dxa"/>
                    <w:bottom w:w="0" w:type="dxa"/>
                  </w:tcMar>
                  <w:tcW w:w="3594" w:type="dxa"/>
                  <w:vAlign w:val="center"/>
                  <w:textDirection w:val="lrTb"/>
                  <w:noWrap w:val="false"/>
                </w:tcPr>
                <w:p>
                  <w:pPr>
                    <w:ind w:left="-105" w:right="-105" w:firstLine="0"/>
                    <w:jc w:val="center"/>
                    <w:spacing w:line="240" w:lineRule="exact"/>
                    <w:widowControl/>
                    <w:rPr>
                      <w:rFonts w:hint="eastAsia" w:ascii="宋体" w:hAnsi="宋体" w:eastAsia="宋体" w:cs="宋体"/>
                      <w:b/>
                      <w:bCs/>
                      <w:color w:val="auto"/>
                      <w:sz w:val="20"/>
                      <w:szCs w:val="20"/>
                      <w:highlight w:val="none"/>
                    </w:rPr>
                    <w:outlineLvl w:val="9"/>
                  </w:pPr>
                  <w:r>
                    <w:rPr>
                      <w:rFonts w:hint="eastAsia" w:ascii="宋体" w:hAnsi="宋体" w:eastAsia="宋体" w:cs="宋体"/>
                      <w:b/>
                      <w:bCs/>
                      <w:color w:val="auto"/>
                      <w:sz w:val="20"/>
                      <w:szCs w:val="20"/>
                      <w:highlight w:val="none"/>
                    </w:rPr>
                    <w:t xml:space="preserve">二级管护绿地</w:t>
                  </w:r>
                  <w:r/>
                </w:p>
              </w:tc>
            </w:tr>
            <w:tr>
              <w:trPr>
                <w:jc w:val="center"/>
              </w:trPr>
              <w:tc>
                <w:tcPr>
                  <w:gridSpan w:val="2"/>
                  <w:tcMar>
                    <w:left w:w="108" w:type="dxa"/>
                    <w:top w:w="0" w:type="dxa"/>
                    <w:right w:w="108" w:type="dxa"/>
                    <w:bottom w:w="0" w:type="dxa"/>
                  </w:tcMar>
                  <w:tcW w:w="892" w:type="dxa"/>
                  <w:vAlign w:val="center"/>
                  <w:vMerge w:val="restart"/>
                  <w:textDirection w:val="lrTb"/>
                  <w:noWrap w:val="false"/>
                </w:tcPr>
                <w:p>
                  <w:pPr>
                    <w:ind w:left="-105" w:right="-105" w:firstLine="0"/>
                    <w:jc w:val="center"/>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rPr>
                    <w:t xml:space="preserve">二</w:t>
                  </w:r>
                  <w:r/>
                </w:p>
                <w:p>
                  <w:pPr>
                    <w:ind w:left="-105" w:right="-105" w:firstLine="0"/>
                    <w:jc w:val="center"/>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rPr>
                    <w:t xml:space="preserve">园</w:t>
                  </w:r>
                  <w:r/>
                </w:p>
                <w:p>
                  <w:pPr>
                    <w:ind w:left="-105" w:right="-105" w:firstLine="0"/>
                    <w:jc w:val="center"/>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rPr>
                    <w:t xml:space="preserve">林</w:t>
                  </w:r>
                  <w:r/>
                </w:p>
                <w:p>
                  <w:pPr>
                    <w:ind w:left="-105" w:right="-105" w:firstLine="0"/>
                    <w:jc w:val="center"/>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rPr>
                    <w:t xml:space="preserve">设</w:t>
                  </w:r>
                  <w:r/>
                </w:p>
                <w:p>
                  <w:pPr>
                    <w:ind w:left="-105" w:right="-105" w:firstLine="0"/>
                    <w:jc w:val="center"/>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rPr>
                    <w:t xml:space="preserve">施</w:t>
                  </w:r>
                  <w:r/>
                </w:p>
                <w:p>
                  <w:pPr>
                    <w:ind w:left="-105" w:right="-105" w:firstLine="0"/>
                    <w:jc w:val="center"/>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rPr>
                    <w:t xml:space="preserve">维</w:t>
                  </w:r>
                  <w:r/>
                </w:p>
                <w:p>
                  <w:pPr>
                    <w:ind w:left="-105" w:right="-105" w:firstLine="0"/>
                    <w:jc w:val="center"/>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rPr>
                    <w:t xml:space="preserve">护</w:t>
                  </w:r>
                  <w:r/>
                </w:p>
              </w:tc>
              <w:tc>
                <w:tcPr>
                  <w:gridSpan w:val="4"/>
                  <w:tcMar>
                    <w:left w:w="108" w:type="dxa"/>
                    <w:top w:w="0" w:type="dxa"/>
                    <w:right w:w="108" w:type="dxa"/>
                    <w:bottom w:w="0" w:type="dxa"/>
                  </w:tcMar>
                  <w:tcW w:w="681" w:type="dxa"/>
                  <w:vAlign w:val="center"/>
                  <w:textDirection w:val="lrTb"/>
                  <w:noWrap w:val="false"/>
                </w:tcPr>
                <w:p>
                  <w:pPr>
                    <w:ind w:left="-105" w:right="-105" w:firstLine="0"/>
                    <w:jc w:val="center"/>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rPr>
                    <w:t xml:space="preserve">土底水体</w:t>
                  </w:r>
                  <w:r/>
                </w:p>
              </w:tc>
              <w:tc>
                <w:tcPr>
                  <w:gridSpan w:val="4"/>
                  <w:tcMar>
                    <w:left w:w="108" w:type="dxa"/>
                    <w:top w:w="0" w:type="dxa"/>
                    <w:right w:w="108" w:type="dxa"/>
                    <w:bottom w:w="0" w:type="dxa"/>
                  </w:tcMar>
                  <w:tcW w:w="3415" w:type="dxa"/>
                  <w:vAlign w:val="center"/>
                  <w:textDirection w:val="lrTb"/>
                  <w:noWrap w:val="false"/>
                </w:tcPr>
                <w:p>
                  <w:pPr>
                    <w:ind w:left="-105" w:right="-105"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水质符合地表水环境质量标准的要求；水面清洁，无漂浮物。</w:t>
                  </w:r>
                  <w:r/>
                </w:p>
                <w:p>
                  <w:pPr>
                    <w:ind w:left="-105" w:right="-105"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安全警示标志设置规范、齐全。</w:t>
                  </w:r>
                  <w:r/>
                </w:p>
                <w:p>
                  <w:pPr>
                    <w:ind w:left="-105" w:right="-105"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水体排灌等设施完好，运行正常。</w:t>
                  </w:r>
                  <w:r/>
                </w:p>
                <w:p>
                  <w:pPr>
                    <w:ind w:left="-105" w:right="-105"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驳岸安全稳固、整齐美观，无缺损。</w:t>
                  </w:r>
                  <w:r/>
                </w:p>
              </w:tc>
              <w:tc>
                <w:tcPr>
                  <w:tcMar>
                    <w:left w:w="108" w:type="dxa"/>
                    <w:top w:w="0" w:type="dxa"/>
                    <w:right w:w="108" w:type="dxa"/>
                    <w:bottom w:w="0" w:type="dxa"/>
                  </w:tcMar>
                  <w:tcW w:w="3594" w:type="dxa"/>
                  <w:vAlign w:val="center"/>
                  <w:textDirection w:val="lrTb"/>
                  <w:noWrap w:val="false"/>
                </w:tcPr>
                <w:p>
                  <w:pPr>
                    <w:ind w:left="-105" w:right="-105"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水质符合地表水环境质量标准的要求；水面清洁，基本无漂浮物。</w:t>
                  </w:r>
                  <w:r/>
                </w:p>
                <w:p>
                  <w:pPr>
                    <w:ind w:left="-105" w:right="-105"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安全警示标志设置齐全。</w:t>
                  </w:r>
                  <w:r/>
                </w:p>
                <w:p>
                  <w:pPr>
                    <w:ind w:left="-105" w:right="-105"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水体排灌等设施完好，运行正常。</w:t>
                  </w:r>
                  <w:r/>
                </w:p>
                <w:p>
                  <w:pPr>
                    <w:ind w:right="-105" w:firstLine="40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驳岸安全稳固、整齐美观，无明显缺损。</w:t>
                  </w:r>
                  <w:r/>
                </w:p>
              </w:tc>
            </w:tr>
            <w:tr>
              <w:trPr>
                <w:jc w:val="center"/>
                <w:trHeight w:val="1214"/>
              </w:trPr>
              <w:tc>
                <w:tcPr>
                  <w:gridSpan w:val="2"/>
                  <w:tcW w:w="892" w:type="dxa"/>
                  <w:vAlign w:val="center"/>
                  <w:vMerge w:val="continue"/>
                  <w:textDirection w:val="lrTb"/>
                  <w:noWrap w:val="false"/>
                </w:tcPr>
                <w:p>
                  <w:pPr>
                    <w:ind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gridSpan w:val="4"/>
                  <w:tcMar>
                    <w:left w:w="108" w:type="dxa"/>
                    <w:top w:w="0" w:type="dxa"/>
                    <w:right w:w="108" w:type="dxa"/>
                    <w:bottom w:w="0" w:type="dxa"/>
                  </w:tcMar>
                  <w:tcW w:w="681" w:type="dxa"/>
                  <w:vAlign w:val="center"/>
                  <w:textDirection w:val="lrTb"/>
                  <w:noWrap w:val="false"/>
                </w:tcPr>
                <w:p>
                  <w:pPr>
                    <w:ind w:left="-105" w:right="-105" w:firstLine="0"/>
                    <w:jc w:val="center"/>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rPr>
                    <w:t xml:space="preserve">非土底</w:t>
                  </w:r>
                  <w:r/>
                </w:p>
                <w:p>
                  <w:pPr>
                    <w:ind w:left="-105" w:right="-105" w:firstLine="0"/>
                    <w:jc w:val="center"/>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rPr>
                    <w:t xml:space="preserve">水体</w:t>
                  </w:r>
                  <w:r/>
                </w:p>
              </w:tc>
              <w:tc>
                <w:tcPr>
                  <w:gridSpan w:val="4"/>
                  <w:tcMar>
                    <w:left w:w="108" w:type="dxa"/>
                    <w:top w:w="0" w:type="dxa"/>
                    <w:right w:w="108" w:type="dxa"/>
                    <w:bottom w:w="0" w:type="dxa"/>
                  </w:tcMar>
                  <w:tcW w:w="3415" w:type="dxa"/>
                  <w:vAlign w:val="center"/>
                  <w:textDirection w:val="lrTb"/>
                  <w:noWrap w:val="false"/>
                </w:tcPr>
                <w:p>
                  <w:pPr>
                    <w:ind w:right="-105" w:firstLine="0"/>
                    <w:jc w:val="left"/>
                    <w:spacing w:before="100" w:beforeAutospacing="1" w:after="100" w:afterAutospacing="1"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水质符合地表水环境质量标准的相应要求；水面清洁，无漂浮物。</w:t>
                  </w:r>
                  <w:r/>
                </w:p>
                <w:p>
                  <w:pPr>
                    <w:ind w:left="-105" w:right="-105"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安全警示标志设置规范、齐全。</w:t>
                  </w:r>
                  <w:r/>
                </w:p>
                <w:p>
                  <w:pPr>
                    <w:ind w:left="-105" w:right="-105"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池底、池岸安全稳固，各类面层无缺损。</w:t>
                  </w:r>
                  <w:r/>
                </w:p>
              </w:tc>
              <w:tc>
                <w:tcPr>
                  <w:tcMar>
                    <w:left w:w="108" w:type="dxa"/>
                    <w:top w:w="0" w:type="dxa"/>
                    <w:right w:w="108" w:type="dxa"/>
                    <w:bottom w:w="0" w:type="dxa"/>
                  </w:tcMar>
                  <w:tcW w:w="3594" w:type="dxa"/>
                  <w:vAlign w:val="center"/>
                  <w:textDirection w:val="lrTb"/>
                  <w:noWrap w:val="false"/>
                </w:tcPr>
                <w:p>
                  <w:pPr>
                    <w:ind w:left="-105" w:right="-105"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水质符合地表水环境质量标准的相应要求；水面清洁，基本无漂浮物。</w:t>
                  </w:r>
                  <w:r/>
                </w:p>
                <w:p>
                  <w:pPr>
                    <w:ind w:left="-105" w:right="-105"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安全警示标志设置齐全。</w:t>
                  </w:r>
                  <w:r/>
                </w:p>
                <w:p>
                  <w:pPr>
                    <w:ind w:left="-105" w:right="-105"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池底、池岸安全稳固，各类面层基本无缺损。</w:t>
                  </w:r>
                  <w:r/>
                </w:p>
              </w:tc>
            </w:tr>
            <w:tr>
              <w:trPr>
                <w:jc w:val="center"/>
                <w:trHeight w:val="1214"/>
              </w:trPr>
              <w:tc>
                <w:tcPr>
                  <w:gridSpan w:val="2"/>
                  <w:tcW w:w="892" w:type="dxa"/>
                  <w:vAlign w:val="center"/>
                  <w:vMerge w:val="continue"/>
                  <w:textDirection w:val="lrTb"/>
                  <w:noWrap w:val="false"/>
                </w:tcPr>
                <w:p>
                  <w:pPr>
                    <w:ind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gridSpan w:val="4"/>
                  <w:tcMar>
                    <w:left w:w="108" w:type="dxa"/>
                    <w:top w:w="0" w:type="dxa"/>
                    <w:right w:w="108" w:type="dxa"/>
                    <w:bottom w:w="0" w:type="dxa"/>
                  </w:tcMar>
                  <w:tcW w:w="681" w:type="dxa"/>
                  <w:vAlign w:val="center"/>
                  <w:textDirection w:val="lrTb"/>
                  <w:noWrap w:val="false"/>
                </w:tcPr>
                <w:p>
                  <w:pPr>
                    <w:ind w:left="-105" w:right="-105" w:firstLine="0"/>
                    <w:jc w:val="center"/>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rPr>
                    <w:t xml:space="preserve">公共</w:t>
                  </w:r>
                  <w:r/>
                </w:p>
                <w:p>
                  <w:pPr>
                    <w:ind w:left="-105" w:right="-105" w:firstLine="0"/>
                    <w:jc w:val="center"/>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rPr>
                    <w:t xml:space="preserve">卫生间</w:t>
                  </w:r>
                  <w:r/>
                </w:p>
              </w:tc>
              <w:tc>
                <w:tcPr>
                  <w:gridSpan w:val="4"/>
                  <w:tcMar>
                    <w:left w:w="108" w:type="dxa"/>
                    <w:top w:w="0" w:type="dxa"/>
                    <w:right w:w="108" w:type="dxa"/>
                    <w:bottom w:w="0" w:type="dxa"/>
                  </w:tcMar>
                  <w:tcW w:w="3415" w:type="dxa"/>
                  <w:vAlign w:val="center"/>
                  <w:textDirection w:val="lrTb"/>
                  <w:noWrap w:val="false"/>
                </w:tcPr>
                <w:p>
                  <w:pPr>
                    <w:ind w:left="-105" w:right="-105"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室内地面保持清洁，无垃圾、积水。便器无污物外溢、漏水。臭味强度不高于0级；保持通风，目测无蚊蝇。</w:t>
                  </w:r>
                  <w:r/>
                </w:p>
                <w:p>
                  <w:pPr>
                    <w:ind w:left="-105" w:right="-105"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无障碍通道、蹲位、洗手池以及其它各类设施齐全，使用正常。</w:t>
                  </w:r>
                  <w:r/>
                </w:p>
                <w:p>
                  <w:pPr>
                    <w:ind w:left="-105" w:right="-105"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墙面及隔离板无乱贴乱画痕迹；引导标识醒目。</w:t>
                  </w:r>
                  <w:r/>
                </w:p>
              </w:tc>
              <w:tc>
                <w:tcPr>
                  <w:tcMar>
                    <w:left w:w="108" w:type="dxa"/>
                    <w:top w:w="0" w:type="dxa"/>
                    <w:right w:w="108" w:type="dxa"/>
                    <w:bottom w:w="0" w:type="dxa"/>
                  </w:tcMar>
                  <w:tcW w:w="3594" w:type="dxa"/>
                  <w:vAlign w:val="center"/>
                  <w:textDirection w:val="lrTb"/>
                  <w:noWrap w:val="false"/>
                </w:tcPr>
                <w:p>
                  <w:pPr>
                    <w:ind w:left="-105" w:right="-105"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室内地面保持清洁，无垃圾、积水。便器无污物外溢、漏水。臭味强度不高于1级；保持通风，目测基本无蚊蝇。</w:t>
                  </w:r>
                  <w:r/>
                </w:p>
                <w:p>
                  <w:pPr>
                    <w:ind w:left="-105" w:right="-105"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无障碍通道、蹲位及其它各类设施齐全；使用基本正常。</w:t>
                  </w:r>
                  <w:r/>
                </w:p>
                <w:p>
                  <w:pPr>
                    <w:ind w:left="-105" w:right="-105"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墙面及隔离板基本无乱贴乱画痕迹；引导标识清晰。</w:t>
                  </w:r>
                  <w:r/>
                </w:p>
              </w:tc>
            </w:tr>
            <w:tr>
              <w:trPr>
                <w:jc w:val="center"/>
              </w:trPr>
              <w:tc>
                <w:tcPr>
                  <w:gridSpan w:val="2"/>
                  <w:tcW w:w="892" w:type="dxa"/>
                  <w:vAlign w:val="center"/>
                  <w:vMerge w:val="continue"/>
                  <w:textDirection w:val="lrTb"/>
                  <w:noWrap w:val="false"/>
                </w:tcPr>
                <w:p>
                  <w:pPr>
                    <w:ind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gridSpan w:val="4"/>
                  <w:tcMar>
                    <w:left w:w="108" w:type="dxa"/>
                    <w:top w:w="0" w:type="dxa"/>
                    <w:right w:w="108" w:type="dxa"/>
                    <w:bottom w:w="0" w:type="dxa"/>
                  </w:tcMar>
                  <w:tcW w:w="681" w:type="dxa"/>
                  <w:vAlign w:val="center"/>
                  <w:textDirection w:val="lrTb"/>
                  <w:noWrap w:val="false"/>
                </w:tcPr>
                <w:p>
                  <w:pPr>
                    <w:ind w:left="-105" w:right="-105" w:firstLine="0"/>
                    <w:jc w:val="center"/>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rPr>
                    <w:t xml:space="preserve">垃圾箱</w:t>
                  </w:r>
                  <w:r/>
                </w:p>
              </w:tc>
              <w:tc>
                <w:tcPr>
                  <w:gridSpan w:val="4"/>
                  <w:tcMar>
                    <w:left w:w="108" w:type="dxa"/>
                    <w:top w:w="0" w:type="dxa"/>
                    <w:right w:w="108" w:type="dxa"/>
                    <w:bottom w:w="0" w:type="dxa"/>
                  </w:tcMar>
                  <w:tcW w:w="3415" w:type="dxa"/>
                  <w:vAlign w:val="center"/>
                  <w:textDirection w:val="lrTb"/>
                  <w:noWrap w:val="false"/>
                </w:tcPr>
                <w:p>
                  <w:pPr>
                    <w:ind w:left="-105" w:right="-105"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外观清洁、完整，内壁无污垢陈渍，箱内无陈积垃圾；分类设置。</w:t>
                  </w:r>
                  <w:r/>
                </w:p>
              </w:tc>
              <w:tc>
                <w:tcPr>
                  <w:tcMar>
                    <w:left w:w="108" w:type="dxa"/>
                    <w:top w:w="0" w:type="dxa"/>
                    <w:right w:w="108" w:type="dxa"/>
                    <w:bottom w:w="0" w:type="dxa"/>
                  </w:tcMar>
                  <w:tcW w:w="3594" w:type="dxa"/>
                  <w:vAlign w:val="center"/>
                  <w:textDirection w:val="lrTb"/>
                  <w:noWrap w:val="false"/>
                </w:tcPr>
                <w:p>
                  <w:pPr>
                    <w:ind w:left="-105" w:right="-105"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外观清洁、完整，内壁无明显污垢陈渍，箱内无陈积垃圾；分类设置。</w:t>
                  </w:r>
                  <w:r/>
                </w:p>
              </w:tc>
            </w:tr>
            <w:tr>
              <w:trPr>
                <w:jc w:val="center"/>
              </w:trPr>
              <w:tc>
                <w:tcPr>
                  <w:gridSpan w:val="2"/>
                  <w:tcW w:w="892" w:type="dxa"/>
                  <w:vAlign w:val="center"/>
                  <w:vMerge w:val="continue"/>
                  <w:textDirection w:val="lrTb"/>
                  <w:noWrap w:val="false"/>
                </w:tcPr>
                <w:p>
                  <w:pPr>
                    <w:ind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gridSpan w:val="4"/>
                  <w:tcMar>
                    <w:left w:w="108" w:type="dxa"/>
                    <w:top w:w="0" w:type="dxa"/>
                    <w:right w:w="108" w:type="dxa"/>
                    <w:bottom w:w="0" w:type="dxa"/>
                  </w:tcMar>
                  <w:tcW w:w="681" w:type="dxa"/>
                  <w:vAlign w:val="center"/>
                  <w:textDirection w:val="lrTb"/>
                  <w:noWrap w:val="false"/>
                </w:tcPr>
                <w:p>
                  <w:pPr>
                    <w:ind w:left="-105" w:right="-105" w:firstLine="0"/>
                    <w:jc w:val="center"/>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rPr>
                    <w:t xml:space="preserve">供电、照明</w:t>
                  </w:r>
                  <w:r/>
                </w:p>
              </w:tc>
              <w:tc>
                <w:tcPr>
                  <w:gridSpan w:val="4"/>
                  <w:tcMar>
                    <w:left w:w="108" w:type="dxa"/>
                    <w:top w:w="0" w:type="dxa"/>
                    <w:right w:w="108" w:type="dxa"/>
                    <w:bottom w:w="0" w:type="dxa"/>
                  </w:tcMar>
                  <w:tcW w:w="3415" w:type="dxa"/>
                  <w:vAlign w:val="center"/>
                  <w:textDirection w:val="lrTb"/>
                  <w:noWrap w:val="false"/>
                </w:tcPr>
                <w:p>
                  <w:pPr>
                    <w:ind w:left="-105" w:right="-105"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输配电运行正常，使用安全。</w:t>
                  </w:r>
                  <w:r/>
                </w:p>
                <w:p>
                  <w:pPr>
                    <w:ind w:left="-105" w:right="-105"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各类照明设施完好（完好率≥95%）、清洁、安全；亮灯率≥98%。</w:t>
                  </w:r>
                  <w:r/>
                </w:p>
                <w:p>
                  <w:pPr>
                    <w:ind w:left="-105" w:right="-105"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入地管线标志明显，档案图纸齐全。</w:t>
                  </w:r>
                  <w:r/>
                </w:p>
              </w:tc>
              <w:tc>
                <w:tcPr>
                  <w:tcMar>
                    <w:left w:w="108" w:type="dxa"/>
                    <w:top w:w="0" w:type="dxa"/>
                    <w:right w:w="108" w:type="dxa"/>
                    <w:bottom w:w="0" w:type="dxa"/>
                  </w:tcMar>
                  <w:tcW w:w="3594" w:type="dxa"/>
                  <w:vAlign w:val="center"/>
                  <w:textDirection w:val="lrTb"/>
                  <w:noWrap w:val="false"/>
                </w:tcPr>
                <w:p>
                  <w:pPr>
                    <w:ind w:left="-105" w:right="-105"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输配电运行正常，使用安全。</w:t>
                  </w:r>
                  <w:r/>
                </w:p>
                <w:p>
                  <w:pPr>
                    <w:ind w:left="-105" w:right="-105"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各类照明设施基本完好（完好率≥90%）、清洁、安全；亮灯率≥96%。</w:t>
                  </w:r>
                  <w:r/>
                </w:p>
                <w:p>
                  <w:pPr>
                    <w:ind w:left="-105" w:right="-105"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入地管线标志明显，档案图纸完整。</w:t>
                  </w:r>
                  <w:r/>
                </w:p>
              </w:tc>
            </w:tr>
            <w:tr>
              <w:trPr>
                <w:jc w:val="center"/>
              </w:trPr>
              <w:tc>
                <w:tcPr>
                  <w:gridSpan w:val="2"/>
                  <w:tcW w:w="892" w:type="dxa"/>
                  <w:vAlign w:val="center"/>
                  <w:textDirection w:val="lrTb"/>
                  <w:noWrap w:val="false"/>
                </w:tcPr>
                <w:p>
                  <w:pPr>
                    <w:ind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gridSpan w:val="4"/>
                  <w:tcMar>
                    <w:left w:w="108" w:type="dxa"/>
                    <w:top w:w="0" w:type="dxa"/>
                    <w:right w:w="108" w:type="dxa"/>
                    <w:bottom w:w="0" w:type="dxa"/>
                  </w:tcMar>
                  <w:tcW w:w="681" w:type="dxa"/>
                  <w:vAlign w:val="center"/>
                  <w:textDirection w:val="lrTb"/>
                  <w:noWrap w:val="false"/>
                </w:tcPr>
                <w:p>
                  <w:pPr>
                    <w:ind w:left="-105" w:right="-105" w:firstLine="0"/>
                    <w:jc w:val="center"/>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rPr>
                    <w:t xml:space="preserve">弱电</w:t>
                  </w:r>
                  <w:r/>
                </w:p>
              </w:tc>
              <w:tc>
                <w:tcPr>
                  <w:gridSpan w:val="4"/>
                  <w:tcMar>
                    <w:left w:w="108" w:type="dxa"/>
                    <w:top w:w="0" w:type="dxa"/>
                    <w:right w:w="108" w:type="dxa"/>
                    <w:bottom w:w="0" w:type="dxa"/>
                  </w:tcMar>
                  <w:tcW w:w="3415" w:type="dxa"/>
                  <w:vAlign w:val="center"/>
                  <w:textDirection w:val="lrTb"/>
                  <w:noWrap w:val="false"/>
                </w:tcPr>
                <w:p>
                  <w:pPr>
                    <w:ind w:left="-105" w:right="-105"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各类弱电系统设备完好，使用正常。</w:t>
                  </w:r>
                  <w:r/>
                </w:p>
              </w:tc>
              <w:tc>
                <w:tcPr>
                  <w:tcMar>
                    <w:left w:w="108" w:type="dxa"/>
                    <w:top w:w="0" w:type="dxa"/>
                    <w:right w:w="108" w:type="dxa"/>
                    <w:bottom w:w="0" w:type="dxa"/>
                  </w:tcMar>
                  <w:tcW w:w="3594" w:type="dxa"/>
                  <w:vAlign w:val="center"/>
                  <w:textDirection w:val="lrTb"/>
                  <w:noWrap w:val="false"/>
                </w:tcPr>
                <w:p>
                  <w:pPr>
                    <w:ind w:left="-105" w:right="-105"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各类弱电系统设备基本完好，能正常使用。</w:t>
                  </w:r>
                  <w:r/>
                </w:p>
              </w:tc>
            </w:tr>
            <w:tr>
              <w:trPr>
                <w:jc w:val="center"/>
              </w:trPr>
              <w:tc>
                <w:tcPr>
                  <w:gridSpan w:val="2"/>
                  <w:tcW w:w="892" w:type="dxa"/>
                  <w:vAlign w:val="center"/>
                  <w:textDirection w:val="lrTb"/>
                  <w:noWrap w:val="false"/>
                </w:tcPr>
                <w:p>
                  <w:pPr>
                    <w:ind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gridSpan w:val="4"/>
                  <w:tcMar>
                    <w:left w:w="108" w:type="dxa"/>
                    <w:top w:w="0" w:type="dxa"/>
                    <w:right w:w="108" w:type="dxa"/>
                    <w:bottom w:w="0" w:type="dxa"/>
                  </w:tcMar>
                  <w:tcW w:w="681" w:type="dxa"/>
                  <w:vAlign w:val="center"/>
                  <w:textDirection w:val="lrTb"/>
                  <w:noWrap w:val="false"/>
                </w:tcPr>
                <w:p>
                  <w:pPr>
                    <w:ind w:left="-105" w:right="-105" w:firstLine="0"/>
                    <w:jc w:val="center"/>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rPr>
                    <w:t xml:space="preserve">给排水</w:t>
                  </w:r>
                  <w:r/>
                </w:p>
              </w:tc>
              <w:tc>
                <w:tcPr>
                  <w:gridSpan w:val="4"/>
                  <w:tcMar>
                    <w:left w:w="108" w:type="dxa"/>
                    <w:top w:w="0" w:type="dxa"/>
                    <w:right w:w="108" w:type="dxa"/>
                    <w:bottom w:w="0" w:type="dxa"/>
                  </w:tcMar>
                  <w:tcW w:w="3415" w:type="dxa"/>
                  <w:vAlign w:val="center"/>
                  <w:textDirection w:val="lrTb"/>
                  <w:noWrap w:val="false"/>
                </w:tcPr>
                <w:p>
                  <w:pPr>
                    <w:ind w:left="-105" w:right="-105"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pacing w:val="-6"/>
                      <w:sz w:val="20"/>
                      <w:szCs w:val="20"/>
                      <w:highlight w:val="none"/>
                    </w:rPr>
                    <w:t xml:space="preserve">管道通畅；外露的给排水等设施清洁、完整。井盖、井篦安放平稳，与井框吻合，无倾覆。</w:t>
                  </w:r>
                  <w:r/>
                </w:p>
                <w:p>
                  <w:pPr>
                    <w:ind w:left="-105" w:right="-105"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防汛、消防等设备完好，使用正常。</w:t>
                  </w:r>
                  <w:r/>
                </w:p>
              </w:tc>
              <w:tc>
                <w:tcPr>
                  <w:tcMar>
                    <w:left w:w="108" w:type="dxa"/>
                    <w:top w:w="0" w:type="dxa"/>
                    <w:right w:w="108" w:type="dxa"/>
                    <w:bottom w:w="0" w:type="dxa"/>
                  </w:tcMar>
                  <w:tcW w:w="3594" w:type="dxa"/>
                  <w:vAlign w:val="center"/>
                  <w:textDirection w:val="lrTb"/>
                  <w:noWrap w:val="false"/>
                </w:tcPr>
                <w:p>
                  <w:pPr>
                    <w:ind w:left="-105" w:right="-105"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管道基本畅通；外露的给排水等设施清洁、完整。井盖、井篦安放基本平稳，与井框吻合，无倾覆。</w:t>
                  </w:r>
                  <w:r/>
                </w:p>
                <w:p>
                  <w:pPr>
                    <w:ind w:left="-105" w:right="-105"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防汛、消防等设备完好、使用正常。</w:t>
                  </w:r>
                  <w:r/>
                </w:p>
              </w:tc>
            </w:tr>
            <w:tr>
              <w:trPr>
                <w:jc w:val="center"/>
              </w:trPr>
              <w:tc>
                <w:tcPr>
                  <w:gridSpan w:val="2"/>
                  <w:tcW w:w="892" w:type="dxa"/>
                  <w:vAlign w:val="center"/>
                  <w:textDirection w:val="lrTb"/>
                  <w:noWrap w:val="false"/>
                </w:tcPr>
                <w:p>
                  <w:pPr>
                    <w:ind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gridSpan w:val="4"/>
                  <w:tcMar>
                    <w:left w:w="108" w:type="dxa"/>
                    <w:top w:w="0" w:type="dxa"/>
                    <w:right w:w="108" w:type="dxa"/>
                    <w:bottom w:w="0" w:type="dxa"/>
                  </w:tcMar>
                  <w:tcW w:w="681" w:type="dxa"/>
                  <w:vAlign w:val="center"/>
                  <w:textDirection w:val="lrTb"/>
                  <w:noWrap w:val="false"/>
                </w:tcPr>
                <w:p>
                  <w:pPr>
                    <w:ind w:left="-105" w:right="-105" w:firstLine="0"/>
                    <w:jc w:val="center"/>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rPr>
                    <w:t xml:space="preserve">标识</w:t>
                  </w:r>
                  <w:r/>
                </w:p>
              </w:tc>
              <w:tc>
                <w:tcPr>
                  <w:gridSpan w:val="4"/>
                  <w:tcMar>
                    <w:left w:w="108" w:type="dxa"/>
                    <w:top w:w="0" w:type="dxa"/>
                    <w:right w:w="108" w:type="dxa"/>
                    <w:bottom w:w="0" w:type="dxa"/>
                  </w:tcMar>
                  <w:tcW w:w="3415" w:type="dxa"/>
                  <w:vAlign w:val="center"/>
                  <w:textDirection w:val="lrTb"/>
                  <w:noWrap w:val="false"/>
                </w:tcPr>
                <w:p>
                  <w:pPr>
                    <w:ind w:left="-105" w:right="-105"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牌示齐全、完整、整洁，文字及图案清晰。</w:t>
                  </w:r>
                  <w:r/>
                </w:p>
              </w:tc>
              <w:tc>
                <w:tcPr>
                  <w:tcMar>
                    <w:left w:w="108" w:type="dxa"/>
                    <w:top w:w="0" w:type="dxa"/>
                    <w:right w:w="108" w:type="dxa"/>
                    <w:bottom w:w="0" w:type="dxa"/>
                  </w:tcMar>
                  <w:tcW w:w="3594" w:type="dxa"/>
                  <w:vAlign w:val="center"/>
                  <w:textDirection w:val="lrTb"/>
                  <w:noWrap w:val="false"/>
                </w:tcPr>
                <w:p>
                  <w:pPr>
                    <w:ind w:left="-105" w:right="-105"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牌示基本齐全，较整洁，文字及图案清晰。</w:t>
                  </w:r>
                  <w:r/>
                </w:p>
              </w:tc>
            </w:tr>
            <w:tr>
              <w:trPr>
                <w:jc w:val="center"/>
              </w:trPr>
              <w:tc>
                <w:tcPr>
                  <w:gridSpan w:val="2"/>
                  <w:tcW w:w="892" w:type="dxa"/>
                  <w:vAlign w:val="center"/>
                  <w:vMerge w:val="restart"/>
                  <w:textDirection w:val="lrTb"/>
                  <w:noWrap w:val="false"/>
                </w:tcPr>
                <w:p>
                  <w:pPr>
                    <w:ind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gridSpan w:val="4"/>
                  <w:tcMar>
                    <w:left w:w="108" w:type="dxa"/>
                    <w:top w:w="0" w:type="dxa"/>
                    <w:right w:w="108" w:type="dxa"/>
                    <w:bottom w:w="0" w:type="dxa"/>
                  </w:tcMar>
                  <w:tcW w:w="681" w:type="dxa"/>
                  <w:textDirection w:val="lrTb"/>
                  <w:noWrap w:val="false"/>
                </w:tcPr>
                <w:p>
                  <w:pPr>
                    <w:ind w:left="-105" w:right="-105" w:firstLine="0"/>
                    <w:jc w:val="center"/>
                    <w:spacing w:line="240" w:lineRule="exact"/>
                    <w:widowControl/>
                    <w:rPr>
                      <w:rFonts w:hint="eastAsia" w:ascii="宋体" w:hAnsi="宋体" w:eastAsia="宋体" w:cs="宋体"/>
                      <w:b/>
                      <w:bCs/>
                      <w:color w:val="auto"/>
                      <w:sz w:val="20"/>
                      <w:szCs w:val="20"/>
                      <w:highlight w:val="none"/>
                    </w:rPr>
                    <w:outlineLvl w:val="9"/>
                  </w:pPr>
                  <w:r>
                    <w:rPr>
                      <w:rFonts w:hint="eastAsia" w:ascii="宋体" w:hAnsi="宋体" w:eastAsia="宋体" w:cs="宋体"/>
                      <w:b/>
                      <w:bCs/>
                      <w:color w:val="auto"/>
                      <w:sz w:val="20"/>
                      <w:szCs w:val="20"/>
                      <w:highlight w:val="none"/>
                    </w:rPr>
                    <w:t xml:space="preserve">游乐、健身设施</w:t>
                  </w:r>
                  <w:r/>
                </w:p>
              </w:tc>
              <w:tc>
                <w:tcPr>
                  <w:gridSpan w:val="5"/>
                  <w:tcMar>
                    <w:left w:w="108" w:type="dxa"/>
                    <w:top w:w="0" w:type="dxa"/>
                    <w:right w:w="108" w:type="dxa"/>
                    <w:bottom w:w="0" w:type="dxa"/>
                  </w:tcMar>
                  <w:tcW w:w="7009" w:type="dxa"/>
                  <w:textDirection w:val="lrTb"/>
                  <w:noWrap w:val="false"/>
                </w:tcPr>
                <w:p>
                  <w:pPr>
                    <w:ind w:firstLine="0"/>
                    <w:jc w:val="both"/>
                    <w:spacing w:line="240" w:lineRule="exact"/>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所有设施明示生产单位及使用要求、操作规程；维护管理人员经培训合格，持证上岗。</w:t>
                  </w:r>
                  <w:r/>
                </w:p>
              </w:tc>
            </w:tr>
            <w:tr>
              <w:trPr>
                <w:jc w:val="center"/>
                <w:trHeight w:val="898"/>
              </w:trPr>
              <w:tc>
                <w:tcPr>
                  <w:gridSpan w:val="2"/>
                  <w:tcW w:w="892" w:type="dxa"/>
                  <w:vAlign w:val="center"/>
                  <w:vMerge w:val="continue"/>
                  <w:textDirection w:val="lrTb"/>
                  <w:noWrap w:val="false"/>
                </w:tcPr>
                <w:p>
                  <w:pPr>
                    <w:ind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gridSpan w:val="4"/>
                  <w:tcMar>
                    <w:left w:w="108" w:type="dxa"/>
                    <w:top w:w="0" w:type="dxa"/>
                    <w:right w:w="108" w:type="dxa"/>
                    <w:bottom w:w="0" w:type="dxa"/>
                  </w:tcMar>
                  <w:tcW w:w="681" w:type="dxa"/>
                  <w:textDirection w:val="lrTb"/>
                  <w:noWrap w:val="false"/>
                </w:tcPr>
                <w:p>
                  <w:pPr>
                    <w:ind w:left="-105" w:right="-105" w:firstLine="0"/>
                    <w:jc w:val="center"/>
                    <w:spacing w:line="240" w:lineRule="exact"/>
                    <w:widowControl/>
                    <w:rPr>
                      <w:rFonts w:hint="eastAsia" w:ascii="宋体" w:hAnsi="宋体" w:eastAsia="宋体" w:cs="宋体"/>
                      <w:b/>
                      <w:bCs/>
                      <w:color w:val="auto"/>
                      <w:sz w:val="20"/>
                      <w:szCs w:val="20"/>
                      <w:highlight w:val="none"/>
                    </w:rPr>
                    <w:outlineLvl w:val="9"/>
                  </w:pPr>
                  <w:r>
                    <w:rPr>
                      <w:rFonts w:hint="eastAsia" w:ascii="宋体" w:hAnsi="宋体" w:eastAsia="宋体" w:cs="宋体"/>
                      <w:b/>
                      <w:bCs/>
                      <w:color w:val="auto"/>
                      <w:sz w:val="20"/>
                      <w:szCs w:val="20"/>
                      <w:highlight w:val="none"/>
                    </w:rPr>
                    <w:t xml:space="preserve">外壳完整、稳固、清洁。</w:t>
                  </w:r>
                  <w:r/>
                </w:p>
              </w:tc>
              <w:tc>
                <w:tcPr>
                  <w:gridSpan w:val="4"/>
                  <w:tcMar>
                    <w:left w:w="108" w:type="dxa"/>
                    <w:top w:w="0" w:type="dxa"/>
                    <w:right w:w="108" w:type="dxa"/>
                    <w:bottom w:w="0" w:type="dxa"/>
                  </w:tcMar>
                  <w:tcW w:w="3415" w:type="dxa"/>
                  <w:textDirection w:val="lrTb"/>
                  <w:noWrap w:val="false"/>
                </w:tcPr>
                <w:p>
                  <w:pPr>
                    <w:ind w:left="-105" w:right="-105"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外壳完整、稳固、清洁。</w:t>
                  </w:r>
                  <w:r/>
                </w:p>
                <w:p>
                  <w:pPr>
                    <w:ind w:left="-105" w:right="-105"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设备完好。</w:t>
                  </w:r>
                  <w:r/>
                </w:p>
                <w:p>
                  <w:pPr>
                    <w:ind w:firstLine="0"/>
                    <w:jc w:val="both"/>
                    <w:spacing w:line="240" w:lineRule="exact"/>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适时广播，白天音响小于55分贝，晚间小于45分贝。</w:t>
                  </w:r>
                  <w:r/>
                </w:p>
              </w:tc>
              <w:tc>
                <w:tcPr>
                  <w:tcMar>
                    <w:left w:w="108" w:type="dxa"/>
                    <w:top w:w="0" w:type="dxa"/>
                    <w:right w:w="108" w:type="dxa"/>
                    <w:bottom w:w="0" w:type="dxa"/>
                  </w:tcMar>
                  <w:tcW w:w="3594" w:type="dxa"/>
                  <w:vAlign w:val="center"/>
                  <w:textDirection w:val="lrTb"/>
                  <w:noWrap w:val="false"/>
                </w:tcPr>
                <w:p>
                  <w:pPr>
                    <w:ind w:left="-105" w:right="-105"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外壳较完整、稳固、清洁。</w:t>
                  </w:r>
                  <w:r/>
                </w:p>
                <w:p>
                  <w:pPr>
                    <w:ind w:left="-105" w:right="-105"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设备基本完好，不影响安全、正常使用。</w:t>
                  </w:r>
                  <w:r/>
                </w:p>
                <w:p>
                  <w:pPr>
                    <w:ind w:left="-105" w:right="-105"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适时广播，白天音响小于55分贝，晚间小于45分贝。</w:t>
                  </w:r>
                  <w:r/>
                </w:p>
              </w:tc>
            </w:tr>
            <w:tr>
              <w:trPr>
                <w:jc w:val="center"/>
                <w:trHeight w:val="898"/>
              </w:trPr>
              <w:tc>
                <w:tcPr>
                  <w:gridSpan w:val="2"/>
                  <w:tcW w:w="892" w:type="dxa"/>
                  <w:vAlign w:val="center"/>
                  <w:vMerge w:val="continue"/>
                  <w:textDirection w:val="lrTb"/>
                  <w:noWrap w:val="false"/>
                </w:tcPr>
                <w:p>
                  <w:pPr>
                    <w:ind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gridSpan w:val="4"/>
                  <w:tcMar>
                    <w:left w:w="108" w:type="dxa"/>
                    <w:top w:w="0" w:type="dxa"/>
                    <w:right w:w="108" w:type="dxa"/>
                    <w:bottom w:w="0" w:type="dxa"/>
                  </w:tcMar>
                  <w:tcW w:w="681" w:type="dxa"/>
                  <w:vAlign w:val="center"/>
                  <w:textDirection w:val="lrTb"/>
                  <w:noWrap w:val="false"/>
                </w:tcPr>
                <w:p>
                  <w:pPr>
                    <w:ind w:left="-105" w:right="-105" w:firstLine="0"/>
                    <w:jc w:val="center"/>
                    <w:spacing w:line="240" w:lineRule="exact"/>
                    <w:widowControl/>
                    <w:rPr>
                      <w:rFonts w:hint="eastAsia" w:ascii="宋体" w:hAnsi="宋体" w:eastAsia="宋体" w:cs="宋体"/>
                      <w:b/>
                      <w:bCs/>
                      <w:color w:val="auto"/>
                      <w:sz w:val="20"/>
                      <w:szCs w:val="20"/>
                      <w:highlight w:val="none"/>
                    </w:rPr>
                    <w:outlineLvl w:val="9"/>
                  </w:pPr>
                  <w:r>
                    <w:rPr>
                      <w:rFonts w:hint="eastAsia" w:ascii="宋体" w:hAnsi="宋体" w:eastAsia="宋体" w:cs="宋体"/>
                      <w:b/>
                      <w:bCs/>
                      <w:color w:val="auto"/>
                      <w:sz w:val="20"/>
                      <w:szCs w:val="20"/>
                      <w:highlight w:val="none"/>
                    </w:rPr>
                    <w:t xml:space="preserve">减灾</w:t>
                  </w:r>
                  <w:r/>
                </w:p>
              </w:tc>
              <w:tc>
                <w:tcPr>
                  <w:gridSpan w:val="5"/>
                  <w:tcMar>
                    <w:left w:w="108" w:type="dxa"/>
                    <w:top w:w="0" w:type="dxa"/>
                    <w:right w:w="108" w:type="dxa"/>
                    <w:bottom w:w="0" w:type="dxa"/>
                  </w:tcMar>
                  <w:tcW w:w="7009" w:type="dxa"/>
                  <w:vAlign w:val="center"/>
                  <w:textDirection w:val="lrTb"/>
                  <w:noWrap w:val="false"/>
                </w:tcPr>
                <w:p>
                  <w:pPr>
                    <w:ind w:left="-105" w:right="-105"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各种防灾避险等设施完好，防灾避险通道畅通。</w:t>
                  </w:r>
                  <w:r/>
                </w:p>
                <w:p>
                  <w:pPr>
                    <w:ind w:left="-105" w:right="-105"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值班、巡视、应急预案等防灾避险措施落实。</w:t>
                  </w:r>
                  <w:r/>
                </w:p>
              </w:tc>
            </w:tr>
            <w:tr>
              <w:trPr>
                <w:jc w:val="center"/>
              </w:trPr>
              <w:tc>
                <w:tcPr>
                  <w:gridSpan w:val="2"/>
                  <w:tcMar>
                    <w:left w:w="108" w:type="dxa"/>
                    <w:top w:w="0" w:type="dxa"/>
                    <w:right w:w="108" w:type="dxa"/>
                    <w:bottom w:w="0" w:type="dxa"/>
                  </w:tcMar>
                  <w:tcW w:w="892" w:type="dxa"/>
                  <w:vAlign w:val="center"/>
                  <w:vMerge w:val="restart"/>
                  <w:textDirection w:val="lrTb"/>
                  <w:noWrap w:val="false"/>
                </w:tcPr>
                <w:p>
                  <w:pPr>
                    <w:ind w:left="-105" w:right="-105" w:firstLine="0"/>
                    <w:jc w:val="center"/>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rPr>
                    <w:t xml:space="preserve">三</w:t>
                  </w:r>
                  <w:r/>
                </w:p>
                <w:p>
                  <w:pPr>
                    <w:ind w:left="-105" w:right="-105" w:firstLine="0"/>
                    <w:jc w:val="center"/>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rPr>
                    <w:t xml:space="preserve">其</w:t>
                  </w:r>
                  <w:r/>
                </w:p>
                <w:p>
                  <w:pPr>
                    <w:ind w:left="-105" w:right="-105" w:firstLine="0"/>
                    <w:jc w:val="center"/>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rPr>
                    <w:t xml:space="preserve">它</w:t>
                  </w:r>
                  <w:r/>
                </w:p>
                <w:p>
                  <w:pPr>
                    <w:ind w:left="-105" w:right="-105" w:firstLine="0"/>
                    <w:jc w:val="center"/>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rPr>
                    <w:t xml:space="preserve">管</w:t>
                  </w:r>
                  <w:r/>
                </w:p>
                <w:p>
                  <w:pPr>
                    <w:ind w:left="-105" w:right="-105" w:firstLine="0"/>
                    <w:jc w:val="center"/>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rPr>
                    <w:t xml:space="preserve">理</w:t>
                  </w:r>
                  <w:r/>
                </w:p>
              </w:tc>
              <w:tc>
                <w:tcPr>
                  <w:gridSpan w:val="4"/>
                  <w:tcMar>
                    <w:left w:w="108" w:type="dxa"/>
                    <w:top w:w="0" w:type="dxa"/>
                    <w:right w:w="108" w:type="dxa"/>
                    <w:bottom w:w="0" w:type="dxa"/>
                  </w:tcMar>
                  <w:tcW w:w="681" w:type="dxa"/>
                  <w:vAlign w:val="center"/>
                  <w:textDirection w:val="lrTb"/>
                  <w:noWrap w:val="false"/>
                </w:tcPr>
                <w:p>
                  <w:pPr>
                    <w:ind w:left="-105" w:right="-105" w:firstLine="0"/>
                    <w:jc w:val="center"/>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rPr>
                    <w:t xml:space="preserve">整体面貌</w:t>
                  </w:r>
                  <w:r/>
                </w:p>
              </w:tc>
              <w:tc>
                <w:tcPr>
                  <w:gridSpan w:val="4"/>
                  <w:tcMar>
                    <w:left w:w="108" w:type="dxa"/>
                    <w:top w:w="0" w:type="dxa"/>
                    <w:right w:w="108" w:type="dxa"/>
                    <w:bottom w:w="0" w:type="dxa"/>
                  </w:tcMar>
                  <w:tcW w:w="3415" w:type="dxa"/>
                  <w:textDirection w:val="lrTb"/>
                  <w:noWrap w:val="false"/>
                </w:tcPr>
                <w:p>
                  <w:pPr>
                    <w:ind w:left="-105" w:right="-105"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绿地（含水面）整洁，无条状、块状污染物，点状污染物每100m</w:t>
                  </w:r>
                  <w:r>
                    <w:rPr>
                      <w:rFonts w:hint="eastAsia" w:ascii="宋体" w:hAnsi="宋体" w:eastAsia="宋体" w:cs="宋体"/>
                      <w:color w:val="auto"/>
                      <w:sz w:val="20"/>
                      <w:szCs w:val="20"/>
                      <w:highlight w:val="none"/>
                      <w:vertAlign w:val="superscript"/>
                    </w:rPr>
                    <w:t xml:space="preserve">2</w:t>
                  </w:r>
                  <w:r>
                    <w:rPr>
                      <w:rFonts w:hint="eastAsia" w:ascii="宋体" w:hAnsi="宋体" w:eastAsia="宋体" w:cs="宋体"/>
                      <w:color w:val="auto"/>
                      <w:sz w:val="20"/>
                      <w:szCs w:val="20"/>
                      <w:highlight w:val="none"/>
                    </w:rPr>
                    <w:t xml:space="preserve">≤2处；无杂物，无树枝、树叶、草屑等生产垃圾，无擅自搭棚、摆摊设点等现象；植被、地被等基本无人为破坏；建筑（构筑）及设施完好，安全使用；水面</w:t>
                  </w:r>
                  <w:r>
                    <w:rPr>
                      <w:rFonts w:hint="eastAsia" w:ascii="宋体" w:hAnsi="宋体" w:eastAsia="宋体" w:cs="宋体"/>
                      <w:color w:val="auto"/>
                      <w:sz w:val="20"/>
                      <w:szCs w:val="20"/>
                      <w:highlight w:val="none"/>
                      <w:lang w:eastAsia="zh-CN"/>
                    </w:rPr>
                    <w:t xml:space="preserve">无异味</w:t>
                  </w:r>
                  <w:r>
                    <w:rPr>
                      <w:rFonts w:hint="eastAsia" w:ascii="宋体" w:hAnsi="宋体" w:eastAsia="宋体" w:cs="宋体"/>
                      <w:color w:val="auto"/>
                      <w:sz w:val="20"/>
                      <w:szCs w:val="20"/>
                      <w:highlight w:val="none"/>
                    </w:rPr>
                    <w:t xml:space="preserve">。</w:t>
                  </w:r>
                  <w:r/>
                </w:p>
              </w:tc>
              <w:tc>
                <w:tcPr>
                  <w:tcMar>
                    <w:left w:w="108" w:type="dxa"/>
                    <w:top w:w="0" w:type="dxa"/>
                    <w:right w:w="108" w:type="dxa"/>
                    <w:bottom w:w="0" w:type="dxa"/>
                  </w:tcMar>
                  <w:tcW w:w="3594" w:type="dxa"/>
                  <w:textDirection w:val="lrTb"/>
                  <w:noWrap w:val="false"/>
                </w:tcPr>
                <w:p>
                  <w:pPr>
                    <w:ind w:left="-105" w:right="-105"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绿地（含水面）较整洁，基本无条状和块状污染物，点状污染物每100m</w:t>
                  </w:r>
                  <w:r>
                    <w:rPr>
                      <w:rFonts w:hint="eastAsia" w:ascii="宋体" w:hAnsi="宋体" w:eastAsia="宋体" w:cs="宋体"/>
                      <w:color w:val="auto"/>
                      <w:sz w:val="20"/>
                      <w:szCs w:val="20"/>
                      <w:highlight w:val="none"/>
                      <w:vertAlign w:val="superscript"/>
                    </w:rPr>
                    <w:t xml:space="preserve">2</w:t>
                  </w:r>
                  <w:r>
                    <w:rPr>
                      <w:rFonts w:hint="eastAsia" w:ascii="宋体" w:hAnsi="宋体" w:eastAsia="宋体" w:cs="宋体"/>
                      <w:color w:val="auto"/>
                      <w:sz w:val="20"/>
                      <w:szCs w:val="20"/>
                      <w:highlight w:val="none"/>
                    </w:rPr>
                    <w:t xml:space="preserve">≤4处；基本无杂物，无明显树枝、树叶、草屑等生产垃圾，无擅自搭棚、摆摊设点等现象；建筑（构筑）及设施基本完好，安全使用；水面无异味。</w:t>
                  </w:r>
                  <w:r/>
                </w:p>
              </w:tc>
            </w:tr>
            <w:tr>
              <w:trPr>
                <w:jc w:val="center"/>
              </w:trPr>
              <w:tc>
                <w:tcPr>
                  <w:gridSpan w:val="2"/>
                  <w:tcW w:w="892" w:type="dxa"/>
                  <w:vAlign w:val="center"/>
                  <w:vMerge w:val="continue"/>
                  <w:textDirection w:val="lrTb"/>
                  <w:noWrap w:val="false"/>
                </w:tcPr>
                <w:p>
                  <w:pPr>
                    <w:ind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gridSpan w:val="4"/>
                  <w:tcMar>
                    <w:left w:w="108" w:type="dxa"/>
                    <w:top w:w="0" w:type="dxa"/>
                    <w:right w:w="108" w:type="dxa"/>
                    <w:bottom w:w="0" w:type="dxa"/>
                  </w:tcMar>
                  <w:tcW w:w="681" w:type="dxa"/>
                  <w:vAlign w:val="center"/>
                  <w:textDirection w:val="lrTb"/>
                  <w:noWrap w:val="false"/>
                </w:tcPr>
                <w:p>
                  <w:pPr>
                    <w:ind w:left="-105" w:right="-105" w:firstLine="0"/>
                    <w:jc w:val="center"/>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rPr>
                    <w:t xml:space="preserve">人员着装</w:t>
                  </w:r>
                  <w:r/>
                </w:p>
              </w:tc>
              <w:tc>
                <w:tcPr>
                  <w:gridSpan w:val="4"/>
                  <w:tcMar>
                    <w:left w:w="108" w:type="dxa"/>
                    <w:top w:w="0" w:type="dxa"/>
                    <w:right w:w="108" w:type="dxa"/>
                    <w:bottom w:w="0" w:type="dxa"/>
                  </w:tcMar>
                  <w:tcW w:w="3415" w:type="dxa"/>
                  <w:textDirection w:val="lrTb"/>
                  <w:noWrap w:val="false"/>
                </w:tcPr>
                <w:p>
                  <w:pPr>
                    <w:ind w:left="-105" w:right="-105"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在岗的养护、保洁、安保等人员统一着装，衣帽整齐，佩戴工号牌，且有所属单位的明显标志。</w:t>
                  </w:r>
                  <w:r/>
                </w:p>
              </w:tc>
              <w:tc>
                <w:tcPr>
                  <w:tcMar>
                    <w:left w:w="108" w:type="dxa"/>
                    <w:top w:w="0" w:type="dxa"/>
                    <w:right w:w="108" w:type="dxa"/>
                    <w:bottom w:w="0" w:type="dxa"/>
                  </w:tcMar>
                  <w:tcW w:w="3594" w:type="dxa"/>
                  <w:vAlign w:val="center"/>
                  <w:textDirection w:val="lrTb"/>
                  <w:noWrap w:val="false"/>
                </w:tcPr>
                <w:p>
                  <w:pPr>
                    <w:ind w:left="-105" w:right="-105"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在岗工作人员能统一着装，衣帽整齐。</w:t>
                  </w:r>
                  <w:r/>
                </w:p>
                <w:p>
                  <w:pPr>
                    <w:ind w:firstLine="0"/>
                    <w:jc w:val="left"/>
                    <w:spacing w:before="100" w:beforeAutospacing="1" w:after="100" w:afterAutospacing="1"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 </w:t>
                  </w:r>
                  <w:r/>
                </w:p>
              </w:tc>
            </w:tr>
            <w:tr>
              <w:trPr>
                <w:jc w:val="center"/>
              </w:trPr>
              <w:tc>
                <w:tcPr>
                  <w:gridSpan w:val="2"/>
                  <w:tcW w:w="892" w:type="dxa"/>
                  <w:vAlign w:val="center"/>
                  <w:vMerge w:val="continue"/>
                  <w:textDirection w:val="lrTb"/>
                  <w:noWrap w:val="false"/>
                </w:tcPr>
                <w:p>
                  <w:pPr>
                    <w:ind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gridSpan w:val="4"/>
                  <w:tcMar>
                    <w:left w:w="108" w:type="dxa"/>
                    <w:top w:w="0" w:type="dxa"/>
                    <w:right w:w="108" w:type="dxa"/>
                    <w:bottom w:w="0" w:type="dxa"/>
                  </w:tcMar>
                  <w:tcW w:w="681" w:type="dxa"/>
                  <w:vAlign w:val="center"/>
                  <w:textDirection w:val="lrTb"/>
                  <w:noWrap w:val="false"/>
                </w:tcPr>
                <w:p>
                  <w:pPr>
                    <w:ind w:left="-105" w:right="-105" w:firstLine="0"/>
                    <w:jc w:val="center"/>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b/>
                      <w:bCs/>
                      <w:color w:val="auto"/>
                      <w:sz w:val="20"/>
                      <w:szCs w:val="20"/>
                      <w:highlight w:val="none"/>
                    </w:rPr>
                    <w:t xml:space="preserve">技术档案</w:t>
                  </w:r>
                  <w:r/>
                </w:p>
              </w:tc>
              <w:tc>
                <w:tcPr>
                  <w:gridSpan w:val="4"/>
                  <w:tcMar>
                    <w:left w:w="108" w:type="dxa"/>
                    <w:top w:w="0" w:type="dxa"/>
                    <w:right w:w="108" w:type="dxa"/>
                    <w:bottom w:w="0" w:type="dxa"/>
                  </w:tcMar>
                  <w:tcW w:w="3415" w:type="dxa"/>
                  <w:textDirection w:val="lrTb"/>
                  <w:noWrap w:val="false"/>
                </w:tcPr>
                <w:p>
                  <w:pPr>
                    <w:ind w:left="-105" w:right="-105"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养护管理技术档案健全，记录清晰，并有专人负责。</w:t>
                  </w:r>
                  <w:r/>
                </w:p>
                <w:p>
                  <w:pPr>
                    <w:ind w:left="-105" w:right="-105"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Mar>
                    <w:left w:w="108" w:type="dxa"/>
                    <w:top w:w="0" w:type="dxa"/>
                    <w:right w:w="108" w:type="dxa"/>
                    <w:bottom w:w="0" w:type="dxa"/>
                  </w:tcMar>
                  <w:tcW w:w="3594" w:type="dxa"/>
                  <w:vAlign w:val="center"/>
                  <w:textDirection w:val="lrTb"/>
                  <w:noWrap w:val="false"/>
                </w:tcPr>
                <w:p>
                  <w:pPr>
                    <w:ind w:left="-105" w:right="-105" w:firstLine="0"/>
                    <w:jc w:val="left"/>
                    <w:spacing w:line="240" w:lineRule="exac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建立养护管理技术档案，记录清晰。</w:t>
                  </w:r>
                  <w:r/>
                </w:p>
              </w:tc>
            </w:tr>
          </w:tbl>
          <w:p>
            <w:pPr>
              <w:ind w:firstLine="0"/>
              <w:jc w:val="left"/>
              <w:spacing w:before="100" w:beforeAutospacing="1" w:after="100" w:afterAutospacing="1" w:line="315" w:lineRule="atLeast"/>
              <w:widowControl/>
              <w:rPr>
                <w:rFonts w:hint="eastAsia" w:ascii="宋体" w:hAnsi="宋体" w:eastAsia="宋体" w:cs="宋体"/>
                <w:color w:val="auto"/>
                <w:sz w:val="18"/>
                <w:szCs w:val="18"/>
                <w:highlight w:val="none"/>
              </w:rPr>
              <w:outlineLvl w:val="9"/>
            </w:pPr>
            <w:r>
              <w:rPr>
                <w:rFonts w:hint="eastAsia" w:ascii="宋体" w:hAnsi="宋体" w:eastAsia="宋体" w:cs="宋体"/>
                <w:color w:val="auto"/>
                <w:sz w:val="18"/>
                <w:szCs w:val="18"/>
                <w:highlight w:val="none"/>
              </w:rPr>
              <w:t xml:space="preserve"> </w:t>
            </w:r>
            <w:r/>
          </w:p>
        </w:tc>
      </w:tr>
    </w:tbl>
    <w:p>
      <w:pPr>
        <w:ind w:firstLine="0"/>
        <w:jc w:val="both"/>
        <w:rPr>
          <w:rFonts w:hint="eastAsia" w:ascii="宋体" w:hAnsi="宋体" w:eastAsia="宋体" w:cs="宋体"/>
          <w:color w:val="auto"/>
          <w:sz w:val="32"/>
          <w:szCs w:val="28"/>
          <w:highlight w:val="none"/>
        </w:rPr>
        <w:outlineLvl w:val="9"/>
      </w:pPr>
      <w:r>
        <w:rPr>
          <w:rFonts w:hint="eastAsia" w:ascii="宋体" w:hAnsi="宋体" w:eastAsia="宋体" w:cs="宋体"/>
          <w:color w:val="auto"/>
          <w:sz w:val="32"/>
          <w:szCs w:val="28"/>
          <w:highlight w:val="none"/>
        </w:rPr>
      </w:r>
      <w:r/>
    </w:p>
    <w:p>
      <w:pPr>
        <w:ind w:firstLine="0"/>
        <w:jc w:val="both"/>
        <w:rPr>
          <w:rFonts w:hint="eastAsia" w:ascii="宋体" w:hAnsi="宋体" w:eastAsia="宋体" w:cs="宋体"/>
          <w:color w:val="auto"/>
          <w:sz w:val="32"/>
          <w:szCs w:val="28"/>
          <w:highlight w:val="none"/>
        </w:rPr>
        <w:outlineLvl w:val="9"/>
      </w:pPr>
      <w:r>
        <w:rPr>
          <w:rFonts w:hint="eastAsia" w:ascii="宋体" w:hAnsi="宋体" w:eastAsia="宋体" w:cs="宋体"/>
          <w:color w:val="auto"/>
          <w:sz w:val="32"/>
          <w:szCs w:val="28"/>
          <w:highlight w:val="none"/>
        </w:rPr>
      </w:r>
      <w:r/>
    </w:p>
    <w:p>
      <w:pPr>
        <w:ind w:firstLine="420"/>
        <w:jc w:val="left"/>
        <w:rPr>
          <w:rFonts w:hint="eastAsia" w:ascii="宋体" w:hAnsi="宋体" w:eastAsia="宋体" w:cs="宋体"/>
          <w:color w:val="auto"/>
          <w:sz w:val="32"/>
          <w:szCs w:val="32"/>
          <w:highlight w:val="none"/>
          <w:lang w:val="en-US" w:eastAsia="zh-CN" w:bidi="ar-SA"/>
        </w:rPr>
        <w:outlineLvl w:val="0"/>
      </w:pPr>
      <w:r>
        <w:rPr>
          <w:rFonts w:hint="eastAsia" w:ascii="宋体" w:hAnsi="宋体" w:eastAsia="宋体" w:cs="宋体"/>
          <w:color w:val="auto"/>
          <w:sz w:val="32"/>
          <w:szCs w:val="32"/>
          <w:highlight w:val="none"/>
          <w:lang w:val="en-US" w:eastAsia="zh-CN" w:bidi="ar-SA"/>
        </w:rPr>
        <w:br w:type="page" w:clear="all"/>
      </w:r>
      <w:r/>
    </w:p>
    <w:p>
      <w:pPr>
        <w:ind w:firstLine="420"/>
        <w:jc w:val="both"/>
        <w:keepLines/>
        <w:keepNext/>
        <w:spacing w:before="120" w:after="120" w:line="360" w:lineRule="auto"/>
        <w:widowControl/>
        <w:tabs>
          <w:tab w:val="left" w:pos="14" w:leader="none"/>
        </w:tabs>
        <w:rPr>
          <w:rFonts w:hint="default" w:ascii="宋体" w:hAnsi="宋体" w:eastAsia="宋体" w:cs="宋体"/>
          <w:color w:val="auto"/>
          <w:sz w:val="32"/>
          <w:szCs w:val="32"/>
          <w:highlight w:val="none"/>
          <w:lang w:val="en-US" w:eastAsia="zh-CN" w:bidi="ar-SA"/>
        </w:rPr>
        <w:outlineLvl w:val="2"/>
      </w:pPr>
      <w:r>
        <w:rPr>
          <w:rFonts w:hint="eastAsia" w:ascii="宋体" w:hAnsi="宋体" w:eastAsia="宋体" w:cs="宋体"/>
          <w:color w:val="auto"/>
          <w:sz w:val="32"/>
          <w:szCs w:val="32"/>
          <w:highlight w:val="none"/>
          <w:lang w:val="en-US" w:eastAsia="zh-CN" w:bidi="ar-SA"/>
        </w:rPr>
        <w:t xml:space="preserve">附件：5</w:t>
      </w:r>
      <w:r/>
    </w:p>
    <w:p>
      <w:pPr>
        <w:ind w:firstLine="420"/>
        <w:jc w:val="center"/>
        <w:keepLines/>
        <w:keepNext/>
        <w:spacing w:before="120" w:after="120" w:line="360" w:lineRule="auto"/>
        <w:widowControl/>
        <w:tabs>
          <w:tab w:val="left" w:pos="14" w:leader="none"/>
        </w:tabs>
        <w:rPr>
          <w:rFonts w:hint="eastAsia" w:ascii="宋体" w:hAnsi="宋体" w:eastAsia="宋体" w:cs="宋体"/>
          <w:color w:val="auto"/>
          <w:sz w:val="32"/>
          <w:szCs w:val="28"/>
          <w:highlight w:val="none"/>
          <w:lang w:val="en-US" w:eastAsia="zh-CN" w:bidi="ar-SA"/>
        </w:rPr>
        <w:outlineLvl w:val="2"/>
      </w:pPr>
      <w:r>
        <w:rPr>
          <w:rFonts w:hint="eastAsia" w:ascii="宋体" w:hAnsi="宋体" w:eastAsia="宋体" w:cs="宋体"/>
          <w:color w:val="auto"/>
          <w:sz w:val="40"/>
          <w:szCs w:val="40"/>
          <w:highlight w:val="none"/>
          <w:lang w:val="en-US" w:eastAsia="zh-CN" w:bidi="ar-SA"/>
        </w:rPr>
        <w:t xml:space="preserve">新吴区绿化养护全年主要工作任务及目标要求</w:t>
      </w:r>
      <w:r/>
    </w:p>
    <w:tbl>
      <w:tblPr>
        <w:tblStyle w:val="704"/>
        <w:tblW w:w="9698"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88"/>
        <w:gridCol w:w="549"/>
        <w:gridCol w:w="291"/>
        <w:gridCol w:w="1878"/>
        <w:gridCol w:w="5523"/>
        <w:gridCol w:w="969"/>
      </w:tblGrid>
      <w:tr>
        <w:trPr>
          <w:trHeight w:val="570"/>
        </w:trPr>
        <w:tc>
          <w:tcPr>
            <w:gridSpan w:val="2"/>
            <w:tcW w:w="1037"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月份</w:t>
            </w:r>
            <w:r/>
          </w:p>
        </w:tc>
        <w:tc>
          <w:tcPr>
            <w:gridSpan w:val="2"/>
            <w:tcW w:w="2169"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主要工作任务</w:t>
            </w:r>
            <w:r/>
          </w:p>
        </w:tc>
        <w:tc>
          <w:tcPr>
            <w:tcW w:w="5523"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目标要求</w:t>
            </w:r>
            <w:r/>
          </w:p>
        </w:tc>
        <w:tc>
          <w:tcPr>
            <w:tcW w:w="969"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时间计划</w:t>
            </w:r>
            <w:r/>
          </w:p>
        </w:tc>
      </w:tr>
      <w:tr>
        <w:trPr>
          <w:trHeight w:val="590"/>
        </w:trPr>
        <w:tc>
          <w:tcPr>
            <w:tcW w:w="488" w:type="dxa"/>
            <w:vAlign w:val="center"/>
            <w:vMerge w:val="restart"/>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冬季</w:t>
            </w:r>
            <w:r/>
          </w:p>
        </w:tc>
        <w:tc>
          <w:tcPr>
            <w:tcW w:w="549" w:type="dxa"/>
            <w:vAlign w:val="center"/>
            <w:vMerge w:val="restart"/>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12月</w:t>
            </w:r>
            <w:r/>
          </w:p>
        </w:tc>
        <w:tc>
          <w:tcPr>
            <w:tcW w:w="291"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1</w:t>
            </w:r>
            <w:r/>
          </w:p>
        </w:tc>
        <w:tc>
          <w:tcPr>
            <w:tcW w:w="1878" w:type="dxa"/>
            <w:vAlign w:val="center"/>
            <w:textDirection w:val="lrTb"/>
            <w:noWrap w:val="false"/>
          </w:tcPr>
          <w:p>
            <w:pPr>
              <w:ind w:firstLine="0"/>
              <w:jc w:val="left"/>
              <w:widowControl/>
              <w:rPr>
                <w:rFonts w:hint="eastAsia" w:ascii="宋体" w:hAnsi="宋体" w:eastAsia="宋体" w:cs="宋体"/>
                <w:b/>
                <w:bCs/>
                <w:color w:val="auto"/>
                <w:sz w:val="20"/>
                <w:szCs w:val="20"/>
                <w:highlight w:val="none"/>
              </w:rPr>
              <w:outlineLvl w:val="9"/>
            </w:pPr>
            <w:r>
              <w:rPr>
                <w:rFonts w:hint="eastAsia" w:ascii="宋体" w:hAnsi="宋体" w:eastAsia="宋体" w:cs="宋体"/>
                <w:b/>
                <w:bCs/>
                <w:color w:val="auto"/>
                <w:sz w:val="20"/>
                <w:szCs w:val="20"/>
                <w:highlight w:val="none"/>
              </w:rPr>
              <w:t xml:space="preserve">树木整形修剪</w:t>
            </w:r>
            <w:r/>
          </w:p>
        </w:tc>
        <w:tc>
          <w:tcPr>
            <w:tcW w:w="5523"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对以香樟、法梧为代表的常绿和落叶行道树进行疏枝和整形修剪，本月应完成行道树整形以及法梧、紫薇、木芙蓉、月季、美人蕉、水生植物等品种的越冬</w:t>
            </w:r>
            <w:r>
              <w:rPr>
                <w:rFonts w:hint="eastAsia" w:ascii="宋体" w:hAnsi="宋体" w:eastAsia="宋体" w:cs="宋体"/>
                <w:color w:val="auto"/>
                <w:sz w:val="20"/>
                <w:szCs w:val="20"/>
                <w:highlight w:val="none"/>
                <w:lang w:eastAsia="zh-CN"/>
              </w:rPr>
              <w:t xml:space="preserve">修剪。</w:t>
            </w:r>
            <w:r/>
          </w:p>
        </w:tc>
        <w:tc>
          <w:tcPr>
            <w:tcW w:w="969"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1-4周</w:t>
            </w:r>
            <w:r/>
          </w:p>
        </w:tc>
      </w:tr>
      <w:tr>
        <w:trPr>
          <w:trHeight w:val="590"/>
        </w:trPr>
        <w:tc>
          <w:tcPr>
            <w:tcW w:w="488"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549"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291"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2</w:t>
            </w:r>
            <w:r/>
          </w:p>
        </w:tc>
        <w:tc>
          <w:tcPr>
            <w:tcW w:w="1878"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安全管理</w:t>
            </w:r>
            <w:r/>
          </w:p>
        </w:tc>
        <w:tc>
          <w:tcPr>
            <w:tcW w:w="5523"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树木修剪前应重点针对高空作业人员进行安全技术交底和正确示范，</w:t>
            </w:r>
            <w:r>
              <w:rPr>
                <w:rFonts w:hint="eastAsia" w:ascii="宋体" w:hAnsi="宋体" w:eastAsia="宋体" w:cs="宋体"/>
                <w:color w:val="auto"/>
                <w:sz w:val="20"/>
                <w:szCs w:val="20"/>
                <w:highlight w:val="none"/>
                <w:lang w:eastAsia="zh-CN"/>
              </w:rPr>
              <w:t xml:space="preserve">做好</w:t>
            </w:r>
            <w:r>
              <w:rPr>
                <w:rFonts w:hint="eastAsia" w:ascii="宋体" w:hAnsi="宋体" w:eastAsia="宋体" w:cs="宋体"/>
                <w:color w:val="auto"/>
                <w:sz w:val="20"/>
                <w:szCs w:val="20"/>
                <w:highlight w:val="none"/>
              </w:rPr>
              <w:t xml:space="preserve">安全防护措施，并上报安全交底记录和照片</w:t>
            </w:r>
            <w:r/>
          </w:p>
        </w:tc>
        <w:tc>
          <w:tcPr>
            <w:tcW w:w="969"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1周</w:t>
            </w:r>
            <w:r/>
          </w:p>
        </w:tc>
      </w:tr>
      <w:tr>
        <w:trPr>
          <w:trHeight w:val="427"/>
        </w:trPr>
        <w:tc>
          <w:tcPr>
            <w:tcW w:w="488"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549"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291"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3</w:t>
            </w:r>
            <w:r/>
          </w:p>
        </w:tc>
        <w:tc>
          <w:tcPr>
            <w:tcW w:w="1878"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草坪修剪</w:t>
            </w:r>
            <w:r/>
          </w:p>
        </w:tc>
        <w:tc>
          <w:tcPr>
            <w:tcW w:w="5523"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黑麦草每15天修剪1次</w:t>
            </w:r>
            <w:r/>
          </w:p>
        </w:tc>
        <w:tc>
          <w:tcPr>
            <w:tcW w:w="969"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1、3周</w:t>
            </w:r>
            <w:r/>
          </w:p>
        </w:tc>
      </w:tr>
      <w:tr>
        <w:trPr>
          <w:trHeight w:val="1086"/>
        </w:trPr>
        <w:tc>
          <w:tcPr>
            <w:tcW w:w="488"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549"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291"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4</w:t>
            </w:r>
            <w:r/>
          </w:p>
        </w:tc>
        <w:tc>
          <w:tcPr>
            <w:tcW w:w="1878" w:type="dxa"/>
            <w:vAlign w:val="center"/>
            <w:textDirection w:val="lrTb"/>
            <w:noWrap w:val="false"/>
          </w:tcPr>
          <w:p>
            <w:pPr>
              <w:ind w:firstLine="0"/>
              <w:jc w:val="left"/>
              <w:widowControl/>
              <w:rPr>
                <w:rFonts w:hint="eastAsia" w:ascii="宋体" w:hAnsi="宋体" w:eastAsia="宋体" w:cs="宋体"/>
                <w:b/>
                <w:bCs/>
                <w:color w:val="auto"/>
                <w:sz w:val="20"/>
                <w:szCs w:val="20"/>
                <w:highlight w:val="none"/>
              </w:rPr>
              <w:outlineLvl w:val="9"/>
            </w:pPr>
            <w:r>
              <w:rPr>
                <w:rFonts w:hint="eastAsia" w:ascii="宋体" w:hAnsi="宋体" w:eastAsia="宋体" w:cs="宋体"/>
                <w:b/>
                <w:bCs/>
                <w:color w:val="auto"/>
                <w:sz w:val="20"/>
                <w:szCs w:val="20"/>
                <w:highlight w:val="none"/>
              </w:rPr>
              <w:t xml:space="preserve">抗雪减灾应急保障</w:t>
            </w:r>
            <w:r/>
          </w:p>
        </w:tc>
        <w:tc>
          <w:tcPr>
            <w:tcW w:w="5523"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12月上旬完成抗雪减灾应急预案编制，最低标准应急物料（铁锹30把、长竹竿60根、扫帚30把）、车辆（卡车1辆、水车1辆）、人员（30人）等全部落实到位，加固倾斜松动树木，抽稀和加固竹林，并按照市容处统一部署组织应急抢险演练，保障期间应做到1小时内排除险情，2天内完成倒伏树木扶正</w:t>
            </w:r>
            <w:r/>
          </w:p>
        </w:tc>
        <w:tc>
          <w:tcPr>
            <w:tcW w:w="969"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1周</w:t>
            </w:r>
            <w:r/>
          </w:p>
        </w:tc>
      </w:tr>
      <w:tr>
        <w:trPr>
          <w:trHeight w:val="547"/>
        </w:trPr>
        <w:tc>
          <w:tcPr>
            <w:tcW w:w="488"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549"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291"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5</w:t>
            </w:r>
            <w:r/>
          </w:p>
        </w:tc>
        <w:tc>
          <w:tcPr>
            <w:tcW w:w="1878"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灌冻水</w:t>
            </w:r>
            <w:r/>
          </w:p>
        </w:tc>
        <w:tc>
          <w:tcPr>
            <w:tcW w:w="5523"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12月下旬，土壤封冻前，对所有乔灌草浇灌一次冻水，浇足浇透，以浸透土壤15</w:t>
            </w:r>
            <w:r>
              <w:rPr>
                <w:rFonts w:hint="eastAsia" w:ascii="宋体" w:hAnsi="宋体" w:eastAsia="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20cm为宜。</w:t>
            </w:r>
            <w:r/>
          </w:p>
        </w:tc>
        <w:tc>
          <w:tcPr>
            <w:tcW w:w="969"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4周</w:t>
            </w:r>
            <w:r/>
          </w:p>
        </w:tc>
      </w:tr>
      <w:tr>
        <w:trPr>
          <w:trHeight w:val="590"/>
        </w:trPr>
        <w:tc>
          <w:tcPr>
            <w:tcW w:w="488"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549" w:type="dxa"/>
            <w:vAlign w:val="center"/>
            <w:vMerge w:val="restart"/>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1月</w:t>
            </w:r>
            <w:r/>
          </w:p>
        </w:tc>
        <w:tc>
          <w:tcPr>
            <w:tcW w:w="291"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6</w:t>
            </w:r>
            <w:r/>
          </w:p>
        </w:tc>
        <w:tc>
          <w:tcPr>
            <w:tcW w:w="1878" w:type="dxa"/>
            <w:vAlign w:val="center"/>
            <w:textDirection w:val="lrTb"/>
            <w:noWrap w:val="false"/>
          </w:tcPr>
          <w:p>
            <w:pPr>
              <w:ind w:firstLine="0"/>
              <w:jc w:val="left"/>
              <w:widowControl/>
              <w:rPr>
                <w:rFonts w:hint="eastAsia" w:ascii="宋体" w:hAnsi="宋体" w:eastAsia="宋体" w:cs="宋体"/>
                <w:b/>
                <w:bCs/>
                <w:color w:val="auto"/>
                <w:sz w:val="20"/>
                <w:szCs w:val="20"/>
                <w:highlight w:val="none"/>
              </w:rPr>
              <w:outlineLvl w:val="9"/>
            </w:pPr>
            <w:r>
              <w:rPr>
                <w:rFonts w:hint="eastAsia" w:ascii="宋体" w:hAnsi="宋体" w:eastAsia="宋体" w:cs="宋体"/>
                <w:b/>
                <w:bCs/>
                <w:color w:val="auto"/>
                <w:sz w:val="20"/>
                <w:szCs w:val="20"/>
                <w:highlight w:val="none"/>
              </w:rPr>
              <w:t xml:space="preserve">台账资料</w:t>
            </w:r>
            <w:r/>
          </w:p>
        </w:tc>
        <w:tc>
          <w:tcPr>
            <w:tcW w:w="5523"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台账包括年度工作总结、项目管理网络图、项目经理每日巡查记录、考核扣分台账、合同、招投标资料、决算、竣工图及光盘，1月中旬上报</w:t>
            </w:r>
            <w:r/>
          </w:p>
        </w:tc>
        <w:tc>
          <w:tcPr>
            <w:tcW w:w="969"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1-2周</w:t>
            </w:r>
            <w:r/>
          </w:p>
        </w:tc>
      </w:tr>
      <w:tr>
        <w:trPr>
          <w:trHeight w:val="427"/>
        </w:trPr>
        <w:tc>
          <w:tcPr>
            <w:tcW w:w="488"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549"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291"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7</w:t>
            </w:r>
            <w:r/>
          </w:p>
        </w:tc>
        <w:tc>
          <w:tcPr>
            <w:tcW w:w="1878"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草坪修剪</w:t>
            </w:r>
            <w:r/>
          </w:p>
        </w:tc>
        <w:tc>
          <w:tcPr>
            <w:tcW w:w="5523"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黑麦草中旬修剪1次</w:t>
            </w:r>
            <w:r/>
          </w:p>
        </w:tc>
        <w:tc>
          <w:tcPr>
            <w:tcW w:w="969"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3周</w:t>
            </w:r>
            <w:r/>
          </w:p>
        </w:tc>
      </w:tr>
      <w:tr>
        <w:trPr>
          <w:trHeight w:val="547"/>
        </w:trPr>
        <w:tc>
          <w:tcPr>
            <w:tcW w:w="488"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549"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291"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8</w:t>
            </w:r>
            <w:r/>
          </w:p>
        </w:tc>
        <w:tc>
          <w:tcPr>
            <w:tcW w:w="1878"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抗雪减灾应急保障</w:t>
            </w:r>
            <w:r/>
          </w:p>
        </w:tc>
        <w:tc>
          <w:tcPr>
            <w:tcW w:w="5523"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继续按照抗雪减灾应急预案做好应急保障，保障期间应做到1小时内排除险情，2天内完成倒伏树木扶正</w:t>
            </w:r>
            <w:r/>
          </w:p>
        </w:tc>
        <w:tc>
          <w:tcPr>
            <w:tcW w:w="969"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随机</w:t>
            </w:r>
            <w:r/>
          </w:p>
        </w:tc>
      </w:tr>
      <w:tr>
        <w:trPr>
          <w:trHeight w:val="427"/>
        </w:trPr>
        <w:tc>
          <w:tcPr>
            <w:tcW w:w="488"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549"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291"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9</w:t>
            </w:r>
            <w:r/>
          </w:p>
        </w:tc>
        <w:tc>
          <w:tcPr>
            <w:tcW w:w="1878"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安全管理</w:t>
            </w:r>
            <w:r/>
          </w:p>
        </w:tc>
        <w:tc>
          <w:tcPr>
            <w:tcW w:w="5523"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春节前一周应对所有作业工人进行节日安全交底，并上报安全交底记录和照片</w:t>
            </w:r>
            <w:r/>
          </w:p>
        </w:tc>
        <w:tc>
          <w:tcPr>
            <w:tcW w:w="969"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3周</w:t>
            </w:r>
            <w:r/>
          </w:p>
        </w:tc>
      </w:tr>
      <w:tr>
        <w:trPr>
          <w:trHeight w:val="590"/>
        </w:trPr>
        <w:tc>
          <w:tcPr>
            <w:tcW w:w="488"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549"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291"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10</w:t>
            </w:r>
            <w:r/>
          </w:p>
        </w:tc>
        <w:tc>
          <w:tcPr>
            <w:tcW w:w="1878" w:type="dxa"/>
            <w:vAlign w:val="center"/>
            <w:textDirection w:val="lrTb"/>
            <w:noWrap w:val="false"/>
          </w:tcPr>
          <w:p>
            <w:pPr>
              <w:ind w:firstLine="0"/>
              <w:jc w:val="left"/>
              <w:widowControl/>
              <w:rPr>
                <w:rFonts w:hint="eastAsia" w:ascii="宋体" w:hAnsi="宋体" w:eastAsia="宋体" w:cs="宋体"/>
                <w:b/>
                <w:bCs/>
                <w:color w:val="auto"/>
                <w:sz w:val="20"/>
                <w:szCs w:val="20"/>
                <w:highlight w:val="none"/>
              </w:rPr>
              <w:outlineLvl w:val="9"/>
            </w:pPr>
            <w:r>
              <w:rPr>
                <w:rFonts w:hint="eastAsia" w:ascii="宋体" w:hAnsi="宋体" w:eastAsia="宋体" w:cs="宋体"/>
                <w:b/>
                <w:bCs/>
                <w:color w:val="auto"/>
                <w:sz w:val="20"/>
                <w:szCs w:val="20"/>
                <w:highlight w:val="none"/>
              </w:rPr>
              <w:t xml:space="preserve">春节保障</w:t>
            </w:r>
            <w:r/>
          </w:p>
        </w:tc>
        <w:tc>
          <w:tcPr>
            <w:tcW w:w="5523"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春节前一周结清农民工工资，对绿地内的绿化垃圾进行一次全面清理，并按照抗雪减灾应急预案做好春节期间应急保障</w:t>
            </w:r>
            <w:r/>
          </w:p>
        </w:tc>
        <w:tc>
          <w:tcPr>
            <w:tcW w:w="969"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3-4周</w:t>
            </w:r>
            <w:r/>
          </w:p>
        </w:tc>
      </w:tr>
      <w:tr>
        <w:trPr>
          <w:trHeight w:val="547"/>
        </w:trPr>
        <w:tc>
          <w:tcPr>
            <w:tcW w:w="488"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549" w:type="dxa"/>
            <w:vAlign w:val="center"/>
            <w:vMerge w:val="restart"/>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2月</w:t>
            </w:r>
            <w:r/>
          </w:p>
        </w:tc>
        <w:tc>
          <w:tcPr>
            <w:tcW w:w="291"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11</w:t>
            </w:r>
            <w:r/>
          </w:p>
        </w:tc>
        <w:tc>
          <w:tcPr>
            <w:tcW w:w="1878"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抗雪减灾应急保障</w:t>
            </w:r>
            <w:r/>
          </w:p>
        </w:tc>
        <w:tc>
          <w:tcPr>
            <w:tcW w:w="5523"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继续按照抗雪减灾应急预案做好应急保障，保障期间应做到1小时内排除险情，2天内完成倒伏树木扶正</w:t>
            </w:r>
            <w:r/>
          </w:p>
        </w:tc>
        <w:tc>
          <w:tcPr>
            <w:tcW w:w="969"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随机</w:t>
            </w:r>
            <w:r/>
          </w:p>
        </w:tc>
      </w:tr>
      <w:tr>
        <w:trPr>
          <w:trHeight w:val="427"/>
        </w:trPr>
        <w:tc>
          <w:tcPr>
            <w:tcW w:w="488"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549"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291"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12</w:t>
            </w:r>
            <w:r/>
          </w:p>
        </w:tc>
        <w:tc>
          <w:tcPr>
            <w:tcW w:w="1878"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草坪修剪</w:t>
            </w:r>
            <w:r/>
          </w:p>
        </w:tc>
        <w:tc>
          <w:tcPr>
            <w:tcW w:w="5523"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黑麦草中旬修剪1次</w:t>
            </w:r>
            <w:r/>
          </w:p>
        </w:tc>
        <w:tc>
          <w:tcPr>
            <w:tcW w:w="969"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3周</w:t>
            </w:r>
            <w:r/>
          </w:p>
        </w:tc>
      </w:tr>
      <w:tr>
        <w:trPr>
          <w:trHeight w:val="427"/>
        </w:trPr>
        <w:tc>
          <w:tcPr>
            <w:tcW w:w="488"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549"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291"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13</w:t>
            </w:r>
            <w:r/>
          </w:p>
        </w:tc>
        <w:tc>
          <w:tcPr>
            <w:tcW w:w="1878" w:type="dxa"/>
            <w:vAlign w:val="center"/>
            <w:textDirection w:val="lrTb"/>
            <w:noWrap w:val="false"/>
          </w:tcPr>
          <w:p>
            <w:pPr>
              <w:ind w:firstLine="0"/>
              <w:jc w:val="left"/>
              <w:widowControl/>
              <w:rPr>
                <w:rFonts w:hint="eastAsia" w:ascii="宋体" w:hAnsi="宋体" w:eastAsia="宋体" w:cs="宋体"/>
                <w:b/>
                <w:bCs/>
                <w:color w:val="auto"/>
                <w:sz w:val="20"/>
                <w:szCs w:val="20"/>
                <w:highlight w:val="none"/>
              </w:rPr>
              <w:outlineLvl w:val="9"/>
            </w:pPr>
            <w:r>
              <w:rPr>
                <w:rFonts w:hint="eastAsia" w:ascii="宋体" w:hAnsi="宋体" w:eastAsia="宋体" w:cs="宋体"/>
                <w:b/>
                <w:bCs/>
                <w:color w:val="auto"/>
                <w:sz w:val="20"/>
                <w:szCs w:val="20"/>
                <w:highlight w:val="none"/>
              </w:rPr>
              <w:t xml:space="preserve">树木整形修剪</w:t>
            </w:r>
            <w:r/>
          </w:p>
        </w:tc>
        <w:tc>
          <w:tcPr>
            <w:tcW w:w="5523"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完成除行道树以外的香樟、广玉兰、女贞、桂花等常绿树种的疏枝整形修剪</w:t>
            </w:r>
            <w:r/>
          </w:p>
        </w:tc>
        <w:tc>
          <w:tcPr>
            <w:tcW w:w="969"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1-4周</w:t>
            </w:r>
            <w:r/>
          </w:p>
        </w:tc>
      </w:tr>
      <w:tr>
        <w:trPr>
          <w:trHeight w:val="817"/>
        </w:trPr>
        <w:tc>
          <w:tcPr>
            <w:tcW w:w="488" w:type="dxa"/>
            <w:vAlign w:val="center"/>
            <w:vMerge w:val="restart"/>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春季</w:t>
            </w:r>
            <w:r/>
          </w:p>
        </w:tc>
        <w:tc>
          <w:tcPr>
            <w:tcW w:w="549" w:type="dxa"/>
            <w:vAlign w:val="center"/>
            <w:vMerge w:val="restart"/>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3月</w:t>
            </w:r>
            <w:r/>
          </w:p>
        </w:tc>
        <w:tc>
          <w:tcPr>
            <w:tcW w:w="291"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14</w:t>
            </w:r>
            <w:r/>
          </w:p>
        </w:tc>
        <w:tc>
          <w:tcPr>
            <w:tcW w:w="1878" w:type="dxa"/>
            <w:vAlign w:val="center"/>
            <w:textDirection w:val="lrTb"/>
            <w:noWrap w:val="false"/>
          </w:tcPr>
          <w:p>
            <w:pPr>
              <w:ind w:firstLine="0"/>
              <w:jc w:val="left"/>
              <w:widowControl/>
              <w:rPr>
                <w:rFonts w:hint="eastAsia" w:ascii="宋体" w:hAnsi="宋体" w:eastAsia="宋体" w:cs="宋体"/>
                <w:b/>
                <w:bCs/>
                <w:color w:val="auto"/>
                <w:sz w:val="20"/>
                <w:szCs w:val="20"/>
                <w:highlight w:val="none"/>
              </w:rPr>
              <w:outlineLvl w:val="9"/>
            </w:pPr>
            <w:r>
              <w:rPr>
                <w:rFonts w:hint="eastAsia" w:ascii="宋体" w:hAnsi="宋体" w:eastAsia="宋体" w:cs="宋体"/>
                <w:b/>
                <w:bCs/>
                <w:color w:val="auto"/>
                <w:sz w:val="20"/>
                <w:szCs w:val="20"/>
                <w:highlight w:val="none"/>
              </w:rPr>
              <w:t xml:space="preserve">施肥、松土</w:t>
            </w:r>
            <w:r/>
          </w:p>
        </w:tc>
        <w:tc>
          <w:tcPr>
            <w:tcW w:w="5523"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结合对所有乔灌木树穴松土整饬，施腐熟有机肥，施肥量不低于1kg/m</w:t>
            </w:r>
            <w:r>
              <w:rPr>
                <w:rFonts w:hint="eastAsia" w:ascii="宋体" w:hAnsi="宋体" w:eastAsia="宋体" w:cs="宋体"/>
                <w:color w:val="auto"/>
                <w:sz w:val="20"/>
                <w:szCs w:val="20"/>
                <w:highlight w:val="none"/>
                <w:vertAlign w:val="superscript"/>
              </w:rPr>
              <w:t xml:space="preserve">2</w:t>
            </w:r>
            <w:r>
              <w:rPr>
                <w:rFonts w:hint="eastAsia" w:ascii="宋体" w:hAnsi="宋体" w:eastAsia="宋体" w:cs="宋体"/>
                <w:color w:val="auto"/>
                <w:sz w:val="20"/>
                <w:szCs w:val="20"/>
                <w:highlight w:val="none"/>
              </w:rPr>
              <w:t xml:space="preserve">，对绿篱、色块、黑麦草和草花等地被植物施一次复合肥，施肥量不低于15g/m</w:t>
            </w:r>
            <w:r>
              <w:rPr>
                <w:rFonts w:hint="eastAsia" w:ascii="宋体" w:hAnsi="宋体" w:eastAsia="宋体" w:cs="宋体"/>
                <w:color w:val="auto"/>
                <w:sz w:val="20"/>
                <w:szCs w:val="20"/>
                <w:highlight w:val="none"/>
                <w:vertAlign w:val="superscript"/>
              </w:rPr>
              <w:t xml:space="preserve">2</w:t>
            </w:r>
            <w:r>
              <w:rPr>
                <w:rFonts w:hint="eastAsia" w:ascii="宋体" w:hAnsi="宋体" w:eastAsia="宋体" w:cs="宋体"/>
                <w:color w:val="auto"/>
                <w:sz w:val="20"/>
                <w:szCs w:val="20"/>
                <w:highlight w:val="none"/>
              </w:rPr>
              <w:t xml:space="preserve">，施肥可与春灌结合，提高吸收率</w:t>
            </w:r>
            <w:r/>
          </w:p>
        </w:tc>
        <w:tc>
          <w:tcPr>
            <w:tcW w:w="969"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1-2周</w:t>
            </w:r>
            <w:r/>
          </w:p>
        </w:tc>
      </w:tr>
      <w:tr>
        <w:trPr>
          <w:trHeight w:val="427"/>
        </w:trPr>
        <w:tc>
          <w:tcPr>
            <w:tcW w:w="488"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549"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291"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15</w:t>
            </w:r>
            <w:r/>
          </w:p>
        </w:tc>
        <w:tc>
          <w:tcPr>
            <w:tcW w:w="1878"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春灌</w:t>
            </w:r>
            <w:r/>
          </w:p>
        </w:tc>
        <w:tc>
          <w:tcPr>
            <w:tcW w:w="5523"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对所有绿地进行一次全面春灌，要求浇足浇透，以浸透土壤15</w:t>
            </w:r>
            <w:r>
              <w:rPr>
                <w:rFonts w:hint="eastAsia" w:ascii="宋体" w:hAnsi="宋体" w:eastAsia="宋体" w:cs="宋体"/>
                <w:color w:val="auto"/>
                <w:sz w:val="20"/>
                <w:szCs w:val="20"/>
                <w:highlight w:val="none"/>
                <w:lang w:eastAsia="zh-CN"/>
              </w:rPr>
              <w:t xml:space="preserve">—</w:t>
            </w:r>
            <w:r>
              <w:rPr>
                <w:rFonts w:hint="eastAsia" w:ascii="宋体" w:hAnsi="宋体" w:eastAsia="宋体" w:cs="宋体"/>
                <w:color w:val="auto"/>
                <w:sz w:val="20"/>
                <w:szCs w:val="20"/>
                <w:highlight w:val="none"/>
              </w:rPr>
              <w:t xml:space="preserve">20cm为宜</w:t>
            </w:r>
            <w:r/>
          </w:p>
        </w:tc>
        <w:tc>
          <w:tcPr>
            <w:tcW w:w="969"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2周</w:t>
            </w:r>
            <w:r/>
          </w:p>
        </w:tc>
      </w:tr>
      <w:tr>
        <w:trPr>
          <w:trHeight w:val="427"/>
        </w:trPr>
        <w:tc>
          <w:tcPr>
            <w:tcW w:w="488"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549"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291"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16</w:t>
            </w:r>
            <w:r/>
          </w:p>
        </w:tc>
        <w:tc>
          <w:tcPr>
            <w:tcW w:w="1878"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撤除防寒设施</w:t>
            </w:r>
            <w:r/>
          </w:p>
        </w:tc>
        <w:tc>
          <w:tcPr>
            <w:tcW w:w="5523"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撤除热带树种防寒设施</w:t>
            </w:r>
            <w:r/>
          </w:p>
        </w:tc>
        <w:tc>
          <w:tcPr>
            <w:tcW w:w="969"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4周</w:t>
            </w:r>
            <w:r/>
          </w:p>
        </w:tc>
      </w:tr>
      <w:tr>
        <w:trPr>
          <w:trHeight w:val="427"/>
        </w:trPr>
        <w:tc>
          <w:tcPr>
            <w:tcW w:w="488"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549"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291"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17</w:t>
            </w:r>
            <w:r/>
          </w:p>
        </w:tc>
        <w:tc>
          <w:tcPr>
            <w:tcW w:w="1878"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除草</w:t>
            </w:r>
            <w:r/>
          </w:p>
        </w:tc>
        <w:tc>
          <w:tcPr>
            <w:tcW w:w="5523"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每10天除一次杂草</w:t>
            </w:r>
            <w:r/>
          </w:p>
        </w:tc>
        <w:tc>
          <w:tcPr>
            <w:tcW w:w="969"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1-4周</w:t>
            </w:r>
            <w:r/>
          </w:p>
        </w:tc>
      </w:tr>
      <w:tr>
        <w:trPr>
          <w:trHeight w:val="427"/>
        </w:trPr>
        <w:tc>
          <w:tcPr>
            <w:tcW w:w="488"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549"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291"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18</w:t>
            </w:r>
            <w:r/>
          </w:p>
        </w:tc>
        <w:tc>
          <w:tcPr>
            <w:tcW w:w="1878"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草坪修剪</w:t>
            </w:r>
            <w:r/>
          </w:p>
        </w:tc>
        <w:tc>
          <w:tcPr>
            <w:tcW w:w="5523"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黑麦草每15天修剪1次，中旬</w:t>
            </w:r>
            <w:r>
              <w:rPr>
                <w:rFonts w:hint="eastAsia" w:ascii="宋体" w:hAnsi="宋体" w:eastAsia="宋体" w:cs="宋体"/>
                <w:color w:val="auto"/>
                <w:sz w:val="20"/>
                <w:szCs w:val="20"/>
                <w:highlight w:val="none"/>
                <w:lang w:eastAsia="zh-CN"/>
              </w:rPr>
              <w:t xml:space="preserve">对天堂</w:t>
            </w:r>
            <w:r>
              <w:rPr>
                <w:rFonts w:hint="eastAsia" w:ascii="宋体" w:hAnsi="宋体" w:eastAsia="宋体" w:cs="宋体"/>
                <w:color w:val="auto"/>
                <w:sz w:val="20"/>
                <w:szCs w:val="20"/>
                <w:highlight w:val="none"/>
              </w:rPr>
              <w:t xml:space="preserve">草、绿篱、球类</w:t>
            </w:r>
            <w:r>
              <w:rPr>
                <w:rFonts w:hint="eastAsia" w:ascii="宋体" w:hAnsi="宋体" w:eastAsia="宋体" w:cs="宋体"/>
                <w:color w:val="auto"/>
                <w:sz w:val="20"/>
                <w:szCs w:val="20"/>
                <w:highlight w:val="none"/>
                <w:lang w:eastAsia="zh-CN"/>
              </w:rPr>
              <w:t xml:space="preserve">进行修剪</w:t>
            </w:r>
            <w:r>
              <w:rPr>
                <w:rFonts w:hint="eastAsia" w:ascii="宋体" w:hAnsi="宋体" w:eastAsia="宋体" w:cs="宋体"/>
                <w:color w:val="auto"/>
                <w:sz w:val="20"/>
                <w:szCs w:val="20"/>
                <w:highlight w:val="none"/>
              </w:rPr>
              <w:t xml:space="preserve">1次</w:t>
            </w:r>
            <w:r/>
          </w:p>
        </w:tc>
        <w:tc>
          <w:tcPr>
            <w:tcW w:w="969"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1、3周</w:t>
            </w:r>
            <w:r/>
          </w:p>
        </w:tc>
      </w:tr>
      <w:tr>
        <w:trPr>
          <w:trHeight w:val="1086"/>
        </w:trPr>
        <w:tc>
          <w:tcPr>
            <w:tcW w:w="488"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549"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291"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19</w:t>
            </w:r>
            <w:r/>
          </w:p>
        </w:tc>
        <w:tc>
          <w:tcPr>
            <w:tcW w:w="1878"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病虫害防治</w:t>
            </w:r>
            <w:r/>
          </w:p>
        </w:tc>
        <w:tc>
          <w:tcPr>
            <w:tcW w:w="5523"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主要应针对病虫害越冬代进行防治，摘除</w:t>
            </w:r>
            <w:r>
              <w:rPr>
                <w:rFonts w:hint="eastAsia" w:ascii="宋体" w:hAnsi="宋体" w:eastAsia="宋体" w:cs="宋体"/>
                <w:b/>
                <w:bCs/>
                <w:color w:val="auto"/>
                <w:sz w:val="20"/>
                <w:szCs w:val="20"/>
                <w:highlight w:val="none"/>
              </w:rPr>
              <w:t xml:space="preserve">大袋蛾</w:t>
            </w:r>
            <w:r>
              <w:rPr>
                <w:rFonts w:hint="eastAsia" w:ascii="宋体" w:hAnsi="宋体" w:eastAsia="宋体" w:cs="宋体"/>
                <w:color w:val="auto"/>
                <w:sz w:val="20"/>
                <w:szCs w:val="20"/>
                <w:highlight w:val="none"/>
              </w:rPr>
              <w:t xml:space="preserve">虫囊（香樟、樱花、柏类、桂花等）；清除</w:t>
            </w:r>
            <w:r>
              <w:rPr>
                <w:rFonts w:hint="eastAsia" w:ascii="宋体" w:hAnsi="宋体" w:eastAsia="宋体" w:cs="宋体"/>
                <w:b/>
                <w:bCs/>
                <w:color w:val="auto"/>
                <w:sz w:val="20"/>
                <w:szCs w:val="20"/>
                <w:highlight w:val="none"/>
              </w:rPr>
              <w:t xml:space="preserve">刺蛾</w:t>
            </w:r>
            <w:r>
              <w:rPr>
                <w:rFonts w:hint="eastAsia" w:ascii="宋体" w:hAnsi="宋体" w:eastAsia="宋体" w:cs="宋体"/>
                <w:color w:val="auto"/>
                <w:sz w:val="20"/>
                <w:szCs w:val="20"/>
                <w:highlight w:val="none"/>
              </w:rPr>
              <w:t xml:space="preserve">虫茧（法梧、栾树、枫杨、红叶李、杨树、柳树、桃树等）；对草坪、麦冬、葱兰等土壤中的金龟子幼虫（</w:t>
            </w:r>
            <w:r>
              <w:rPr>
                <w:rFonts w:hint="eastAsia" w:ascii="宋体" w:hAnsi="宋体" w:eastAsia="宋体" w:cs="宋体"/>
                <w:b/>
                <w:bCs/>
                <w:color w:val="auto"/>
                <w:sz w:val="20"/>
                <w:szCs w:val="20"/>
                <w:highlight w:val="none"/>
              </w:rPr>
              <w:t xml:space="preserve">蛴螬</w:t>
            </w:r>
            <w:r>
              <w:rPr>
                <w:rFonts w:hint="eastAsia" w:ascii="宋体" w:hAnsi="宋体" w:eastAsia="宋体" w:cs="宋体"/>
                <w:color w:val="auto"/>
                <w:sz w:val="20"/>
                <w:szCs w:val="20"/>
                <w:highlight w:val="none"/>
              </w:rPr>
              <w:t xml:space="preserve">）视情况通过人工翻土或药物进行防治；开始对</w:t>
            </w:r>
            <w:r>
              <w:rPr>
                <w:rFonts w:hint="eastAsia" w:ascii="宋体" w:hAnsi="宋体" w:eastAsia="宋体" w:cs="宋体"/>
                <w:b/>
                <w:bCs/>
                <w:color w:val="auto"/>
                <w:sz w:val="20"/>
                <w:szCs w:val="20"/>
                <w:highlight w:val="none"/>
              </w:rPr>
              <w:t xml:space="preserve">蚜虫</w:t>
            </w:r>
            <w:r>
              <w:rPr>
                <w:rFonts w:hint="eastAsia" w:ascii="宋体" w:hAnsi="宋体" w:eastAsia="宋体" w:cs="宋体"/>
                <w:color w:val="auto"/>
                <w:sz w:val="20"/>
                <w:szCs w:val="20"/>
                <w:highlight w:val="none"/>
              </w:rPr>
              <w:t xml:space="preserve">、</w:t>
            </w:r>
            <w:r>
              <w:rPr>
                <w:rFonts w:hint="eastAsia" w:ascii="宋体" w:hAnsi="宋体" w:eastAsia="宋体" w:cs="宋体"/>
                <w:b/>
                <w:bCs/>
                <w:color w:val="auto"/>
                <w:sz w:val="20"/>
                <w:szCs w:val="20"/>
                <w:highlight w:val="none"/>
              </w:rPr>
              <w:t xml:space="preserve">黄杨绢野螟</w:t>
            </w:r>
            <w:r>
              <w:rPr>
                <w:rFonts w:hint="eastAsia" w:ascii="宋体" w:hAnsi="宋体" w:eastAsia="宋体" w:cs="宋体"/>
                <w:color w:val="auto"/>
                <w:sz w:val="20"/>
                <w:szCs w:val="20"/>
                <w:highlight w:val="none"/>
              </w:rPr>
              <w:t xml:space="preserve">、</w:t>
            </w:r>
            <w:r>
              <w:rPr>
                <w:rFonts w:hint="eastAsia" w:ascii="宋体" w:hAnsi="宋体" w:eastAsia="宋体" w:cs="宋体"/>
                <w:b/>
                <w:bCs/>
                <w:color w:val="auto"/>
                <w:sz w:val="20"/>
                <w:szCs w:val="20"/>
                <w:highlight w:val="none"/>
              </w:rPr>
              <w:t xml:space="preserve">金叶女贞叶斑病</w:t>
            </w:r>
            <w:r>
              <w:rPr>
                <w:rFonts w:hint="eastAsia" w:ascii="宋体" w:hAnsi="宋体" w:eastAsia="宋体" w:cs="宋体"/>
                <w:color w:val="auto"/>
                <w:sz w:val="20"/>
                <w:szCs w:val="20"/>
                <w:highlight w:val="none"/>
              </w:rPr>
              <w:t xml:space="preserve">进行防治</w:t>
            </w:r>
            <w:r/>
          </w:p>
        </w:tc>
        <w:tc>
          <w:tcPr>
            <w:tcW w:w="969"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3-4周</w:t>
            </w:r>
            <w:r/>
          </w:p>
        </w:tc>
      </w:tr>
      <w:tr>
        <w:trPr>
          <w:trHeight w:val="817"/>
        </w:trPr>
        <w:tc>
          <w:tcPr>
            <w:tcW w:w="488"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549" w:type="dxa"/>
            <w:vAlign w:val="center"/>
            <w:vMerge w:val="restart"/>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4月</w:t>
            </w:r>
            <w:r/>
          </w:p>
        </w:tc>
        <w:tc>
          <w:tcPr>
            <w:tcW w:w="291"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20</w:t>
            </w:r>
            <w:r/>
          </w:p>
        </w:tc>
        <w:tc>
          <w:tcPr>
            <w:tcW w:w="1878"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春季草花更换</w:t>
            </w:r>
            <w:r/>
          </w:p>
        </w:tc>
        <w:tc>
          <w:tcPr>
            <w:tcW w:w="5523" w:type="dxa"/>
            <w:vAlign w:val="center"/>
            <w:textDirection w:val="lrTb"/>
            <w:noWrap w:val="false"/>
          </w:tcPr>
          <w:p>
            <w:pPr>
              <w:ind w:firstLine="0"/>
              <w:jc w:val="left"/>
              <w:widowControl/>
              <w:rPr>
                <w:rFonts w:hint="eastAsia" w:ascii="宋体" w:hAnsi="宋体" w:eastAsia="宋体" w:cs="宋体"/>
                <w:color w:val="auto"/>
                <w:sz w:val="20"/>
                <w:szCs w:val="20"/>
                <w:highlight w:val="none"/>
                <w:lang w:eastAsia="zh-CN"/>
              </w:rPr>
              <w:outlineLvl w:val="9"/>
            </w:pPr>
            <w:r>
              <w:rPr>
                <w:rFonts w:hint="eastAsia" w:ascii="宋体" w:hAnsi="宋体" w:eastAsia="宋体" w:cs="宋体"/>
                <w:color w:val="auto"/>
                <w:sz w:val="20"/>
                <w:szCs w:val="20"/>
                <w:highlight w:val="none"/>
              </w:rPr>
              <w:t xml:space="preserve">完成春季草花更换，草花应图案清晰、色彩鲜艳、花朵繁茂、花期一致，种植密度不低于49株/平方米，视品种植株大小应适当提高密度，保持基本不见裸土</w:t>
            </w:r>
            <w:r>
              <w:rPr>
                <w:rFonts w:hint="eastAsia" w:ascii="宋体" w:hAnsi="宋体" w:eastAsia="宋体" w:cs="宋体"/>
                <w:color w:val="auto"/>
                <w:sz w:val="20"/>
                <w:szCs w:val="20"/>
                <w:highlight w:val="none"/>
                <w:lang w:eastAsia="zh-CN"/>
              </w:rPr>
              <w:t xml:space="preserve">；部分开花效果好的草花可延迟下月更换。</w:t>
            </w:r>
            <w:r/>
          </w:p>
        </w:tc>
        <w:tc>
          <w:tcPr>
            <w:tcW w:w="969"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1-2周</w:t>
            </w:r>
            <w:r/>
          </w:p>
        </w:tc>
      </w:tr>
      <w:tr>
        <w:trPr>
          <w:trHeight w:val="547"/>
        </w:trPr>
        <w:tc>
          <w:tcPr>
            <w:tcW w:w="488"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549"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291"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21</w:t>
            </w:r>
            <w:r/>
          </w:p>
        </w:tc>
        <w:tc>
          <w:tcPr>
            <w:tcW w:w="1878"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修剪</w:t>
            </w:r>
            <w:r/>
          </w:p>
        </w:tc>
        <w:tc>
          <w:tcPr>
            <w:tcW w:w="5523"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每10天修剪一次黑麦草、绿篱、球类，乔木剥芽1次，黑麦草低修剪，开花植物花后2周内完成整形修剪</w:t>
            </w:r>
            <w:r/>
          </w:p>
        </w:tc>
        <w:tc>
          <w:tcPr>
            <w:tcW w:w="969"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1-4周</w:t>
            </w:r>
            <w:r/>
          </w:p>
        </w:tc>
      </w:tr>
      <w:tr>
        <w:trPr>
          <w:trHeight w:val="427"/>
        </w:trPr>
        <w:tc>
          <w:tcPr>
            <w:tcW w:w="488"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549"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291"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22</w:t>
            </w:r>
            <w:r/>
          </w:p>
        </w:tc>
        <w:tc>
          <w:tcPr>
            <w:tcW w:w="1878"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浇水</w:t>
            </w:r>
            <w:r/>
          </w:p>
        </w:tc>
        <w:tc>
          <w:tcPr>
            <w:tcW w:w="5523"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每10天对绿地浇一次透水</w:t>
            </w:r>
            <w:r/>
          </w:p>
        </w:tc>
        <w:tc>
          <w:tcPr>
            <w:tcW w:w="969"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1-4周</w:t>
            </w:r>
            <w:r/>
          </w:p>
        </w:tc>
      </w:tr>
      <w:tr>
        <w:trPr>
          <w:trHeight w:val="427"/>
        </w:trPr>
        <w:tc>
          <w:tcPr>
            <w:tcW w:w="488"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549"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291"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23</w:t>
            </w:r>
            <w:r/>
          </w:p>
        </w:tc>
        <w:tc>
          <w:tcPr>
            <w:tcW w:w="1878" w:type="dxa"/>
            <w:vAlign w:val="center"/>
            <w:textDirection w:val="lrTb"/>
            <w:noWrap w:val="false"/>
          </w:tcPr>
          <w:p>
            <w:pPr>
              <w:ind w:firstLine="0"/>
              <w:jc w:val="left"/>
              <w:widowControl/>
              <w:rPr>
                <w:rFonts w:hint="eastAsia" w:ascii="宋体" w:hAnsi="宋体" w:eastAsia="宋体" w:cs="宋体"/>
                <w:b/>
                <w:bCs/>
                <w:color w:val="auto"/>
                <w:sz w:val="20"/>
                <w:szCs w:val="20"/>
                <w:highlight w:val="none"/>
              </w:rPr>
              <w:outlineLvl w:val="9"/>
            </w:pPr>
            <w:r>
              <w:rPr>
                <w:rFonts w:hint="eastAsia" w:ascii="宋体" w:hAnsi="宋体" w:eastAsia="宋体" w:cs="宋体"/>
                <w:b/>
                <w:bCs/>
                <w:color w:val="auto"/>
                <w:sz w:val="20"/>
                <w:szCs w:val="20"/>
                <w:highlight w:val="none"/>
              </w:rPr>
              <w:t xml:space="preserve">除草</w:t>
            </w:r>
            <w:r/>
          </w:p>
        </w:tc>
        <w:tc>
          <w:tcPr>
            <w:tcW w:w="5523"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每10天除一次杂草</w:t>
            </w:r>
            <w:r/>
          </w:p>
        </w:tc>
        <w:tc>
          <w:tcPr>
            <w:tcW w:w="969"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1-4周</w:t>
            </w:r>
            <w:r/>
          </w:p>
        </w:tc>
      </w:tr>
      <w:tr>
        <w:trPr>
          <w:trHeight w:val="427"/>
        </w:trPr>
        <w:tc>
          <w:tcPr>
            <w:tcW w:w="488"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549"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291"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24</w:t>
            </w:r>
            <w:r/>
          </w:p>
        </w:tc>
        <w:tc>
          <w:tcPr>
            <w:tcW w:w="1878"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清扫香樟落叶</w:t>
            </w:r>
            <w:r/>
          </w:p>
        </w:tc>
        <w:tc>
          <w:tcPr>
            <w:tcW w:w="5523"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中旬起加大保洁力度，及时清扫香樟落叶</w:t>
            </w:r>
            <w:r/>
          </w:p>
        </w:tc>
        <w:tc>
          <w:tcPr>
            <w:tcW w:w="969"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2-4周</w:t>
            </w:r>
            <w:r/>
          </w:p>
        </w:tc>
      </w:tr>
      <w:tr>
        <w:trPr>
          <w:trHeight w:val="2163"/>
        </w:trPr>
        <w:tc>
          <w:tcPr>
            <w:tcW w:w="488"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549"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291"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25</w:t>
            </w:r>
            <w:r/>
          </w:p>
        </w:tc>
        <w:tc>
          <w:tcPr>
            <w:tcW w:w="1878" w:type="dxa"/>
            <w:vAlign w:val="center"/>
            <w:textDirection w:val="lrTb"/>
            <w:noWrap w:val="false"/>
          </w:tcPr>
          <w:p>
            <w:pPr>
              <w:ind w:firstLine="0"/>
              <w:jc w:val="left"/>
              <w:widowControl/>
              <w:rPr>
                <w:rFonts w:hint="eastAsia" w:ascii="宋体" w:hAnsi="宋体" w:eastAsia="宋体" w:cs="宋体"/>
                <w:b/>
                <w:bCs/>
                <w:color w:val="auto"/>
                <w:sz w:val="20"/>
                <w:szCs w:val="20"/>
                <w:highlight w:val="none"/>
              </w:rPr>
              <w:outlineLvl w:val="9"/>
            </w:pPr>
            <w:r>
              <w:rPr>
                <w:rFonts w:hint="eastAsia" w:ascii="宋体" w:hAnsi="宋体" w:eastAsia="宋体" w:cs="宋体"/>
                <w:b/>
                <w:bCs/>
                <w:color w:val="auto"/>
                <w:sz w:val="20"/>
                <w:szCs w:val="20"/>
                <w:highlight w:val="none"/>
              </w:rPr>
              <w:t xml:space="preserve">病虫害防治</w:t>
            </w:r>
            <w:r/>
          </w:p>
        </w:tc>
        <w:tc>
          <w:tcPr>
            <w:tcW w:w="5523"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本月是春季病虫害发生和</w:t>
            </w:r>
            <w:r>
              <w:rPr>
                <w:rFonts w:hint="eastAsia" w:ascii="宋体" w:hAnsi="宋体" w:eastAsia="宋体" w:cs="宋体"/>
                <w:color w:val="auto"/>
                <w:sz w:val="20"/>
                <w:szCs w:val="20"/>
                <w:highlight w:val="none"/>
                <w:lang w:eastAsia="zh-CN"/>
              </w:rPr>
              <w:t xml:space="preserve">危害</w:t>
            </w:r>
            <w:r>
              <w:rPr>
                <w:rFonts w:hint="eastAsia" w:ascii="宋体" w:hAnsi="宋体" w:eastAsia="宋体" w:cs="宋体"/>
                <w:color w:val="auto"/>
                <w:sz w:val="20"/>
                <w:szCs w:val="20"/>
                <w:highlight w:val="none"/>
              </w:rPr>
              <w:t xml:space="preserve">高峰，重点防治对象：</w:t>
            </w:r>
            <w:r>
              <w:rPr>
                <w:rFonts w:hint="eastAsia" w:ascii="宋体" w:hAnsi="宋体" w:eastAsia="宋体" w:cs="宋体"/>
                <w:b/>
                <w:bCs/>
                <w:color w:val="auto"/>
                <w:sz w:val="20"/>
                <w:szCs w:val="20"/>
                <w:highlight w:val="none"/>
              </w:rPr>
              <w:t xml:space="preserve">蚜虫</w:t>
            </w:r>
            <w:r>
              <w:rPr>
                <w:rFonts w:hint="eastAsia" w:ascii="宋体" w:hAnsi="宋体" w:eastAsia="宋体" w:cs="宋体"/>
                <w:color w:val="auto"/>
                <w:sz w:val="20"/>
                <w:szCs w:val="20"/>
                <w:highlight w:val="none"/>
              </w:rPr>
              <w:t xml:space="preserve">（栾树、槐树、红叶李、樱花、梅花、桃树、金枝槐、海棠、紫荆、木槿、石榴、竹子、海桐、法冬、夹竹桃、黄杨、火棘、栀子、月季、蔷薇等）、</w:t>
            </w:r>
            <w:r>
              <w:rPr>
                <w:rFonts w:hint="eastAsia" w:ascii="宋体" w:hAnsi="宋体" w:eastAsia="宋体" w:cs="宋体"/>
                <w:b/>
                <w:bCs/>
                <w:color w:val="auto"/>
                <w:sz w:val="20"/>
                <w:szCs w:val="20"/>
                <w:highlight w:val="none"/>
              </w:rPr>
              <w:t xml:space="preserve">介壳虫</w:t>
            </w:r>
            <w:r>
              <w:rPr>
                <w:rFonts w:hint="eastAsia" w:ascii="宋体" w:hAnsi="宋体" w:eastAsia="宋体" w:cs="宋体"/>
                <w:color w:val="auto"/>
                <w:sz w:val="20"/>
                <w:szCs w:val="20"/>
                <w:highlight w:val="none"/>
              </w:rPr>
              <w:t xml:space="preserve">（香樟、广玉兰、含笑、香橼、独干女贞、桂花、</w:t>
            </w:r>
            <w:r>
              <w:rPr>
                <w:rFonts w:hint="eastAsia" w:ascii="宋体" w:hAnsi="宋体" w:eastAsia="宋体" w:cs="宋体"/>
                <w:color w:val="auto"/>
                <w:sz w:val="20"/>
                <w:szCs w:val="20"/>
                <w:highlight w:val="none"/>
                <w:lang w:eastAsia="zh-CN"/>
              </w:rPr>
              <w:t xml:space="preserve">橘子等</w:t>
            </w:r>
            <w:r>
              <w:rPr>
                <w:rFonts w:hint="eastAsia" w:ascii="宋体" w:hAnsi="宋体" w:eastAsia="宋体" w:cs="宋体"/>
                <w:color w:val="auto"/>
                <w:sz w:val="20"/>
                <w:szCs w:val="20"/>
                <w:highlight w:val="none"/>
              </w:rPr>
              <w:t xml:space="preserve">）</w:t>
            </w:r>
            <w:r>
              <w:rPr>
                <w:rFonts w:hint="eastAsia" w:ascii="宋体" w:hAnsi="宋体" w:eastAsia="宋体" w:cs="宋体"/>
                <w:b/>
                <w:bCs/>
                <w:color w:val="auto"/>
                <w:sz w:val="20"/>
                <w:szCs w:val="20"/>
                <w:highlight w:val="none"/>
              </w:rPr>
              <w:t xml:space="preserve">、紫薇绒蚧</w:t>
            </w:r>
            <w:r>
              <w:rPr>
                <w:rFonts w:hint="eastAsia" w:ascii="宋体" w:hAnsi="宋体" w:eastAsia="宋体" w:cs="宋体"/>
                <w:color w:val="auto"/>
                <w:sz w:val="20"/>
                <w:szCs w:val="20"/>
                <w:highlight w:val="none"/>
              </w:rPr>
              <w:t xml:space="preserve">（紫薇、石榴）、</w:t>
            </w:r>
            <w:r>
              <w:rPr>
                <w:rFonts w:hint="eastAsia" w:ascii="宋体" w:hAnsi="宋体" w:eastAsia="宋体" w:cs="宋体"/>
                <w:b/>
                <w:bCs/>
                <w:color w:val="auto"/>
                <w:sz w:val="20"/>
                <w:szCs w:val="20"/>
                <w:highlight w:val="none"/>
              </w:rPr>
              <w:t xml:space="preserve">天牛</w:t>
            </w:r>
            <w:r>
              <w:rPr>
                <w:rFonts w:hint="eastAsia" w:ascii="宋体" w:hAnsi="宋体" w:eastAsia="宋体" w:cs="宋体"/>
                <w:color w:val="auto"/>
                <w:sz w:val="20"/>
                <w:szCs w:val="20"/>
                <w:highlight w:val="none"/>
              </w:rPr>
              <w:t xml:space="preserve">（栾树、无患子、合欢、红枫、法梧、杨树、柳树、桃树、槐树等）、</w:t>
            </w:r>
            <w:r>
              <w:rPr>
                <w:rFonts w:hint="eastAsia" w:ascii="宋体" w:hAnsi="宋体" w:eastAsia="宋体" w:cs="宋体"/>
                <w:b/>
                <w:bCs/>
                <w:color w:val="auto"/>
                <w:sz w:val="20"/>
                <w:szCs w:val="20"/>
                <w:highlight w:val="none"/>
              </w:rPr>
              <w:t xml:space="preserve">蛴螬</w:t>
            </w:r>
            <w:r>
              <w:rPr>
                <w:rFonts w:hint="eastAsia" w:ascii="宋体" w:hAnsi="宋体" w:eastAsia="宋体" w:cs="宋体"/>
                <w:color w:val="auto"/>
                <w:sz w:val="20"/>
                <w:szCs w:val="20"/>
                <w:highlight w:val="none"/>
              </w:rPr>
              <w:t xml:space="preserve">（草坪、麦冬、葱兰）、</w:t>
            </w:r>
            <w:r>
              <w:rPr>
                <w:rFonts w:hint="eastAsia" w:ascii="宋体" w:hAnsi="宋体" w:eastAsia="宋体" w:cs="宋体"/>
                <w:b/>
                <w:bCs/>
                <w:color w:val="auto"/>
                <w:sz w:val="20"/>
                <w:szCs w:val="20"/>
                <w:highlight w:val="none"/>
              </w:rPr>
              <w:t xml:space="preserve">尺蠖</w:t>
            </w:r>
            <w:r>
              <w:rPr>
                <w:rFonts w:hint="eastAsia" w:ascii="宋体" w:hAnsi="宋体" w:eastAsia="宋体" w:cs="宋体"/>
                <w:color w:val="auto"/>
                <w:sz w:val="20"/>
                <w:szCs w:val="20"/>
                <w:highlight w:val="none"/>
              </w:rPr>
              <w:t xml:space="preserve">（国槐、金枝槐、大叶黄杨）、</w:t>
            </w:r>
            <w:r>
              <w:rPr>
                <w:rFonts w:hint="eastAsia" w:ascii="宋体" w:hAnsi="宋体" w:eastAsia="宋体" w:cs="宋体"/>
                <w:b/>
                <w:bCs/>
                <w:color w:val="auto"/>
                <w:sz w:val="20"/>
                <w:szCs w:val="20"/>
                <w:highlight w:val="none"/>
              </w:rPr>
              <w:t xml:space="preserve">红蜘蛛</w:t>
            </w:r>
            <w:r>
              <w:rPr>
                <w:rFonts w:hint="eastAsia" w:ascii="宋体" w:hAnsi="宋体" w:eastAsia="宋体" w:cs="宋体"/>
                <w:color w:val="auto"/>
                <w:sz w:val="20"/>
                <w:szCs w:val="20"/>
                <w:highlight w:val="none"/>
              </w:rPr>
              <w:t xml:space="preserve">（香樟、月季、海棠、桂花、桃树、红叶李、木槿、紫荆等）、</w:t>
            </w:r>
            <w:r>
              <w:rPr>
                <w:rFonts w:hint="eastAsia" w:ascii="宋体" w:hAnsi="宋体" w:eastAsia="宋体" w:cs="宋体"/>
                <w:b/>
                <w:bCs/>
                <w:color w:val="auto"/>
                <w:sz w:val="20"/>
                <w:szCs w:val="20"/>
                <w:highlight w:val="none"/>
              </w:rPr>
              <w:t xml:space="preserve">杜鹃网蝽</w:t>
            </w:r>
            <w:r>
              <w:rPr>
                <w:rFonts w:hint="eastAsia" w:ascii="宋体" w:hAnsi="宋体" w:eastAsia="宋体" w:cs="宋体"/>
                <w:color w:val="auto"/>
                <w:sz w:val="20"/>
                <w:szCs w:val="20"/>
                <w:highlight w:val="none"/>
              </w:rPr>
              <w:t xml:space="preserve">（杜鹃）、</w:t>
            </w:r>
            <w:r>
              <w:rPr>
                <w:rFonts w:hint="eastAsia" w:ascii="宋体" w:hAnsi="宋体" w:eastAsia="宋体" w:cs="宋体"/>
                <w:b/>
                <w:bCs/>
                <w:color w:val="auto"/>
                <w:sz w:val="20"/>
                <w:szCs w:val="20"/>
                <w:highlight w:val="none"/>
              </w:rPr>
              <w:t xml:space="preserve">黄杨绢野螟</w:t>
            </w:r>
            <w:r>
              <w:rPr>
                <w:rFonts w:hint="eastAsia" w:ascii="宋体" w:hAnsi="宋体" w:eastAsia="宋体" w:cs="宋体"/>
                <w:color w:val="auto"/>
                <w:sz w:val="20"/>
                <w:szCs w:val="20"/>
                <w:highlight w:val="none"/>
              </w:rPr>
              <w:t xml:space="preserve">、</w:t>
            </w:r>
            <w:r>
              <w:rPr>
                <w:rFonts w:hint="eastAsia" w:ascii="宋体" w:hAnsi="宋体" w:eastAsia="宋体" w:cs="宋体"/>
                <w:b/>
                <w:bCs/>
                <w:color w:val="auto"/>
                <w:sz w:val="20"/>
                <w:szCs w:val="20"/>
                <w:highlight w:val="none"/>
              </w:rPr>
              <w:t xml:space="preserve">大叶黄杨斑蛾</w:t>
            </w:r>
            <w:r>
              <w:rPr>
                <w:rFonts w:hint="eastAsia" w:ascii="宋体" w:hAnsi="宋体" w:eastAsia="宋体" w:cs="宋体"/>
                <w:color w:val="auto"/>
                <w:sz w:val="20"/>
                <w:szCs w:val="20"/>
                <w:highlight w:val="none"/>
              </w:rPr>
              <w:t xml:space="preserve">，</w:t>
            </w:r>
            <w:r>
              <w:rPr>
                <w:rFonts w:hint="eastAsia" w:ascii="宋体" w:hAnsi="宋体" w:eastAsia="宋体" w:cs="宋体"/>
                <w:b/>
                <w:bCs/>
                <w:color w:val="auto"/>
                <w:sz w:val="20"/>
                <w:szCs w:val="20"/>
                <w:highlight w:val="none"/>
              </w:rPr>
              <w:t xml:space="preserve">金叶女贞叶斑病</w:t>
            </w:r>
            <w:r>
              <w:rPr>
                <w:rFonts w:hint="eastAsia" w:ascii="宋体" w:hAnsi="宋体" w:eastAsia="宋体" w:cs="宋体"/>
                <w:color w:val="auto"/>
                <w:sz w:val="20"/>
                <w:szCs w:val="20"/>
                <w:highlight w:val="none"/>
              </w:rPr>
              <w:t xml:space="preserve">、</w:t>
            </w:r>
            <w:r>
              <w:rPr>
                <w:rFonts w:hint="eastAsia" w:ascii="宋体" w:hAnsi="宋体" w:eastAsia="宋体" w:cs="宋体"/>
                <w:b/>
                <w:bCs/>
                <w:color w:val="auto"/>
                <w:sz w:val="20"/>
                <w:szCs w:val="20"/>
                <w:highlight w:val="none"/>
              </w:rPr>
              <w:t xml:space="preserve">月季黑斑病</w:t>
            </w:r>
            <w:r>
              <w:rPr>
                <w:rFonts w:hint="eastAsia" w:ascii="宋体" w:hAnsi="宋体" w:eastAsia="宋体" w:cs="宋体"/>
                <w:color w:val="auto"/>
                <w:sz w:val="20"/>
                <w:szCs w:val="20"/>
                <w:highlight w:val="none"/>
              </w:rPr>
              <w:t xml:space="preserve">、</w:t>
            </w:r>
            <w:r>
              <w:rPr>
                <w:rFonts w:hint="eastAsia" w:ascii="宋体" w:hAnsi="宋体" w:eastAsia="宋体" w:cs="宋体"/>
                <w:b/>
                <w:bCs/>
                <w:color w:val="auto"/>
                <w:sz w:val="20"/>
                <w:szCs w:val="20"/>
                <w:highlight w:val="none"/>
              </w:rPr>
              <w:t xml:space="preserve">白粉病</w:t>
            </w:r>
            <w:r>
              <w:rPr>
                <w:rFonts w:hint="eastAsia" w:ascii="宋体" w:hAnsi="宋体" w:eastAsia="宋体" w:cs="宋体"/>
                <w:color w:val="auto"/>
                <w:sz w:val="20"/>
                <w:szCs w:val="20"/>
                <w:highlight w:val="none"/>
              </w:rPr>
              <w:t xml:space="preserve">（紫薇、月季、狭叶十大功劳、大叶黄杨等）。每7天进行一次药物防治。</w:t>
            </w:r>
            <w:r/>
          </w:p>
        </w:tc>
        <w:tc>
          <w:tcPr>
            <w:tcW w:w="969"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1-4周</w:t>
            </w:r>
            <w:r/>
          </w:p>
        </w:tc>
      </w:tr>
      <w:tr>
        <w:trPr>
          <w:trHeight w:val="547"/>
        </w:trPr>
        <w:tc>
          <w:tcPr>
            <w:tcW w:w="488"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549" w:type="dxa"/>
            <w:vAlign w:val="center"/>
            <w:vMerge w:val="restart"/>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5月</w:t>
            </w:r>
            <w:r/>
          </w:p>
        </w:tc>
        <w:tc>
          <w:tcPr>
            <w:tcW w:w="291"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26</w:t>
            </w:r>
            <w:r/>
          </w:p>
        </w:tc>
        <w:tc>
          <w:tcPr>
            <w:tcW w:w="1878"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修剪</w:t>
            </w:r>
            <w:r/>
          </w:p>
        </w:tc>
        <w:tc>
          <w:tcPr>
            <w:tcW w:w="5523"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每10天修剪一次草坪、绿篱、球类，乔木剥芽1次，黑麦草低修剪，开花植物花后2周内完成整形修剪</w:t>
            </w:r>
            <w:r/>
          </w:p>
        </w:tc>
        <w:tc>
          <w:tcPr>
            <w:tcW w:w="969"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1-4周</w:t>
            </w:r>
            <w:r/>
          </w:p>
        </w:tc>
      </w:tr>
      <w:tr>
        <w:trPr>
          <w:trHeight w:val="427"/>
        </w:trPr>
        <w:tc>
          <w:tcPr>
            <w:tcW w:w="488"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549"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291"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27</w:t>
            </w:r>
            <w:r/>
          </w:p>
        </w:tc>
        <w:tc>
          <w:tcPr>
            <w:tcW w:w="1878"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浇水</w:t>
            </w:r>
            <w:r/>
          </w:p>
        </w:tc>
        <w:tc>
          <w:tcPr>
            <w:tcW w:w="5523"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每5天对绿地浇一次透水</w:t>
            </w:r>
            <w:r/>
          </w:p>
        </w:tc>
        <w:tc>
          <w:tcPr>
            <w:tcW w:w="969"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1-4周</w:t>
            </w:r>
            <w:r/>
          </w:p>
        </w:tc>
      </w:tr>
      <w:tr>
        <w:trPr>
          <w:trHeight w:val="601"/>
        </w:trPr>
        <w:tc>
          <w:tcPr>
            <w:tcW w:w="488"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549"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291"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28</w:t>
            </w:r>
            <w:r/>
          </w:p>
        </w:tc>
        <w:tc>
          <w:tcPr>
            <w:tcW w:w="1878" w:type="dxa"/>
            <w:vAlign w:val="center"/>
            <w:textDirection w:val="lrTb"/>
            <w:noWrap w:val="false"/>
          </w:tcPr>
          <w:p>
            <w:pPr>
              <w:ind w:firstLine="0"/>
              <w:jc w:val="left"/>
              <w:widowControl/>
              <w:rPr>
                <w:rFonts w:hint="eastAsia" w:ascii="宋体" w:hAnsi="宋体" w:eastAsia="宋体" w:cs="宋体"/>
                <w:b/>
                <w:bCs/>
                <w:color w:val="auto"/>
                <w:sz w:val="20"/>
                <w:szCs w:val="20"/>
                <w:highlight w:val="none"/>
              </w:rPr>
              <w:outlineLvl w:val="9"/>
            </w:pPr>
            <w:r>
              <w:rPr>
                <w:rFonts w:hint="eastAsia" w:ascii="宋体" w:hAnsi="宋体" w:eastAsia="宋体" w:cs="宋体"/>
                <w:b/>
                <w:bCs/>
                <w:color w:val="auto"/>
                <w:sz w:val="20"/>
                <w:szCs w:val="20"/>
                <w:highlight w:val="none"/>
              </w:rPr>
              <w:t xml:space="preserve">追肥</w:t>
            </w:r>
            <w:r/>
          </w:p>
        </w:tc>
        <w:tc>
          <w:tcPr>
            <w:tcW w:w="5523"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5月上旬对草坪、草花、绿篱追施复合肥，施肥量</w:t>
            </w:r>
            <w:r>
              <w:rPr>
                <w:rFonts w:hint="eastAsia" w:ascii="宋体" w:hAnsi="宋体" w:eastAsia="宋体" w:cs="宋体"/>
                <w:color w:val="auto"/>
                <w:sz w:val="20"/>
                <w:szCs w:val="20"/>
                <w:highlight w:val="none"/>
                <w:lang w:eastAsia="zh-CN"/>
              </w:rPr>
              <w:t xml:space="preserve">不低于</w:t>
            </w:r>
            <w:r>
              <w:rPr>
                <w:rFonts w:hint="eastAsia" w:ascii="宋体" w:hAnsi="宋体" w:eastAsia="宋体" w:cs="宋体"/>
                <w:color w:val="auto"/>
                <w:sz w:val="20"/>
                <w:szCs w:val="20"/>
                <w:highlight w:val="none"/>
              </w:rPr>
              <w:t xml:space="preserve">15g/ m</w:t>
            </w:r>
            <w:r>
              <w:rPr>
                <w:rFonts w:hint="eastAsia" w:ascii="宋体" w:hAnsi="宋体" w:eastAsia="宋体" w:cs="宋体"/>
                <w:color w:val="auto"/>
                <w:sz w:val="20"/>
                <w:szCs w:val="20"/>
                <w:highlight w:val="none"/>
                <w:vertAlign w:val="superscript"/>
              </w:rPr>
              <w:t xml:space="preserve">2</w:t>
            </w:r>
            <w:r>
              <w:rPr>
                <w:rFonts w:hint="eastAsia" w:ascii="宋体" w:hAnsi="宋体" w:eastAsia="宋体" w:cs="宋体"/>
                <w:color w:val="auto"/>
                <w:sz w:val="20"/>
                <w:szCs w:val="20"/>
                <w:highlight w:val="none"/>
              </w:rPr>
              <w:t xml:space="preserve">，对花后植物追施腐熟有机肥，施肥量不低于1kg/m</w:t>
            </w:r>
            <w:r>
              <w:rPr>
                <w:rFonts w:hint="eastAsia" w:ascii="宋体" w:hAnsi="宋体" w:eastAsia="宋体" w:cs="宋体"/>
                <w:color w:val="auto"/>
                <w:sz w:val="20"/>
                <w:szCs w:val="20"/>
                <w:highlight w:val="none"/>
                <w:vertAlign w:val="superscript"/>
              </w:rPr>
              <w:t xml:space="preserve">2</w:t>
            </w:r>
            <w:r/>
          </w:p>
        </w:tc>
        <w:tc>
          <w:tcPr>
            <w:tcW w:w="969"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1-2周</w:t>
            </w:r>
            <w:r/>
          </w:p>
        </w:tc>
      </w:tr>
      <w:tr>
        <w:trPr>
          <w:trHeight w:val="427"/>
        </w:trPr>
        <w:tc>
          <w:tcPr>
            <w:tcW w:w="488"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549"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291"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29</w:t>
            </w:r>
            <w:r/>
          </w:p>
        </w:tc>
        <w:tc>
          <w:tcPr>
            <w:tcW w:w="1878"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除草</w:t>
            </w:r>
            <w:r/>
          </w:p>
        </w:tc>
        <w:tc>
          <w:tcPr>
            <w:tcW w:w="5523"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每10天除一次杂草</w:t>
            </w:r>
            <w:r/>
          </w:p>
        </w:tc>
        <w:tc>
          <w:tcPr>
            <w:tcW w:w="969"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1-4周</w:t>
            </w:r>
            <w:r/>
          </w:p>
        </w:tc>
      </w:tr>
      <w:tr>
        <w:trPr>
          <w:trHeight w:val="427"/>
        </w:trPr>
        <w:tc>
          <w:tcPr>
            <w:tcW w:w="488"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549"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291"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30</w:t>
            </w:r>
            <w:r/>
          </w:p>
        </w:tc>
        <w:tc>
          <w:tcPr>
            <w:tcW w:w="1878" w:type="dxa"/>
            <w:vAlign w:val="center"/>
            <w:textDirection w:val="lrTb"/>
            <w:noWrap w:val="false"/>
          </w:tcPr>
          <w:p>
            <w:pPr>
              <w:ind w:firstLine="0"/>
              <w:jc w:val="left"/>
              <w:widowControl/>
              <w:rPr>
                <w:rFonts w:hint="eastAsia" w:ascii="宋体" w:hAnsi="宋体" w:eastAsia="宋体" w:cs="宋体"/>
                <w:color w:val="auto"/>
                <w:sz w:val="20"/>
                <w:szCs w:val="20"/>
                <w:highlight w:val="none"/>
                <w:lang w:val="en-US" w:eastAsia="zh-CN"/>
              </w:rPr>
              <w:outlineLvl w:val="9"/>
            </w:pPr>
            <w:r>
              <w:rPr>
                <w:rFonts w:hint="eastAsia" w:ascii="宋体" w:hAnsi="宋体" w:eastAsia="宋体" w:cs="宋体"/>
                <w:color w:val="auto"/>
                <w:sz w:val="20"/>
                <w:szCs w:val="20"/>
                <w:highlight w:val="none"/>
              </w:rPr>
              <w:t xml:space="preserve">松土</w:t>
            </w:r>
            <w:r>
              <w:rPr>
                <w:rFonts w:hint="eastAsia" w:ascii="宋体" w:hAnsi="宋体" w:eastAsia="宋体" w:cs="宋体"/>
                <w:color w:val="auto"/>
                <w:sz w:val="20"/>
                <w:szCs w:val="20"/>
                <w:highlight w:val="none"/>
                <w:lang w:eastAsia="zh-CN"/>
              </w:rPr>
              <w:t xml:space="preserve">、</w:t>
            </w:r>
            <w:r>
              <w:rPr>
                <w:rFonts w:hint="eastAsia" w:ascii="宋体" w:hAnsi="宋体" w:eastAsia="宋体" w:cs="宋体"/>
                <w:color w:val="auto"/>
                <w:sz w:val="20"/>
                <w:szCs w:val="20"/>
                <w:highlight w:val="none"/>
                <w:lang w:val="en-US" w:eastAsia="zh-CN"/>
              </w:rPr>
              <w:t xml:space="preserve">切边</w:t>
            </w:r>
            <w:r/>
          </w:p>
        </w:tc>
        <w:tc>
          <w:tcPr>
            <w:tcW w:w="5523"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中</w:t>
            </w:r>
            <w:r>
              <w:rPr>
                <w:rFonts w:hint="eastAsia" w:ascii="宋体" w:hAnsi="宋体" w:eastAsia="宋体" w:cs="宋体"/>
                <w:color w:val="auto"/>
                <w:sz w:val="20"/>
                <w:szCs w:val="20"/>
                <w:highlight w:val="none"/>
                <w:lang w:eastAsia="zh-CN"/>
              </w:rPr>
              <w:t xml:space="preserve">旬</w:t>
            </w:r>
            <w:r>
              <w:rPr>
                <w:rFonts w:hint="eastAsia" w:ascii="宋体" w:hAnsi="宋体" w:eastAsia="宋体" w:cs="宋体"/>
                <w:color w:val="auto"/>
                <w:sz w:val="20"/>
                <w:szCs w:val="20"/>
                <w:highlight w:val="none"/>
              </w:rPr>
              <w:t xml:space="preserve">对所有乔灌木树穴进行翻土整饬，灌木、色块、草坪切边</w:t>
            </w:r>
            <w:r/>
          </w:p>
        </w:tc>
        <w:tc>
          <w:tcPr>
            <w:tcW w:w="969"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2-3周</w:t>
            </w:r>
            <w:r/>
          </w:p>
        </w:tc>
      </w:tr>
      <w:tr>
        <w:trPr>
          <w:trHeight w:val="427"/>
        </w:trPr>
        <w:tc>
          <w:tcPr>
            <w:tcW w:w="488"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549"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291"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31</w:t>
            </w:r>
            <w:r/>
          </w:p>
        </w:tc>
        <w:tc>
          <w:tcPr>
            <w:tcW w:w="1878"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清扫香樟落叶</w:t>
            </w:r>
            <w:r/>
          </w:p>
        </w:tc>
        <w:tc>
          <w:tcPr>
            <w:tcW w:w="5523"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5月上旬</w:t>
            </w:r>
            <w:r>
              <w:rPr>
                <w:rFonts w:hint="eastAsia" w:ascii="宋体" w:hAnsi="宋体" w:eastAsia="宋体" w:cs="宋体"/>
                <w:color w:val="auto"/>
                <w:sz w:val="20"/>
                <w:szCs w:val="20"/>
                <w:highlight w:val="none"/>
                <w:lang w:eastAsia="zh-CN"/>
              </w:rPr>
              <w:t xml:space="preserve">及时</w:t>
            </w:r>
            <w:r>
              <w:rPr>
                <w:rFonts w:hint="eastAsia" w:ascii="宋体" w:hAnsi="宋体" w:eastAsia="宋体" w:cs="宋体"/>
                <w:color w:val="auto"/>
                <w:sz w:val="20"/>
                <w:szCs w:val="20"/>
                <w:highlight w:val="none"/>
              </w:rPr>
              <w:t xml:space="preserve">对香樟落叶</w:t>
            </w:r>
            <w:r>
              <w:rPr>
                <w:rFonts w:hint="eastAsia" w:ascii="宋体" w:hAnsi="宋体" w:eastAsia="宋体" w:cs="宋体"/>
                <w:color w:val="auto"/>
                <w:sz w:val="20"/>
                <w:szCs w:val="20"/>
                <w:highlight w:val="none"/>
                <w:lang w:eastAsia="zh-CN"/>
              </w:rPr>
              <w:t xml:space="preserve">进行</w:t>
            </w:r>
            <w:r>
              <w:rPr>
                <w:rFonts w:hint="eastAsia" w:ascii="宋体" w:hAnsi="宋体" w:eastAsia="宋体" w:cs="宋体"/>
                <w:color w:val="auto"/>
                <w:sz w:val="20"/>
                <w:szCs w:val="20"/>
                <w:highlight w:val="none"/>
              </w:rPr>
              <w:t xml:space="preserve">清扫</w:t>
            </w:r>
            <w:r/>
          </w:p>
        </w:tc>
        <w:tc>
          <w:tcPr>
            <w:tcW w:w="969"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1-2周</w:t>
            </w:r>
            <w:r/>
          </w:p>
        </w:tc>
      </w:tr>
      <w:tr>
        <w:trPr>
          <w:trHeight w:val="547"/>
        </w:trPr>
        <w:tc>
          <w:tcPr>
            <w:tcW w:w="488"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549"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291"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32</w:t>
            </w:r>
            <w:r/>
          </w:p>
        </w:tc>
        <w:tc>
          <w:tcPr>
            <w:tcW w:w="1878" w:type="dxa"/>
            <w:vAlign w:val="center"/>
            <w:textDirection w:val="lrTb"/>
            <w:noWrap w:val="false"/>
          </w:tcPr>
          <w:p>
            <w:pPr>
              <w:ind w:firstLine="0"/>
              <w:jc w:val="left"/>
              <w:widowControl/>
              <w:rPr>
                <w:rFonts w:hint="eastAsia" w:ascii="宋体" w:hAnsi="宋体" w:eastAsia="宋体" w:cs="宋体"/>
                <w:b/>
                <w:bCs/>
                <w:color w:val="auto"/>
                <w:sz w:val="20"/>
                <w:szCs w:val="20"/>
                <w:highlight w:val="none"/>
              </w:rPr>
              <w:outlineLvl w:val="9"/>
            </w:pPr>
            <w:r>
              <w:rPr>
                <w:rFonts w:hint="eastAsia" w:ascii="宋体" w:hAnsi="宋体" w:eastAsia="宋体" w:cs="宋体"/>
                <w:b/>
                <w:bCs/>
                <w:color w:val="auto"/>
                <w:sz w:val="20"/>
                <w:szCs w:val="20"/>
                <w:highlight w:val="none"/>
              </w:rPr>
              <w:t xml:space="preserve">常绿树补植</w:t>
            </w:r>
            <w:r/>
          </w:p>
        </w:tc>
        <w:tc>
          <w:tcPr>
            <w:tcW w:w="5523"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10月上旬对常绿树种缺株、死苗及受损、外形不佳苗木规格数量进行排查统计，制定补植计划，本月完成常绿树种补植，补植苗木规格不得低于原来标准</w:t>
            </w:r>
            <w:r/>
          </w:p>
        </w:tc>
        <w:tc>
          <w:tcPr>
            <w:tcW w:w="969"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1-4周</w:t>
            </w:r>
            <w:r/>
          </w:p>
        </w:tc>
      </w:tr>
      <w:tr>
        <w:trPr>
          <w:trHeight w:val="2431"/>
        </w:trPr>
        <w:tc>
          <w:tcPr>
            <w:tcW w:w="488"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549"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291"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33</w:t>
            </w:r>
            <w:r/>
          </w:p>
        </w:tc>
        <w:tc>
          <w:tcPr>
            <w:tcW w:w="1878" w:type="dxa"/>
            <w:vAlign w:val="center"/>
            <w:textDirection w:val="lrTb"/>
            <w:noWrap w:val="false"/>
          </w:tcPr>
          <w:p>
            <w:pPr>
              <w:ind w:firstLine="0"/>
              <w:jc w:val="left"/>
              <w:widowControl/>
              <w:rPr>
                <w:rFonts w:hint="eastAsia" w:ascii="宋体" w:hAnsi="宋体" w:eastAsia="宋体" w:cs="宋体"/>
                <w:b/>
                <w:bCs/>
                <w:color w:val="auto"/>
                <w:sz w:val="20"/>
                <w:szCs w:val="20"/>
                <w:highlight w:val="none"/>
              </w:rPr>
              <w:outlineLvl w:val="9"/>
            </w:pPr>
            <w:r>
              <w:rPr>
                <w:rFonts w:hint="eastAsia" w:ascii="宋体" w:hAnsi="宋体" w:eastAsia="宋体" w:cs="宋体"/>
                <w:b/>
                <w:bCs/>
                <w:color w:val="auto"/>
                <w:sz w:val="20"/>
                <w:szCs w:val="20"/>
                <w:highlight w:val="none"/>
              </w:rPr>
              <w:t xml:space="preserve">病虫害防治</w:t>
            </w:r>
            <w:r/>
          </w:p>
        </w:tc>
        <w:tc>
          <w:tcPr>
            <w:tcW w:w="5523"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重点防治对象：</w:t>
            </w:r>
            <w:r>
              <w:rPr>
                <w:rFonts w:hint="eastAsia" w:ascii="宋体" w:hAnsi="宋体" w:eastAsia="宋体" w:cs="宋体"/>
                <w:b/>
                <w:bCs/>
                <w:color w:val="auto"/>
                <w:sz w:val="20"/>
                <w:szCs w:val="20"/>
                <w:highlight w:val="none"/>
              </w:rPr>
              <w:t xml:space="preserve">木虱</w:t>
            </w:r>
            <w:r>
              <w:rPr>
                <w:rFonts w:hint="eastAsia" w:ascii="宋体" w:hAnsi="宋体" w:eastAsia="宋体" w:cs="宋体"/>
                <w:color w:val="auto"/>
                <w:sz w:val="20"/>
                <w:szCs w:val="20"/>
                <w:highlight w:val="none"/>
              </w:rPr>
              <w:t xml:space="preserve">（青桐、合欢）、</w:t>
            </w:r>
            <w:r>
              <w:rPr>
                <w:rFonts w:hint="eastAsia" w:ascii="宋体" w:hAnsi="宋体" w:eastAsia="宋体" w:cs="宋体"/>
                <w:b/>
                <w:bCs/>
                <w:color w:val="auto"/>
                <w:sz w:val="20"/>
                <w:szCs w:val="20"/>
                <w:highlight w:val="none"/>
              </w:rPr>
              <w:t xml:space="preserve">刺蛾</w:t>
            </w:r>
            <w:r>
              <w:rPr>
                <w:rFonts w:hint="eastAsia" w:ascii="宋体" w:hAnsi="宋体" w:eastAsia="宋体" w:cs="宋体"/>
                <w:color w:val="auto"/>
                <w:sz w:val="20"/>
                <w:szCs w:val="20"/>
                <w:highlight w:val="none"/>
              </w:rPr>
              <w:t xml:space="preserve">（法梧、杨树、柳树、枫杨、槐树、桃树、梅花、海棠、樱花、红叶李等）、</w:t>
            </w:r>
            <w:r>
              <w:rPr>
                <w:rFonts w:hint="eastAsia" w:ascii="宋体" w:hAnsi="宋体" w:eastAsia="宋体" w:cs="宋体"/>
                <w:b/>
                <w:bCs/>
                <w:color w:val="auto"/>
                <w:sz w:val="20"/>
                <w:szCs w:val="20"/>
                <w:highlight w:val="none"/>
              </w:rPr>
              <w:t xml:space="preserve">蚜虫</w:t>
            </w:r>
            <w:r>
              <w:rPr>
                <w:rFonts w:hint="eastAsia" w:ascii="宋体" w:hAnsi="宋体" w:eastAsia="宋体" w:cs="宋体"/>
                <w:color w:val="auto"/>
                <w:sz w:val="20"/>
                <w:szCs w:val="20"/>
                <w:highlight w:val="none"/>
              </w:rPr>
              <w:t xml:space="preserve">（栾树、槐树、红叶李、樱花、梅花、桃树、金枝槐、海棠、紫荆、木槿、石榴、竹子、海桐、法冬、夹竹桃、黄杨、火棘、栀子、月季、蔷薇等）、</w:t>
            </w:r>
            <w:r>
              <w:rPr>
                <w:rFonts w:hint="eastAsia" w:ascii="宋体" w:hAnsi="宋体" w:eastAsia="宋体" w:cs="宋体"/>
                <w:b/>
                <w:bCs/>
                <w:color w:val="auto"/>
                <w:sz w:val="20"/>
                <w:szCs w:val="20"/>
                <w:highlight w:val="none"/>
              </w:rPr>
              <w:t xml:space="preserve">介壳虫（香樟、广玉兰、含笑、香橼、独干女贞、桂花、</w:t>
            </w:r>
            <w:r>
              <w:rPr>
                <w:rFonts w:hint="eastAsia" w:ascii="宋体" w:hAnsi="宋体" w:eastAsia="宋体" w:cs="宋体"/>
                <w:b/>
                <w:bCs/>
                <w:color w:val="auto"/>
                <w:sz w:val="20"/>
                <w:szCs w:val="20"/>
                <w:highlight w:val="none"/>
                <w:lang w:eastAsia="zh-CN"/>
              </w:rPr>
              <w:t xml:space="preserve">橘子等</w:t>
            </w:r>
            <w:r>
              <w:rPr>
                <w:rFonts w:hint="eastAsia" w:ascii="宋体" w:hAnsi="宋体" w:eastAsia="宋体" w:cs="宋体"/>
                <w:b/>
                <w:bCs/>
                <w:color w:val="auto"/>
                <w:sz w:val="20"/>
                <w:szCs w:val="20"/>
                <w:highlight w:val="none"/>
              </w:rPr>
              <w:t xml:space="preserve">）、紫薇绒蚧</w:t>
            </w:r>
            <w:r>
              <w:rPr>
                <w:rFonts w:hint="eastAsia" w:ascii="宋体" w:hAnsi="宋体" w:eastAsia="宋体" w:cs="宋体"/>
                <w:color w:val="auto"/>
                <w:sz w:val="20"/>
                <w:szCs w:val="20"/>
                <w:highlight w:val="none"/>
              </w:rPr>
              <w:t xml:space="preserve">（紫薇、石榴）、</w:t>
            </w:r>
            <w:r>
              <w:rPr>
                <w:rFonts w:hint="eastAsia" w:ascii="宋体" w:hAnsi="宋体" w:eastAsia="宋体" w:cs="宋体"/>
                <w:b/>
                <w:bCs/>
                <w:color w:val="auto"/>
                <w:sz w:val="20"/>
                <w:szCs w:val="20"/>
                <w:highlight w:val="none"/>
              </w:rPr>
              <w:t xml:space="preserve">天牛</w:t>
            </w:r>
            <w:r>
              <w:rPr>
                <w:rFonts w:hint="eastAsia" w:ascii="宋体" w:hAnsi="宋体" w:eastAsia="宋体" w:cs="宋体"/>
                <w:color w:val="auto"/>
                <w:sz w:val="20"/>
                <w:szCs w:val="20"/>
                <w:highlight w:val="none"/>
              </w:rPr>
              <w:t xml:space="preserve">（栾树、无患子、合欢、红枫、法梧、杨树、柳树、桃树、槐树等）、</w:t>
            </w:r>
            <w:r>
              <w:rPr>
                <w:rFonts w:hint="eastAsia" w:ascii="宋体" w:hAnsi="宋体" w:eastAsia="宋体" w:cs="宋体"/>
                <w:b/>
                <w:bCs/>
                <w:color w:val="auto"/>
                <w:sz w:val="20"/>
                <w:szCs w:val="20"/>
                <w:highlight w:val="none"/>
              </w:rPr>
              <w:t xml:space="preserve">尺蠖</w:t>
            </w:r>
            <w:r>
              <w:rPr>
                <w:rFonts w:hint="eastAsia" w:ascii="宋体" w:hAnsi="宋体" w:eastAsia="宋体" w:cs="宋体"/>
                <w:color w:val="auto"/>
                <w:sz w:val="20"/>
                <w:szCs w:val="20"/>
                <w:highlight w:val="none"/>
              </w:rPr>
              <w:t xml:space="preserve">（国槐、金枝槐、大叶黄杨）、</w:t>
            </w:r>
            <w:r>
              <w:rPr>
                <w:rFonts w:hint="eastAsia" w:ascii="宋体" w:hAnsi="宋体" w:eastAsia="宋体" w:cs="宋体"/>
                <w:b/>
                <w:bCs/>
                <w:color w:val="auto"/>
                <w:sz w:val="20"/>
                <w:szCs w:val="20"/>
                <w:highlight w:val="none"/>
              </w:rPr>
              <w:t xml:space="preserve">红蜘蛛</w:t>
            </w:r>
            <w:r>
              <w:rPr>
                <w:rFonts w:hint="eastAsia" w:ascii="宋体" w:hAnsi="宋体" w:eastAsia="宋体" w:cs="宋体"/>
                <w:color w:val="auto"/>
                <w:sz w:val="20"/>
                <w:szCs w:val="20"/>
                <w:highlight w:val="none"/>
              </w:rPr>
              <w:t xml:space="preserve">（香樟、月季、海棠、桂花、桃树、红叶李、木槿、紫荆等）、</w:t>
            </w:r>
            <w:r>
              <w:rPr>
                <w:rFonts w:hint="eastAsia" w:ascii="宋体" w:hAnsi="宋体" w:eastAsia="宋体" w:cs="宋体"/>
                <w:b/>
                <w:bCs/>
                <w:color w:val="auto"/>
                <w:sz w:val="20"/>
                <w:szCs w:val="20"/>
                <w:highlight w:val="none"/>
              </w:rPr>
              <w:t xml:space="preserve">黄杨绢野螟</w:t>
            </w:r>
            <w:r>
              <w:rPr>
                <w:rFonts w:hint="eastAsia" w:ascii="宋体" w:hAnsi="宋体" w:eastAsia="宋体" w:cs="宋体"/>
                <w:color w:val="auto"/>
                <w:sz w:val="20"/>
                <w:szCs w:val="20"/>
                <w:highlight w:val="none"/>
              </w:rPr>
              <w:t xml:space="preserve">、</w:t>
            </w:r>
            <w:r>
              <w:rPr>
                <w:rFonts w:hint="eastAsia" w:ascii="宋体" w:hAnsi="宋体" w:eastAsia="宋体" w:cs="宋体"/>
                <w:b/>
                <w:bCs/>
                <w:color w:val="auto"/>
                <w:sz w:val="20"/>
                <w:szCs w:val="20"/>
                <w:highlight w:val="none"/>
              </w:rPr>
              <w:t xml:space="preserve">大叶黄杨斑蛾</w:t>
            </w:r>
            <w:r>
              <w:rPr>
                <w:rFonts w:hint="eastAsia" w:ascii="宋体" w:hAnsi="宋体" w:eastAsia="宋体" w:cs="宋体"/>
                <w:color w:val="auto"/>
                <w:sz w:val="20"/>
                <w:szCs w:val="20"/>
                <w:highlight w:val="none"/>
              </w:rPr>
              <w:t xml:space="preserve">，</w:t>
            </w:r>
            <w:r>
              <w:rPr>
                <w:rFonts w:hint="eastAsia" w:ascii="宋体" w:hAnsi="宋体" w:eastAsia="宋体" w:cs="宋体"/>
                <w:b/>
                <w:bCs/>
                <w:color w:val="auto"/>
                <w:sz w:val="20"/>
                <w:szCs w:val="20"/>
                <w:highlight w:val="none"/>
              </w:rPr>
              <w:t xml:space="preserve">金叶女贞叶斑病</w:t>
            </w:r>
            <w:r>
              <w:rPr>
                <w:rFonts w:hint="eastAsia" w:ascii="宋体" w:hAnsi="宋体" w:eastAsia="宋体" w:cs="宋体"/>
                <w:color w:val="auto"/>
                <w:sz w:val="20"/>
                <w:szCs w:val="20"/>
                <w:highlight w:val="none"/>
              </w:rPr>
              <w:t xml:space="preserve">、</w:t>
            </w:r>
            <w:r>
              <w:rPr>
                <w:rFonts w:hint="eastAsia" w:ascii="宋体" w:hAnsi="宋体" w:eastAsia="宋体" w:cs="宋体"/>
                <w:b/>
                <w:bCs/>
                <w:color w:val="auto"/>
                <w:sz w:val="20"/>
                <w:szCs w:val="20"/>
                <w:highlight w:val="none"/>
              </w:rPr>
              <w:t xml:space="preserve">月季黑斑病</w:t>
            </w:r>
            <w:r>
              <w:rPr>
                <w:rFonts w:hint="eastAsia" w:ascii="宋体" w:hAnsi="宋体" w:eastAsia="宋体" w:cs="宋体"/>
                <w:color w:val="auto"/>
                <w:sz w:val="20"/>
                <w:szCs w:val="20"/>
                <w:highlight w:val="none"/>
              </w:rPr>
              <w:t xml:space="preserve">、</w:t>
            </w:r>
            <w:r>
              <w:rPr>
                <w:rFonts w:hint="eastAsia" w:ascii="宋体" w:hAnsi="宋体" w:eastAsia="宋体" w:cs="宋体"/>
                <w:b/>
                <w:bCs/>
                <w:color w:val="auto"/>
                <w:sz w:val="20"/>
                <w:szCs w:val="20"/>
                <w:highlight w:val="none"/>
              </w:rPr>
              <w:t xml:space="preserve">白粉病</w:t>
            </w:r>
            <w:r>
              <w:rPr>
                <w:rFonts w:hint="eastAsia" w:ascii="宋体" w:hAnsi="宋体" w:eastAsia="宋体" w:cs="宋体"/>
                <w:color w:val="auto"/>
                <w:sz w:val="20"/>
                <w:szCs w:val="20"/>
                <w:highlight w:val="none"/>
              </w:rPr>
              <w:t xml:space="preserve">（紫薇、月季、狭叶十大功劳、大叶黄杨等）。每7天进行一次药物防治。</w:t>
            </w:r>
            <w:r/>
          </w:p>
        </w:tc>
        <w:tc>
          <w:tcPr>
            <w:tcW w:w="969"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1-4周</w:t>
            </w:r>
            <w:r/>
          </w:p>
        </w:tc>
      </w:tr>
      <w:tr>
        <w:trPr>
          <w:trHeight w:val="427"/>
        </w:trPr>
        <w:tc>
          <w:tcPr>
            <w:tcW w:w="488" w:type="dxa"/>
            <w:vAlign w:val="center"/>
            <w:vMerge w:val="restart"/>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夏季</w:t>
            </w:r>
            <w:r/>
          </w:p>
        </w:tc>
        <w:tc>
          <w:tcPr>
            <w:tcW w:w="549" w:type="dxa"/>
            <w:vAlign w:val="center"/>
            <w:vMerge w:val="restart"/>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6月</w:t>
            </w:r>
            <w:r/>
          </w:p>
        </w:tc>
        <w:tc>
          <w:tcPr>
            <w:tcW w:w="291"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34</w:t>
            </w:r>
            <w:r/>
          </w:p>
        </w:tc>
        <w:tc>
          <w:tcPr>
            <w:tcW w:w="1878"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修剪</w:t>
            </w:r>
            <w:r/>
          </w:p>
        </w:tc>
        <w:tc>
          <w:tcPr>
            <w:tcW w:w="5523"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每10天修剪一次草坪、绿篱、球</w:t>
            </w:r>
            <w:r>
              <w:rPr>
                <w:rFonts w:hint="eastAsia" w:ascii="宋体" w:hAnsi="宋体" w:eastAsia="宋体" w:cs="宋体"/>
                <w:color w:val="auto"/>
                <w:sz w:val="20"/>
                <w:szCs w:val="20"/>
                <w:highlight w:val="none"/>
                <w:lang w:eastAsia="zh-CN"/>
              </w:rPr>
              <w:t xml:space="preserve">篱</w:t>
            </w:r>
            <w:r>
              <w:rPr>
                <w:rFonts w:hint="eastAsia" w:ascii="宋体" w:hAnsi="宋体" w:eastAsia="宋体" w:cs="宋体"/>
                <w:color w:val="auto"/>
                <w:sz w:val="20"/>
                <w:szCs w:val="20"/>
                <w:highlight w:val="none"/>
              </w:rPr>
              <w:t xml:space="preserve">，乔木剥芽1次，黑麦草低修剪</w:t>
            </w:r>
            <w:r/>
          </w:p>
        </w:tc>
        <w:tc>
          <w:tcPr>
            <w:tcW w:w="969"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1-4周</w:t>
            </w:r>
            <w:r/>
          </w:p>
        </w:tc>
      </w:tr>
      <w:tr>
        <w:trPr>
          <w:trHeight w:val="427"/>
        </w:trPr>
        <w:tc>
          <w:tcPr>
            <w:tcW w:w="488"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549"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291"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35</w:t>
            </w:r>
            <w:r/>
          </w:p>
        </w:tc>
        <w:tc>
          <w:tcPr>
            <w:tcW w:w="1878"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浇水</w:t>
            </w:r>
            <w:r/>
          </w:p>
        </w:tc>
        <w:tc>
          <w:tcPr>
            <w:tcW w:w="5523"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每3天对绿地浇一次透水</w:t>
            </w:r>
            <w:r/>
          </w:p>
        </w:tc>
        <w:tc>
          <w:tcPr>
            <w:tcW w:w="969"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1-4周</w:t>
            </w:r>
            <w:r/>
          </w:p>
        </w:tc>
      </w:tr>
      <w:tr>
        <w:trPr>
          <w:trHeight w:val="427"/>
        </w:trPr>
        <w:tc>
          <w:tcPr>
            <w:tcW w:w="488"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549"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291"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36</w:t>
            </w:r>
            <w:r/>
          </w:p>
        </w:tc>
        <w:tc>
          <w:tcPr>
            <w:tcW w:w="1878"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除草</w:t>
            </w:r>
            <w:r/>
          </w:p>
        </w:tc>
        <w:tc>
          <w:tcPr>
            <w:tcW w:w="5523"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每10天除一次杂草</w:t>
            </w:r>
            <w:r/>
          </w:p>
        </w:tc>
        <w:tc>
          <w:tcPr>
            <w:tcW w:w="969"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1-4周</w:t>
            </w:r>
            <w:r/>
          </w:p>
        </w:tc>
      </w:tr>
      <w:tr>
        <w:trPr>
          <w:trHeight w:val="1354"/>
        </w:trPr>
        <w:tc>
          <w:tcPr>
            <w:tcW w:w="488"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549"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291"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37</w:t>
            </w:r>
            <w:r/>
          </w:p>
        </w:tc>
        <w:tc>
          <w:tcPr>
            <w:tcW w:w="1878" w:type="dxa"/>
            <w:vAlign w:val="center"/>
            <w:textDirection w:val="lrTb"/>
            <w:noWrap w:val="false"/>
          </w:tcPr>
          <w:p>
            <w:pPr>
              <w:ind w:firstLine="0"/>
              <w:jc w:val="left"/>
              <w:widowControl/>
              <w:rPr>
                <w:rFonts w:hint="eastAsia" w:ascii="宋体" w:hAnsi="宋体" w:eastAsia="宋体" w:cs="宋体"/>
                <w:b/>
                <w:bCs/>
                <w:color w:val="auto"/>
                <w:sz w:val="20"/>
                <w:szCs w:val="20"/>
                <w:highlight w:val="none"/>
              </w:rPr>
              <w:outlineLvl w:val="9"/>
            </w:pPr>
            <w:r>
              <w:rPr>
                <w:rFonts w:hint="eastAsia" w:ascii="宋体" w:hAnsi="宋体" w:eastAsia="宋体" w:cs="宋体"/>
                <w:b/>
                <w:bCs/>
                <w:color w:val="auto"/>
                <w:sz w:val="20"/>
                <w:szCs w:val="20"/>
                <w:highlight w:val="none"/>
              </w:rPr>
              <w:t xml:space="preserve">防台防汛应急保障</w:t>
            </w:r>
            <w:r/>
          </w:p>
        </w:tc>
        <w:tc>
          <w:tcPr>
            <w:tcW w:w="5523" w:type="dxa"/>
            <w:vAlign w:val="center"/>
            <w:textDirection w:val="lrTb"/>
            <w:noWrap w:val="false"/>
          </w:tcPr>
          <w:p>
            <w:pPr>
              <w:ind w:firstLine="0"/>
              <w:jc w:val="left"/>
              <w:widowControl/>
              <w:rPr>
                <w:rFonts w:hint="eastAsia" w:ascii="宋体" w:hAnsi="宋体" w:eastAsia="宋体" w:cs="宋体"/>
                <w:color w:val="auto"/>
                <w:sz w:val="20"/>
                <w:szCs w:val="20"/>
                <w:highlight w:val="none"/>
                <w:lang w:val="en-US" w:eastAsia="zh-CN"/>
              </w:rPr>
              <w:outlineLvl w:val="9"/>
            </w:pPr>
            <w:r>
              <w:rPr>
                <w:rFonts w:hint="eastAsia" w:ascii="宋体" w:hAnsi="宋体" w:eastAsia="宋体" w:cs="宋体"/>
                <w:color w:val="auto"/>
                <w:sz w:val="20"/>
                <w:szCs w:val="20"/>
                <w:highlight w:val="none"/>
              </w:rPr>
              <w:t xml:space="preserve">6月上旬完成防台防汛应急预案编制，最低标准应急物料（铁锹30把、排水泵2台、油锯2台、手锯10把、杉木棍100根）、车辆（卡车1辆、水车1辆）、人员（30人）等全部落实到位，加固倾斜松动的树木，抽稀和加固竹林，并按照市容处统一部署组织应急抢险演练，保障期间应做到1小时内排除险情，2天内完成倒伏树木扶正</w:t>
            </w:r>
            <w:r>
              <w:rPr>
                <w:rFonts w:hint="eastAsia" w:ascii="宋体" w:hAnsi="宋体" w:eastAsia="宋体" w:cs="宋体"/>
                <w:color w:val="auto"/>
                <w:sz w:val="20"/>
                <w:szCs w:val="20"/>
                <w:highlight w:val="none"/>
                <w:lang w:eastAsia="zh-CN"/>
              </w:rPr>
              <w:t xml:space="preserve">。</w:t>
            </w:r>
            <w:r>
              <w:rPr>
                <w:rFonts w:hint="eastAsia" w:ascii="宋体" w:hAnsi="宋体" w:eastAsia="宋体" w:cs="宋体"/>
                <w:color w:val="auto"/>
                <w:sz w:val="20"/>
                <w:szCs w:val="20"/>
                <w:highlight w:val="none"/>
                <w:lang w:val="en-US" w:eastAsia="zh-CN"/>
              </w:rPr>
              <w:t xml:space="preserve">完成防台防汛应急演练。</w:t>
            </w:r>
            <w:r/>
          </w:p>
        </w:tc>
        <w:tc>
          <w:tcPr>
            <w:tcW w:w="969"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1-2周</w:t>
            </w:r>
            <w:r/>
          </w:p>
        </w:tc>
      </w:tr>
      <w:tr>
        <w:trPr>
          <w:trHeight w:val="547"/>
        </w:trPr>
        <w:tc>
          <w:tcPr>
            <w:tcW w:w="488"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549"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291"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38</w:t>
            </w:r>
            <w:r/>
          </w:p>
        </w:tc>
        <w:tc>
          <w:tcPr>
            <w:tcW w:w="1878" w:type="dxa"/>
            <w:vAlign w:val="center"/>
            <w:textDirection w:val="lrTb"/>
            <w:noWrap w:val="false"/>
          </w:tcPr>
          <w:p>
            <w:pPr>
              <w:ind w:firstLine="0"/>
              <w:jc w:val="left"/>
              <w:widowControl/>
              <w:rPr>
                <w:rFonts w:hint="eastAsia" w:ascii="宋体" w:hAnsi="宋体" w:eastAsia="宋体" w:cs="宋体"/>
                <w:b/>
                <w:bCs/>
                <w:color w:val="auto"/>
                <w:sz w:val="20"/>
                <w:szCs w:val="20"/>
                <w:highlight w:val="none"/>
              </w:rPr>
              <w:outlineLvl w:val="9"/>
            </w:pPr>
            <w:r>
              <w:rPr>
                <w:rFonts w:hint="eastAsia" w:ascii="宋体" w:hAnsi="宋体" w:eastAsia="宋体" w:cs="宋体"/>
                <w:b/>
                <w:bCs/>
                <w:color w:val="auto"/>
                <w:sz w:val="20"/>
                <w:szCs w:val="20"/>
                <w:highlight w:val="none"/>
              </w:rPr>
              <w:t xml:space="preserve">排水</w:t>
            </w:r>
            <w:r/>
          </w:p>
        </w:tc>
        <w:tc>
          <w:tcPr>
            <w:tcW w:w="5523"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6月上旬完成生态林排水系统整饬，至少每3排树</w:t>
            </w:r>
            <w:r>
              <w:rPr>
                <w:rFonts w:hint="eastAsia" w:ascii="宋体" w:hAnsi="宋体" w:eastAsia="宋体" w:cs="宋体"/>
                <w:color w:val="auto"/>
                <w:sz w:val="20"/>
                <w:szCs w:val="20"/>
                <w:highlight w:val="none"/>
                <w:lang w:eastAsia="zh-CN"/>
              </w:rPr>
              <w:t xml:space="preserve">设置一条</w:t>
            </w:r>
            <w:r>
              <w:rPr>
                <w:rFonts w:hint="eastAsia" w:ascii="宋体" w:hAnsi="宋体" w:eastAsia="宋体" w:cs="宋体"/>
                <w:color w:val="auto"/>
                <w:sz w:val="20"/>
                <w:szCs w:val="20"/>
                <w:highlight w:val="none"/>
              </w:rPr>
              <w:t xml:space="preserve">排水沟，排水沟底宽及深度不低于50cm，排水导入地表水系或道路排水管网</w:t>
            </w:r>
            <w:r/>
          </w:p>
        </w:tc>
        <w:tc>
          <w:tcPr>
            <w:tcW w:w="969"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1-2周</w:t>
            </w:r>
            <w:r/>
          </w:p>
        </w:tc>
      </w:tr>
      <w:tr>
        <w:trPr>
          <w:trHeight w:val="817"/>
        </w:trPr>
        <w:tc>
          <w:tcPr>
            <w:tcW w:w="488"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549"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291"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39</w:t>
            </w:r>
            <w:r/>
          </w:p>
        </w:tc>
        <w:tc>
          <w:tcPr>
            <w:tcW w:w="1878"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夏季草花更换</w:t>
            </w:r>
            <w:r/>
          </w:p>
        </w:tc>
        <w:tc>
          <w:tcPr>
            <w:tcW w:w="5523"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6月下旬完成夏季草花更换，草花应图案清晰、色彩鲜艳、花朵繁茂、花期一致，种植密度不低于49株/平方米，视品种植株大小应适当提高密度，保持基本不见裸土</w:t>
            </w:r>
            <w:r>
              <w:rPr>
                <w:rFonts w:hint="eastAsia" w:ascii="宋体" w:hAnsi="宋体" w:eastAsia="宋体" w:cs="宋体"/>
                <w:color w:val="auto"/>
                <w:sz w:val="20"/>
                <w:szCs w:val="20"/>
                <w:highlight w:val="none"/>
                <w:lang w:eastAsia="zh-CN"/>
              </w:rPr>
              <w:t xml:space="preserve">，部分开花效果好的草花可延迟下月更换。</w:t>
            </w:r>
            <w:r/>
          </w:p>
        </w:tc>
        <w:tc>
          <w:tcPr>
            <w:tcW w:w="969"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4周</w:t>
            </w:r>
            <w:r/>
          </w:p>
        </w:tc>
      </w:tr>
      <w:tr>
        <w:trPr>
          <w:trHeight w:val="1893"/>
        </w:trPr>
        <w:tc>
          <w:tcPr>
            <w:tcW w:w="488"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549"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291"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40</w:t>
            </w:r>
            <w:r/>
          </w:p>
        </w:tc>
        <w:tc>
          <w:tcPr>
            <w:tcW w:w="1878"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病虫害防治</w:t>
            </w:r>
            <w:r/>
          </w:p>
        </w:tc>
        <w:tc>
          <w:tcPr>
            <w:tcW w:w="5523"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重点防治对象：</w:t>
            </w:r>
            <w:r>
              <w:rPr>
                <w:rFonts w:hint="eastAsia" w:ascii="宋体" w:hAnsi="宋体" w:eastAsia="宋体" w:cs="宋体"/>
                <w:b/>
                <w:bCs/>
                <w:color w:val="auto"/>
                <w:sz w:val="20"/>
                <w:szCs w:val="20"/>
                <w:highlight w:val="none"/>
              </w:rPr>
              <w:t xml:space="preserve">木虱</w:t>
            </w:r>
            <w:r>
              <w:rPr>
                <w:rFonts w:hint="eastAsia" w:ascii="宋体" w:hAnsi="宋体" w:eastAsia="宋体" w:cs="宋体"/>
                <w:color w:val="auto"/>
                <w:sz w:val="20"/>
                <w:szCs w:val="20"/>
                <w:highlight w:val="none"/>
              </w:rPr>
              <w:t xml:space="preserve">（青桐、合欢）、</w:t>
            </w:r>
            <w:r>
              <w:rPr>
                <w:rFonts w:hint="eastAsia" w:ascii="宋体" w:hAnsi="宋体" w:eastAsia="宋体" w:cs="宋体"/>
                <w:b/>
                <w:bCs/>
                <w:color w:val="auto"/>
                <w:sz w:val="20"/>
                <w:szCs w:val="20"/>
                <w:highlight w:val="none"/>
              </w:rPr>
              <w:t xml:space="preserve">刺蛾</w:t>
            </w:r>
            <w:r>
              <w:rPr>
                <w:rFonts w:hint="eastAsia" w:ascii="宋体" w:hAnsi="宋体" w:eastAsia="宋体" w:cs="宋体"/>
                <w:color w:val="auto"/>
                <w:sz w:val="20"/>
                <w:szCs w:val="20"/>
                <w:highlight w:val="none"/>
              </w:rPr>
              <w:t xml:space="preserve">（法梧、杨树、柳树、枫杨、槐树、桃树、梅花、海棠、樱花、红叶李等）、</w:t>
            </w:r>
            <w:r>
              <w:rPr>
                <w:rFonts w:hint="eastAsia" w:ascii="宋体" w:hAnsi="宋体" w:eastAsia="宋体" w:cs="宋体"/>
                <w:b/>
                <w:bCs/>
                <w:color w:val="auto"/>
                <w:sz w:val="20"/>
                <w:szCs w:val="20"/>
                <w:highlight w:val="none"/>
              </w:rPr>
              <w:t xml:space="preserve">蚜虫</w:t>
            </w:r>
            <w:r>
              <w:rPr>
                <w:rFonts w:hint="eastAsia" w:ascii="宋体" w:hAnsi="宋体" w:eastAsia="宋体" w:cs="宋体"/>
                <w:color w:val="auto"/>
                <w:sz w:val="20"/>
                <w:szCs w:val="20"/>
                <w:highlight w:val="none"/>
              </w:rPr>
              <w:t xml:space="preserve">（栾树、槐树、红叶李、樱花、梅花、桃树、金枝槐、海棠、紫荆、木槿、石榴、竹子、海桐、法冬、夹竹桃、黄杨、火棘、栀子、月季、蔷薇等）、</w:t>
            </w:r>
            <w:r>
              <w:rPr>
                <w:rFonts w:hint="eastAsia" w:ascii="宋体" w:hAnsi="宋体" w:eastAsia="宋体" w:cs="宋体"/>
                <w:b/>
                <w:bCs/>
                <w:color w:val="auto"/>
                <w:sz w:val="20"/>
                <w:szCs w:val="20"/>
                <w:highlight w:val="none"/>
              </w:rPr>
              <w:t xml:space="preserve">介壳虫</w:t>
            </w:r>
            <w:r>
              <w:rPr>
                <w:rFonts w:hint="eastAsia" w:ascii="宋体" w:hAnsi="宋体" w:eastAsia="宋体" w:cs="宋体"/>
                <w:color w:val="auto"/>
                <w:sz w:val="20"/>
                <w:szCs w:val="20"/>
                <w:highlight w:val="none"/>
              </w:rPr>
              <w:t xml:space="preserve">（香樟、广玉兰、含笑、香橼、独干女贞、桂花、</w:t>
            </w:r>
            <w:r>
              <w:rPr>
                <w:rFonts w:hint="eastAsia" w:ascii="宋体" w:hAnsi="宋体" w:eastAsia="宋体" w:cs="宋体"/>
                <w:color w:val="auto"/>
                <w:sz w:val="20"/>
                <w:szCs w:val="20"/>
                <w:highlight w:val="none"/>
                <w:lang w:eastAsia="zh-CN"/>
              </w:rPr>
              <w:t xml:space="preserve">橘子等</w:t>
            </w:r>
            <w:r>
              <w:rPr>
                <w:rFonts w:hint="eastAsia" w:ascii="宋体" w:hAnsi="宋体" w:eastAsia="宋体" w:cs="宋体"/>
                <w:color w:val="auto"/>
                <w:sz w:val="20"/>
                <w:szCs w:val="20"/>
                <w:highlight w:val="none"/>
              </w:rPr>
              <w:t xml:space="preserve">）、</w:t>
            </w:r>
            <w:r>
              <w:rPr>
                <w:rFonts w:hint="eastAsia" w:ascii="宋体" w:hAnsi="宋体" w:eastAsia="宋体" w:cs="宋体"/>
                <w:b/>
                <w:bCs/>
                <w:color w:val="auto"/>
                <w:sz w:val="20"/>
                <w:szCs w:val="20"/>
                <w:highlight w:val="none"/>
              </w:rPr>
              <w:t xml:space="preserve">紫薇绒蚧</w:t>
            </w:r>
            <w:r>
              <w:rPr>
                <w:rFonts w:hint="eastAsia" w:ascii="宋体" w:hAnsi="宋体" w:eastAsia="宋体" w:cs="宋体"/>
                <w:color w:val="auto"/>
                <w:sz w:val="20"/>
                <w:szCs w:val="20"/>
                <w:highlight w:val="none"/>
              </w:rPr>
              <w:t xml:space="preserve">（紫薇、石榴）、</w:t>
            </w:r>
            <w:r>
              <w:rPr>
                <w:rFonts w:hint="eastAsia" w:ascii="宋体" w:hAnsi="宋体" w:eastAsia="宋体" w:cs="宋体"/>
                <w:b/>
                <w:bCs/>
                <w:color w:val="auto"/>
                <w:sz w:val="20"/>
                <w:szCs w:val="20"/>
                <w:highlight w:val="none"/>
              </w:rPr>
              <w:t xml:space="preserve">天牛</w:t>
            </w:r>
            <w:r>
              <w:rPr>
                <w:rFonts w:hint="eastAsia" w:ascii="宋体" w:hAnsi="宋体" w:eastAsia="宋体" w:cs="宋体"/>
                <w:color w:val="auto"/>
                <w:sz w:val="20"/>
                <w:szCs w:val="20"/>
                <w:highlight w:val="none"/>
              </w:rPr>
              <w:t xml:space="preserve">（栾树、无患子、合欢、红枫、法梧、杨树、柳树、桃树、槐树等）、</w:t>
            </w:r>
            <w:r>
              <w:rPr>
                <w:rFonts w:hint="eastAsia" w:ascii="宋体" w:hAnsi="宋体" w:eastAsia="宋体" w:cs="宋体"/>
                <w:b/>
                <w:bCs/>
                <w:color w:val="auto"/>
                <w:sz w:val="20"/>
                <w:szCs w:val="20"/>
                <w:highlight w:val="none"/>
              </w:rPr>
              <w:t xml:space="preserve">尺蠖</w:t>
            </w:r>
            <w:r>
              <w:rPr>
                <w:rFonts w:hint="eastAsia" w:ascii="宋体" w:hAnsi="宋体" w:eastAsia="宋体" w:cs="宋体"/>
                <w:color w:val="auto"/>
                <w:sz w:val="20"/>
                <w:szCs w:val="20"/>
                <w:highlight w:val="none"/>
              </w:rPr>
              <w:t xml:space="preserve">（国槐、金枝槐、大叶黄杨）、</w:t>
            </w:r>
            <w:r>
              <w:rPr>
                <w:rFonts w:hint="eastAsia" w:ascii="宋体" w:hAnsi="宋体" w:eastAsia="宋体" w:cs="宋体"/>
                <w:b/>
                <w:bCs/>
                <w:color w:val="auto"/>
                <w:sz w:val="20"/>
                <w:szCs w:val="20"/>
                <w:highlight w:val="none"/>
              </w:rPr>
              <w:t xml:space="preserve">红蜘蛛</w:t>
            </w:r>
            <w:r>
              <w:rPr>
                <w:rFonts w:hint="eastAsia" w:ascii="宋体" w:hAnsi="宋体" w:eastAsia="宋体" w:cs="宋体"/>
                <w:color w:val="auto"/>
                <w:sz w:val="20"/>
                <w:szCs w:val="20"/>
                <w:highlight w:val="none"/>
              </w:rPr>
              <w:t xml:space="preserve">（香樟、月季、海棠、桂花、桃树、红叶李、木槿、紫荆等）、</w:t>
            </w:r>
            <w:r>
              <w:rPr>
                <w:rFonts w:hint="eastAsia" w:ascii="宋体" w:hAnsi="宋体" w:eastAsia="宋体" w:cs="宋体"/>
                <w:b/>
                <w:bCs/>
                <w:color w:val="auto"/>
                <w:sz w:val="20"/>
                <w:szCs w:val="20"/>
                <w:highlight w:val="none"/>
              </w:rPr>
              <w:t xml:space="preserve">黄杨绢野螟</w:t>
            </w:r>
            <w:r>
              <w:rPr>
                <w:rFonts w:hint="eastAsia" w:ascii="宋体" w:hAnsi="宋体" w:eastAsia="宋体" w:cs="宋体"/>
                <w:color w:val="auto"/>
                <w:sz w:val="20"/>
                <w:szCs w:val="20"/>
                <w:highlight w:val="none"/>
              </w:rPr>
              <w:t xml:space="preserve">、</w:t>
            </w:r>
            <w:r>
              <w:rPr>
                <w:rFonts w:hint="eastAsia" w:ascii="宋体" w:hAnsi="宋体" w:eastAsia="宋体" w:cs="宋体"/>
                <w:b/>
                <w:bCs/>
                <w:color w:val="auto"/>
                <w:sz w:val="20"/>
                <w:szCs w:val="20"/>
                <w:highlight w:val="none"/>
              </w:rPr>
              <w:t xml:space="preserve">大叶黄杨斑蛾</w:t>
            </w:r>
            <w:r>
              <w:rPr>
                <w:rFonts w:hint="eastAsia" w:ascii="宋体" w:hAnsi="宋体" w:eastAsia="宋体" w:cs="宋体"/>
                <w:color w:val="auto"/>
                <w:sz w:val="20"/>
                <w:szCs w:val="20"/>
                <w:highlight w:val="none"/>
              </w:rPr>
              <w:t xml:space="preserve">，</w:t>
            </w:r>
            <w:r>
              <w:rPr>
                <w:rFonts w:hint="eastAsia" w:ascii="宋体" w:hAnsi="宋体" w:eastAsia="宋体" w:cs="宋体"/>
                <w:b/>
                <w:bCs/>
                <w:color w:val="auto"/>
                <w:sz w:val="20"/>
                <w:szCs w:val="20"/>
                <w:highlight w:val="none"/>
              </w:rPr>
              <w:t xml:space="preserve">金叶女贞叶斑病</w:t>
            </w:r>
            <w:r>
              <w:rPr>
                <w:rFonts w:hint="eastAsia" w:ascii="宋体" w:hAnsi="宋体" w:eastAsia="宋体" w:cs="宋体"/>
                <w:color w:val="auto"/>
                <w:sz w:val="20"/>
                <w:szCs w:val="20"/>
                <w:highlight w:val="none"/>
              </w:rPr>
              <w:t xml:space="preserve">、</w:t>
            </w:r>
            <w:r>
              <w:rPr>
                <w:rFonts w:hint="eastAsia" w:ascii="宋体" w:hAnsi="宋体" w:eastAsia="宋体" w:cs="宋体"/>
                <w:b/>
                <w:bCs/>
                <w:color w:val="auto"/>
                <w:sz w:val="20"/>
                <w:szCs w:val="20"/>
                <w:highlight w:val="none"/>
              </w:rPr>
              <w:t xml:space="preserve">月季黑斑病</w:t>
            </w:r>
            <w:r>
              <w:rPr>
                <w:rFonts w:hint="eastAsia" w:ascii="宋体" w:hAnsi="宋体" w:eastAsia="宋体" w:cs="宋体"/>
                <w:color w:val="auto"/>
                <w:sz w:val="20"/>
                <w:szCs w:val="20"/>
                <w:highlight w:val="none"/>
              </w:rPr>
              <w:t xml:space="preserve">、</w:t>
            </w:r>
            <w:r>
              <w:rPr>
                <w:rFonts w:hint="eastAsia" w:ascii="宋体" w:hAnsi="宋体" w:eastAsia="宋体" w:cs="宋体"/>
                <w:b/>
                <w:bCs/>
                <w:color w:val="auto"/>
                <w:sz w:val="20"/>
                <w:szCs w:val="20"/>
                <w:highlight w:val="none"/>
              </w:rPr>
              <w:t xml:space="preserve">白粉病</w:t>
            </w:r>
            <w:r>
              <w:rPr>
                <w:rFonts w:hint="eastAsia" w:ascii="宋体" w:hAnsi="宋体" w:eastAsia="宋体" w:cs="宋体"/>
                <w:color w:val="auto"/>
                <w:sz w:val="20"/>
                <w:szCs w:val="20"/>
                <w:highlight w:val="none"/>
              </w:rPr>
              <w:t xml:space="preserve">（紫薇、月季、狭叶十大功劳、大叶黄杨等）。每7天进行一次药物防治。</w:t>
            </w:r>
            <w:r/>
          </w:p>
        </w:tc>
        <w:tc>
          <w:tcPr>
            <w:tcW w:w="969"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1-4周</w:t>
            </w:r>
            <w:r/>
          </w:p>
        </w:tc>
      </w:tr>
      <w:tr>
        <w:trPr>
          <w:trHeight w:val="547"/>
        </w:trPr>
        <w:tc>
          <w:tcPr>
            <w:tcW w:w="488"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549"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291"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41</w:t>
            </w:r>
            <w:r/>
          </w:p>
        </w:tc>
        <w:tc>
          <w:tcPr>
            <w:tcW w:w="1878"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安全管理</w:t>
            </w:r>
            <w:r/>
          </w:p>
        </w:tc>
        <w:tc>
          <w:tcPr>
            <w:tcW w:w="5523"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针对高温期间作业安全管理工作进行安全技术交底，发放相应防暑降温物资，并上报安全交底记录、防暑降温物资领取记录和照片</w:t>
            </w:r>
            <w:r/>
          </w:p>
        </w:tc>
        <w:tc>
          <w:tcPr>
            <w:tcW w:w="969"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4周</w:t>
            </w:r>
            <w:r/>
          </w:p>
        </w:tc>
      </w:tr>
      <w:tr>
        <w:trPr>
          <w:trHeight w:val="427"/>
        </w:trPr>
        <w:tc>
          <w:tcPr>
            <w:tcW w:w="488"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549" w:type="dxa"/>
            <w:vAlign w:val="center"/>
            <w:vMerge w:val="restart"/>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7月</w:t>
            </w:r>
            <w:r/>
          </w:p>
        </w:tc>
        <w:tc>
          <w:tcPr>
            <w:tcW w:w="291"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42</w:t>
            </w:r>
            <w:r/>
          </w:p>
        </w:tc>
        <w:tc>
          <w:tcPr>
            <w:tcW w:w="1878"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修剪</w:t>
            </w:r>
            <w:r/>
          </w:p>
        </w:tc>
        <w:tc>
          <w:tcPr>
            <w:tcW w:w="5523"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每10天修剪一次草坪、绿篱、球</w:t>
            </w:r>
            <w:r>
              <w:rPr>
                <w:rFonts w:hint="eastAsia" w:ascii="宋体" w:hAnsi="宋体" w:eastAsia="宋体" w:cs="宋体"/>
                <w:color w:val="auto"/>
                <w:sz w:val="20"/>
                <w:szCs w:val="20"/>
                <w:highlight w:val="none"/>
                <w:lang w:eastAsia="zh-CN"/>
              </w:rPr>
              <w:t xml:space="preserve">篱</w:t>
            </w:r>
            <w:r>
              <w:rPr>
                <w:rFonts w:hint="eastAsia" w:ascii="宋体" w:hAnsi="宋体" w:eastAsia="宋体" w:cs="宋体"/>
                <w:color w:val="auto"/>
                <w:sz w:val="20"/>
                <w:szCs w:val="20"/>
                <w:highlight w:val="none"/>
              </w:rPr>
              <w:t xml:space="preserve">，乔木剥芽1次，黑麦草低修剪</w:t>
            </w:r>
            <w:r/>
          </w:p>
        </w:tc>
        <w:tc>
          <w:tcPr>
            <w:tcW w:w="969"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1-4周</w:t>
            </w:r>
            <w:r/>
          </w:p>
        </w:tc>
      </w:tr>
      <w:tr>
        <w:trPr>
          <w:trHeight w:val="427"/>
        </w:trPr>
        <w:tc>
          <w:tcPr>
            <w:tcW w:w="488"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549"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291"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43</w:t>
            </w:r>
            <w:r/>
          </w:p>
        </w:tc>
        <w:tc>
          <w:tcPr>
            <w:tcW w:w="1878" w:type="dxa"/>
            <w:vAlign w:val="center"/>
            <w:textDirection w:val="lrTb"/>
            <w:noWrap w:val="false"/>
          </w:tcPr>
          <w:p>
            <w:pPr>
              <w:ind w:firstLine="0"/>
              <w:jc w:val="left"/>
              <w:widowControl/>
              <w:rPr>
                <w:rFonts w:hint="eastAsia" w:ascii="宋体" w:hAnsi="宋体" w:eastAsia="宋体" w:cs="宋体"/>
                <w:b/>
                <w:bCs/>
                <w:color w:val="auto"/>
                <w:sz w:val="20"/>
                <w:szCs w:val="20"/>
                <w:highlight w:val="none"/>
              </w:rPr>
              <w:outlineLvl w:val="9"/>
            </w:pPr>
            <w:r>
              <w:rPr>
                <w:rFonts w:hint="eastAsia" w:ascii="宋体" w:hAnsi="宋体" w:eastAsia="宋体" w:cs="宋体"/>
                <w:b/>
                <w:bCs/>
                <w:color w:val="auto"/>
                <w:sz w:val="20"/>
                <w:szCs w:val="20"/>
                <w:highlight w:val="none"/>
              </w:rPr>
              <w:t xml:space="preserve">浇水</w:t>
            </w:r>
            <w:r/>
          </w:p>
        </w:tc>
        <w:tc>
          <w:tcPr>
            <w:tcW w:w="5523"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每天对绿地浇一次透水，视天气情况对乔灌木树穴翻土灌水</w:t>
            </w:r>
            <w:r/>
          </w:p>
        </w:tc>
        <w:tc>
          <w:tcPr>
            <w:tcW w:w="969"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1-4周</w:t>
            </w:r>
            <w:r/>
          </w:p>
        </w:tc>
      </w:tr>
      <w:tr>
        <w:trPr>
          <w:trHeight w:val="427"/>
        </w:trPr>
        <w:tc>
          <w:tcPr>
            <w:tcW w:w="488"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549"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291"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44</w:t>
            </w:r>
            <w:r/>
          </w:p>
        </w:tc>
        <w:tc>
          <w:tcPr>
            <w:tcW w:w="1878"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除草</w:t>
            </w:r>
            <w:r/>
          </w:p>
        </w:tc>
        <w:tc>
          <w:tcPr>
            <w:tcW w:w="5523"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每10天除一次杂草</w:t>
            </w:r>
            <w:r/>
          </w:p>
        </w:tc>
        <w:tc>
          <w:tcPr>
            <w:tcW w:w="969"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1-4周</w:t>
            </w:r>
            <w:r/>
          </w:p>
        </w:tc>
      </w:tr>
      <w:tr>
        <w:trPr>
          <w:trHeight w:val="547"/>
        </w:trPr>
        <w:tc>
          <w:tcPr>
            <w:tcW w:w="488"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549"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291"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45</w:t>
            </w:r>
            <w:r/>
          </w:p>
        </w:tc>
        <w:tc>
          <w:tcPr>
            <w:tcW w:w="1878"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防台防汛应急保障</w:t>
            </w:r>
            <w:r/>
          </w:p>
        </w:tc>
        <w:tc>
          <w:tcPr>
            <w:tcW w:w="5523"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继续按照防台防汛应急预案做好应急保障，保障期间应做到1小时内排除险情，2天内完成倒伏树木扶正</w:t>
            </w:r>
            <w:r/>
          </w:p>
        </w:tc>
        <w:tc>
          <w:tcPr>
            <w:tcW w:w="969"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随机</w:t>
            </w:r>
            <w:r/>
          </w:p>
        </w:tc>
      </w:tr>
      <w:tr>
        <w:trPr>
          <w:trHeight w:val="547"/>
        </w:trPr>
        <w:tc>
          <w:tcPr>
            <w:tcW w:w="488"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549"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291"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46</w:t>
            </w:r>
            <w:r/>
          </w:p>
        </w:tc>
        <w:tc>
          <w:tcPr>
            <w:tcW w:w="1878"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病虫害防治</w:t>
            </w:r>
            <w:r/>
          </w:p>
        </w:tc>
        <w:tc>
          <w:tcPr>
            <w:tcW w:w="5523"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重点防治对象：</w:t>
            </w:r>
            <w:r>
              <w:rPr>
                <w:rFonts w:hint="eastAsia" w:ascii="宋体" w:hAnsi="宋体" w:eastAsia="宋体" w:cs="宋体"/>
                <w:b/>
                <w:bCs/>
                <w:color w:val="auto"/>
                <w:sz w:val="20"/>
                <w:szCs w:val="20"/>
                <w:highlight w:val="none"/>
              </w:rPr>
              <w:t xml:space="preserve">天牛</w:t>
            </w:r>
            <w:r>
              <w:rPr>
                <w:rFonts w:hint="eastAsia" w:ascii="宋体" w:hAnsi="宋体" w:eastAsia="宋体" w:cs="宋体"/>
                <w:color w:val="auto"/>
                <w:sz w:val="20"/>
                <w:szCs w:val="20"/>
                <w:highlight w:val="none"/>
              </w:rPr>
              <w:t xml:space="preserve">、</w:t>
            </w:r>
            <w:r>
              <w:rPr>
                <w:rFonts w:hint="eastAsia" w:ascii="宋体" w:hAnsi="宋体" w:eastAsia="宋体" w:cs="宋体"/>
                <w:b/>
                <w:bCs/>
                <w:color w:val="auto"/>
                <w:sz w:val="20"/>
                <w:szCs w:val="20"/>
                <w:highlight w:val="none"/>
              </w:rPr>
              <w:t xml:space="preserve">刺蛾</w:t>
            </w:r>
            <w:r>
              <w:rPr>
                <w:rFonts w:hint="eastAsia" w:ascii="宋体" w:hAnsi="宋体" w:eastAsia="宋体" w:cs="宋体"/>
                <w:color w:val="auto"/>
                <w:sz w:val="20"/>
                <w:szCs w:val="20"/>
                <w:highlight w:val="none"/>
              </w:rPr>
              <w:t xml:space="preserve">、</w:t>
            </w:r>
            <w:r>
              <w:rPr>
                <w:rFonts w:hint="eastAsia" w:ascii="宋体" w:hAnsi="宋体" w:eastAsia="宋体" w:cs="宋体"/>
                <w:b/>
                <w:bCs/>
                <w:color w:val="auto"/>
                <w:sz w:val="20"/>
                <w:szCs w:val="20"/>
                <w:highlight w:val="none"/>
              </w:rPr>
              <w:t xml:space="preserve">樟巢螟</w:t>
            </w:r>
            <w:r>
              <w:rPr>
                <w:rFonts w:hint="eastAsia" w:ascii="宋体" w:hAnsi="宋体" w:eastAsia="宋体" w:cs="宋体"/>
                <w:color w:val="auto"/>
                <w:sz w:val="20"/>
                <w:szCs w:val="20"/>
                <w:highlight w:val="none"/>
              </w:rPr>
              <w:t xml:space="preserve">（香樟）、</w:t>
            </w:r>
            <w:r>
              <w:rPr>
                <w:rFonts w:hint="eastAsia" w:ascii="宋体" w:hAnsi="宋体" w:eastAsia="宋体" w:cs="宋体"/>
                <w:b/>
                <w:bCs/>
                <w:color w:val="auto"/>
                <w:sz w:val="20"/>
                <w:szCs w:val="20"/>
                <w:highlight w:val="none"/>
              </w:rPr>
              <w:t xml:space="preserve">葱兰夜蛾</w:t>
            </w:r>
            <w:r>
              <w:rPr>
                <w:rFonts w:hint="eastAsia" w:ascii="宋体" w:hAnsi="宋体" w:eastAsia="宋体" w:cs="宋体"/>
                <w:color w:val="auto"/>
                <w:sz w:val="20"/>
                <w:szCs w:val="20"/>
                <w:highlight w:val="none"/>
              </w:rPr>
              <w:t xml:space="preserve">（葱兰）。每7天进行一次药物防治，樟巢螟虫巢进行1次人工剪除销毁。</w:t>
            </w:r>
            <w:r/>
          </w:p>
        </w:tc>
        <w:tc>
          <w:tcPr>
            <w:tcW w:w="969"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1-4周</w:t>
            </w:r>
            <w:r/>
          </w:p>
        </w:tc>
      </w:tr>
      <w:tr>
        <w:trPr>
          <w:trHeight w:val="427"/>
        </w:trPr>
        <w:tc>
          <w:tcPr>
            <w:tcW w:w="488"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549" w:type="dxa"/>
            <w:vAlign w:val="center"/>
            <w:vMerge w:val="restart"/>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8月</w:t>
            </w:r>
            <w:r/>
          </w:p>
        </w:tc>
        <w:tc>
          <w:tcPr>
            <w:tcW w:w="291"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47</w:t>
            </w:r>
            <w:r/>
          </w:p>
        </w:tc>
        <w:tc>
          <w:tcPr>
            <w:tcW w:w="1878"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修剪</w:t>
            </w:r>
            <w:r/>
          </w:p>
        </w:tc>
        <w:tc>
          <w:tcPr>
            <w:tcW w:w="5523"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每10天修剪一次草坪、绿篱、球</w:t>
            </w:r>
            <w:r>
              <w:rPr>
                <w:rFonts w:hint="eastAsia" w:ascii="宋体" w:hAnsi="宋体" w:eastAsia="宋体" w:cs="宋体"/>
                <w:color w:val="auto"/>
                <w:sz w:val="20"/>
                <w:szCs w:val="20"/>
                <w:highlight w:val="none"/>
                <w:lang w:eastAsia="zh-CN"/>
              </w:rPr>
              <w:t xml:space="preserve">篱</w:t>
            </w:r>
            <w:r>
              <w:rPr>
                <w:rFonts w:hint="eastAsia" w:ascii="宋体" w:hAnsi="宋体" w:eastAsia="宋体" w:cs="宋体"/>
                <w:color w:val="auto"/>
                <w:sz w:val="20"/>
                <w:szCs w:val="20"/>
                <w:highlight w:val="none"/>
              </w:rPr>
              <w:t xml:space="preserve">，乔木剥芽1次</w:t>
            </w:r>
            <w:r/>
          </w:p>
        </w:tc>
        <w:tc>
          <w:tcPr>
            <w:tcW w:w="969"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1-4周</w:t>
            </w:r>
            <w:r/>
          </w:p>
        </w:tc>
      </w:tr>
      <w:tr>
        <w:trPr>
          <w:trHeight w:val="427"/>
        </w:trPr>
        <w:tc>
          <w:tcPr>
            <w:tcW w:w="488"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549"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291"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48</w:t>
            </w:r>
            <w:r/>
          </w:p>
        </w:tc>
        <w:tc>
          <w:tcPr>
            <w:tcW w:w="1878" w:type="dxa"/>
            <w:vAlign w:val="center"/>
            <w:textDirection w:val="lrTb"/>
            <w:noWrap w:val="false"/>
          </w:tcPr>
          <w:p>
            <w:pPr>
              <w:ind w:firstLine="0"/>
              <w:jc w:val="left"/>
              <w:widowControl/>
              <w:rPr>
                <w:rFonts w:hint="eastAsia" w:ascii="宋体" w:hAnsi="宋体" w:eastAsia="宋体" w:cs="宋体"/>
                <w:b/>
                <w:bCs/>
                <w:color w:val="auto"/>
                <w:sz w:val="20"/>
                <w:szCs w:val="20"/>
                <w:highlight w:val="none"/>
              </w:rPr>
              <w:outlineLvl w:val="9"/>
            </w:pPr>
            <w:r>
              <w:rPr>
                <w:rFonts w:hint="eastAsia" w:ascii="宋体" w:hAnsi="宋体" w:eastAsia="宋体" w:cs="宋体"/>
                <w:b/>
                <w:bCs/>
                <w:color w:val="auto"/>
                <w:sz w:val="20"/>
                <w:szCs w:val="20"/>
                <w:highlight w:val="none"/>
              </w:rPr>
              <w:t xml:space="preserve">浇水</w:t>
            </w:r>
            <w:r/>
          </w:p>
        </w:tc>
        <w:tc>
          <w:tcPr>
            <w:tcW w:w="5523"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每天对绿地浇一次透水，视天气情况对乔灌木树穴翻土灌水</w:t>
            </w:r>
            <w:r/>
          </w:p>
        </w:tc>
        <w:tc>
          <w:tcPr>
            <w:tcW w:w="969"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1-4周</w:t>
            </w:r>
            <w:r/>
          </w:p>
        </w:tc>
      </w:tr>
      <w:tr>
        <w:trPr>
          <w:trHeight w:val="427"/>
        </w:trPr>
        <w:tc>
          <w:tcPr>
            <w:tcW w:w="488"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549"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291"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49</w:t>
            </w:r>
            <w:r/>
          </w:p>
        </w:tc>
        <w:tc>
          <w:tcPr>
            <w:tcW w:w="1878"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除草</w:t>
            </w:r>
            <w:r/>
          </w:p>
        </w:tc>
        <w:tc>
          <w:tcPr>
            <w:tcW w:w="5523"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每10天除一次杂草</w:t>
            </w:r>
            <w:r/>
          </w:p>
        </w:tc>
        <w:tc>
          <w:tcPr>
            <w:tcW w:w="969"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1-4周</w:t>
            </w:r>
            <w:r/>
          </w:p>
        </w:tc>
      </w:tr>
      <w:tr>
        <w:trPr>
          <w:trHeight w:val="547"/>
        </w:trPr>
        <w:tc>
          <w:tcPr>
            <w:tcW w:w="488"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549"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291"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50</w:t>
            </w:r>
            <w:r/>
          </w:p>
        </w:tc>
        <w:tc>
          <w:tcPr>
            <w:tcW w:w="1878"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防台防汛应急保障</w:t>
            </w:r>
            <w:r/>
          </w:p>
        </w:tc>
        <w:tc>
          <w:tcPr>
            <w:tcW w:w="5523"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继续按照防台防汛应急预案做好应急保障，保障期间应做到1小时内排除险情，2天内完成倒伏树木扶正</w:t>
            </w:r>
            <w:r/>
          </w:p>
        </w:tc>
        <w:tc>
          <w:tcPr>
            <w:tcW w:w="969"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随机</w:t>
            </w:r>
            <w:r/>
          </w:p>
        </w:tc>
      </w:tr>
      <w:tr>
        <w:trPr>
          <w:trHeight w:val="1624"/>
        </w:trPr>
        <w:tc>
          <w:tcPr>
            <w:tcW w:w="488"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549"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291"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51</w:t>
            </w:r>
            <w:r/>
          </w:p>
        </w:tc>
        <w:tc>
          <w:tcPr>
            <w:tcW w:w="1878"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病虫害防治</w:t>
            </w:r>
            <w:r/>
          </w:p>
        </w:tc>
        <w:tc>
          <w:tcPr>
            <w:tcW w:w="5523"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重点防治对象：</w:t>
            </w:r>
            <w:r>
              <w:rPr>
                <w:rFonts w:hint="eastAsia" w:ascii="宋体" w:hAnsi="宋体" w:eastAsia="宋体" w:cs="宋体"/>
                <w:b/>
                <w:bCs/>
                <w:color w:val="auto"/>
                <w:sz w:val="20"/>
                <w:szCs w:val="20"/>
                <w:highlight w:val="none"/>
              </w:rPr>
              <w:t xml:space="preserve">刺蛾</w:t>
            </w:r>
            <w:r>
              <w:rPr>
                <w:rFonts w:hint="eastAsia" w:ascii="宋体" w:hAnsi="宋体" w:eastAsia="宋体" w:cs="宋体"/>
                <w:color w:val="auto"/>
                <w:sz w:val="20"/>
                <w:szCs w:val="20"/>
                <w:highlight w:val="none"/>
              </w:rPr>
              <w:t xml:space="preserve">、</w:t>
            </w:r>
            <w:r>
              <w:rPr>
                <w:rFonts w:hint="eastAsia" w:ascii="宋体" w:hAnsi="宋体" w:eastAsia="宋体" w:cs="宋体"/>
                <w:b/>
                <w:bCs/>
                <w:color w:val="auto"/>
                <w:sz w:val="20"/>
                <w:szCs w:val="20"/>
                <w:highlight w:val="none"/>
              </w:rPr>
              <w:t xml:space="preserve">樟巢螟</w:t>
            </w:r>
            <w:r>
              <w:rPr>
                <w:rFonts w:hint="eastAsia" w:ascii="宋体" w:hAnsi="宋体" w:eastAsia="宋体" w:cs="宋体"/>
                <w:color w:val="auto"/>
                <w:sz w:val="20"/>
                <w:szCs w:val="20"/>
                <w:highlight w:val="none"/>
              </w:rPr>
              <w:t xml:space="preserve">（香樟）、</w:t>
            </w:r>
            <w:r>
              <w:rPr>
                <w:rFonts w:hint="eastAsia" w:ascii="宋体" w:hAnsi="宋体" w:eastAsia="宋体" w:cs="宋体"/>
                <w:b/>
                <w:bCs/>
                <w:color w:val="auto"/>
                <w:sz w:val="20"/>
                <w:szCs w:val="20"/>
                <w:highlight w:val="none"/>
              </w:rPr>
              <w:t xml:space="preserve">尺蠖</w:t>
            </w:r>
            <w:r>
              <w:rPr>
                <w:rFonts w:hint="eastAsia" w:ascii="宋体" w:hAnsi="宋体" w:eastAsia="宋体" w:cs="宋体"/>
                <w:color w:val="auto"/>
                <w:sz w:val="20"/>
                <w:szCs w:val="20"/>
                <w:highlight w:val="none"/>
              </w:rPr>
              <w:t xml:space="preserve">（国槐、金枝槐、大叶黄杨）、</w:t>
            </w:r>
            <w:r>
              <w:rPr>
                <w:rFonts w:hint="eastAsia" w:ascii="宋体" w:hAnsi="宋体" w:eastAsia="宋体" w:cs="宋体"/>
                <w:b/>
                <w:bCs/>
                <w:color w:val="auto"/>
                <w:sz w:val="20"/>
                <w:szCs w:val="20"/>
                <w:highlight w:val="none"/>
              </w:rPr>
              <w:t xml:space="preserve">红蜘蛛</w:t>
            </w:r>
            <w:r>
              <w:rPr>
                <w:rFonts w:hint="eastAsia" w:ascii="宋体" w:hAnsi="宋体" w:eastAsia="宋体" w:cs="宋体"/>
                <w:color w:val="auto"/>
                <w:sz w:val="20"/>
                <w:szCs w:val="20"/>
                <w:highlight w:val="none"/>
              </w:rPr>
              <w:t xml:space="preserve">（香樟、月季、海棠、桂花、桃树、红叶李、木槿、紫荆等）、</w:t>
            </w:r>
            <w:r>
              <w:rPr>
                <w:rFonts w:hint="eastAsia" w:ascii="宋体" w:hAnsi="宋体" w:eastAsia="宋体" w:cs="宋体"/>
                <w:b/>
                <w:bCs/>
                <w:color w:val="auto"/>
                <w:sz w:val="20"/>
                <w:szCs w:val="20"/>
                <w:highlight w:val="none"/>
              </w:rPr>
              <w:t xml:space="preserve">紫薇绒蚧</w:t>
            </w:r>
            <w:r>
              <w:rPr>
                <w:rFonts w:hint="eastAsia" w:ascii="宋体" w:hAnsi="宋体" w:eastAsia="宋体" w:cs="宋体"/>
                <w:color w:val="auto"/>
                <w:sz w:val="20"/>
                <w:szCs w:val="20"/>
                <w:highlight w:val="none"/>
              </w:rPr>
              <w:t xml:space="preserve">（紫薇、石榴）、</w:t>
            </w:r>
            <w:r>
              <w:rPr>
                <w:rFonts w:hint="eastAsia" w:ascii="宋体" w:hAnsi="宋体" w:eastAsia="宋体" w:cs="宋体"/>
                <w:b/>
                <w:bCs/>
                <w:color w:val="auto"/>
                <w:sz w:val="20"/>
                <w:szCs w:val="20"/>
                <w:highlight w:val="none"/>
              </w:rPr>
              <w:t xml:space="preserve">斜纹夜蛾</w:t>
            </w:r>
            <w:r>
              <w:rPr>
                <w:rFonts w:hint="eastAsia" w:ascii="宋体" w:hAnsi="宋体" w:eastAsia="宋体" w:cs="宋体"/>
                <w:color w:val="auto"/>
                <w:sz w:val="20"/>
                <w:szCs w:val="20"/>
                <w:highlight w:val="none"/>
              </w:rPr>
              <w:t xml:space="preserve">（白三叶、草坪）、</w:t>
            </w:r>
            <w:r>
              <w:rPr>
                <w:rFonts w:hint="eastAsia" w:ascii="宋体" w:hAnsi="宋体" w:eastAsia="宋体" w:cs="宋体"/>
                <w:color w:val="auto"/>
                <w:sz w:val="20"/>
                <w:szCs w:val="20"/>
                <w:highlight w:val="none"/>
                <w:lang w:eastAsia="zh-CN"/>
              </w:rPr>
              <w:t xml:space="preserve">黏虫</w:t>
            </w:r>
            <w:r>
              <w:rPr>
                <w:rFonts w:hint="eastAsia" w:ascii="宋体" w:hAnsi="宋体" w:eastAsia="宋体" w:cs="宋体"/>
                <w:color w:val="auto"/>
                <w:sz w:val="20"/>
                <w:szCs w:val="20"/>
                <w:highlight w:val="none"/>
              </w:rPr>
              <w:t xml:space="preserve">（草坪）、</w:t>
            </w:r>
            <w:r>
              <w:rPr>
                <w:rFonts w:hint="eastAsia" w:ascii="宋体" w:hAnsi="宋体" w:eastAsia="宋体" w:cs="宋体"/>
                <w:b/>
                <w:bCs/>
                <w:color w:val="auto"/>
                <w:sz w:val="20"/>
                <w:szCs w:val="20"/>
                <w:highlight w:val="none"/>
              </w:rPr>
              <w:t xml:space="preserve">草地螟</w:t>
            </w:r>
            <w:r>
              <w:rPr>
                <w:rFonts w:hint="eastAsia" w:ascii="宋体" w:hAnsi="宋体" w:eastAsia="宋体" w:cs="宋体"/>
                <w:color w:val="auto"/>
                <w:sz w:val="20"/>
                <w:szCs w:val="20"/>
                <w:highlight w:val="none"/>
              </w:rPr>
              <w:t xml:space="preserve">（草坪）、</w:t>
            </w:r>
            <w:r>
              <w:rPr>
                <w:rFonts w:hint="eastAsia" w:ascii="宋体" w:hAnsi="宋体" w:eastAsia="宋体" w:cs="宋体"/>
                <w:b/>
                <w:bCs/>
                <w:color w:val="auto"/>
                <w:sz w:val="20"/>
                <w:szCs w:val="20"/>
                <w:highlight w:val="none"/>
              </w:rPr>
              <w:t xml:space="preserve">葱兰夜蛾</w:t>
            </w:r>
            <w:r>
              <w:rPr>
                <w:rFonts w:hint="eastAsia" w:ascii="宋体" w:hAnsi="宋体" w:eastAsia="宋体" w:cs="宋体"/>
                <w:color w:val="auto"/>
                <w:sz w:val="20"/>
                <w:szCs w:val="20"/>
                <w:highlight w:val="none"/>
              </w:rPr>
              <w:t xml:space="preserve">（葱兰）、</w:t>
            </w:r>
            <w:r>
              <w:rPr>
                <w:rFonts w:hint="eastAsia" w:ascii="宋体" w:hAnsi="宋体" w:eastAsia="宋体" w:cs="宋体"/>
                <w:b/>
                <w:bCs/>
                <w:color w:val="auto"/>
                <w:sz w:val="20"/>
                <w:szCs w:val="20"/>
                <w:highlight w:val="none"/>
              </w:rPr>
              <w:t xml:space="preserve">蛴螬</w:t>
            </w:r>
            <w:r>
              <w:rPr>
                <w:rFonts w:hint="eastAsia" w:ascii="宋体" w:hAnsi="宋体" w:eastAsia="宋体" w:cs="宋体"/>
                <w:color w:val="auto"/>
                <w:sz w:val="20"/>
                <w:szCs w:val="20"/>
                <w:highlight w:val="none"/>
              </w:rPr>
              <w:t xml:space="preserve">（草坪）、</w:t>
            </w:r>
            <w:r>
              <w:rPr>
                <w:rFonts w:hint="eastAsia" w:ascii="宋体" w:hAnsi="宋体" w:eastAsia="宋体" w:cs="宋体"/>
                <w:b/>
                <w:bCs/>
                <w:color w:val="auto"/>
                <w:sz w:val="20"/>
                <w:szCs w:val="20"/>
                <w:highlight w:val="none"/>
              </w:rPr>
              <w:t xml:space="preserve">黄杨绢野螟</w:t>
            </w:r>
            <w:r>
              <w:rPr>
                <w:rFonts w:hint="eastAsia" w:ascii="宋体" w:hAnsi="宋体" w:eastAsia="宋体" w:cs="宋体"/>
                <w:color w:val="auto"/>
                <w:sz w:val="20"/>
                <w:szCs w:val="20"/>
                <w:highlight w:val="none"/>
              </w:rPr>
              <w:t xml:space="preserve">、</w:t>
            </w:r>
            <w:r>
              <w:rPr>
                <w:rFonts w:hint="eastAsia" w:ascii="宋体" w:hAnsi="宋体" w:eastAsia="宋体" w:cs="宋体"/>
                <w:b/>
                <w:bCs/>
                <w:color w:val="auto"/>
                <w:sz w:val="20"/>
                <w:szCs w:val="20"/>
                <w:highlight w:val="none"/>
              </w:rPr>
              <w:t xml:space="preserve">杜鹃网蝽</w:t>
            </w:r>
            <w:r>
              <w:rPr>
                <w:rFonts w:hint="eastAsia" w:ascii="宋体" w:hAnsi="宋体" w:eastAsia="宋体" w:cs="宋体"/>
                <w:color w:val="auto"/>
                <w:sz w:val="20"/>
                <w:szCs w:val="20"/>
                <w:highlight w:val="none"/>
              </w:rPr>
              <w:t xml:space="preserve">（杜鹃）、</w:t>
            </w:r>
            <w:r>
              <w:rPr>
                <w:rFonts w:hint="eastAsia" w:ascii="宋体" w:hAnsi="宋体" w:eastAsia="宋体" w:cs="宋体"/>
                <w:b/>
                <w:bCs/>
                <w:color w:val="auto"/>
                <w:sz w:val="20"/>
                <w:szCs w:val="20"/>
                <w:highlight w:val="none"/>
              </w:rPr>
              <w:t xml:space="preserve">康氏粉蚧</w:t>
            </w:r>
            <w:r>
              <w:rPr>
                <w:rFonts w:hint="eastAsia" w:ascii="宋体" w:hAnsi="宋体" w:eastAsia="宋体" w:cs="宋体"/>
                <w:color w:val="auto"/>
                <w:sz w:val="20"/>
                <w:szCs w:val="20"/>
                <w:highlight w:val="none"/>
              </w:rPr>
              <w:t xml:space="preserve">（金叶女贞），</w:t>
            </w:r>
            <w:r>
              <w:rPr>
                <w:rFonts w:hint="eastAsia" w:ascii="宋体" w:hAnsi="宋体" w:eastAsia="宋体" w:cs="宋体"/>
                <w:b/>
                <w:bCs/>
                <w:color w:val="auto"/>
                <w:sz w:val="20"/>
                <w:szCs w:val="20"/>
                <w:highlight w:val="none"/>
              </w:rPr>
              <w:t xml:space="preserve">合欢枯萎病</w:t>
            </w:r>
            <w:r>
              <w:rPr>
                <w:rFonts w:hint="eastAsia" w:ascii="宋体" w:hAnsi="宋体" w:eastAsia="宋体" w:cs="宋体"/>
                <w:color w:val="auto"/>
                <w:sz w:val="20"/>
                <w:szCs w:val="20"/>
                <w:highlight w:val="none"/>
              </w:rPr>
              <w:t xml:space="preserve">、</w:t>
            </w:r>
            <w:r>
              <w:rPr>
                <w:rFonts w:hint="eastAsia" w:ascii="宋体" w:hAnsi="宋体" w:eastAsia="宋体" w:cs="宋体"/>
                <w:b/>
                <w:bCs/>
                <w:color w:val="auto"/>
                <w:sz w:val="20"/>
                <w:szCs w:val="20"/>
                <w:highlight w:val="none"/>
              </w:rPr>
              <w:t xml:space="preserve">金叶女贞叶斑病</w:t>
            </w:r>
            <w:r>
              <w:rPr>
                <w:rFonts w:hint="eastAsia" w:ascii="宋体" w:hAnsi="宋体" w:eastAsia="宋体" w:cs="宋体"/>
                <w:color w:val="auto"/>
                <w:sz w:val="20"/>
                <w:szCs w:val="20"/>
                <w:highlight w:val="none"/>
              </w:rPr>
              <w:t xml:space="preserve">、</w:t>
            </w:r>
            <w:r>
              <w:rPr>
                <w:rFonts w:hint="eastAsia" w:ascii="宋体" w:hAnsi="宋体" w:eastAsia="宋体" w:cs="宋体"/>
                <w:b/>
                <w:bCs/>
                <w:color w:val="auto"/>
                <w:sz w:val="20"/>
                <w:szCs w:val="20"/>
                <w:highlight w:val="none"/>
              </w:rPr>
              <w:t xml:space="preserve">白粉病</w:t>
            </w:r>
            <w:r>
              <w:rPr>
                <w:rFonts w:hint="eastAsia" w:ascii="宋体" w:hAnsi="宋体" w:eastAsia="宋体" w:cs="宋体"/>
                <w:color w:val="auto"/>
                <w:sz w:val="20"/>
                <w:szCs w:val="20"/>
                <w:highlight w:val="none"/>
              </w:rPr>
              <w:t xml:space="preserve">（紫薇、月季、狭叶十大功劳、大叶黄杨等）。每7天进行一次药物防治，樟巢螟虫巢进行1次人工剪除销毁。</w:t>
            </w:r>
            <w:r/>
          </w:p>
        </w:tc>
        <w:tc>
          <w:tcPr>
            <w:tcW w:w="969"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1-4周</w:t>
            </w:r>
            <w:r/>
          </w:p>
        </w:tc>
      </w:tr>
      <w:tr>
        <w:trPr>
          <w:trHeight w:val="427"/>
        </w:trPr>
        <w:tc>
          <w:tcPr>
            <w:tcW w:w="488" w:type="dxa"/>
            <w:vAlign w:val="center"/>
            <w:vMerge w:val="restart"/>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秋季</w:t>
            </w:r>
            <w:r/>
          </w:p>
        </w:tc>
        <w:tc>
          <w:tcPr>
            <w:tcW w:w="549" w:type="dxa"/>
            <w:vAlign w:val="center"/>
            <w:vMerge w:val="restart"/>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9月</w:t>
            </w:r>
            <w:r/>
          </w:p>
        </w:tc>
        <w:tc>
          <w:tcPr>
            <w:tcW w:w="291"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52</w:t>
            </w:r>
            <w:r/>
          </w:p>
        </w:tc>
        <w:tc>
          <w:tcPr>
            <w:tcW w:w="1878"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修剪</w:t>
            </w:r>
            <w:r/>
          </w:p>
        </w:tc>
        <w:tc>
          <w:tcPr>
            <w:tcW w:w="5523"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每10天修剪一次草坪、绿篱、球</w:t>
            </w:r>
            <w:r>
              <w:rPr>
                <w:rFonts w:hint="eastAsia" w:ascii="宋体" w:hAnsi="宋体" w:eastAsia="宋体" w:cs="宋体"/>
                <w:color w:val="auto"/>
                <w:sz w:val="20"/>
                <w:szCs w:val="20"/>
                <w:highlight w:val="none"/>
                <w:lang w:eastAsia="zh-CN"/>
              </w:rPr>
              <w:t xml:space="preserve">篱</w:t>
            </w:r>
            <w:r>
              <w:rPr>
                <w:rFonts w:hint="eastAsia" w:ascii="宋体" w:hAnsi="宋体" w:eastAsia="宋体" w:cs="宋体"/>
                <w:color w:val="auto"/>
                <w:sz w:val="20"/>
                <w:szCs w:val="20"/>
                <w:highlight w:val="none"/>
              </w:rPr>
              <w:t xml:space="preserve">，乔木每月剥芽1次</w:t>
            </w:r>
            <w:r/>
          </w:p>
        </w:tc>
        <w:tc>
          <w:tcPr>
            <w:tcW w:w="969"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1-4周</w:t>
            </w:r>
            <w:r/>
          </w:p>
        </w:tc>
      </w:tr>
      <w:tr>
        <w:trPr>
          <w:trHeight w:val="427"/>
        </w:trPr>
        <w:tc>
          <w:tcPr>
            <w:tcW w:w="488"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549"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291"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53</w:t>
            </w:r>
            <w:r/>
          </w:p>
        </w:tc>
        <w:tc>
          <w:tcPr>
            <w:tcW w:w="1878"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浇水</w:t>
            </w:r>
            <w:r/>
          </w:p>
        </w:tc>
        <w:tc>
          <w:tcPr>
            <w:tcW w:w="5523"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每2天对绿地浇一次透水</w:t>
            </w:r>
            <w:r/>
          </w:p>
        </w:tc>
        <w:tc>
          <w:tcPr>
            <w:tcW w:w="969"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1-4周</w:t>
            </w:r>
            <w:r/>
          </w:p>
        </w:tc>
      </w:tr>
      <w:tr>
        <w:trPr>
          <w:trHeight w:val="427"/>
        </w:trPr>
        <w:tc>
          <w:tcPr>
            <w:tcW w:w="488"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549"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291"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54</w:t>
            </w:r>
            <w:r/>
          </w:p>
        </w:tc>
        <w:tc>
          <w:tcPr>
            <w:tcW w:w="1878"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除草</w:t>
            </w:r>
            <w:r/>
          </w:p>
        </w:tc>
        <w:tc>
          <w:tcPr>
            <w:tcW w:w="5523"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每10天除一次杂草</w:t>
            </w:r>
            <w:r/>
          </w:p>
        </w:tc>
        <w:tc>
          <w:tcPr>
            <w:tcW w:w="969"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1-4周</w:t>
            </w:r>
            <w:r/>
          </w:p>
        </w:tc>
      </w:tr>
      <w:tr>
        <w:trPr>
          <w:trHeight w:val="547"/>
        </w:trPr>
        <w:tc>
          <w:tcPr>
            <w:tcW w:w="488"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549"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291"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55</w:t>
            </w:r>
            <w:r/>
          </w:p>
        </w:tc>
        <w:tc>
          <w:tcPr>
            <w:tcW w:w="1878"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防台防汛应急保障</w:t>
            </w:r>
            <w:r/>
          </w:p>
        </w:tc>
        <w:tc>
          <w:tcPr>
            <w:tcW w:w="5523"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继续按照防台防汛应急预案做好应急保障，保障期间应做到1小时内排除险情，2天内完成倒伏树木扶正</w:t>
            </w:r>
            <w:r/>
          </w:p>
        </w:tc>
        <w:tc>
          <w:tcPr>
            <w:tcW w:w="969"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随机</w:t>
            </w:r>
            <w:r/>
          </w:p>
        </w:tc>
      </w:tr>
      <w:tr>
        <w:trPr>
          <w:trHeight w:val="547"/>
        </w:trPr>
        <w:tc>
          <w:tcPr>
            <w:tcW w:w="488"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549"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291"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56</w:t>
            </w:r>
            <w:r/>
          </w:p>
        </w:tc>
        <w:tc>
          <w:tcPr>
            <w:tcW w:w="1878"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秋季草花更换</w:t>
            </w:r>
            <w:r/>
          </w:p>
        </w:tc>
        <w:tc>
          <w:tcPr>
            <w:tcW w:w="5523"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下旬完成秋季草花更换，草花应图案清晰、色彩鲜艳、花朵繁茂、花期一致，种植密度不低于49株/平方米，视品种植株大小应适当提高密度，保持基本不见裸土</w:t>
            </w:r>
            <w:r/>
          </w:p>
        </w:tc>
        <w:tc>
          <w:tcPr>
            <w:tcW w:w="969"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4周</w:t>
            </w:r>
            <w:r/>
          </w:p>
        </w:tc>
      </w:tr>
      <w:tr>
        <w:trPr>
          <w:trHeight w:val="2700"/>
        </w:trPr>
        <w:tc>
          <w:tcPr>
            <w:tcW w:w="488"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549"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291"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57</w:t>
            </w:r>
            <w:r/>
          </w:p>
        </w:tc>
        <w:tc>
          <w:tcPr>
            <w:tcW w:w="1878" w:type="dxa"/>
            <w:vAlign w:val="center"/>
            <w:textDirection w:val="lrTb"/>
            <w:noWrap w:val="false"/>
          </w:tcPr>
          <w:p>
            <w:pPr>
              <w:ind w:firstLine="0"/>
              <w:jc w:val="left"/>
              <w:widowControl/>
              <w:rPr>
                <w:rFonts w:hint="eastAsia" w:ascii="宋体" w:hAnsi="宋体" w:eastAsia="宋体" w:cs="宋体"/>
                <w:b/>
                <w:bCs/>
                <w:color w:val="auto"/>
                <w:sz w:val="20"/>
                <w:szCs w:val="20"/>
                <w:highlight w:val="none"/>
              </w:rPr>
              <w:outlineLvl w:val="9"/>
            </w:pPr>
            <w:r>
              <w:rPr>
                <w:rFonts w:hint="eastAsia" w:ascii="宋体" w:hAnsi="宋体" w:eastAsia="宋体" w:cs="宋体"/>
                <w:b/>
                <w:bCs/>
                <w:color w:val="auto"/>
                <w:sz w:val="20"/>
                <w:szCs w:val="20"/>
                <w:highlight w:val="none"/>
              </w:rPr>
              <w:t xml:space="preserve">病虫害防治</w:t>
            </w:r>
            <w:r/>
          </w:p>
        </w:tc>
        <w:tc>
          <w:tcPr>
            <w:tcW w:w="5523"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本月是秋季病虫害发生和</w:t>
            </w:r>
            <w:r>
              <w:rPr>
                <w:rFonts w:hint="eastAsia" w:ascii="宋体" w:hAnsi="宋体" w:eastAsia="宋体" w:cs="宋体"/>
                <w:color w:val="auto"/>
                <w:sz w:val="20"/>
                <w:szCs w:val="20"/>
                <w:highlight w:val="none"/>
                <w:lang w:eastAsia="zh-CN"/>
              </w:rPr>
              <w:t xml:space="preserve">危害</w:t>
            </w:r>
            <w:r>
              <w:rPr>
                <w:rFonts w:hint="eastAsia" w:ascii="宋体" w:hAnsi="宋体" w:eastAsia="宋体" w:cs="宋体"/>
                <w:color w:val="auto"/>
                <w:sz w:val="20"/>
                <w:szCs w:val="20"/>
                <w:highlight w:val="none"/>
              </w:rPr>
              <w:t xml:space="preserve">高峰，重点防治对象：</w:t>
            </w:r>
            <w:r>
              <w:rPr>
                <w:rFonts w:hint="eastAsia" w:ascii="宋体" w:hAnsi="宋体" w:eastAsia="宋体" w:cs="宋体"/>
                <w:b/>
                <w:bCs/>
                <w:color w:val="auto"/>
                <w:sz w:val="20"/>
                <w:szCs w:val="20"/>
                <w:highlight w:val="none"/>
              </w:rPr>
              <w:t xml:space="preserve">天牛</w:t>
            </w:r>
            <w:r>
              <w:rPr>
                <w:rFonts w:hint="eastAsia" w:ascii="宋体" w:hAnsi="宋体" w:eastAsia="宋体" w:cs="宋体"/>
                <w:color w:val="auto"/>
                <w:sz w:val="20"/>
                <w:szCs w:val="20"/>
                <w:highlight w:val="none"/>
              </w:rPr>
              <w:t xml:space="preserve">、</w:t>
            </w:r>
            <w:r>
              <w:rPr>
                <w:rFonts w:hint="eastAsia" w:ascii="宋体" w:hAnsi="宋体" w:eastAsia="宋体" w:cs="宋体"/>
                <w:b/>
                <w:bCs/>
                <w:color w:val="auto"/>
                <w:sz w:val="20"/>
                <w:szCs w:val="20"/>
                <w:highlight w:val="none"/>
              </w:rPr>
              <w:t xml:space="preserve">刺蛾</w:t>
            </w:r>
            <w:r>
              <w:rPr>
                <w:rFonts w:hint="eastAsia" w:ascii="宋体" w:hAnsi="宋体" w:eastAsia="宋体" w:cs="宋体"/>
                <w:color w:val="auto"/>
                <w:sz w:val="20"/>
                <w:szCs w:val="20"/>
                <w:highlight w:val="none"/>
              </w:rPr>
              <w:t xml:space="preserve">、</w:t>
            </w:r>
            <w:r>
              <w:rPr>
                <w:rFonts w:hint="eastAsia" w:ascii="宋体" w:hAnsi="宋体" w:eastAsia="宋体" w:cs="宋体"/>
                <w:b/>
                <w:bCs/>
                <w:color w:val="auto"/>
                <w:sz w:val="20"/>
                <w:szCs w:val="20"/>
                <w:highlight w:val="none"/>
              </w:rPr>
              <w:t xml:space="preserve">樟巢螟</w:t>
            </w:r>
            <w:r>
              <w:rPr>
                <w:rFonts w:hint="eastAsia" w:ascii="宋体" w:hAnsi="宋体" w:eastAsia="宋体" w:cs="宋体"/>
                <w:color w:val="auto"/>
                <w:sz w:val="20"/>
                <w:szCs w:val="20"/>
                <w:highlight w:val="none"/>
              </w:rPr>
              <w:t xml:space="preserve">、</w:t>
            </w:r>
            <w:r>
              <w:rPr>
                <w:rFonts w:hint="eastAsia" w:ascii="宋体" w:hAnsi="宋体" w:eastAsia="宋体" w:cs="宋体"/>
                <w:b/>
                <w:bCs/>
                <w:color w:val="auto"/>
                <w:sz w:val="20"/>
                <w:szCs w:val="20"/>
                <w:highlight w:val="none"/>
              </w:rPr>
              <w:t xml:space="preserve">斜纹夜蛾</w:t>
            </w:r>
            <w:r>
              <w:rPr>
                <w:rFonts w:hint="eastAsia" w:ascii="宋体" w:hAnsi="宋体" w:eastAsia="宋体" w:cs="宋体"/>
                <w:color w:val="auto"/>
                <w:sz w:val="20"/>
                <w:szCs w:val="20"/>
                <w:highlight w:val="none"/>
              </w:rPr>
              <w:t xml:space="preserve">（白三叶、草坪）、</w:t>
            </w:r>
            <w:r>
              <w:rPr>
                <w:rFonts w:hint="eastAsia" w:ascii="宋体" w:hAnsi="宋体" w:eastAsia="宋体" w:cs="宋体"/>
                <w:b/>
                <w:bCs/>
                <w:color w:val="auto"/>
                <w:sz w:val="20"/>
                <w:szCs w:val="20"/>
                <w:highlight w:val="none"/>
              </w:rPr>
              <w:t xml:space="preserve">葱兰夜蛾</w:t>
            </w:r>
            <w:r>
              <w:rPr>
                <w:rFonts w:hint="eastAsia" w:ascii="宋体" w:hAnsi="宋体" w:eastAsia="宋体" w:cs="宋体"/>
                <w:color w:val="auto"/>
                <w:sz w:val="20"/>
                <w:szCs w:val="20"/>
                <w:highlight w:val="none"/>
              </w:rPr>
              <w:t xml:space="preserve">（葱兰）、</w:t>
            </w:r>
            <w:r>
              <w:rPr>
                <w:rFonts w:hint="eastAsia" w:ascii="宋体" w:hAnsi="宋体" w:eastAsia="宋体" w:cs="宋体"/>
                <w:b/>
                <w:bCs/>
                <w:color w:val="auto"/>
                <w:sz w:val="20"/>
                <w:szCs w:val="20"/>
                <w:highlight w:val="none"/>
              </w:rPr>
              <w:t xml:space="preserve">木蠹蛾</w:t>
            </w:r>
            <w:r>
              <w:rPr>
                <w:rFonts w:hint="eastAsia" w:ascii="宋体" w:hAnsi="宋体" w:eastAsia="宋体" w:cs="宋体"/>
                <w:color w:val="auto"/>
                <w:sz w:val="20"/>
                <w:szCs w:val="20"/>
                <w:highlight w:val="none"/>
              </w:rPr>
              <w:t xml:space="preserve">（银杏、杨树、柳树、榆树、桃树、樱花、法冬、海棠、法梧、栾树等）、</w:t>
            </w:r>
            <w:r>
              <w:rPr>
                <w:rFonts w:hint="eastAsia" w:ascii="宋体" w:hAnsi="宋体" w:eastAsia="宋体" w:cs="宋体"/>
                <w:b/>
                <w:bCs/>
                <w:color w:val="auto"/>
                <w:sz w:val="20"/>
                <w:szCs w:val="20"/>
                <w:highlight w:val="none"/>
              </w:rPr>
              <w:t xml:space="preserve">木虱</w:t>
            </w:r>
            <w:r>
              <w:rPr>
                <w:rFonts w:hint="eastAsia" w:ascii="宋体" w:hAnsi="宋体" w:eastAsia="宋体" w:cs="宋体"/>
                <w:color w:val="auto"/>
                <w:sz w:val="20"/>
                <w:szCs w:val="20"/>
                <w:highlight w:val="none"/>
              </w:rPr>
              <w:t xml:space="preserve">（青桐、合欢）、</w:t>
            </w:r>
            <w:r>
              <w:rPr>
                <w:rFonts w:hint="eastAsia" w:ascii="宋体" w:hAnsi="宋体" w:eastAsia="宋体" w:cs="宋体"/>
                <w:b/>
                <w:bCs/>
                <w:color w:val="auto"/>
                <w:sz w:val="20"/>
                <w:szCs w:val="20"/>
                <w:highlight w:val="none"/>
              </w:rPr>
              <w:t xml:space="preserve">介壳虫</w:t>
            </w:r>
            <w:r>
              <w:rPr>
                <w:rFonts w:hint="eastAsia" w:ascii="宋体" w:hAnsi="宋体" w:eastAsia="宋体" w:cs="宋体"/>
                <w:color w:val="auto"/>
                <w:sz w:val="20"/>
                <w:szCs w:val="20"/>
                <w:highlight w:val="none"/>
              </w:rPr>
              <w:t xml:space="preserve">（香樟、广玉兰、含笑、香橼、独干女贞、桂花、</w:t>
            </w:r>
            <w:r>
              <w:rPr>
                <w:rFonts w:hint="eastAsia" w:ascii="宋体" w:hAnsi="宋体" w:eastAsia="宋体" w:cs="宋体"/>
                <w:color w:val="auto"/>
                <w:sz w:val="20"/>
                <w:szCs w:val="20"/>
                <w:highlight w:val="none"/>
                <w:lang w:eastAsia="zh-CN"/>
              </w:rPr>
              <w:t xml:space="preserve">橘子等</w:t>
            </w:r>
            <w:r>
              <w:rPr>
                <w:rFonts w:hint="eastAsia" w:ascii="宋体" w:hAnsi="宋体" w:eastAsia="宋体" w:cs="宋体"/>
                <w:color w:val="auto"/>
                <w:sz w:val="20"/>
                <w:szCs w:val="20"/>
                <w:highlight w:val="none"/>
              </w:rPr>
              <w:t xml:space="preserve">）、</w:t>
            </w:r>
            <w:r>
              <w:rPr>
                <w:rFonts w:hint="eastAsia" w:ascii="宋体" w:hAnsi="宋体" w:eastAsia="宋体" w:cs="宋体"/>
                <w:b/>
                <w:bCs/>
                <w:color w:val="auto"/>
                <w:sz w:val="20"/>
                <w:szCs w:val="20"/>
                <w:highlight w:val="none"/>
              </w:rPr>
              <w:t xml:space="preserve">蚜虫</w:t>
            </w:r>
            <w:r>
              <w:rPr>
                <w:rFonts w:hint="eastAsia" w:ascii="宋体" w:hAnsi="宋体" w:eastAsia="宋体" w:cs="宋体"/>
                <w:color w:val="auto"/>
                <w:sz w:val="20"/>
                <w:szCs w:val="20"/>
                <w:highlight w:val="none"/>
              </w:rPr>
              <w:t xml:space="preserve">（栾树、槐树、红叶李、樱花、梅花、桃树、金枝槐、海棠、紫荆、木槿、石榴、竹子、海桐、法冬、夹竹桃、黄杨、火棘、栀子、月季、蔷薇等）、</w:t>
            </w:r>
            <w:r>
              <w:rPr>
                <w:rFonts w:hint="eastAsia" w:ascii="宋体" w:hAnsi="宋体" w:eastAsia="宋体" w:cs="宋体"/>
                <w:b/>
                <w:bCs/>
                <w:color w:val="auto"/>
                <w:sz w:val="20"/>
                <w:szCs w:val="20"/>
                <w:highlight w:val="none"/>
              </w:rPr>
              <w:t xml:space="preserve">舟蛾</w:t>
            </w:r>
            <w:r>
              <w:rPr>
                <w:rFonts w:hint="eastAsia" w:ascii="宋体" w:hAnsi="宋体" w:eastAsia="宋体" w:cs="宋体"/>
                <w:color w:val="auto"/>
                <w:sz w:val="20"/>
                <w:szCs w:val="20"/>
                <w:highlight w:val="none"/>
              </w:rPr>
              <w:t xml:space="preserve">（杨树、柳树、榆叶梅、海棠、樱花、桃树等）、</w:t>
            </w:r>
            <w:r>
              <w:rPr>
                <w:rFonts w:hint="eastAsia" w:ascii="宋体" w:hAnsi="宋体" w:eastAsia="宋体" w:cs="宋体"/>
                <w:b/>
                <w:bCs/>
                <w:color w:val="auto"/>
                <w:sz w:val="20"/>
                <w:szCs w:val="20"/>
                <w:highlight w:val="none"/>
              </w:rPr>
              <w:t xml:space="preserve">尺蠖</w:t>
            </w:r>
            <w:r>
              <w:rPr>
                <w:rFonts w:hint="eastAsia" w:ascii="宋体" w:hAnsi="宋体" w:eastAsia="宋体" w:cs="宋体"/>
                <w:color w:val="auto"/>
                <w:sz w:val="20"/>
                <w:szCs w:val="20"/>
                <w:highlight w:val="none"/>
              </w:rPr>
              <w:t xml:space="preserve">（国槐、金枝槐、大叶黄杨）、</w:t>
            </w:r>
            <w:r>
              <w:rPr>
                <w:rFonts w:hint="eastAsia" w:ascii="宋体" w:hAnsi="宋体" w:eastAsia="宋体" w:cs="宋体"/>
                <w:b/>
                <w:bCs/>
                <w:color w:val="auto"/>
                <w:sz w:val="20"/>
                <w:szCs w:val="20"/>
                <w:highlight w:val="none"/>
              </w:rPr>
              <w:t xml:space="preserve">红蜘蛛</w:t>
            </w:r>
            <w:r>
              <w:rPr>
                <w:rFonts w:hint="eastAsia" w:ascii="宋体" w:hAnsi="宋体" w:eastAsia="宋体" w:cs="宋体"/>
                <w:color w:val="auto"/>
                <w:sz w:val="20"/>
                <w:szCs w:val="20"/>
                <w:highlight w:val="none"/>
              </w:rPr>
              <w:t xml:space="preserve">（香樟、月季、海棠、桂花、桃树、红叶李、木槿、紫荆等）、</w:t>
            </w:r>
            <w:r>
              <w:rPr>
                <w:rFonts w:hint="eastAsia" w:ascii="宋体" w:hAnsi="宋体" w:eastAsia="宋体" w:cs="宋体"/>
                <w:b/>
                <w:bCs/>
                <w:color w:val="auto"/>
                <w:sz w:val="20"/>
                <w:szCs w:val="20"/>
                <w:highlight w:val="none"/>
              </w:rPr>
              <w:t xml:space="preserve">杜鹃网蝽</w:t>
            </w:r>
            <w:r>
              <w:rPr>
                <w:rFonts w:hint="eastAsia" w:ascii="宋体" w:hAnsi="宋体" w:eastAsia="宋体" w:cs="宋体"/>
                <w:color w:val="auto"/>
                <w:sz w:val="20"/>
                <w:szCs w:val="20"/>
                <w:highlight w:val="none"/>
              </w:rPr>
              <w:t xml:space="preserve">（杜鹃）、</w:t>
            </w:r>
            <w:r>
              <w:rPr>
                <w:rFonts w:hint="eastAsia" w:ascii="宋体" w:hAnsi="宋体" w:eastAsia="宋体" w:cs="宋体"/>
                <w:b/>
                <w:bCs/>
                <w:color w:val="auto"/>
                <w:sz w:val="20"/>
                <w:szCs w:val="20"/>
                <w:highlight w:val="none"/>
              </w:rPr>
              <w:t xml:space="preserve">蛴螬</w:t>
            </w:r>
            <w:r>
              <w:rPr>
                <w:rFonts w:hint="eastAsia" w:ascii="宋体" w:hAnsi="宋体" w:eastAsia="宋体" w:cs="宋体"/>
                <w:color w:val="auto"/>
                <w:sz w:val="20"/>
                <w:szCs w:val="20"/>
                <w:highlight w:val="none"/>
              </w:rPr>
              <w:t xml:space="preserve">（草坪）、各类天蛾幼虫，</w:t>
            </w:r>
            <w:r>
              <w:rPr>
                <w:rFonts w:hint="eastAsia" w:ascii="宋体" w:hAnsi="宋体" w:eastAsia="宋体" w:cs="宋体"/>
                <w:b/>
                <w:bCs/>
                <w:color w:val="auto"/>
                <w:sz w:val="20"/>
                <w:szCs w:val="20"/>
                <w:highlight w:val="none"/>
              </w:rPr>
              <w:t xml:space="preserve">月季黑斑病</w:t>
            </w:r>
            <w:r>
              <w:rPr>
                <w:rFonts w:hint="eastAsia" w:ascii="宋体" w:hAnsi="宋体" w:eastAsia="宋体" w:cs="宋体"/>
                <w:color w:val="auto"/>
                <w:sz w:val="20"/>
                <w:szCs w:val="20"/>
                <w:highlight w:val="none"/>
              </w:rPr>
              <w:t xml:space="preserve">、</w:t>
            </w:r>
            <w:r>
              <w:rPr>
                <w:rFonts w:hint="eastAsia" w:ascii="宋体" w:hAnsi="宋体" w:eastAsia="宋体" w:cs="宋体"/>
                <w:b/>
                <w:bCs/>
                <w:color w:val="auto"/>
                <w:sz w:val="20"/>
                <w:szCs w:val="20"/>
                <w:highlight w:val="none"/>
              </w:rPr>
              <w:t xml:space="preserve">白粉病、草坪斑枯病、草坪褐斑病、樱花褐斑病、大叶黄杨枯萎病。</w:t>
            </w:r>
            <w:r>
              <w:rPr>
                <w:rFonts w:hint="eastAsia" w:ascii="宋体" w:hAnsi="宋体" w:eastAsia="宋体" w:cs="宋体"/>
                <w:color w:val="auto"/>
                <w:sz w:val="20"/>
                <w:szCs w:val="20"/>
                <w:highlight w:val="none"/>
              </w:rPr>
              <w:t xml:space="preserve">每7天进行一次药物防治，樟巢螟虫巢进行1次人工剪除销毁。</w:t>
            </w:r>
            <w:r/>
          </w:p>
        </w:tc>
        <w:tc>
          <w:tcPr>
            <w:tcW w:w="969"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1-4周</w:t>
            </w:r>
            <w:r/>
          </w:p>
        </w:tc>
      </w:tr>
      <w:tr>
        <w:trPr>
          <w:trHeight w:val="547"/>
        </w:trPr>
        <w:tc>
          <w:tcPr>
            <w:tcW w:w="488"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549"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291"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58</w:t>
            </w:r>
            <w:r/>
          </w:p>
        </w:tc>
        <w:tc>
          <w:tcPr>
            <w:tcW w:w="1878" w:type="dxa"/>
            <w:vAlign w:val="center"/>
            <w:textDirection w:val="lrTb"/>
            <w:noWrap w:val="false"/>
          </w:tcPr>
          <w:p>
            <w:pPr>
              <w:ind w:firstLine="0"/>
              <w:jc w:val="left"/>
              <w:widowControl/>
              <w:rPr>
                <w:rFonts w:hint="eastAsia" w:ascii="宋体" w:hAnsi="宋体" w:eastAsia="宋体" w:cs="宋体"/>
                <w:b/>
                <w:bCs/>
                <w:color w:val="auto"/>
                <w:sz w:val="20"/>
                <w:szCs w:val="20"/>
                <w:highlight w:val="none"/>
              </w:rPr>
              <w:outlineLvl w:val="9"/>
            </w:pPr>
            <w:r>
              <w:rPr>
                <w:rFonts w:hint="eastAsia" w:ascii="宋体" w:hAnsi="宋体" w:eastAsia="宋体" w:cs="宋体"/>
                <w:b/>
                <w:bCs/>
                <w:color w:val="auto"/>
                <w:sz w:val="20"/>
                <w:szCs w:val="20"/>
                <w:highlight w:val="none"/>
              </w:rPr>
              <w:t xml:space="preserve">籽播黑麦草</w:t>
            </w:r>
            <w:r/>
          </w:p>
        </w:tc>
        <w:tc>
          <w:tcPr>
            <w:tcW w:w="5523"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上旬起对籽播黑麦草路段草坪进行疏草、打孔，每7天低修剪1次，下旬播种路段经验收后进行播种</w:t>
            </w:r>
            <w:r/>
          </w:p>
        </w:tc>
        <w:tc>
          <w:tcPr>
            <w:tcW w:w="969"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1-4周</w:t>
            </w:r>
            <w:r/>
          </w:p>
        </w:tc>
      </w:tr>
      <w:tr>
        <w:trPr>
          <w:trHeight w:val="427"/>
        </w:trPr>
        <w:tc>
          <w:tcPr>
            <w:tcW w:w="488"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549" w:type="dxa"/>
            <w:vAlign w:val="center"/>
            <w:vMerge w:val="restart"/>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10月</w:t>
            </w:r>
            <w:r/>
          </w:p>
        </w:tc>
        <w:tc>
          <w:tcPr>
            <w:tcW w:w="291"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59</w:t>
            </w:r>
            <w:r/>
          </w:p>
        </w:tc>
        <w:tc>
          <w:tcPr>
            <w:tcW w:w="1878" w:type="dxa"/>
            <w:vAlign w:val="center"/>
            <w:textDirection w:val="lrTb"/>
            <w:noWrap w:val="false"/>
          </w:tcPr>
          <w:p>
            <w:pPr>
              <w:ind w:firstLine="0"/>
              <w:jc w:val="left"/>
              <w:widowControl/>
              <w:rPr>
                <w:rFonts w:hint="eastAsia" w:ascii="宋体" w:hAnsi="宋体" w:eastAsia="宋体" w:cs="宋体"/>
                <w:b/>
                <w:bCs/>
                <w:color w:val="auto"/>
                <w:sz w:val="20"/>
                <w:szCs w:val="20"/>
                <w:highlight w:val="none"/>
              </w:rPr>
              <w:outlineLvl w:val="9"/>
            </w:pPr>
            <w:r>
              <w:rPr>
                <w:rFonts w:hint="eastAsia" w:ascii="宋体" w:hAnsi="宋体" w:eastAsia="宋体" w:cs="宋体"/>
                <w:b/>
                <w:bCs/>
                <w:color w:val="auto"/>
                <w:sz w:val="20"/>
                <w:szCs w:val="20"/>
                <w:highlight w:val="none"/>
              </w:rPr>
              <w:t xml:space="preserve">籽播黑麦草</w:t>
            </w:r>
            <w:r/>
          </w:p>
        </w:tc>
        <w:tc>
          <w:tcPr>
            <w:tcW w:w="5523"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上旬完成所有路段黑麦草播种工作</w:t>
            </w:r>
            <w:r/>
          </w:p>
        </w:tc>
        <w:tc>
          <w:tcPr>
            <w:tcW w:w="969"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1-2周</w:t>
            </w:r>
            <w:r/>
          </w:p>
        </w:tc>
      </w:tr>
      <w:tr>
        <w:trPr>
          <w:trHeight w:val="547"/>
        </w:trPr>
        <w:tc>
          <w:tcPr>
            <w:tcW w:w="488"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549"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291"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60</w:t>
            </w:r>
            <w:r/>
          </w:p>
        </w:tc>
        <w:tc>
          <w:tcPr>
            <w:tcW w:w="1878"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修剪</w:t>
            </w:r>
            <w:r/>
          </w:p>
        </w:tc>
        <w:tc>
          <w:tcPr>
            <w:tcW w:w="5523"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每10天修剪一次绿篱、球</w:t>
            </w:r>
            <w:r>
              <w:rPr>
                <w:rFonts w:hint="eastAsia" w:ascii="宋体" w:hAnsi="宋体" w:eastAsia="宋体" w:cs="宋体"/>
                <w:color w:val="auto"/>
                <w:sz w:val="20"/>
                <w:szCs w:val="20"/>
                <w:highlight w:val="none"/>
                <w:lang w:eastAsia="zh-CN"/>
              </w:rPr>
              <w:t xml:space="preserve">篱</w:t>
            </w:r>
            <w:r>
              <w:rPr>
                <w:rFonts w:hint="eastAsia" w:ascii="宋体" w:hAnsi="宋体" w:eastAsia="宋体" w:cs="宋体"/>
                <w:color w:val="auto"/>
                <w:sz w:val="20"/>
                <w:szCs w:val="20"/>
                <w:highlight w:val="none"/>
              </w:rPr>
              <w:t xml:space="preserve">，未播黑麦草路段草坪每15天修剪1次，乔木每月剥芽2次</w:t>
            </w:r>
            <w:r/>
          </w:p>
        </w:tc>
        <w:tc>
          <w:tcPr>
            <w:tcW w:w="969"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1-4周</w:t>
            </w:r>
            <w:r/>
          </w:p>
        </w:tc>
      </w:tr>
      <w:tr>
        <w:trPr>
          <w:trHeight w:val="427"/>
        </w:trPr>
        <w:tc>
          <w:tcPr>
            <w:tcW w:w="488"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549"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291"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61</w:t>
            </w:r>
            <w:r/>
          </w:p>
        </w:tc>
        <w:tc>
          <w:tcPr>
            <w:tcW w:w="1878"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浇水</w:t>
            </w:r>
            <w:r/>
          </w:p>
        </w:tc>
        <w:tc>
          <w:tcPr>
            <w:tcW w:w="5523"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黑麦草播种路段每天浇1次透水，其他则</w:t>
            </w:r>
            <w:r>
              <w:rPr>
                <w:rFonts w:hint="eastAsia" w:ascii="宋体" w:hAnsi="宋体" w:eastAsia="宋体" w:cs="宋体"/>
                <w:color w:val="auto"/>
                <w:sz w:val="20"/>
                <w:szCs w:val="20"/>
                <w:highlight w:val="none"/>
                <w:lang w:eastAsia="zh-CN"/>
              </w:rPr>
              <w:t xml:space="preserve">每5天浇1次透水</w:t>
            </w:r>
            <w:r/>
          </w:p>
        </w:tc>
        <w:tc>
          <w:tcPr>
            <w:tcW w:w="969"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1-4周</w:t>
            </w:r>
            <w:r/>
          </w:p>
        </w:tc>
      </w:tr>
      <w:tr>
        <w:trPr>
          <w:trHeight w:val="427"/>
        </w:trPr>
        <w:tc>
          <w:tcPr>
            <w:tcW w:w="488"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549"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291"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62</w:t>
            </w:r>
            <w:r/>
          </w:p>
        </w:tc>
        <w:tc>
          <w:tcPr>
            <w:tcW w:w="1878"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除草</w:t>
            </w:r>
            <w:r/>
          </w:p>
        </w:tc>
        <w:tc>
          <w:tcPr>
            <w:tcW w:w="5523"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每15天除一次杂草</w:t>
            </w:r>
            <w:r/>
          </w:p>
        </w:tc>
        <w:tc>
          <w:tcPr>
            <w:tcW w:w="969"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2、4周</w:t>
            </w:r>
            <w:r/>
          </w:p>
        </w:tc>
      </w:tr>
      <w:tr>
        <w:trPr>
          <w:trHeight w:val="427"/>
        </w:trPr>
        <w:tc>
          <w:tcPr>
            <w:tcW w:w="488"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549"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291"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63</w:t>
            </w:r>
            <w:r/>
          </w:p>
        </w:tc>
        <w:tc>
          <w:tcPr>
            <w:tcW w:w="1878"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追肥</w:t>
            </w:r>
            <w:r/>
          </w:p>
        </w:tc>
        <w:tc>
          <w:tcPr>
            <w:tcW w:w="5523"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10月下旬对黑麦草、草花、绿篱追施复合肥，施肥量</w:t>
            </w:r>
            <w:r>
              <w:rPr>
                <w:rFonts w:hint="eastAsia" w:ascii="宋体" w:hAnsi="宋体" w:eastAsia="宋体" w:cs="宋体"/>
                <w:color w:val="auto"/>
                <w:sz w:val="20"/>
                <w:szCs w:val="20"/>
                <w:highlight w:val="none"/>
                <w:lang w:eastAsia="zh-CN"/>
              </w:rPr>
              <w:t xml:space="preserve">不低于</w:t>
            </w:r>
            <w:r>
              <w:rPr>
                <w:rFonts w:hint="eastAsia" w:ascii="宋体" w:hAnsi="宋体" w:eastAsia="宋体" w:cs="宋体"/>
                <w:color w:val="auto"/>
                <w:sz w:val="20"/>
                <w:szCs w:val="20"/>
                <w:highlight w:val="none"/>
              </w:rPr>
              <w:t xml:space="preserve">15g/m</w:t>
            </w:r>
            <w:r>
              <w:rPr>
                <w:rFonts w:hint="eastAsia" w:ascii="宋体" w:hAnsi="宋体" w:eastAsia="宋体" w:cs="宋体"/>
                <w:color w:val="auto"/>
                <w:sz w:val="20"/>
                <w:szCs w:val="20"/>
                <w:highlight w:val="none"/>
                <w:vertAlign w:val="superscript"/>
              </w:rPr>
              <w:t xml:space="preserve">2</w:t>
            </w:r>
            <w:r/>
          </w:p>
        </w:tc>
        <w:tc>
          <w:tcPr>
            <w:tcW w:w="969"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4周</w:t>
            </w:r>
            <w:r/>
          </w:p>
        </w:tc>
      </w:tr>
      <w:tr>
        <w:trPr>
          <w:trHeight w:val="427"/>
        </w:trPr>
        <w:tc>
          <w:tcPr>
            <w:tcW w:w="488"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549"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291"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64</w:t>
            </w:r>
            <w:r/>
          </w:p>
        </w:tc>
        <w:tc>
          <w:tcPr>
            <w:tcW w:w="1878"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落叶清扫</w:t>
            </w:r>
            <w:r/>
          </w:p>
        </w:tc>
        <w:tc>
          <w:tcPr>
            <w:tcW w:w="5523" w:type="dxa"/>
            <w:vAlign w:val="center"/>
            <w:textDirection w:val="lrTb"/>
            <w:noWrap w:val="false"/>
          </w:tcPr>
          <w:p>
            <w:pPr>
              <w:ind w:firstLine="0"/>
              <w:jc w:val="left"/>
              <w:widowControl/>
              <w:rPr>
                <w:rFonts w:hint="eastAsia" w:ascii="宋体" w:hAnsi="宋体" w:eastAsia="宋体" w:cs="宋体"/>
                <w:color w:val="auto"/>
                <w:sz w:val="20"/>
                <w:szCs w:val="20"/>
                <w:highlight w:val="none"/>
                <w:lang w:eastAsia="zh-CN"/>
              </w:rPr>
              <w:outlineLvl w:val="9"/>
            </w:pPr>
            <w:r>
              <w:rPr>
                <w:rFonts w:hint="eastAsia" w:ascii="宋体" w:hAnsi="宋体" w:eastAsia="宋体" w:cs="宋体"/>
                <w:color w:val="auto"/>
                <w:sz w:val="20"/>
                <w:szCs w:val="20"/>
                <w:highlight w:val="none"/>
              </w:rPr>
              <w:t xml:space="preserve">10月下旬完成所有绿地内落叶清扫，消除火灾隐患</w:t>
            </w:r>
            <w:r>
              <w:rPr>
                <w:rFonts w:hint="eastAsia" w:ascii="宋体" w:hAnsi="宋体" w:eastAsia="宋体" w:cs="宋体"/>
                <w:color w:val="auto"/>
                <w:sz w:val="20"/>
                <w:szCs w:val="20"/>
                <w:highlight w:val="none"/>
                <w:lang w:eastAsia="zh-CN"/>
              </w:rPr>
              <w:t xml:space="preserve">（</w:t>
            </w:r>
            <w:r>
              <w:rPr>
                <w:rFonts w:hint="eastAsia" w:ascii="宋体" w:hAnsi="宋体" w:eastAsia="宋体" w:cs="宋体"/>
                <w:color w:val="auto"/>
                <w:sz w:val="20"/>
                <w:szCs w:val="20"/>
                <w:highlight w:val="none"/>
                <w:lang w:val="en-US" w:eastAsia="zh-CN"/>
              </w:rPr>
              <w:t xml:space="preserve">环卫一体化范围之外</w:t>
            </w:r>
            <w:r>
              <w:rPr>
                <w:rFonts w:hint="eastAsia" w:ascii="宋体" w:hAnsi="宋体" w:eastAsia="宋体" w:cs="宋体"/>
                <w:color w:val="auto"/>
                <w:sz w:val="20"/>
                <w:szCs w:val="20"/>
                <w:highlight w:val="none"/>
                <w:lang w:eastAsia="zh-CN"/>
              </w:rPr>
              <w:t xml:space="preserve">）</w:t>
            </w:r>
            <w:r/>
          </w:p>
        </w:tc>
        <w:tc>
          <w:tcPr>
            <w:tcW w:w="969"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4周</w:t>
            </w:r>
            <w:r/>
          </w:p>
        </w:tc>
      </w:tr>
      <w:tr>
        <w:trPr>
          <w:trHeight w:val="590"/>
        </w:trPr>
        <w:tc>
          <w:tcPr>
            <w:tcW w:w="488"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549"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291"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65</w:t>
            </w:r>
            <w:r/>
          </w:p>
        </w:tc>
        <w:tc>
          <w:tcPr>
            <w:tcW w:w="1878" w:type="dxa"/>
            <w:vAlign w:val="center"/>
            <w:textDirection w:val="lrTb"/>
            <w:noWrap w:val="false"/>
          </w:tcPr>
          <w:p>
            <w:pPr>
              <w:ind w:firstLine="0"/>
              <w:jc w:val="left"/>
              <w:widowControl/>
              <w:rPr>
                <w:rFonts w:hint="eastAsia" w:ascii="宋体" w:hAnsi="宋体" w:eastAsia="宋体" w:cs="宋体"/>
                <w:b/>
                <w:bCs/>
                <w:color w:val="auto"/>
                <w:sz w:val="20"/>
                <w:szCs w:val="20"/>
                <w:highlight w:val="none"/>
              </w:rPr>
              <w:outlineLvl w:val="9"/>
            </w:pPr>
            <w:r>
              <w:rPr>
                <w:rFonts w:hint="eastAsia" w:ascii="宋体" w:hAnsi="宋体" w:eastAsia="宋体" w:cs="宋体"/>
                <w:b/>
                <w:bCs/>
                <w:color w:val="auto"/>
                <w:sz w:val="20"/>
                <w:szCs w:val="20"/>
                <w:highlight w:val="none"/>
              </w:rPr>
              <w:t xml:space="preserve">落叶树补植</w:t>
            </w:r>
            <w:r/>
          </w:p>
        </w:tc>
        <w:tc>
          <w:tcPr>
            <w:tcW w:w="5523"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10月上旬对落叶树种缺株、死苗及受损、外形不佳苗木规格数量进行排查统计，制定补植计划，本月完成落叶树和藤本植物补植，补植苗木规格不得低于原来标准</w:t>
            </w:r>
            <w:r/>
          </w:p>
        </w:tc>
        <w:tc>
          <w:tcPr>
            <w:tcW w:w="969"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1-4周</w:t>
            </w:r>
            <w:r/>
          </w:p>
        </w:tc>
      </w:tr>
      <w:tr>
        <w:trPr>
          <w:trHeight w:val="817"/>
        </w:trPr>
        <w:tc>
          <w:tcPr>
            <w:tcW w:w="488"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549"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291"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66</w:t>
            </w:r>
            <w:r/>
          </w:p>
        </w:tc>
        <w:tc>
          <w:tcPr>
            <w:tcW w:w="1878"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病虫害防治</w:t>
            </w:r>
            <w:r/>
          </w:p>
        </w:tc>
        <w:tc>
          <w:tcPr>
            <w:tcW w:w="5523"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重点防治对象：</w:t>
            </w:r>
            <w:r>
              <w:rPr>
                <w:rFonts w:hint="eastAsia" w:ascii="宋体" w:hAnsi="宋体" w:eastAsia="宋体" w:cs="宋体"/>
                <w:b/>
                <w:bCs/>
                <w:color w:val="auto"/>
                <w:sz w:val="20"/>
                <w:szCs w:val="20"/>
                <w:highlight w:val="none"/>
              </w:rPr>
              <w:t xml:space="preserve">蚜虫</w:t>
            </w:r>
            <w:r>
              <w:rPr>
                <w:rFonts w:hint="eastAsia" w:ascii="宋体" w:hAnsi="宋体" w:eastAsia="宋体" w:cs="宋体"/>
                <w:color w:val="auto"/>
                <w:sz w:val="20"/>
                <w:szCs w:val="20"/>
                <w:highlight w:val="none"/>
              </w:rPr>
              <w:t xml:space="preserve">（栾树、槐树、红叶李、樱花、梅花、桃树、金枝槐、海棠、紫荆、木槿、石榴、竹子、海桐、法冬、夹竹桃、黄杨、火棘、栀子、月季、蔷薇等）</w:t>
            </w:r>
            <w:r>
              <w:rPr>
                <w:rFonts w:hint="eastAsia" w:ascii="宋体" w:hAnsi="宋体" w:eastAsia="宋体" w:cs="宋体"/>
                <w:b/>
                <w:bCs/>
                <w:color w:val="auto"/>
                <w:sz w:val="20"/>
                <w:szCs w:val="20"/>
                <w:highlight w:val="none"/>
              </w:rPr>
              <w:t xml:space="preserve">、蛴螬</w:t>
            </w:r>
            <w:r>
              <w:rPr>
                <w:rFonts w:hint="eastAsia" w:ascii="宋体" w:hAnsi="宋体" w:eastAsia="宋体" w:cs="宋体"/>
                <w:color w:val="auto"/>
                <w:sz w:val="20"/>
                <w:szCs w:val="20"/>
                <w:highlight w:val="none"/>
              </w:rPr>
              <w:t xml:space="preserve">（草坪）</w:t>
            </w:r>
            <w:r/>
          </w:p>
        </w:tc>
        <w:tc>
          <w:tcPr>
            <w:tcW w:w="969"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1-4周</w:t>
            </w:r>
            <w:r/>
          </w:p>
        </w:tc>
      </w:tr>
      <w:tr>
        <w:trPr>
          <w:trHeight w:val="427"/>
        </w:trPr>
        <w:tc>
          <w:tcPr>
            <w:tcW w:w="488"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549" w:type="dxa"/>
            <w:vAlign w:val="center"/>
            <w:vMerge w:val="restart"/>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11月</w:t>
            </w:r>
            <w:r/>
          </w:p>
        </w:tc>
        <w:tc>
          <w:tcPr>
            <w:tcW w:w="291"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67</w:t>
            </w:r>
            <w:r/>
          </w:p>
        </w:tc>
        <w:tc>
          <w:tcPr>
            <w:tcW w:w="1878" w:type="dxa"/>
            <w:vAlign w:val="center"/>
            <w:textDirection w:val="lrTb"/>
            <w:noWrap w:val="false"/>
          </w:tcPr>
          <w:p>
            <w:pPr>
              <w:ind w:firstLine="0"/>
              <w:jc w:val="left"/>
              <w:widowControl/>
              <w:rPr>
                <w:rFonts w:hint="eastAsia" w:ascii="宋体" w:hAnsi="宋体" w:eastAsia="宋体" w:cs="宋体"/>
                <w:color w:val="auto"/>
                <w:sz w:val="20"/>
                <w:szCs w:val="20"/>
                <w:highlight w:val="none"/>
                <w:lang w:val="en-US" w:eastAsia="zh-CN"/>
              </w:rPr>
              <w:outlineLvl w:val="9"/>
            </w:pPr>
            <w:r>
              <w:rPr>
                <w:rFonts w:hint="eastAsia" w:ascii="宋体" w:hAnsi="宋体" w:eastAsia="宋体" w:cs="宋体"/>
                <w:color w:val="auto"/>
                <w:sz w:val="20"/>
                <w:szCs w:val="20"/>
                <w:highlight w:val="none"/>
              </w:rPr>
              <w:t xml:space="preserve">翻土</w:t>
            </w:r>
            <w:r>
              <w:rPr>
                <w:rFonts w:hint="eastAsia" w:ascii="宋体" w:hAnsi="宋体" w:eastAsia="宋体" w:cs="宋体"/>
                <w:color w:val="auto"/>
                <w:sz w:val="20"/>
                <w:szCs w:val="20"/>
                <w:highlight w:val="none"/>
                <w:lang w:eastAsia="zh-CN"/>
              </w:rPr>
              <w:t xml:space="preserve">、</w:t>
            </w:r>
            <w:r>
              <w:rPr>
                <w:rFonts w:hint="eastAsia" w:ascii="宋体" w:hAnsi="宋体" w:eastAsia="宋体" w:cs="宋体"/>
                <w:color w:val="auto"/>
                <w:sz w:val="20"/>
                <w:szCs w:val="20"/>
                <w:highlight w:val="none"/>
                <w:lang w:val="en-US" w:eastAsia="zh-CN"/>
              </w:rPr>
              <w:t xml:space="preserve">切边</w:t>
            </w:r>
            <w:r/>
          </w:p>
        </w:tc>
        <w:tc>
          <w:tcPr>
            <w:tcW w:w="5523"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对所有乔灌木树穴、生态林进行翻土，翻土深度不低于20cm，灌木、</w:t>
            </w:r>
            <w:r>
              <w:rPr>
                <w:rFonts w:hint="eastAsia" w:ascii="宋体" w:hAnsi="宋体" w:eastAsia="宋体" w:cs="宋体"/>
                <w:color w:val="auto"/>
                <w:sz w:val="20"/>
                <w:szCs w:val="20"/>
                <w:highlight w:val="none"/>
                <w:lang w:val="en-US" w:eastAsia="zh-CN"/>
              </w:rPr>
              <w:t xml:space="preserve">色块、</w:t>
            </w:r>
            <w:r>
              <w:rPr>
                <w:rFonts w:hint="eastAsia" w:ascii="宋体" w:hAnsi="宋体" w:eastAsia="宋体" w:cs="宋体"/>
                <w:color w:val="auto"/>
                <w:sz w:val="20"/>
                <w:szCs w:val="20"/>
                <w:highlight w:val="none"/>
              </w:rPr>
              <w:t xml:space="preserve">草坪切边</w:t>
            </w:r>
            <w:r/>
          </w:p>
        </w:tc>
        <w:tc>
          <w:tcPr>
            <w:tcW w:w="969"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1-4周</w:t>
            </w:r>
            <w:r/>
          </w:p>
        </w:tc>
      </w:tr>
      <w:tr>
        <w:trPr>
          <w:trHeight w:val="427"/>
        </w:trPr>
        <w:tc>
          <w:tcPr>
            <w:tcW w:w="488"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549"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291"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68</w:t>
            </w:r>
            <w:r/>
          </w:p>
        </w:tc>
        <w:tc>
          <w:tcPr>
            <w:tcW w:w="1878"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浇水</w:t>
            </w:r>
            <w:r/>
          </w:p>
        </w:tc>
        <w:tc>
          <w:tcPr>
            <w:tcW w:w="5523"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黑麦草播种路段每3天浇1次透水，其他则</w:t>
            </w:r>
            <w:r>
              <w:rPr>
                <w:rFonts w:hint="eastAsia" w:ascii="宋体" w:hAnsi="宋体" w:eastAsia="宋体" w:cs="宋体"/>
                <w:color w:val="auto"/>
                <w:sz w:val="20"/>
                <w:szCs w:val="20"/>
                <w:highlight w:val="none"/>
                <w:lang w:eastAsia="zh-CN"/>
              </w:rPr>
              <w:t xml:space="preserve">每10天浇1次透水</w:t>
            </w:r>
            <w:r/>
          </w:p>
        </w:tc>
        <w:tc>
          <w:tcPr>
            <w:tcW w:w="969"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1-4周</w:t>
            </w:r>
            <w:r/>
          </w:p>
        </w:tc>
      </w:tr>
      <w:tr>
        <w:trPr>
          <w:trHeight w:val="427"/>
        </w:trPr>
        <w:tc>
          <w:tcPr>
            <w:tcW w:w="488"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549"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291"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69</w:t>
            </w:r>
            <w:r/>
          </w:p>
        </w:tc>
        <w:tc>
          <w:tcPr>
            <w:tcW w:w="1878"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草坪修剪</w:t>
            </w:r>
            <w:r/>
          </w:p>
        </w:tc>
        <w:tc>
          <w:tcPr>
            <w:tcW w:w="5523"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黑麦草每15天修剪1次</w:t>
            </w:r>
            <w:r/>
          </w:p>
        </w:tc>
        <w:tc>
          <w:tcPr>
            <w:tcW w:w="969"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1、3周</w:t>
            </w:r>
            <w:r/>
          </w:p>
        </w:tc>
      </w:tr>
      <w:tr>
        <w:trPr>
          <w:trHeight w:val="590"/>
        </w:trPr>
        <w:tc>
          <w:tcPr>
            <w:tcW w:w="488"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549"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291"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70</w:t>
            </w:r>
            <w:r/>
          </w:p>
        </w:tc>
        <w:tc>
          <w:tcPr>
            <w:tcW w:w="1878"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安全管理</w:t>
            </w:r>
            <w:r/>
          </w:p>
        </w:tc>
        <w:tc>
          <w:tcPr>
            <w:tcW w:w="5523" w:type="dxa"/>
            <w:vAlign w:val="center"/>
            <w:textDirection w:val="lrTb"/>
            <w:noWrap w:val="false"/>
          </w:tcPr>
          <w:p>
            <w:pPr>
              <w:ind w:firstLine="0"/>
              <w:jc w:val="left"/>
              <w:widowControl/>
              <w:rPr>
                <w:rFonts w:hint="eastAsia" w:ascii="宋体" w:hAnsi="宋体" w:eastAsia="宋体" w:cs="宋体"/>
                <w:color w:val="auto"/>
                <w:sz w:val="20"/>
                <w:szCs w:val="20"/>
                <w:highlight w:val="none"/>
                <w:lang w:eastAsia="zh-CN"/>
              </w:rPr>
              <w:outlineLvl w:val="9"/>
            </w:pPr>
            <w:r>
              <w:rPr>
                <w:rFonts w:hint="eastAsia" w:ascii="宋体" w:hAnsi="宋体" w:eastAsia="宋体" w:cs="宋体"/>
                <w:color w:val="auto"/>
                <w:sz w:val="20"/>
                <w:szCs w:val="20"/>
                <w:highlight w:val="none"/>
              </w:rPr>
              <w:t xml:space="preserve">树木修剪前应重点针对高空作业人员进行安全技术交底和正确示范，并做好安全防护措施，并上报安全交底记录和照片</w:t>
            </w:r>
            <w:r>
              <w:rPr>
                <w:rFonts w:hint="eastAsia" w:ascii="宋体" w:hAnsi="宋体" w:eastAsia="宋体" w:cs="宋体"/>
                <w:color w:val="auto"/>
                <w:sz w:val="20"/>
                <w:szCs w:val="20"/>
                <w:highlight w:val="none"/>
                <w:lang w:eastAsia="zh-CN"/>
              </w:rPr>
              <w:t xml:space="preserve">。</w:t>
            </w:r>
            <w:r/>
          </w:p>
        </w:tc>
        <w:tc>
          <w:tcPr>
            <w:tcW w:w="969"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1周</w:t>
            </w:r>
            <w:r/>
          </w:p>
        </w:tc>
      </w:tr>
      <w:tr>
        <w:trPr>
          <w:trHeight w:val="590"/>
        </w:trPr>
        <w:tc>
          <w:tcPr>
            <w:tcW w:w="488"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549"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291"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71</w:t>
            </w:r>
            <w:r/>
          </w:p>
        </w:tc>
        <w:tc>
          <w:tcPr>
            <w:tcW w:w="1878" w:type="dxa"/>
            <w:vAlign w:val="center"/>
            <w:textDirection w:val="lrTb"/>
            <w:noWrap w:val="false"/>
          </w:tcPr>
          <w:p>
            <w:pPr>
              <w:ind w:firstLine="0"/>
              <w:jc w:val="left"/>
              <w:widowControl/>
              <w:rPr>
                <w:rFonts w:hint="eastAsia" w:ascii="宋体" w:hAnsi="宋体" w:eastAsia="宋体" w:cs="宋体"/>
                <w:b/>
                <w:bCs/>
                <w:color w:val="auto"/>
                <w:sz w:val="20"/>
                <w:szCs w:val="20"/>
                <w:highlight w:val="none"/>
              </w:rPr>
              <w:outlineLvl w:val="9"/>
            </w:pPr>
            <w:r>
              <w:rPr>
                <w:rFonts w:hint="eastAsia" w:ascii="宋体" w:hAnsi="宋体" w:eastAsia="宋体" w:cs="宋体"/>
                <w:b/>
                <w:bCs/>
                <w:color w:val="auto"/>
                <w:sz w:val="20"/>
                <w:szCs w:val="20"/>
                <w:highlight w:val="none"/>
              </w:rPr>
              <w:t xml:space="preserve">落叶树整形修剪</w:t>
            </w:r>
            <w:r/>
          </w:p>
        </w:tc>
        <w:tc>
          <w:tcPr>
            <w:tcW w:w="5523"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完成除行道树以外的榉树、朴树、白玉兰、栾树、槐树、无患子、合欢、樱花、海棠、桃树、梅花、红叶李、紫荆等落叶树种的疏枝整形修剪</w:t>
            </w:r>
            <w:r/>
          </w:p>
        </w:tc>
        <w:tc>
          <w:tcPr>
            <w:tcW w:w="969"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1-4周</w:t>
            </w:r>
            <w:r/>
          </w:p>
        </w:tc>
      </w:tr>
      <w:tr>
        <w:trPr>
          <w:trHeight w:val="427"/>
        </w:trPr>
        <w:tc>
          <w:tcPr>
            <w:tcW w:w="488"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549"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291"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72</w:t>
            </w:r>
            <w:r/>
          </w:p>
        </w:tc>
        <w:tc>
          <w:tcPr>
            <w:tcW w:w="1878" w:type="dxa"/>
            <w:vAlign w:val="center"/>
            <w:textDirection w:val="lrTb"/>
            <w:noWrap w:val="false"/>
          </w:tcPr>
          <w:p>
            <w:pPr>
              <w:ind w:firstLine="0"/>
              <w:jc w:val="left"/>
              <w:widowControl/>
              <w:rPr>
                <w:rFonts w:hint="eastAsia" w:ascii="宋体" w:hAnsi="宋体" w:eastAsia="宋体" w:cs="宋体"/>
                <w:b/>
                <w:bCs/>
                <w:color w:val="auto"/>
                <w:sz w:val="20"/>
                <w:szCs w:val="20"/>
                <w:highlight w:val="none"/>
              </w:rPr>
              <w:outlineLvl w:val="9"/>
            </w:pPr>
            <w:r>
              <w:rPr>
                <w:rFonts w:hint="eastAsia" w:ascii="宋体" w:hAnsi="宋体" w:eastAsia="宋体" w:cs="宋体"/>
                <w:b/>
                <w:bCs/>
                <w:color w:val="auto"/>
                <w:sz w:val="20"/>
                <w:szCs w:val="20"/>
                <w:highlight w:val="none"/>
              </w:rPr>
              <w:t xml:space="preserve">施基肥</w:t>
            </w:r>
            <w:r/>
          </w:p>
        </w:tc>
        <w:tc>
          <w:tcPr>
            <w:tcW w:w="5523"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对所有乔灌木施腐熟有机肥，施肥量不低于1kg/m2，施肥可与树穴翻土结合进行</w:t>
            </w:r>
            <w:r/>
          </w:p>
        </w:tc>
        <w:tc>
          <w:tcPr>
            <w:tcW w:w="969"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1-4周</w:t>
            </w:r>
            <w:r/>
          </w:p>
        </w:tc>
      </w:tr>
      <w:tr>
        <w:trPr>
          <w:trHeight w:val="547"/>
        </w:trPr>
        <w:tc>
          <w:tcPr>
            <w:tcW w:w="488"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549"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291"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73</w:t>
            </w:r>
            <w:r/>
          </w:p>
        </w:tc>
        <w:tc>
          <w:tcPr>
            <w:tcW w:w="1878"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防寒设施</w:t>
            </w:r>
            <w:r/>
          </w:p>
        </w:tc>
        <w:tc>
          <w:tcPr>
            <w:tcW w:w="5523"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11月中旬，对所有海藻等热带树种统一以竹竿为骨架、外包蓝色塑料薄膜、搭建高3m、下底宽80cm、上底40cm左右的四棱台形防寒风障</w:t>
            </w:r>
            <w:r/>
          </w:p>
        </w:tc>
        <w:tc>
          <w:tcPr>
            <w:tcW w:w="969"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3周</w:t>
            </w:r>
            <w:r/>
          </w:p>
        </w:tc>
      </w:tr>
      <w:tr>
        <w:trPr>
          <w:trHeight w:val="839"/>
        </w:trPr>
        <w:tc>
          <w:tcPr>
            <w:tcW w:w="488"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549"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291"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74</w:t>
            </w:r>
            <w:r/>
          </w:p>
        </w:tc>
        <w:tc>
          <w:tcPr>
            <w:tcW w:w="1878" w:type="dxa"/>
            <w:vAlign w:val="center"/>
            <w:textDirection w:val="lrTb"/>
            <w:noWrap w:val="false"/>
          </w:tcPr>
          <w:p>
            <w:pPr>
              <w:ind w:firstLine="0"/>
              <w:jc w:val="left"/>
              <w:widowControl/>
              <w:rPr>
                <w:rFonts w:hint="eastAsia" w:ascii="宋体" w:hAnsi="宋体" w:eastAsia="宋体" w:cs="宋体"/>
                <w:b/>
                <w:bCs/>
                <w:color w:val="auto"/>
                <w:sz w:val="20"/>
                <w:szCs w:val="20"/>
                <w:highlight w:val="none"/>
              </w:rPr>
              <w:outlineLvl w:val="9"/>
            </w:pPr>
            <w:r>
              <w:rPr>
                <w:rFonts w:hint="eastAsia" w:ascii="宋体" w:hAnsi="宋体" w:eastAsia="宋体" w:cs="宋体"/>
                <w:b/>
                <w:bCs/>
                <w:color w:val="auto"/>
                <w:sz w:val="20"/>
                <w:szCs w:val="20"/>
                <w:highlight w:val="none"/>
              </w:rPr>
              <w:t xml:space="preserve">树干刷白</w:t>
            </w:r>
            <w:r/>
          </w:p>
        </w:tc>
        <w:tc>
          <w:tcPr>
            <w:tcW w:w="5523"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刷白时间：11月中旬-下旬，范围：所有乔木及花灌木，高度：乔木1.3m、花灌木0.8m，质量：不流淌、无疙瘩、均匀严密、无刷花刷漏，配比：100斤水+20斤生石灰+1包石硫合剂，用量：石硫合剂</w:t>
            </w:r>
            <w:r>
              <w:rPr>
                <w:rFonts w:hint="eastAsia" w:ascii="宋体" w:hAnsi="宋体" w:eastAsia="宋体" w:cs="宋体"/>
                <w:color w:val="auto"/>
                <w:sz w:val="20"/>
                <w:szCs w:val="20"/>
                <w:highlight w:val="none"/>
                <w:lang w:eastAsia="zh-CN"/>
              </w:rPr>
              <w:t xml:space="preserve">，10cm</w:t>
            </w:r>
            <w:r>
              <w:rPr>
                <w:rFonts w:hint="eastAsia" w:ascii="宋体" w:hAnsi="宋体" w:eastAsia="宋体" w:cs="宋体"/>
                <w:color w:val="auto"/>
                <w:sz w:val="20"/>
                <w:szCs w:val="20"/>
                <w:highlight w:val="none"/>
              </w:rPr>
              <w:t xml:space="preserve">树木200棵</w:t>
            </w:r>
            <w:r>
              <w:rPr>
                <w:rFonts w:hint="eastAsia" w:ascii="宋体" w:hAnsi="宋体" w:eastAsia="宋体" w:cs="宋体"/>
                <w:color w:val="auto"/>
                <w:sz w:val="20"/>
                <w:szCs w:val="20"/>
                <w:highlight w:val="none"/>
                <w:lang w:eastAsia="zh-CN"/>
              </w:rPr>
              <w:t xml:space="preserve">用1</w:t>
            </w:r>
            <w:r>
              <w:rPr>
                <w:rFonts w:hint="eastAsia" w:ascii="宋体" w:hAnsi="宋体" w:eastAsia="宋体" w:cs="宋体"/>
                <w:color w:val="auto"/>
                <w:sz w:val="20"/>
                <w:szCs w:val="20"/>
                <w:highlight w:val="none"/>
              </w:rPr>
              <w:t xml:space="preserve">包、片林1亩</w:t>
            </w:r>
            <w:r>
              <w:rPr>
                <w:rFonts w:hint="eastAsia" w:ascii="宋体" w:hAnsi="宋体" w:eastAsia="宋体" w:cs="宋体"/>
                <w:color w:val="auto"/>
                <w:sz w:val="20"/>
                <w:szCs w:val="20"/>
                <w:highlight w:val="none"/>
                <w:lang w:eastAsia="zh-CN"/>
              </w:rPr>
              <w:t xml:space="preserve">用1</w:t>
            </w:r>
            <w:r>
              <w:rPr>
                <w:rFonts w:hint="eastAsia" w:ascii="宋体" w:hAnsi="宋体" w:eastAsia="宋体" w:cs="宋体"/>
                <w:color w:val="auto"/>
                <w:sz w:val="20"/>
                <w:szCs w:val="20"/>
                <w:highlight w:val="none"/>
              </w:rPr>
              <w:t xml:space="preserve">包</w:t>
            </w:r>
            <w:r/>
          </w:p>
        </w:tc>
        <w:tc>
          <w:tcPr>
            <w:tcW w:w="969"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3-4周</w:t>
            </w:r>
            <w:r/>
          </w:p>
        </w:tc>
      </w:tr>
      <w:tr>
        <w:trPr>
          <w:trHeight w:val="817"/>
        </w:trPr>
        <w:tc>
          <w:tcPr>
            <w:tcW w:w="488"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549" w:type="dxa"/>
            <w:vAlign w:val="center"/>
            <w:vMerge w:val="continue"/>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c>
          <w:tcPr>
            <w:tcW w:w="291"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75</w:t>
            </w:r>
            <w:r/>
          </w:p>
        </w:tc>
        <w:tc>
          <w:tcPr>
            <w:tcW w:w="1878"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冬季草花更换</w:t>
            </w:r>
            <w:r/>
          </w:p>
        </w:tc>
        <w:tc>
          <w:tcPr>
            <w:tcW w:w="5523"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11月下旬，完成冬季草花更换，草花应图案清晰、色彩鲜艳、花朵繁茂、花期一致，种植密度不低于49株/平方米，视品种植株大小应适当提高密度，保持基本不见裸土</w:t>
            </w:r>
            <w:r>
              <w:rPr>
                <w:rFonts w:hint="eastAsia" w:ascii="宋体" w:hAnsi="宋体" w:eastAsia="宋体" w:cs="宋体"/>
                <w:color w:val="auto"/>
                <w:sz w:val="20"/>
                <w:szCs w:val="20"/>
                <w:highlight w:val="none"/>
                <w:lang w:eastAsia="zh-CN"/>
              </w:rPr>
              <w:t xml:space="preserve">，部分开花效果好的草花可延迟下月更换。</w:t>
            </w:r>
            <w:r/>
          </w:p>
        </w:tc>
        <w:tc>
          <w:tcPr>
            <w:tcW w:w="969"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4周</w:t>
            </w:r>
            <w:r/>
          </w:p>
        </w:tc>
      </w:tr>
      <w:tr>
        <w:trPr>
          <w:trHeight w:val="518"/>
        </w:trPr>
        <w:tc>
          <w:tcPr>
            <w:gridSpan w:val="5"/>
            <w:tcW w:w="8729" w:type="dxa"/>
            <w:vAlign w:val="center"/>
            <w:textDirection w:val="lrTb"/>
            <w:noWrap w:val="false"/>
          </w:tcPr>
          <w:p>
            <w:pPr>
              <w:ind w:firstLine="0"/>
              <w:jc w:val="left"/>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t xml:space="preserve">注：本表工作任务中加粗的为当月重点工作，浇水等部分目标要求及作业时间安排视气候情况可相应调整。</w:t>
            </w:r>
            <w:r/>
          </w:p>
        </w:tc>
        <w:tc>
          <w:tcPr>
            <w:tcW w:w="969" w:type="dxa"/>
            <w:vAlign w:val="center"/>
            <w:textDirection w:val="lrTb"/>
            <w:noWrap w:val="false"/>
          </w:tcPr>
          <w:p>
            <w:pPr>
              <w:ind w:firstLine="0"/>
              <w:jc w:val="center"/>
              <w:widowControl/>
              <w:rPr>
                <w:rFonts w:hint="eastAsia" w:ascii="宋体" w:hAnsi="宋体" w:eastAsia="宋体" w:cs="宋体"/>
                <w:color w:val="auto"/>
                <w:sz w:val="20"/>
                <w:szCs w:val="20"/>
                <w:highlight w:val="none"/>
              </w:rPr>
              <w:outlineLvl w:val="9"/>
            </w:pPr>
            <w:r>
              <w:rPr>
                <w:rFonts w:hint="eastAsia" w:ascii="宋体" w:hAnsi="宋体" w:eastAsia="宋体" w:cs="宋体"/>
                <w:color w:val="auto"/>
                <w:sz w:val="20"/>
                <w:szCs w:val="20"/>
                <w:highlight w:val="none"/>
              </w:rPr>
            </w:r>
            <w:r/>
          </w:p>
        </w:tc>
      </w:tr>
    </w:tbl>
    <w:p>
      <w:pPr>
        <w:ind w:left="0" w:firstLine="0"/>
        <w:shd w:val="clear" w:color="auto"/>
        <w:rPr>
          <w:rFonts w:hint="eastAsia" w:ascii="宋体" w:hAnsi="宋体" w:eastAsia="宋体" w:cs="宋体"/>
          <w:color w:val="auto"/>
          <w:sz w:val="32"/>
          <w:szCs w:val="28"/>
          <w:highlight w:val="none"/>
        </w:rPr>
        <w:outlineLvl w:val="9"/>
      </w:pPr>
      <w:r>
        <w:rPr>
          <w:rFonts w:hint="eastAsia" w:ascii="宋体" w:hAnsi="宋体" w:eastAsia="宋体" w:cs="宋体"/>
          <w:color w:val="auto"/>
          <w:sz w:val="32"/>
          <w:szCs w:val="28"/>
          <w:highlight w:val="none"/>
        </w:rPr>
      </w:r>
      <w:r/>
    </w:p>
    <w:p>
      <w:pPr>
        <w:ind w:firstLine="0"/>
        <w:jc w:val="both"/>
        <w:rPr>
          <w:rFonts w:hint="eastAsia" w:ascii="宋体" w:hAnsi="宋体" w:eastAsia="宋体" w:cs="宋体"/>
          <w:color w:val="auto"/>
          <w:sz w:val="32"/>
          <w:szCs w:val="28"/>
          <w:highlight w:val="none"/>
        </w:rPr>
        <w:outlineLvl w:val="9"/>
      </w:pPr>
      <w:r>
        <w:rPr>
          <w:rFonts w:hint="eastAsia" w:ascii="宋体" w:hAnsi="宋体" w:eastAsia="宋体" w:cs="宋体"/>
          <w:color w:val="auto"/>
          <w:sz w:val="32"/>
          <w:szCs w:val="28"/>
          <w:highlight w:val="none"/>
        </w:rPr>
      </w:r>
      <w:r/>
    </w:p>
    <w:p>
      <w:pPr>
        <w:ind w:firstLine="0"/>
        <w:jc w:val="both"/>
        <w:rPr>
          <w:rFonts w:hint="eastAsia" w:ascii="宋体" w:hAnsi="宋体" w:eastAsia="宋体" w:cs="宋体"/>
          <w:color w:val="auto"/>
          <w:sz w:val="32"/>
          <w:szCs w:val="28"/>
          <w:highlight w:val="none"/>
        </w:rPr>
        <w:outlineLvl w:val="9"/>
      </w:pPr>
      <w:r>
        <w:rPr>
          <w:rFonts w:hint="eastAsia" w:ascii="宋体" w:hAnsi="宋体" w:eastAsia="宋体" w:cs="宋体"/>
          <w:color w:val="auto"/>
          <w:sz w:val="32"/>
          <w:szCs w:val="28"/>
          <w:highlight w:val="none"/>
        </w:rPr>
      </w:r>
      <w:r/>
    </w:p>
    <w:p>
      <w:pPr>
        <w:rPr>
          <w:rFonts w:hint="eastAsia" w:ascii="宋体" w:hAnsi="宋体" w:eastAsia="宋体" w:cs="宋体"/>
          <w:color w:val="auto"/>
          <w:sz w:val="32"/>
          <w:szCs w:val="32"/>
          <w:highlight w:val="none"/>
          <w:lang w:val="en-US" w:eastAsia="zh-CN" w:bidi="ar-SA"/>
        </w:rPr>
      </w:pPr>
      <w:r>
        <w:rPr>
          <w:rFonts w:hint="eastAsia" w:ascii="宋体" w:hAnsi="宋体" w:eastAsia="宋体" w:cs="宋体"/>
          <w:color w:val="auto"/>
          <w:sz w:val="32"/>
          <w:szCs w:val="32"/>
          <w:highlight w:val="none"/>
          <w:lang w:val="en-US" w:eastAsia="zh-CN" w:bidi="ar-SA"/>
        </w:rPr>
        <w:br w:type="page" w:clear="all"/>
      </w:r>
      <w:bookmarkEnd w:id="2"/>
      <w:r/>
    </w:p>
    <w:p>
      <w:pPr>
        <w:numPr>
          <w:ilvl w:val="0"/>
          <w:numId w:val="0"/>
        </w:numPr>
        <w:jc w:val="center"/>
        <w:keepLines/>
        <w:keepNext/>
        <w:spacing w:before="0" w:after="0" w:line="240" w:lineRule="auto"/>
        <w:widowControl w:val="off"/>
        <w:rPr>
          <w:rFonts w:hint="eastAsia" w:ascii="宋体" w:hAnsi="宋体" w:eastAsia="宋体" w:cs="宋体"/>
          <w:b/>
          <w:bCs/>
          <w:color w:val="auto"/>
          <w:sz w:val="32"/>
          <w:szCs w:val="32"/>
          <w:highlight w:val="none"/>
          <w:lang w:val="en-US" w:eastAsia="zh-CN" w:bidi="ar-SA"/>
        </w:rPr>
        <w:outlineLvl w:val="0"/>
      </w:pPr>
      <w:r>
        <w:rPr>
          <w:rFonts w:hint="eastAsia" w:ascii="宋体" w:hAnsi="宋体" w:eastAsia="宋体" w:cs="宋体"/>
          <w:b/>
          <w:bCs/>
          <w:color w:val="auto"/>
          <w:sz w:val="32"/>
          <w:szCs w:val="32"/>
          <w:highlight w:val="none"/>
          <w:lang w:val="en-US" w:eastAsia="zh-CN" w:bidi="ar-SA"/>
        </w:rPr>
        <w:t xml:space="preserve">第四部分.合同书</w:t>
      </w:r>
      <w:r/>
    </w:p>
    <w:p>
      <w:pPr>
        <w:numPr>
          <w:ilvl w:val="2"/>
          <w:numId w:val="0"/>
        </w:numPr>
        <w:jc w:val="center"/>
        <w:keepLines/>
        <w:keepNext/>
        <w:spacing w:before="0" w:after="0" w:line="420" w:lineRule="exact"/>
        <w:widowControl/>
        <w:tabs>
          <w:tab w:val="left" w:pos="720" w:leader="none"/>
        </w:tabs>
        <w:rPr>
          <w:rFonts w:hint="default" w:ascii="宋体" w:hAnsi="宋体" w:eastAsia="宋体" w:cs="黑体"/>
          <w:b w:val="0"/>
          <w:color w:val="auto"/>
          <w:sz w:val="24"/>
          <w:szCs w:val="24"/>
          <w:highlight w:val="none"/>
          <w:lang w:val="en-US" w:eastAsia="zh-CN" w:bidi="ar-SA"/>
        </w:rPr>
        <w:outlineLvl w:val="2"/>
      </w:pPr>
      <w:r>
        <w:rPr>
          <w:rFonts w:hint="eastAsia" w:ascii="宋体" w:hAnsi="宋体" w:eastAsia="宋体" w:cs="黑体"/>
          <w:b w:val="0"/>
          <w:color w:val="auto"/>
          <w:sz w:val="24"/>
          <w:szCs w:val="24"/>
          <w:highlight w:val="none"/>
          <w:lang w:val="en-US" w:eastAsia="zh-CN" w:bidi="ar-SA"/>
        </w:rPr>
        <w:t xml:space="preserve">合同书</w:t>
      </w:r>
      <w:r/>
    </w:p>
    <w:p>
      <w:pPr>
        <w:ind w:firstLine="0"/>
        <w:jc w:val="left"/>
        <w:spacing w:line="420" w:lineRule="exact"/>
        <w:rPr>
          <w:rFonts w:hint="eastAsia" w:ascii="宋体" w:hAnsi="宋体" w:eastAsia="宋体" w:cs="Times New Roman"/>
          <w:color w:val="auto"/>
          <w:sz w:val="24"/>
          <w:highlight w:val="none"/>
        </w:rPr>
        <w:outlineLvl w:val="9"/>
      </w:pPr>
      <w:r>
        <w:rPr>
          <w:rFonts w:hint="eastAsia" w:ascii="宋体" w:hAnsi="宋体" w:eastAsia="宋体" w:cs="Times New Roman"/>
          <w:color w:val="auto"/>
          <w:sz w:val="24"/>
          <w:highlight w:val="none"/>
        </w:rPr>
        <w:t xml:space="preserve">发包人：</w:t>
      </w:r>
      <w:r>
        <w:rPr>
          <w:rFonts w:hint="eastAsia" w:ascii="宋体" w:hAnsi="宋体" w:eastAsia="宋体" w:cs="Times New Roman"/>
          <w:color w:val="auto"/>
          <w:sz w:val="24"/>
          <w:highlight w:val="none"/>
          <w:u w:val="single"/>
          <w:shd w:val="clear" w:color="auto" w:fill="ffffff"/>
        </w:rPr>
        <w:t xml:space="preserve">无锡市新吴区人民政府江溪街道办事处</w:t>
      </w:r>
      <w:r>
        <w:rPr>
          <w:rFonts w:hint="eastAsia" w:ascii="宋体" w:hAnsi="宋体" w:eastAsia="宋体" w:cs="Times New Roman"/>
          <w:color w:val="auto"/>
          <w:sz w:val="24"/>
          <w:highlight w:val="none"/>
          <w:shd w:val="clear" w:color="auto" w:fill="ffffff"/>
        </w:rPr>
        <w:t xml:space="preserve">（以下简称“甲方”）</w:t>
      </w:r>
      <w:r/>
    </w:p>
    <w:p>
      <w:pPr>
        <w:ind w:firstLine="0"/>
        <w:jc w:val="left"/>
        <w:spacing w:line="420" w:lineRule="exact"/>
        <w:rPr>
          <w:rFonts w:hint="eastAsia" w:ascii="宋体" w:hAnsi="宋体" w:eastAsia="宋体" w:cs="Times New Roman"/>
          <w:color w:val="auto"/>
          <w:sz w:val="24"/>
          <w:highlight w:val="none"/>
          <w:shd w:val="clear" w:color="auto" w:fill="ffffff"/>
        </w:rPr>
        <w:outlineLvl w:val="9"/>
      </w:pPr>
      <w:r>
        <w:rPr>
          <w:rFonts w:hint="eastAsia" w:ascii="宋体" w:hAnsi="宋体" w:eastAsia="宋体" w:cs="Times New Roman"/>
          <w:color w:val="auto"/>
          <w:sz w:val="24"/>
          <w:highlight w:val="none"/>
          <w:shd w:val="clear" w:color="auto" w:fill="ffffff"/>
        </w:rPr>
        <w:t xml:space="preserve">承包人：</w:t>
      </w:r>
      <w:r>
        <w:rPr>
          <w:rFonts w:hint="eastAsia" w:ascii="宋体" w:hAnsi="宋体" w:eastAsia="宋体" w:cs="Times New Roman"/>
          <w:b/>
          <w:color w:val="auto"/>
          <w:sz w:val="24"/>
          <w:highlight w:val="none"/>
          <w:u w:val="single"/>
          <w:shd w:val="clear" w:color="auto" w:fill="ffffff"/>
        </w:rPr>
        <w:t xml:space="preserve">                                   </w:t>
      </w:r>
      <w:r>
        <w:rPr>
          <w:rFonts w:hint="eastAsia" w:ascii="宋体" w:hAnsi="宋体" w:eastAsia="宋体" w:cs="Times New Roman"/>
          <w:color w:val="auto"/>
          <w:sz w:val="24"/>
          <w:highlight w:val="none"/>
          <w:shd w:val="clear" w:color="auto" w:fill="ffffff"/>
        </w:rPr>
        <w:t xml:space="preserve">（以下简称“乙方”）</w:t>
      </w:r>
      <w:r/>
    </w:p>
    <w:p>
      <w:pPr>
        <w:ind w:firstLine="480"/>
        <w:jc w:val="left"/>
        <w:spacing w:line="420" w:lineRule="exact"/>
        <w:rPr>
          <w:rFonts w:hint="eastAsia" w:ascii="宋体" w:hAnsi="宋体" w:eastAsia="宋体" w:cs="Times New Roman"/>
          <w:color w:val="auto"/>
          <w:sz w:val="24"/>
          <w:highlight w:val="none"/>
          <w:shd w:val="clear" w:color="auto" w:fill="ffffff"/>
        </w:rPr>
        <w:outlineLvl w:val="9"/>
      </w:pPr>
      <w:r>
        <w:rPr>
          <w:rFonts w:hint="eastAsia" w:ascii="宋体" w:hAnsi="宋体" w:eastAsia="宋体" w:cs="Times New Roman"/>
          <w:color w:val="auto"/>
          <w:sz w:val="24"/>
          <w:highlight w:val="none"/>
          <w:shd w:val="clear" w:color="auto" w:fill="ffffff"/>
        </w:rPr>
        <w:t xml:space="preserve">根据《中华人民共和国</w:t>
      </w:r>
      <w:r>
        <w:rPr>
          <w:rFonts w:hint="eastAsia" w:ascii="宋体" w:hAnsi="宋体" w:eastAsia="宋体" w:cs="Times New Roman"/>
          <w:color w:val="auto"/>
          <w:sz w:val="24"/>
          <w:highlight w:val="none"/>
          <w:shd w:val="clear" w:color="auto" w:fill="ffffff"/>
          <w:lang w:val="en-US" w:eastAsia="zh-CN"/>
        </w:rPr>
        <w:t xml:space="preserve">民法典</w:t>
      </w:r>
      <w:r>
        <w:rPr>
          <w:rFonts w:hint="eastAsia" w:ascii="宋体" w:hAnsi="宋体" w:eastAsia="宋体" w:cs="Times New Roman"/>
          <w:color w:val="auto"/>
          <w:sz w:val="24"/>
          <w:highlight w:val="none"/>
          <w:shd w:val="clear" w:color="auto" w:fill="ffffff"/>
        </w:rPr>
        <w:t xml:space="preserve">》、及其他有关法律、行政法规，遵循平等、自愿、公平的原则，在双方承诺招标文件全部内容</w:t>
      </w:r>
      <w:r>
        <w:rPr>
          <w:rFonts w:hint="eastAsia" w:ascii="宋体" w:hAnsi="宋体" w:eastAsia="宋体" w:cs="Times New Roman"/>
          <w:color w:val="auto"/>
          <w:sz w:val="24"/>
          <w:highlight w:val="none"/>
          <w:shd w:val="clear" w:color="auto" w:fill="ffffff"/>
          <w:lang w:eastAsia="zh-CN"/>
        </w:rPr>
        <w:t xml:space="preserve">（</w:t>
      </w:r>
      <w:r>
        <w:rPr>
          <w:rFonts w:hint="eastAsia" w:ascii="宋体" w:hAnsi="宋体" w:eastAsia="宋体" w:cs="Times New Roman"/>
          <w:color w:val="auto"/>
          <w:sz w:val="24"/>
          <w:highlight w:val="none"/>
          <w:shd w:val="clear" w:color="auto" w:fill="ffffff"/>
        </w:rPr>
        <w:t xml:space="preserve">含招标补充文件</w:t>
      </w:r>
      <w:r>
        <w:rPr>
          <w:rFonts w:hint="eastAsia" w:ascii="宋体" w:hAnsi="宋体" w:eastAsia="宋体" w:cs="Times New Roman"/>
          <w:color w:val="auto"/>
          <w:sz w:val="24"/>
          <w:highlight w:val="none"/>
          <w:shd w:val="clear" w:color="auto" w:fill="ffffff"/>
          <w:lang w:eastAsia="zh-CN"/>
        </w:rPr>
        <w:t xml:space="preserve">）</w:t>
      </w:r>
      <w:r>
        <w:rPr>
          <w:rFonts w:hint="eastAsia" w:ascii="宋体" w:hAnsi="宋体" w:eastAsia="宋体" w:cs="Times New Roman"/>
          <w:color w:val="auto"/>
          <w:sz w:val="24"/>
          <w:highlight w:val="none"/>
          <w:shd w:val="clear" w:color="auto" w:fill="ffffff"/>
        </w:rPr>
        <w:t xml:space="preserve">和被认定的投标文件</w:t>
      </w:r>
      <w:r>
        <w:rPr>
          <w:rFonts w:hint="eastAsia" w:ascii="宋体" w:hAnsi="宋体" w:eastAsia="宋体" w:cs="Times New Roman"/>
          <w:color w:val="auto"/>
          <w:sz w:val="24"/>
          <w:highlight w:val="none"/>
          <w:shd w:val="clear" w:color="auto" w:fill="ffffff"/>
          <w:lang w:eastAsia="zh-CN"/>
        </w:rPr>
        <w:t xml:space="preserve">（</w:t>
      </w:r>
      <w:r>
        <w:rPr>
          <w:rFonts w:hint="eastAsia" w:ascii="宋体" w:hAnsi="宋体" w:eastAsia="宋体" w:cs="Times New Roman"/>
          <w:color w:val="auto"/>
          <w:sz w:val="24"/>
          <w:highlight w:val="none"/>
          <w:shd w:val="clear" w:color="auto" w:fill="ffffff"/>
        </w:rPr>
        <w:t xml:space="preserve">及补充说明</w:t>
      </w:r>
      <w:r>
        <w:rPr>
          <w:rFonts w:hint="eastAsia" w:ascii="宋体" w:hAnsi="宋体" w:eastAsia="宋体" w:cs="Times New Roman"/>
          <w:color w:val="auto"/>
          <w:sz w:val="24"/>
          <w:highlight w:val="none"/>
          <w:shd w:val="clear" w:color="auto" w:fill="ffffff"/>
          <w:lang w:eastAsia="zh-CN"/>
        </w:rPr>
        <w:t xml:space="preserve">）</w:t>
      </w:r>
      <w:r>
        <w:rPr>
          <w:rFonts w:hint="eastAsia" w:ascii="宋体" w:hAnsi="宋体" w:eastAsia="宋体" w:cs="Times New Roman"/>
          <w:color w:val="auto"/>
          <w:sz w:val="24"/>
          <w:highlight w:val="none"/>
          <w:shd w:val="clear" w:color="auto" w:fill="ffffff"/>
        </w:rPr>
        <w:t xml:space="preserve">全部内容的基础上，协商一致，订立本合同</w:t>
      </w:r>
      <w:r/>
    </w:p>
    <w:p>
      <w:pPr>
        <w:numPr>
          <w:ilvl w:val="0"/>
          <w:numId w:val="0"/>
        </w:numPr>
        <w:ind w:firstLine="0"/>
        <w:jc w:val="left"/>
        <w:spacing w:before="156" w:line="420" w:lineRule="exact"/>
        <w:tabs>
          <w:tab w:val="left" w:pos="660" w:leader="none"/>
        </w:tabs>
        <w:rPr>
          <w:rFonts w:hint="eastAsia" w:ascii="宋体" w:hAnsi="宋体" w:eastAsia="宋体" w:cs="Times New Roman"/>
          <w:color w:val="auto"/>
          <w:sz w:val="24"/>
          <w:highlight w:val="none"/>
        </w:rPr>
        <w:outlineLvl w:val="9"/>
      </w:pPr>
      <w:r>
        <w:rPr>
          <w:rFonts w:hint="eastAsia" w:ascii="宋体" w:hAnsi="宋体" w:eastAsia="宋体" w:cs="Times New Roman"/>
          <w:color w:val="auto"/>
          <w:sz w:val="24"/>
          <w:highlight w:val="none"/>
          <w:shd w:val="clear" w:color="auto" w:fill="ffffff"/>
          <w:lang w:val="en-US" w:eastAsia="zh-CN"/>
        </w:rPr>
        <w:t xml:space="preserve">一、</w:t>
      </w:r>
      <w:r>
        <w:rPr>
          <w:rFonts w:hint="eastAsia" w:ascii="宋体" w:hAnsi="宋体" w:eastAsia="宋体" w:cs="Times New Roman"/>
          <w:color w:val="auto"/>
          <w:sz w:val="24"/>
          <w:highlight w:val="none"/>
          <w:shd w:val="clear" w:color="auto" w:fill="ffffff"/>
        </w:rPr>
        <w:t xml:space="preserve">项目概况</w:t>
      </w:r>
      <w:r/>
    </w:p>
    <w:p>
      <w:pPr>
        <w:ind w:firstLine="480"/>
        <w:jc w:val="both"/>
        <w:spacing w:line="420" w:lineRule="exact"/>
        <w:rPr>
          <w:rFonts w:hint="eastAsia" w:ascii="宋体" w:hAnsi="宋体" w:eastAsia="宋体" w:cs="Times New Roman"/>
          <w:color w:val="auto"/>
          <w:sz w:val="24"/>
          <w:highlight w:val="none"/>
          <w:u w:val="single"/>
        </w:rPr>
        <w:outlineLvl w:val="9"/>
      </w:pPr>
      <w:r>
        <w:rPr>
          <w:rFonts w:hint="eastAsia" w:ascii="宋体" w:hAnsi="宋体" w:eastAsia="宋体" w:cs="Times New Roman"/>
          <w:color w:val="auto"/>
          <w:sz w:val="24"/>
          <w:highlight w:val="none"/>
        </w:rPr>
        <w:t xml:space="preserve">项目名称：</w:t>
      </w:r>
      <w:r>
        <w:rPr>
          <w:rFonts w:hint="eastAsia" w:ascii="宋体" w:hAnsi="宋体" w:eastAsia="宋体" w:cs="Times New Roman"/>
          <w:color w:val="auto"/>
          <w:sz w:val="24"/>
          <w:highlight w:val="none"/>
          <w:u w:val="single"/>
        </w:rPr>
        <w:t xml:space="preserve">2026-2029年度江溪街道公共绿化养护项目</w:t>
      </w:r>
      <w:r/>
    </w:p>
    <w:p>
      <w:pPr>
        <w:ind w:firstLine="480"/>
        <w:jc w:val="both"/>
        <w:spacing w:line="420" w:lineRule="exact"/>
        <w:widowControl w:val="off"/>
        <w:rPr>
          <w:rFonts w:hint="eastAsia" w:ascii="宋体" w:hAnsi="宋体" w:eastAsia="宋体" w:cs="宋体"/>
          <w:b/>
          <w:bCs/>
          <w:color w:val="auto"/>
          <w:sz w:val="24"/>
          <w:szCs w:val="24"/>
          <w:highlight w:val="none"/>
          <w:u w:val="single"/>
          <w:lang w:val="en-US" w:eastAsia="zh-CN" w:bidi="ar-SA"/>
        </w:rPr>
        <w:outlineLvl w:val="9"/>
      </w:pPr>
      <w:r>
        <w:rPr>
          <w:rFonts w:hint="eastAsia" w:ascii="宋体" w:hAnsi="宋体" w:eastAsia="宋体" w:cs="宋体"/>
          <w:color w:val="auto"/>
          <w:sz w:val="24"/>
          <w:szCs w:val="24"/>
          <w:highlight w:val="none"/>
          <w:lang w:val="en-US" w:eastAsia="zh-CN" w:bidi="ar-SA"/>
        </w:rPr>
        <w:t xml:space="preserve">养护内容：</w:t>
      </w:r>
      <w:r>
        <w:rPr>
          <w:rFonts w:hint="eastAsia" w:ascii="宋体" w:hAnsi="宋体" w:eastAsia="宋体" w:cs="宋体"/>
          <w:b/>
          <w:bCs/>
          <w:color w:val="auto"/>
          <w:sz w:val="24"/>
          <w:szCs w:val="24"/>
          <w:highlight w:val="none"/>
          <w:u w:val="single"/>
          <w:lang w:val="en-US" w:eastAsia="zh-CN" w:bidi="ar-SA"/>
        </w:rPr>
        <w:t xml:space="preserve">树木、球类、色块、绿篱等修剪、施肥及病虫害防治，草坪管理，草花布置等。</w:t>
      </w:r>
      <w:r/>
    </w:p>
    <w:p>
      <w:pPr>
        <w:ind w:firstLine="480"/>
        <w:jc w:val="both"/>
        <w:spacing w:line="420" w:lineRule="exact"/>
        <w:rPr>
          <w:rFonts w:hint="eastAsia" w:ascii="宋体" w:hAnsi="宋体" w:eastAsia="宋体" w:cs="Times New Roman"/>
          <w:color w:val="auto"/>
          <w:sz w:val="24"/>
          <w:highlight w:val="none"/>
          <w:u w:val="single"/>
        </w:rPr>
        <w:outlineLvl w:val="9"/>
      </w:pPr>
      <w:r>
        <w:rPr>
          <w:rFonts w:hint="eastAsia" w:ascii="宋体" w:hAnsi="宋体" w:eastAsia="宋体" w:cs="Times New Roman"/>
          <w:color w:val="auto"/>
          <w:sz w:val="24"/>
          <w:highlight w:val="none"/>
        </w:rPr>
        <w:t xml:space="preserve">承包范围：</w:t>
      </w:r>
      <w:r>
        <w:rPr>
          <w:rFonts w:hint="eastAsia" w:ascii="宋体" w:hAnsi="宋体" w:eastAsia="宋体" w:cs="Times New Roman"/>
          <w:color w:val="auto"/>
          <w:sz w:val="24"/>
          <w:highlight w:val="none"/>
          <w:u w:val="single"/>
        </w:rPr>
        <w:t xml:space="preserve">                                                  </w:t>
      </w:r>
      <w:r/>
    </w:p>
    <w:p>
      <w:pPr>
        <w:ind w:firstLine="480"/>
        <w:jc w:val="both"/>
        <w:spacing w:line="420" w:lineRule="exact"/>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养护期：</w:t>
      </w: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年  月  日-</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年  月  日）。</w:t>
      </w:r>
      <w:r/>
    </w:p>
    <w:p>
      <w:pPr>
        <w:numPr>
          <w:ilvl w:val="0"/>
          <w:numId w:val="0"/>
        </w:numPr>
        <w:ind w:firstLine="0"/>
        <w:jc w:val="both"/>
        <w:spacing w:before="156" w:line="420" w:lineRule="exact"/>
        <w:tabs>
          <w:tab w:val="left" w:pos="660" w:leader="none"/>
        </w:tabs>
        <w:rPr>
          <w:rFonts w:hint="eastAsia" w:ascii="宋体" w:hAnsi="宋体" w:eastAsia="宋体" w:cs="Times New Roman"/>
          <w:color w:val="auto"/>
          <w:sz w:val="24"/>
          <w:highlight w:val="none"/>
          <w:shd w:val="clear" w:color="auto" w:fill="ffffff"/>
        </w:rPr>
        <w:outlineLvl w:val="9"/>
      </w:pPr>
      <w:r>
        <w:rPr>
          <w:rFonts w:hint="eastAsia" w:ascii="宋体" w:hAnsi="宋体" w:eastAsia="宋体" w:cs="Times New Roman"/>
          <w:color w:val="auto"/>
          <w:sz w:val="24"/>
          <w:highlight w:val="none"/>
          <w:shd w:val="clear" w:color="auto" w:fill="ffffff"/>
          <w:lang w:val="en-US" w:eastAsia="zh-CN"/>
        </w:rPr>
        <w:t xml:space="preserve">二、</w:t>
      </w:r>
      <w:r>
        <w:rPr>
          <w:rFonts w:hint="eastAsia" w:ascii="宋体" w:hAnsi="宋体" w:eastAsia="宋体" w:cs="Times New Roman"/>
          <w:color w:val="auto"/>
          <w:sz w:val="24"/>
          <w:highlight w:val="none"/>
          <w:shd w:val="clear" w:color="auto" w:fill="ffffff"/>
        </w:rPr>
        <w:t xml:space="preserve">承包方式</w:t>
      </w:r>
      <w:r/>
    </w:p>
    <w:p>
      <w:pPr>
        <w:ind w:firstLine="480"/>
        <w:jc w:val="both"/>
        <w:spacing w:line="420" w:lineRule="exact"/>
        <w:rPr>
          <w:rFonts w:hint="eastAsia" w:ascii="宋体" w:hAnsi="宋体" w:eastAsia="宋体" w:cs="Times New Roman"/>
          <w:color w:val="auto"/>
          <w:sz w:val="24"/>
          <w:highlight w:val="none"/>
        </w:rPr>
        <w:outlineLvl w:val="9"/>
      </w:pPr>
      <w:r>
        <w:rPr>
          <w:rFonts w:hint="eastAsia" w:ascii="宋体" w:hAnsi="宋体" w:eastAsia="宋体" w:cs="Times New Roman"/>
          <w:color w:val="auto"/>
          <w:sz w:val="24"/>
          <w:highlight w:val="none"/>
        </w:rPr>
        <w:t xml:space="preserve"> 本项目由乙方包工、包料、包质量、包安全、包文明施工的方式实施总承包，乙方应对全部养护工程负责，中标以后不得分包、转包。如</w:t>
      </w:r>
      <w:r>
        <w:rPr>
          <w:rFonts w:hint="eastAsia" w:ascii="宋体" w:hAnsi="宋体" w:eastAsia="宋体" w:cs="Times New Roman"/>
          <w:color w:val="auto"/>
          <w:sz w:val="24"/>
          <w:highlight w:val="none"/>
          <w:lang w:eastAsia="zh-CN"/>
        </w:rPr>
        <w:t xml:space="preserve">一经</w:t>
      </w:r>
      <w:r>
        <w:rPr>
          <w:rFonts w:hint="eastAsia" w:ascii="宋体" w:hAnsi="宋体" w:eastAsia="宋体" w:cs="Times New Roman"/>
          <w:color w:val="auto"/>
          <w:sz w:val="24"/>
          <w:highlight w:val="none"/>
        </w:rPr>
        <w:t xml:space="preserve">发现上述行为，甲方单位有权立即终止综合养护工程承包合同，由此</w:t>
      </w:r>
      <w:r>
        <w:rPr>
          <w:rFonts w:hint="eastAsia" w:ascii="宋体" w:hAnsi="宋体" w:eastAsia="宋体" w:cs="Times New Roman"/>
          <w:color w:val="auto"/>
          <w:sz w:val="24"/>
          <w:highlight w:val="none"/>
          <w:lang w:eastAsia="zh-CN"/>
        </w:rPr>
        <w:t xml:space="preserve">产生</w:t>
      </w:r>
      <w:r>
        <w:rPr>
          <w:rFonts w:hint="eastAsia" w:ascii="宋体" w:hAnsi="宋体" w:eastAsia="宋体" w:cs="Times New Roman"/>
          <w:color w:val="auto"/>
          <w:sz w:val="24"/>
          <w:highlight w:val="none"/>
        </w:rPr>
        <w:t xml:space="preserve">一切法律责任和经济损失均由乙方承担。</w:t>
      </w:r>
      <w:r/>
    </w:p>
    <w:p>
      <w:pPr>
        <w:numPr>
          <w:ilvl w:val="0"/>
          <w:numId w:val="0"/>
        </w:numPr>
        <w:ind w:firstLine="0"/>
        <w:jc w:val="both"/>
        <w:spacing w:before="156" w:line="420" w:lineRule="exact"/>
        <w:tabs>
          <w:tab w:val="left" w:pos="660" w:leader="none"/>
        </w:tabs>
        <w:rPr>
          <w:rFonts w:hint="eastAsia" w:ascii="宋体" w:hAnsi="宋体" w:eastAsia="宋体" w:cs="Times New Roman"/>
          <w:color w:val="auto"/>
          <w:sz w:val="24"/>
          <w:highlight w:val="none"/>
          <w:shd w:val="clear" w:color="auto" w:fill="ffffff"/>
        </w:rPr>
        <w:outlineLvl w:val="9"/>
      </w:pPr>
      <w:r>
        <w:rPr>
          <w:rFonts w:hint="eastAsia" w:ascii="宋体" w:hAnsi="宋体" w:eastAsia="宋体" w:cs="Times New Roman"/>
          <w:color w:val="auto"/>
          <w:sz w:val="24"/>
          <w:highlight w:val="none"/>
          <w:shd w:val="clear" w:color="auto" w:fill="ffffff"/>
          <w:lang w:val="en-US" w:eastAsia="zh-CN"/>
        </w:rPr>
        <w:t xml:space="preserve">三、</w:t>
      </w:r>
      <w:r>
        <w:rPr>
          <w:rFonts w:hint="eastAsia" w:ascii="宋体" w:hAnsi="宋体" w:eastAsia="宋体" w:cs="Times New Roman"/>
          <w:color w:val="auto"/>
          <w:sz w:val="24"/>
          <w:highlight w:val="none"/>
          <w:shd w:val="clear" w:color="auto" w:fill="ffffff"/>
        </w:rPr>
        <w:t xml:space="preserve">养护质量标准</w:t>
      </w:r>
      <w:r/>
    </w:p>
    <w:p>
      <w:pPr>
        <w:ind w:firstLine="480"/>
        <w:jc w:val="both"/>
        <w:spacing w:line="420" w:lineRule="exact"/>
        <w:rPr>
          <w:rFonts w:hint="eastAsia" w:ascii="宋体" w:hAnsi="宋体" w:eastAsia="宋体" w:cs="Times New Roman"/>
          <w:color w:val="auto"/>
          <w:sz w:val="24"/>
          <w:highlight w:val="none"/>
          <w:lang w:eastAsia="zh-CN"/>
        </w:rPr>
        <w:outlineLvl w:val="9"/>
      </w:pPr>
      <w:r>
        <w:rPr>
          <w:rFonts w:hint="eastAsia" w:ascii="宋体" w:hAnsi="宋体" w:eastAsia="宋体" w:cs="Times New Roman"/>
          <w:color w:val="auto"/>
          <w:sz w:val="24"/>
          <w:highlight w:val="none"/>
        </w:rPr>
        <w:t xml:space="preserve">本项目养护质量标准：《江苏省城市园林绿化植物养护技术规定》一级</w:t>
      </w: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lang w:val="en-US" w:eastAsia="zh-CN"/>
        </w:rPr>
        <w:t xml:space="preserve">二级</w:t>
      </w:r>
      <w:r>
        <w:rPr>
          <w:rFonts w:hint="eastAsia" w:ascii="宋体" w:hAnsi="宋体" w:eastAsia="宋体" w:cs="Times New Roman"/>
          <w:color w:val="auto"/>
          <w:sz w:val="24"/>
          <w:highlight w:val="none"/>
        </w:rPr>
        <w:t xml:space="preserve">绿地养护水平，符合现行的绿地养护管理考核办法及以后修订的考核办法规定</w:t>
      </w:r>
      <w:r>
        <w:rPr>
          <w:rFonts w:hint="eastAsia" w:ascii="宋体" w:hAnsi="宋体" w:eastAsia="宋体" w:cs="Times New Roman"/>
          <w:color w:val="auto"/>
          <w:sz w:val="24"/>
          <w:highlight w:val="none"/>
          <w:lang w:eastAsia="zh-CN"/>
        </w:rPr>
        <w:t xml:space="preserve">。</w:t>
      </w:r>
      <w:r/>
    </w:p>
    <w:p>
      <w:pPr>
        <w:numPr>
          <w:ilvl w:val="0"/>
          <w:numId w:val="0"/>
        </w:numPr>
        <w:ind w:firstLine="0"/>
        <w:jc w:val="both"/>
        <w:spacing w:before="156" w:line="420" w:lineRule="exact"/>
        <w:tabs>
          <w:tab w:val="left" w:pos="660" w:leader="none"/>
        </w:tabs>
        <w:rPr>
          <w:rFonts w:hint="default" w:ascii="宋体" w:hAnsi="宋体" w:eastAsia="宋体" w:cs="Times New Roman"/>
          <w:color w:val="auto"/>
          <w:sz w:val="24"/>
          <w:highlight w:val="none"/>
          <w:shd w:val="clear" w:color="auto" w:fill="ffffff"/>
          <w:lang w:val="en-US" w:eastAsia="zh-CN"/>
        </w:rPr>
        <w:outlineLvl w:val="9"/>
      </w:pPr>
      <w:r>
        <w:rPr>
          <w:rFonts w:hint="eastAsia" w:ascii="宋体" w:hAnsi="宋体" w:eastAsia="宋体" w:cs="Times New Roman"/>
          <w:color w:val="auto"/>
          <w:sz w:val="24"/>
          <w:highlight w:val="none"/>
          <w:shd w:val="clear" w:color="auto" w:fill="ffffff"/>
          <w:lang w:val="en-US" w:eastAsia="zh-CN"/>
        </w:rPr>
        <w:t xml:space="preserve">四、合同总价</w:t>
      </w:r>
      <w:r/>
    </w:p>
    <w:p>
      <w:pPr>
        <w:ind w:firstLine="480"/>
        <w:jc w:val="both"/>
        <w:spacing w:line="420" w:lineRule="exact"/>
        <w:widowControl w:val="off"/>
        <w:rPr>
          <w:rFonts w:hint="eastAsia" w:ascii="宋体" w:hAnsi="宋体" w:eastAsia="宋体" w:cs="Calibri"/>
          <w:color w:val="auto"/>
          <w:sz w:val="24"/>
          <w:szCs w:val="24"/>
          <w:highlight w:val="none"/>
          <w:lang w:val="en-US" w:eastAsia="zh-CN" w:bidi="ar-SA"/>
        </w:rPr>
        <w:outlineLvl w:val="9"/>
      </w:pPr>
      <w:r>
        <w:rPr>
          <w:rFonts w:hint="eastAsia" w:ascii="宋体" w:hAnsi="宋体" w:eastAsia="宋体" w:cs="Calibri"/>
          <w:color w:val="auto"/>
          <w:sz w:val="24"/>
          <w:szCs w:val="24"/>
          <w:highlight w:val="none"/>
          <w:lang w:val="en-US" w:eastAsia="zh-CN" w:bidi="ar-SA"/>
        </w:rPr>
        <w:t xml:space="preserve">（一）绿化养护部分：</w:t>
      </w:r>
      <w:r/>
    </w:p>
    <w:p>
      <w:pPr>
        <w:ind w:firstLine="480"/>
        <w:jc w:val="both"/>
        <w:spacing w:line="420" w:lineRule="exact"/>
        <w:widowControl w:val="off"/>
        <w:rPr>
          <w:rFonts w:hint="eastAsia" w:ascii="宋体" w:hAnsi="宋体" w:eastAsia="宋体" w:cs="Calibri"/>
          <w:color w:val="auto"/>
          <w:sz w:val="24"/>
          <w:szCs w:val="24"/>
          <w:highlight w:val="none"/>
          <w:lang w:val="en-US" w:eastAsia="zh-CN" w:bidi="ar-SA"/>
        </w:rPr>
        <w:outlineLvl w:val="9"/>
      </w:pPr>
      <w:r>
        <w:rPr>
          <w:rFonts w:hint="eastAsia" w:ascii="宋体" w:hAnsi="宋体" w:eastAsia="宋体" w:cs="Calibri"/>
          <w:color w:val="auto"/>
          <w:sz w:val="24"/>
          <w:szCs w:val="24"/>
          <w:highlight w:val="none"/>
          <w:lang w:val="en-US" w:eastAsia="zh-CN" w:bidi="ar-SA"/>
        </w:rPr>
        <w:t xml:space="preserve">1、养护面积：</w:t>
      </w:r>
      <w:r/>
    </w:p>
    <w:p>
      <w:pPr>
        <w:ind w:firstLine="480"/>
        <w:jc w:val="both"/>
        <w:spacing w:line="420" w:lineRule="exact"/>
        <w:widowControl w:val="off"/>
        <w:rPr>
          <w:rFonts w:hint="eastAsia" w:ascii="宋体" w:hAnsi="宋体" w:eastAsia="宋体" w:cs="Calibri"/>
          <w:color w:val="auto"/>
          <w:sz w:val="24"/>
          <w:szCs w:val="24"/>
          <w:highlight w:val="none"/>
          <w:lang w:val="en-US" w:eastAsia="zh-CN" w:bidi="ar-SA"/>
        </w:rPr>
        <w:outlineLvl w:val="9"/>
      </w:pPr>
      <w:r>
        <w:rPr>
          <w:rFonts w:hint="eastAsia" w:ascii="宋体" w:hAnsi="宋体" w:eastAsia="宋体" w:cs="Calibri"/>
          <w:color w:val="auto"/>
          <w:sz w:val="24"/>
          <w:szCs w:val="24"/>
          <w:highlight w:val="none"/>
          <w:lang w:val="en-US" w:eastAsia="zh-CN" w:bidi="ar-SA"/>
        </w:rPr>
        <w:t xml:space="preserve">一年合同金额（大写）：</w:t>
      </w:r>
      <w:r>
        <w:rPr>
          <w:rFonts w:hint="eastAsia" w:ascii="宋体" w:hAnsi="宋体" w:eastAsia="宋体" w:cs="Calibri"/>
          <w:color w:val="auto"/>
          <w:sz w:val="24"/>
          <w:szCs w:val="24"/>
          <w:highlight w:val="none"/>
          <w:u w:val="single"/>
          <w:lang w:val="en-US" w:eastAsia="zh-CN" w:bidi="ar-SA"/>
        </w:rPr>
        <w:t xml:space="preserve">            </w:t>
      </w:r>
      <w:r>
        <w:rPr>
          <w:rFonts w:hint="eastAsia" w:ascii="宋体" w:hAnsi="宋体" w:eastAsia="宋体" w:cs="Calibri"/>
          <w:color w:val="auto"/>
          <w:sz w:val="24"/>
          <w:szCs w:val="24"/>
          <w:highlight w:val="none"/>
          <w:lang w:val="en-US" w:eastAsia="zh-CN" w:bidi="ar-SA"/>
        </w:rPr>
        <w:t xml:space="preserve">（人民币）</w:t>
      </w:r>
      <w:r/>
    </w:p>
    <w:p>
      <w:pPr>
        <w:ind w:firstLine="480"/>
        <w:jc w:val="both"/>
        <w:spacing w:line="420" w:lineRule="exact"/>
        <w:widowControl w:val="off"/>
        <w:rPr>
          <w:rFonts w:hint="eastAsia" w:ascii="宋体" w:hAnsi="宋体" w:eastAsia="宋体" w:cs="Calibri"/>
          <w:color w:val="auto"/>
          <w:sz w:val="24"/>
          <w:szCs w:val="24"/>
          <w:highlight w:val="none"/>
          <w:lang w:val="en-US" w:eastAsia="zh-CN" w:bidi="ar-SA"/>
        </w:rPr>
        <w:outlineLvl w:val="9"/>
      </w:pPr>
      <w:r>
        <w:rPr>
          <w:rFonts w:hint="eastAsia" w:ascii="宋体" w:hAnsi="宋体" w:eastAsia="宋体" w:cs="Calibri"/>
          <w:color w:val="auto"/>
          <w:sz w:val="24"/>
          <w:szCs w:val="24"/>
          <w:highlight w:val="none"/>
          <w:lang w:val="en-US" w:eastAsia="zh-CN" w:bidi="ar-SA"/>
        </w:rPr>
        <w:t xml:space="preserve">￥</w:t>
      </w:r>
      <w:r>
        <w:rPr>
          <w:rFonts w:hint="eastAsia" w:ascii="宋体" w:hAnsi="宋体" w:eastAsia="宋体" w:cs="Calibri"/>
          <w:color w:val="auto"/>
          <w:sz w:val="24"/>
          <w:szCs w:val="24"/>
          <w:highlight w:val="none"/>
          <w:u w:val="single"/>
          <w:lang w:val="en-US" w:eastAsia="zh-CN" w:bidi="ar-SA"/>
        </w:rPr>
        <w:t xml:space="preserve">   </w:t>
      </w:r>
      <w:r>
        <w:rPr>
          <w:rFonts w:hint="eastAsia" w:ascii="宋体" w:hAnsi="宋体" w:eastAsia="宋体" w:cs="Calibri"/>
          <w:color w:val="auto"/>
          <w:sz w:val="24"/>
          <w:szCs w:val="24"/>
          <w:highlight w:val="none"/>
          <w:lang w:val="en-US" w:eastAsia="zh-CN" w:bidi="ar-SA"/>
        </w:rPr>
        <w:t xml:space="preserve">元</w:t>
      </w:r>
      <w:r/>
    </w:p>
    <w:p>
      <w:pPr>
        <w:ind w:firstLine="480"/>
        <w:jc w:val="both"/>
        <w:spacing w:line="420" w:lineRule="exact"/>
        <w:widowControl w:val="off"/>
        <w:rPr>
          <w:rFonts w:hint="eastAsia" w:ascii="宋体" w:hAnsi="宋体" w:eastAsia="宋体" w:cs="Calibri"/>
          <w:color w:val="auto"/>
          <w:sz w:val="24"/>
          <w:szCs w:val="24"/>
          <w:highlight w:val="none"/>
          <w:lang w:val="en-US" w:eastAsia="zh-CN" w:bidi="ar-SA"/>
        </w:rPr>
        <w:outlineLvl w:val="9"/>
      </w:pPr>
      <w:r>
        <w:rPr>
          <w:rFonts w:hint="eastAsia" w:ascii="宋体" w:hAnsi="宋体" w:eastAsia="宋体" w:cs="Calibri"/>
          <w:color w:val="auto"/>
          <w:sz w:val="24"/>
          <w:szCs w:val="24"/>
          <w:highlight w:val="none"/>
          <w:lang w:val="en-US" w:eastAsia="zh-CN" w:bidi="ar-SA"/>
        </w:rPr>
        <w:t xml:space="preserve">三年合同金额（大写）：</w:t>
      </w:r>
      <w:r>
        <w:rPr>
          <w:rFonts w:hint="eastAsia" w:ascii="宋体" w:hAnsi="宋体" w:eastAsia="宋体" w:cs="Calibri"/>
          <w:color w:val="auto"/>
          <w:sz w:val="24"/>
          <w:szCs w:val="24"/>
          <w:highlight w:val="none"/>
          <w:u w:val="single"/>
          <w:lang w:val="en-US" w:eastAsia="zh-CN" w:bidi="ar-SA"/>
        </w:rPr>
        <w:t xml:space="preserve">            </w:t>
      </w:r>
      <w:r>
        <w:rPr>
          <w:rFonts w:hint="eastAsia" w:ascii="宋体" w:hAnsi="宋体" w:eastAsia="宋体" w:cs="Calibri"/>
          <w:color w:val="auto"/>
          <w:sz w:val="24"/>
          <w:szCs w:val="24"/>
          <w:highlight w:val="none"/>
          <w:lang w:val="en-US" w:eastAsia="zh-CN" w:bidi="ar-SA"/>
        </w:rPr>
        <w:t xml:space="preserve">（人民币）</w:t>
      </w:r>
      <w:r/>
    </w:p>
    <w:p>
      <w:pPr>
        <w:ind w:firstLine="480"/>
        <w:jc w:val="both"/>
        <w:spacing w:line="420" w:lineRule="exact"/>
        <w:widowControl w:val="off"/>
        <w:rPr>
          <w:rFonts w:hint="eastAsia" w:ascii="宋体" w:hAnsi="宋体" w:eastAsia="宋体" w:cs="Calibri"/>
          <w:color w:val="auto"/>
          <w:sz w:val="24"/>
          <w:szCs w:val="24"/>
          <w:highlight w:val="none"/>
          <w:lang w:val="en-US" w:eastAsia="zh-CN" w:bidi="ar-SA"/>
        </w:rPr>
        <w:outlineLvl w:val="9"/>
      </w:pPr>
      <w:r>
        <w:rPr>
          <w:rFonts w:hint="eastAsia" w:ascii="宋体" w:hAnsi="宋体" w:eastAsia="宋体" w:cs="Calibri"/>
          <w:color w:val="auto"/>
          <w:sz w:val="24"/>
          <w:szCs w:val="24"/>
          <w:highlight w:val="none"/>
          <w:lang w:val="en-US" w:eastAsia="zh-CN" w:bidi="ar-SA"/>
        </w:rPr>
        <w:t xml:space="preserve">￥</w:t>
      </w:r>
      <w:r>
        <w:rPr>
          <w:rFonts w:hint="eastAsia" w:ascii="宋体" w:hAnsi="宋体" w:eastAsia="宋体" w:cs="Calibri"/>
          <w:color w:val="auto"/>
          <w:sz w:val="24"/>
          <w:szCs w:val="24"/>
          <w:highlight w:val="none"/>
          <w:u w:val="single"/>
          <w:lang w:val="en-US" w:eastAsia="zh-CN" w:bidi="ar-SA"/>
        </w:rPr>
        <w:t xml:space="preserve">   </w:t>
      </w:r>
      <w:r>
        <w:rPr>
          <w:rFonts w:hint="eastAsia" w:ascii="宋体" w:hAnsi="宋体" w:eastAsia="宋体" w:cs="Calibri"/>
          <w:color w:val="auto"/>
          <w:sz w:val="24"/>
          <w:szCs w:val="24"/>
          <w:highlight w:val="none"/>
          <w:lang w:val="en-US" w:eastAsia="zh-CN" w:bidi="ar-SA"/>
        </w:rPr>
        <w:t xml:space="preserve">元</w:t>
      </w:r>
      <w:r/>
    </w:p>
    <w:p>
      <w:pPr>
        <w:ind w:firstLine="480"/>
        <w:jc w:val="both"/>
        <w:spacing w:line="420" w:lineRule="exact"/>
        <w:widowControl w:val="off"/>
        <w:rPr>
          <w:rFonts w:hint="eastAsia" w:ascii="宋体" w:hAnsi="宋体" w:eastAsia="宋体" w:cs="Calibri"/>
          <w:color w:val="auto"/>
          <w:sz w:val="24"/>
          <w:szCs w:val="24"/>
          <w:highlight w:val="none"/>
          <w:lang w:val="en-US" w:eastAsia="zh-CN" w:bidi="ar-SA"/>
        </w:rPr>
        <w:outlineLvl w:val="9"/>
      </w:pPr>
      <w:r>
        <w:rPr>
          <w:rFonts w:hint="eastAsia" w:ascii="宋体" w:hAnsi="宋体" w:eastAsia="宋体" w:cs="Calibri"/>
          <w:color w:val="auto"/>
          <w:sz w:val="24"/>
          <w:szCs w:val="24"/>
          <w:highlight w:val="none"/>
          <w:lang w:val="en-US" w:eastAsia="zh-CN" w:bidi="ar-SA"/>
        </w:rPr>
        <w:t xml:space="preserve">2、合同价款为暂定价，实际价款=实际工程量×中标单价+暂列金额（如有）±考核情况，实际工程量按第三方审计结算为准。</w:t>
      </w:r>
      <w:r/>
    </w:p>
    <w:p>
      <w:pPr>
        <w:ind w:firstLine="480"/>
        <w:jc w:val="both"/>
        <w:spacing w:line="420" w:lineRule="exact"/>
        <w:widowControl w:val="off"/>
        <w:rPr>
          <w:rFonts w:hint="eastAsia" w:ascii="宋体" w:hAnsi="宋体" w:eastAsia="宋体" w:cs="Calibri"/>
          <w:color w:val="auto"/>
          <w:sz w:val="24"/>
          <w:szCs w:val="24"/>
          <w:highlight w:val="none"/>
          <w:lang w:val="en-US" w:eastAsia="zh-CN" w:bidi="ar-SA"/>
        </w:rPr>
        <w:outlineLvl w:val="9"/>
      </w:pPr>
      <w:r>
        <w:rPr>
          <w:rFonts w:hint="eastAsia" w:ascii="宋体" w:hAnsi="宋体" w:eastAsia="宋体" w:cs="Calibri"/>
          <w:color w:val="auto"/>
          <w:sz w:val="24"/>
          <w:szCs w:val="24"/>
          <w:highlight w:val="none"/>
          <w:lang w:val="en-US" w:eastAsia="zh-CN" w:bidi="ar-SA"/>
        </w:rPr>
        <w:t xml:space="preserve">合同价款包括人员费用（工资、福利、培训、社会保险、人身意外伤害险、服装费、高温费、劳保用品费等）、养护所用设备工具购置及维修费用、养护所用材料消耗费用、管理费用、利润、税金、政策性文件规定及合同包含的所有风险（包括但不限于遇最低工资调整、物价上涨等）、责任等各项应有费用，除此费用外，甲方无须再向乙方支付其他任何费用。</w:t>
      </w:r>
      <w:r/>
    </w:p>
    <w:p>
      <w:pPr>
        <w:numPr>
          <w:ilvl w:val="0"/>
          <w:numId w:val="0"/>
        </w:numPr>
        <w:ind w:firstLine="0"/>
        <w:jc w:val="left"/>
        <w:spacing w:before="156" w:line="420" w:lineRule="exact"/>
        <w:tabs>
          <w:tab w:val="left" w:pos="660" w:leader="none"/>
        </w:tabs>
        <w:rPr>
          <w:rFonts w:hint="eastAsia" w:ascii="宋体" w:hAnsi="宋体" w:eastAsia="宋体" w:cs="Times New Roman"/>
          <w:color w:val="auto"/>
          <w:sz w:val="24"/>
          <w:highlight w:val="none"/>
          <w:shd w:val="clear" w:color="auto" w:fill="ffffff"/>
        </w:rPr>
        <w:outlineLvl w:val="9"/>
      </w:pPr>
      <w:r>
        <w:rPr>
          <w:rFonts w:hint="eastAsia" w:ascii="宋体" w:hAnsi="宋体" w:eastAsia="宋体" w:cs="Times New Roman"/>
          <w:color w:val="auto"/>
          <w:sz w:val="24"/>
          <w:highlight w:val="none"/>
          <w:shd w:val="clear" w:color="auto" w:fill="ffffff"/>
          <w:lang w:val="en-US" w:eastAsia="zh-CN"/>
        </w:rPr>
        <w:t xml:space="preserve">五、</w:t>
      </w:r>
      <w:r>
        <w:rPr>
          <w:rFonts w:hint="eastAsia" w:ascii="宋体" w:hAnsi="宋体" w:eastAsia="宋体" w:cs="Times New Roman"/>
          <w:color w:val="auto"/>
          <w:sz w:val="24"/>
          <w:highlight w:val="none"/>
          <w:shd w:val="clear" w:color="auto" w:fill="ffffff"/>
        </w:rPr>
        <w:t xml:space="preserve">合同条款</w:t>
      </w:r>
      <w:r/>
    </w:p>
    <w:p>
      <w:pPr>
        <w:ind w:firstLine="480"/>
        <w:jc w:val="both"/>
        <w:spacing w:line="420" w:lineRule="exact"/>
        <w:rPr>
          <w:rFonts w:hint="eastAsia" w:ascii="宋体" w:hAnsi="宋体" w:eastAsia="宋体" w:cs="Times New Roman"/>
          <w:color w:val="auto"/>
          <w:sz w:val="24"/>
          <w:highlight w:val="none"/>
        </w:rPr>
        <w:outlineLvl w:val="9"/>
      </w:pPr>
      <w:r>
        <w:rPr>
          <w:rFonts w:hint="eastAsia" w:ascii="宋体" w:hAnsi="宋体" w:eastAsia="宋体" w:cs="Times New Roman"/>
          <w:color w:val="auto"/>
          <w:sz w:val="24"/>
          <w:highlight w:val="none"/>
        </w:rPr>
        <w:t xml:space="preserve">1 甲方代表</w:t>
      </w:r>
      <w:r/>
    </w:p>
    <w:p>
      <w:pPr>
        <w:ind w:firstLine="480"/>
        <w:jc w:val="both"/>
        <w:spacing w:line="420" w:lineRule="exact"/>
        <w:rPr>
          <w:rFonts w:hint="eastAsia" w:ascii="宋体" w:hAnsi="宋体" w:eastAsia="宋体" w:cs="Times New Roman"/>
          <w:color w:val="auto"/>
          <w:sz w:val="24"/>
          <w:highlight w:val="none"/>
        </w:rPr>
        <w:outlineLvl w:val="9"/>
      </w:pPr>
      <w:r>
        <w:rPr>
          <w:rFonts w:hint="eastAsia" w:ascii="宋体" w:hAnsi="宋体" w:eastAsia="宋体" w:cs="Times New Roman"/>
          <w:color w:val="auto"/>
          <w:sz w:val="24"/>
          <w:highlight w:val="none"/>
        </w:rPr>
        <w:t xml:space="preserve">甲方指派</w:t>
      </w:r>
      <w:r>
        <w:rPr>
          <w:rFonts w:hint="eastAsia" w:ascii="宋体" w:hAnsi="宋体" w:eastAsia="宋体" w:cs="Times New Roman"/>
          <w:color w:val="auto"/>
          <w:sz w:val="24"/>
          <w:highlight w:val="none"/>
          <w:u w:val="single"/>
        </w:rPr>
        <w:t xml:space="preserve">      </w:t>
      </w:r>
      <w:r>
        <w:rPr>
          <w:rFonts w:hint="eastAsia" w:ascii="宋体" w:hAnsi="宋体" w:eastAsia="宋体" w:cs="Times New Roman"/>
          <w:color w:val="auto"/>
          <w:sz w:val="24"/>
          <w:highlight w:val="none"/>
        </w:rPr>
        <w:t xml:space="preserve">为派驻现场代表，全面负责日常养护作业的管理工作。</w:t>
      </w:r>
      <w:r/>
    </w:p>
    <w:p>
      <w:pPr>
        <w:ind w:firstLine="480"/>
        <w:jc w:val="both"/>
        <w:spacing w:line="420" w:lineRule="exact"/>
        <w:rPr>
          <w:rFonts w:hint="eastAsia" w:ascii="宋体" w:hAnsi="宋体" w:eastAsia="宋体" w:cs="Times New Roman"/>
          <w:color w:val="auto"/>
          <w:sz w:val="24"/>
          <w:highlight w:val="none"/>
        </w:rPr>
        <w:outlineLvl w:val="9"/>
      </w:pPr>
      <w:r>
        <w:rPr>
          <w:rFonts w:hint="eastAsia" w:ascii="宋体" w:hAnsi="宋体" w:eastAsia="宋体" w:cs="Times New Roman"/>
          <w:color w:val="auto"/>
          <w:sz w:val="24"/>
          <w:highlight w:val="none"/>
        </w:rPr>
        <w:t xml:space="preserve">2 乙方代表</w:t>
      </w:r>
      <w:r/>
    </w:p>
    <w:p>
      <w:pPr>
        <w:ind w:firstLine="480"/>
        <w:jc w:val="both"/>
        <w:spacing w:line="420" w:lineRule="exact"/>
        <w:rPr>
          <w:rFonts w:hint="eastAsia" w:ascii="宋体" w:hAnsi="宋体" w:eastAsia="宋体" w:cs="Times New Roman"/>
          <w:color w:val="auto"/>
          <w:sz w:val="24"/>
          <w:highlight w:val="none"/>
        </w:rPr>
        <w:outlineLvl w:val="9"/>
      </w:pPr>
      <w:r>
        <w:rPr>
          <w:rFonts w:hint="eastAsia" w:ascii="宋体" w:hAnsi="宋体" w:eastAsia="宋体" w:cs="Times New Roman"/>
          <w:color w:val="auto"/>
          <w:sz w:val="24"/>
          <w:highlight w:val="none"/>
        </w:rPr>
        <w:t xml:space="preserve">2.1乙方指派 </w:t>
      </w:r>
      <w:r>
        <w:rPr>
          <w:rFonts w:hint="eastAsia" w:ascii="宋体" w:hAnsi="宋体" w:eastAsia="宋体" w:cs="Times New Roman"/>
          <w:color w:val="auto"/>
          <w:sz w:val="24"/>
          <w:highlight w:val="none"/>
          <w:u w:val="single"/>
        </w:rPr>
        <w:t xml:space="preserve">       </w:t>
      </w:r>
      <w:r>
        <w:rPr>
          <w:rFonts w:hint="eastAsia" w:ascii="宋体" w:hAnsi="宋体" w:eastAsia="宋体" w:cs="Times New Roman"/>
          <w:color w:val="auto"/>
          <w:sz w:val="24"/>
          <w:highlight w:val="none"/>
        </w:rPr>
        <w:t xml:space="preserve">为本项目的专职安全员；指派</w:t>
      </w:r>
      <w:r>
        <w:rPr>
          <w:rFonts w:hint="eastAsia" w:ascii="宋体" w:hAnsi="宋体" w:eastAsia="宋体" w:cs="Times New Roman"/>
          <w:color w:val="auto"/>
          <w:sz w:val="24"/>
          <w:highlight w:val="none"/>
          <w:u w:val="single"/>
        </w:rPr>
        <w:t xml:space="preserve">     </w:t>
      </w:r>
      <w:r>
        <w:rPr>
          <w:rFonts w:hint="eastAsia" w:ascii="宋体" w:hAnsi="宋体" w:eastAsia="宋体" w:cs="Times New Roman"/>
          <w:color w:val="auto"/>
          <w:sz w:val="24"/>
          <w:highlight w:val="none"/>
        </w:rPr>
        <w:t xml:space="preserve">为绿化景观养护项目负责人， 具体负责</w:t>
      </w:r>
      <w:r>
        <w:rPr>
          <w:rFonts w:hint="eastAsia" w:ascii="宋体" w:hAnsi="宋体" w:eastAsia="宋体" w:cs="Times New Roman"/>
          <w:color w:val="auto"/>
          <w:sz w:val="24"/>
          <w:highlight w:val="none"/>
          <w:lang w:val="en-US" w:eastAsia="zh-CN"/>
        </w:rPr>
        <w:t xml:space="preserve">本项目</w:t>
      </w:r>
      <w:r>
        <w:rPr>
          <w:rFonts w:hint="eastAsia" w:ascii="宋体" w:hAnsi="宋体" w:eastAsia="宋体" w:cs="Times New Roman"/>
          <w:color w:val="auto"/>
          <w:sz w:val="24"/>
          <w:highlight w:val="none"/>
        </w:rPr>
        <w:t xml:space="preserve">养护作业工作</w:t>
      </w:r>
      <w:r>
        <w:rPr>
          <w:rFonts w:hint="eastAsia" w:ascii="宋体" w:hAnsi="宋体" w:eastAsia="宋体" w:cs="Times New Roman"/>
          <w:b/>
          <w:bCs/>
          <w:color w:val="auto"/>
          <w:sz w:val="24"/>
          <w:highlight w:val="none"/>
        </w:rPr>
        <w:t xml:space="preserve">，</w:t>
      </w:r>
      <w:r>
        <w:rPr>
          <w:rFonts w:hint="eastAsia" w:ascii="宋体" w:hAnsi="宋体" w:eastAsia="宋体" w:cs="Times New Roman"/>
          <w:color w:val="auto"/>
          <w:sz w:val="24"/>
          <w:highlight w:val="none"/>
        </w:rPr>
        <w:t xml:space="preserve">并用书面材料报甲方备案。</w:t>
      </w:r>
      <w:r/>
    </w:p>
    <w:p>
      <w:pPr>
        <w:ind w:firstLine="480"/>
        <w:jc w:val="both"/>
        <w:spacing w:line="420" w:lineRule="exact"/>
        <w:rPr>
          <w:rFonts w:hint="eastAsia" w:ascii="宋体" w:hAnsi="宋体" w:eastAsia="宋体" w:cs="Times New Roman"/>
          <w:color w:val="auto"/>
          <w:sz w:val="24"/>
          <w:highlight w:val="none"/>
        </w:rPr>
        <w:outlineLvl w:val="9"/>
      </w:pPr>
      <w:r>
        <w:rPr>
          <w:rFonts w:hint="eastAsia" w:ascii="宋体" w:hAnsi="宋体" w:eastAsia="宋体" w:cs="Times New Roman"/>
          <w:color w:val="auto"/>
          <w:sz w:val="24"/>
          <w:highlight w:val="none"/>
        </w:rPr>
        <w:t xml:space="preserve">2.</w:t>
      </w:r>
      <w:r>
        <w:rPr>
          <w:rFonts w:hint="eastAsia" w:ascii="宋体" w:hAnsi="宋体" w:eastAsia="宋体" w:cs="Times New Roman"/>
          <w:color w:val="auto"/>
          <w:sz w:val="24"/>
          <w:highlight w:val="none"/>
          <w:lang w:val="en-US" w:eastAsia="zh-CN"/>
        </w:rPr>
        <w:t xml:space="preserve">2</w:t>
      </w:r>
      <w:r>
        <w:rPr>
          <w:rFonts w:hint="eastAsia" w:ascii="宋体" w:hAnsi="宋体" w:eastAsia="宋体" w:cs="Times New Roman"/>
          <w:color w:val="auto"/>
          <w:sz w:val="24"/>
          <w:highlight w:val="none"/>
        </w:rPr>
        <w:t xml:space="preserve">项目负责人等有关人员必须按时参加由甲方召开的养护例会和各种必须参加的会议。</w:t>
      </w:r>
      <w:r/>
    </w:p>
    <w:p>
      <w:pPr>
        <w:ind w:firstLine="480"/>
        <w:jc w:val="both"/>
        <w:spacing w:line="420" w:lineRule="exact"/>
        <w:rPr>
          <w:rFonts w:hint="eastAsia" w:ascii="宋体" w:hAnsi="宋体" w:eastAsia="宋体" w:cs="Times New Roman"/>
          <w:color w:val="auto"/>
          <w:sz w:val="24"/>
          <w:highlight w:val="none"/>
        </w:rPr>
        <w:outlineLvl w:val="9"/>
      </w:pPr>
      <w:r>
        <w:rPr>
          <w:rFonts w:hint="eastAsia" w:ascii="宋体" w:hAnsi="宋体" w:eastAsia="宋体" w:cs="Times New Roman"/>
          <w:color w:val="auto"/>
          <w:sz w:val="24"/>
          <w:highlight w:val="none"/>
        </w:rPr>
        <w:t xml:space="preserve">2.</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rPr>
        <w:t xml:space="preserve">乙方如需更换项目负责人，应至少提前1月将新任项目负责人简历和申请书以书面形式递交甲方，并经甲方审核同意并试用1个月合格后，原项目负责人方可离任。后任继续行使合同文件约定的前任的职权，履行前任的义务。</w:t>
      </w:r>
      <w:r/>
    </w:p>
    <w:p>
      <w:pPr>
        <w:ind w:firstLine="480"/>
        <w:jc w:val="both"/>
        <w:spacing w:line="420" w:lineRule="exact"/>
        <w:rPr>
          <w:rFonts w:hint="eastAsia" w:ascii="宋体" w:hAnsi="宋体" w:eastAsia="宋体" w:cs="Times New Roman"/>
          <w:color w:val="auto"/>
          <w:sz w:val="24"/>
          <w:highlight w:val="none"/>
        </w:rPr>
        <w:outlineLvl w:val="9"/>
      </w:pPr>
      <w:r>
        <w:rPr>
          <w:rFonts w:hint="eastAsia" w:ascii="宋体" w:hAnsi="宋体" w:eastAsia="宋体" w:cs="Times New Roman"/>
          <w:color w:val="auto"/>
          <w:sz w:val="24"/>
          <w:highlight w:val="none"/>
        </w:rPr>
        <w:t xml:space="preserve">2.</w:t>
      </w:r>
      <w:r>
        <w:rPr>
          <w:rFonts w:hint="eastAsia" w:ascii="宋体" w:hAnsi="宋体" w:eastAsia="宋体" w:cs="Times New Roman"/>
          <w:color w:val="auto"/>
          <w:sz w:val="24"/>
          <w:highlight w:val="none"/>
          <w:lang w:val="en-US" w:eastAsia="zh-CN"/>
        </w:rPr>
        <w:t xml:space="preserve">4</w:t>
      </w:r>
      <w:r>
        <w:rPr>
          <w:rFonts w:hint="eastAsia" w:ascii="宋体" w:hAnsi="宋体" w:eastAsia="宋体" w:cs="Times New Roman"/>
          <w:color w:val="auto"/>
          <w:sz w:val="24"/>
          <w:highlight w:val="none"/>
        </w:rPr>
        <w:t xml:space="preserve">甲方有权要求乙方更换不称职的项目负责人。</w:t>
      </w:r>
      <w:r/>
    </w:p>
    <w:p>
      <w:pPr>
        <w:ind w:firstLine="480"/>
        <w:jc w:val="both"/>
        <w:spacing w:line="420" w:lineRule="exact"/>
        <w:rPr>
          <w:rFonts w:hint="eastAsia" w:ascii="宋体" w:hAnsi="宋体" w:eastAsia="宋体" w:cs="Times New Roman"/>
          <w:color w:val="auto"/>
          <w:sz w:val="24"/>
          <w:highlight w:val="none"/>
        </w:rPr>
        <w:outlineLvl w:val="9"/>
      </w:pPr>
      <w:r>
        <w:rPr>
          <w:rFonts w:hint="eastAsia" w:ascii="宋体" w:hAnsi="宋体" w:eastAsia="宋体" w:cs="Times New Roman"/>
          <w:color w:val="auto"/>
          <w:sz w:val="24"/>
          <w:highlight w:val="none"/>
        </w:rPr>
        <w:t xml:space="preserve">3 甲方工作</w:t>
      </w:r>
      <w:r/>
    </w:p>
    <w:p>
      <w:pPr>
        <w:ind w:firstLine="480"/>
        <w:jc w:val="both"/>
        <w:spacing w:line="420" w:lineRule="exact"/>
        <w:rPr>
          <w:rFonts w:hint="eastAsia" w:ascii="宋体" w:hAnsi="宋体" w:eastAsia="宋体" w:cs="Times New Roman"/>
          <w:color w:val="auto"/>
          <w:sz w:val="24"/>
          <w:highlight w:val="none"/>
        </w:rPr>
        <w:outlineLvl w:val="9"/>
      </w:pPr>
      <w:r>
        <w:rPr>
          <w:rFonts w:hint="eastAsia" w:ascii="宋体" w:hAnsi="宋体" w:eastAsia="宋体" w:cs="Times New Roman"/>
          <w:color w:val="auto"/>
          <w:sz w:val="24"/>
          <w:highlight w:val="none"/>
        </w:rPr>
        <w:t xml:space="preserve">3.1 负责向乙方提供中标绿地的有关资料。</w:t>
      </w:r>
      <w:r/>
    </w:p>
    <w:p>
      <w:pPr>
        <w:ind w:firstLine="480"/>
        <w:jc w:val="both"/>
        <w:spacing w:line="420" w:lineRule="exact"/>
        <w:rPr>
          <w:rFonts w:hint="eastAsia" w:ascii="宋体" w:hAnsi="宋体" w:eastAsia="宋体" w:cs="Times New Roman"/>
          <w:color w:val="auto"/>
          <w:sz w:val="24"/>
          <w:highlight w:val="none"/>
        </w:rPr>
        <w:outlineLvl w:val="9"/>
      </w:pPr>
      <w:r>
        <w:rPr>
          <w:rFonts w:hint="eastAsia" w:ascii="宋体" w:hAnsi="宋体" w:eastAsia="宋体" w:cs="Times New Roman"/>
          <w:color w:val="auto"/>
          <w:sz w:val="24"/>
          <w:highlight w:val="none"/>
        </w:rPr>
        <w:t xml:space="preserve">3.2 组织召开养护作业技术交底会。</w:t>
      </w:r>
      <w:r/>
    </w:p>
    <w:p>
      <w:pPr>
        <w:ind w:firstLine="456"/>
        <w:jc w:val="both"/>
        <w:spacing w:line="420" w:lineRule="exact"/>
        <w:rPr>
          <w:rFonts w:hint="eastAsia" w:ascii="宋体" w:hAnsi="宋体" w:eastAsia="宋体" w:cs="Times New Roman"/>
          <w:color w:val="auto"/>
          <w:spacing w:val="-6"/>
          <w:sz w:val="24"/>
          <w:highlight w:val="none"/>
        </w:rPr>
        <w:outlineLvl w:val="9"/>
      </w:pPr>
      <w:r>
        <w:rPr>
          <w:rFonts w:hint="eastAsia" w:ascii="宋体" w:hAnsi="宋体" w:eastAsia="宋体" w:cs="Times New Roman"/>
          <w:color w:val="auto"/>
          <w:spacing w:val="-6"/>
          <w:sz w:val="24"/>
          <w:highlight w:val="none"/>
        </w:rPr>
        <w:t xml:space="preserve">3.3 负责乙方的日常养护作业的管理和检查，对乙方的日常养护工作质量和履约情况进行考核，并按考核结果实行奖惩。</w:t>
      </w:r>
      <w:r/>
    </w:p>
    <w:p>
      <w:pPr>
        <w:ind w:firstLine="480"/>
        <w:jc w:val="both"/>
        <w:spacing w:line="420" w:lineRule="exact"/>
        <w:rPr>
          <w:rFonts w:hint="eastAsia" w:ascii="宋体" w:hAnsi="宋体" w:eastAsia="宋体" w:cs="Times New Roman"/>
          <w:color w:val="auto"/>
          <w:sz w:val="24"/>
          <w:highlight w:val="none"/>
        </w:rPr>
        <w:outlineLvl w:val="9"/>
      </w:pPr>
      <w:r>
        <w:rPr>
          <w:rFonts w:hint="eastAsia" w:ascii="宋体" w:hAnsi="宋体" w:eastAsia="宋体" w:cs="Times New Roman"/>
          <w:color w:val="auto"/>
          <w:sz w:val="24"/>
          <w:highlight w:val="none"/>
        </w:rPr>
        <w:t xml:space="preserve">3.4 甲方每月对乙方的养护质量进行检查考核，按本合同有关条款，每季度支付相应养护经费。</w:t>
      </w:r>
      <w:r/>
    </w:p>
    <w:p>
      <w:pPr>
        <w:ind w:firstLine="480"/>
        <w:jc w:val="both"/>
        <w:spacing w:line="420" w:lineRule="exact"/>
        <w:rPr>
          <w:rFonts w:hint="eastAsia" w:ascii="宋体" w:hAnsi="宋体" w:eastAsia="宋体" w:cs="Times New Roman"/>
          <w:color w:val="auto"/>
          <w:sz w:val="24"/>
          <w:highlight w:val="none"/>
        </w:rPr>
        <w:outlineLvl w:val="9"/>
      </w:pPr>
      <w:r>
        <w:rPr>
          <w:rFonts w:hint="eastAsia" w:ascii="宋体" w:hAnsi="宋体" w:eastAsia="宋体" w:cs="Times New Roman"/>
          <w:color w:val="auto"/>
          <w:sz w:val="24"/>
          <w:highlight w:val="none"/>
        </w:rPr>
        <w:t xml:space="preserve">3.5 如遇突发事件，协调乙方在作业过程中与其他管理部门的关系。</w:t>
      </w:r>
      <w:r/>
    </w:p>
    <w:p>
      <w:pPr>
        <w:ind w:firstLine="480"/>
        <w:jc w:val="both"/>
        <w:spacing w:line="420" w:lineRule="exact"/>
        <w:rPr>
          <w:rFonts w:hint="eastAsia" w:ascii="宋体" w:hAnsi="宋体" w:eastAsia="宋体" w:cs="Times New Roman"/>
          <w:color w:val="auto"/>
          <w:sz w:val="24"/>
          <w:highlight w:val="none"/>
        </w:rPr>
        <w:outlineLvl w:val="9"/>
      </w:pPr>
      <w:r>
        <w:rPr>
          <w:rFonts w:hint="eastAsia" w:ascii="宋体" w:hAnsi="宋体" w:eastAsia="宋体" w:cs="Times New Roman"/>
          <w:color w:val="auto"/>
          <w:sz w:val="24"/>
          <w:highlight w:val="none"/>
        </w:rPr>
        <w:t xml:space="preserve">3.6 甲方应作的其他工作，双方在补充条款内约定。</w:t>
      </w:r>
      <w:r/>
    </w:p>
    <w:p>
      <w:pPr>
        <w:ind w:firstLine="480"/>
        <w:jc w:val="both"/>
        <w:spacing w:line="420" w:lineRule="exact"/>
        <w:rPr>
          <w:rFonts w:hint="eastAsia" w:ascii="宋体" w:hAnsi="宋体" w:eastAsia="宋体" w:cs="Times New Roman"/>
          <w:color w:val="auto"/>
          <w:sz w:val="24"/>
          <w:highlight w:val="none"/>
        </w:rPr>
        <w:outlineLvl w:val="9"/>
      </w:pPr>
      <w:r>
        <w:rPr>
          <w:rFonts w:hint="eastAsia" w:ascii="宋体" w:hAnsi="宋体" w:eastAsia="宋体" w:cs="Times New Roman"/>
          <w:color w:val="auto"/>
          <w:sz w:val="24"/>
          <w:highlight w:val="none"/>
        </w:rPr>
        <w:t xml:space="preserve">3.7在合同期内，因园区发展需要征用、改造、临时占用绿地等需要调整乙方管护绿化地段（范围）和管护等级时，退出原养护地段（范围），或相应减少养护范围及经费。由此造成的经济损失，甲方不负赔偿责任。</w:t>
      </w:r>
      <w:r/>
    </w:p>
    <w:p>
      <w:pPr>
        <w:ind w:firstLine="480"/>
        <w:jc w:val="both"/>
        <w:spacing w:line="420" w:lineRule="exact"/>
        <w:rPr>
          <w:rFonts w:hint="eastAsia" w:ascii="宋体" w:hAnsi="宋体" w:eastAsia="宋体" w:cs="Times New Roman"/>
          <w:color w:val="auto"/>
          <w:sz w:val="24"/>
          <w:highlight w:val="none"/>
        </w:rPr>
        <w:outlineLvl w:val="9"/>
      </w:pPr>
      <w:r>
        <w:rPr>
          <w:rFonts w:hint="eastAsia" w:ascii="宋体" w:hAnsi="宋体" w:eastAsia="宋体" w:cs="Times New Roman"/>
          <w:color w:val="auto"/>
          <w:sz w:val="24"/>
          <w:highlight w:val="none"/>
        </w:rPr>
        <w:t xml:space="preserve">4 乙方工作</w:t>
      </w:r>
      <w:r/>
    </w:p>
    <w:p>
      <w:pPr>
        <w:ind w:firstLine="480"/>
        <w:jc w:val="both"/>
        <w:spacing w:line="420" w:lineRule="exact"/>
        <w:rPr>
          <w:rFonts w:hint="eastAsia" w:ascii="宋体" w:hAnsi="宋体" w:eastAsia="宋体" w:cs="Times New Roman"/>
          <w:color w:val="auto"/>
          <w:sz w:val="24"/>
          <w:highlight w:val="none"/>
        </w:rPr>
        <w:outlineLvl w:val="9"/>
      </w:pPr>
      <w:r>
        <w:rPr>
          <w:rFonts w:hint="eastAsia" w:ascii="宋体" w:hAnsi="宋体" w:eastAsia="宋体" w:cs="Times New Roman"/>
          <w:color w:val="auto"/>
          <w:sz w:val="24"/>
          <w:highlight w:val="none"/>
        </w:rPr>
        <w:t xml:space="preserve">4.1 根据甲方养护工作计划，乙方承担日常养护内容内的一切绿化等都在其养护范围内。</w:t>
      </w:r>
      <w:r/>
    </w:p>
    <w:p>
      <w:pPr>
        <w:ind w:firstLine="480"/>
        <w:jc w:val="both"/>
        <w:spacing w:line="420" w:lineRule="exact"/>
        <w:rPr>
          <w:rFonts w:hint="eastAsia" w:ascii="宋体" w:hAnsi="宋体" w:eastAsia="宋体" w:cs="Times New Roman"/>
          <w:color w:val="auto"/>
          <w:sz w:val="24"/>
          <w:highlight w:val="none"/>
        </w:rPr>
        <w:outlineLvl w:val="9"/>
      </w:pPr>
      <w:r>
        <w:rPr>
          <w:rFonts w:hint="eastAsia" w:ascii="宋体" w:hAnsi="宋体" w:eastAsia="宋体" w:cs="Times New Roman"/>
          <w:color w:val="auto"/>
          <w:sz w:val="24"/>
          <w:highlight w:val="none"/>
        </w:rPr>
        <w:t xml:space="preserve">4.2 做好统计报表，并按时做好月、季、年度上报养护工作完成情况表，按甲方要求及时上报。</w:t>
      </w:r>
      <w:r/>
    </w:p>
    <w:p>
      <w:pPr>
        <w:ind w:firstLine="480"/>
        <w:jc w:val="both"/>
        <w:spacing w:line="420" w:lineRule="exact"/>
        <w:rPr>
          <w:rFonts w:hint="eastAsia" w:ascii="宋体" w:hAnsi="宋体" w:eastAsia="宋体" w:cs="Times New Roman"/>
          <w:color w:val="auto"/>
          <w:sz w:val="24"/>
          <w:highlight w:val="none"/>
        </w:rPr>
        <w:outlineLvl w:val="9"/>
      </w:pPr>
      <w:r>
        <w:rPr>
          <w:rFonts w:hint="eastAsia" w:ascii="宋体" w:hAnsi="宋体" w:eastAsia="宋体" w:cs="Times New Roman"/>
          <w:color w:val="auto"/>
          <w:sz w:val="24"/>
          <w:highlight w:val="none"/>
        </w:rPr>
        <w:t xml:space="preserve">4.3 应按甲方提出的对各种管理的要求落实保护措施。</w:t>
      </w:r>
      <w:r/>
    </w:p>
    <w:p>
      <w:pPr>
        <w:ind w:firstLine="464"/>
        <w:jc w:val="both"/>
        <w:spacing w:line="420" w:lineRule="exact"/>
        <w:rPr>
          <w:rFonts w:hint="eastAsia" w:ascii="宋体" w:hAnsi="宋体" w:eastAsia="宋体" w:cs="Times New Roman"/>
          <w:color w:val="auto"/>
          <w:spacing w:val="-4"/>
          <w:sz w:val="24"/>
          <w:highlight w:val="none"/>
        </w:rPr>
        <w:outlineLvl w:val="9"/>
      </w:pPr>
      <w:r>
        <w:rPr>
          <w:rFonts w:hint="eastAsia" w:ascii="宋体" w:hAnsi="宋体" w:eastAsia="宋体" w:cs="Times New Roman"/>
          <w:color w:val="auto"/>
          <w:spacing w:val="-4"/>
          <w:sz w:val="24"/>
          <w:highlight w:val="none"/>
        </w:rPr>
        <w:t xml:space="preserve">4.4 建立巡视报告制，每天有专人进行对绿化等设施的巡视，并做好每日巡视</w:t>
      </w:r>
      <w:r>
        <w:rPr>
          <w:rFonts w:hint="eastAsia" w:ascii="宋体" w:hAnsi="宋体" w:eastAsia="宋体" w:cs="Times New Roman"/>
          <w:color w:val="auto"/>
          <w:spacing w:val="-4"/>
          <w:sz w:val="24"/>
          <w:highlight w:val="none"/>
          <w:lang w:eastAsia="zh-CN"/>
        </w:rPr>
        <w:t xml:space="preserve">记录</w:t>
      </w:r>
      <w:r>
        <w:rPr>
          <w:rFonts w:hint="eastAsia" w:ascii="宋体" w:hAnsi="宋体" w:eastAsia="宋体" w:cs="Times New Roman"/>
          <w:color w:val="auto"/>
          <w:spacing w:val="-4"/>
          <w:sz w:val="24"/>
          <w:highlight w:val="none"/>
        </w:rPr>
        <w:t xml:space="preserve">。</w:t>
      </w:r>
      <w:r>
        <w:rPr>
          <w:rFonts w:hint="eastAsia" w:ascii="宋体" w:hAnsi="宋体" w:eastAsia="宋体" w:cs="Times New Roman"/>
          <w:color w:val="auto"/>
          <w:sz w:val="24"/>
          <w:highlight w:val="none"/>
        </w:rPr>
        <w:t xml:space="preserve">乙方作为承包绿地的第一责任人，一经发现下列行为，必须立即予以阻止、了解情况并汇报甲方：</w:t>
      </w:r>
      <w:r/>
    </w:p>
    <w:p>
      <w:pPr>
        <w:ind w:firstLine="0"/>
        <w:jc w:val="both"/>
        <w:spacing w:line="420" w:lineRule="exact"/>
        <w:widowControl/>
        <w:rPr>
          <w:rFonts w:hint="eastAsia" w:ascii="宋体" w:hAnsi="宋体" w:eastAsia="宋体" w:cs="Times New Roman"/>
          <w:color w:val="auto"/>
          <w:sz w:val="24"/>
          <w:highlight w:val="none"/>
        </w:rPr>
        <w:outlineLvl w:val="9"/>
      </w:pPr>
      <w:r>
        <w:rPr>
          <w:rFonts w:hint="eastAsia" w:ascii="宋体" w:hAnsi="宋体" w:eastAsia="宋体" w:cs="Times New Roman"/>
          <w:color w:val="auto"/>
          <w:sz w:val="24"/>
          <w:highlight w:val="none"/>
        </w:rPr>
        <w:t xml:space="preserve">（1）</w:t>
      </w:r>
      <w:r>
        <w:rPr>
          <w:rFonts w:hint="default" w:ascii="宋体" w:hAnsi="宋体" w:eastAsia="宋体" w:cs="Times New Roman"/>
          <w:color w:val="auto"/>
          <w:sz w:val="24"/>
          <w:highlight w:val="none"/>
        </w:rPr>
        <w:t xml:space="preserve">在</w:t>
      </w:r>
      <w:r>
        <w:rPr>
          <w:rFonts w:hint="eastAsia" w:ascii="宋体" w:hAnsi="宋体" w:eastAsia="宋体" w:cs="Times New Roman"/>
          <w:color w:val="auto"/>
          <w:sz w:val="24"/>
          <w:highlight w:val="none"/>
        </w:rPr>
        <w:t xml:space="preserve">绿地</w:t>
      </w:r>
      <w:r>
        <w:rPr>
          <w:rFonts w:hint="default" w:ascii="宋体" w:hAnsi="宋体" w:eastAsia="宋体" w:cs="Times New Roman"/>
          <w:color w:val="auto"/>
          <w:sz w:val="24"/>
          <w:highlight w:val="none"/>
        </w:rPr>
        <w:t xml:space="preserve">范围内非法种植；</w:t>
      </w:r>
      <w:r>
        <w:rPr>
          <w:rFonts w:hint="default" w:ascii="宋体" w:hAnsi="宋体" w:eastAsia="宋体" w:cs="Times New Roman"/>
          <w:color w:val="auto"/>
          <w:sz w:val="24"/>
          <w:highlight w:val="none"/>
        </w:rPr>
        <w:br/>
      </w:r>
      <w:r>
        <w:rPr>
          <w:rFonts w:hint="eastAsia" w:ascii="宋体" w:hAnsi="宋体" w:eastAsia="宋体" w:cs="Times New Roman"/>
          <w:color w:val="auto"/>
          <w:sz w:val="24"/>
          <w:highlight w:val="none"/>
        </w:rPr>
        <w:t xml:space="preserve">（2）</w:t>
      </w:r>
      <w:r>
        <w:rPr>
          <w:rFonts w:hint="default" w:ascii="宋体" w:hAnsi="宋体" w:eastAsia="宋体" w:cs="Times New Roman"/>
          <w:color w:val="auto"/>
          <w:sz w:val="24"/>
          <w:highlight w:val="none"/>
        </w:rPr>
        <w:t xml:space="preserve">在绿地内堆放杂物，</w:t>
      </w:r>
      <w:r>
        <w:rPr>
          <w:rFonts w:hint="eastAsia" w:ascii="宋体" w:hAnsi="宋体" w:eastAsia="宋体" w:cs="Times New Roman"/>
          <w:color w:val="auto"/>
          <w:sz w:val="24"/>
          <w:highlight w:val="none"/>
          <w:lang w:eastAsia="zh-CN"/>
        </w:rPr>
        <w:t xml:space="preserve">挖掘</w:t>
      </w:r>
      <w:r>
        <w:rPr>
          <w:rFonts w:hint="default" w:ascii="宋体" w:hAnsi="宋体" w:eastAsia="宋体" w:cs="Times New Roman"/>
          <w:color w:val="auto"/>
          <w:sz w:val="24"/>
          <w:highlight w:val="none"/>
        </w:rPr>
        <w:t xml:space="preserve">、损毁花木；</w:t>
      </w:r>
      <w:r>
        <w:rPr>
          <w:rFonts w:hint="default" w:ascii="宋体" w:hAnsi="宋体" w:eastAsia="宋体" w:cs="Times New Roman"/>
          <w:color w:val="auto"/>
          <w:sz w:val="24"/>
          <w:highlight w:val="none"/>
        </w:rPr>
        <w:br/>
      </w:r>
      <w:r>
        <w:rPr>
          <w:rFonts w:hint="eastAsia" w:ascii="宋体" w:hAnsi="宋体" w:eastAsia="宋体" w:cs="Times New Roman"/>
          <w:color w:val="auto"/>
          <w:sz w:val="24"/>
          <w:highlight w:val="none"/>
        </w:rPr>
        <w:t xml:space="preserve">（3）</w:t>
      </w:r>
      <w:r>
        <w:rPr>
          <w:rFonts w:hint="default" w:ascii="宋体" w:hAnsi="宋体" w:eastAsia="宋体" w:cs="Times New Roman"/>
          <w:color w:val="auto"/>
          <w:sz w:val="24"/>
          <w:highlight w:val="none"/>
        </w:rPr>
        <w:t xml:space="preserve">在树木上缠绕绳索、钉钉、架设电线电缆和照明设施；</w:t>
      </w:r>
      <w:r>
        <w:rPr>
          <w:rFonts w:hint="default" w:ascii="宋体" w:hAnsi="宋体" w:eastAsia="宋体" w:cs="Times New Roman"/>
          <w:color w:val="auto"/>
          <w:sz w:val="24"/>
          <w:highlight w:val="none"/>
        </w:rPr>
        <w:br/>
      </w:r>
      <w:r>
        <w:rPr>
          <w:rFonts w:hint="eastAsia" w:ascii="宋体" w:hAnsi="宋体" w:eastAsia="宋体" w:cs="Times New Roman"/>
          <w:color w:val="auto"/>
          <w:sz w:val="24"/>
          <w:highlight w:val="none"/>
        </w:rPr>
        <w:t xml:space="preserve">（4）</w:t>
      </w:r>
      <w:r>
        <w:rPr>
          <w:rFonts w:hint="default" w:ascii="宋体" w:hAnsi="宋体" w:eastAsia="宋体" w:cs="Times New Roman"/>
          <w:color w:val="auto"/>
          <w:sz w:val="24"/>
          <w:highlight w:val="none"/>
        </w:rPr>
        <w:t xml:space="preserve">在绿地内擅自采花摘果、采折种条、挖苗；</w:t>
      </w:r>
      <w:r>
        <w:rPr>
          <w:rFonts w:hint="default" w:ascii="宋体" w:hAnsi="宋体" w:eastAsia="宋体" w:cs="Times New Roman"/>
          <w:color w:val="auto"/>
          <w:sz w:val="24"/>
          <w:highlight w:val="none"/>
        </w:rPr>
        <w:br/>
      </w:r>
      <w:r>
        <w:rPr>
          <w:rFonts w:hint="eastAsia" w:ascii="宋体" w:hAnsi="宋体" w:eastAsia="宋体" w:cs="Times New Roman"/>
          <w:color w:val="auto"/>
          <w:sz w:val="24"/>
          <w:highlight w:val="none"/>
        </w:rPr>
        <w:t xml:space="preserve">（5）</w:t>
      </w:r>
      <w:r>
        <w:rPr>
          <w:rFonts w:hint="default" w:ascii="宋体" w:hAnsi="宋体" w:eastAsia="宋体" w:cs="Times New Roman"/>
          <w:color w:val="auto"/>
          <w:sz w:val="24"/>
          <w:highlight w:val="none"/>
        </w:rPr>
        <w:t xml:space="preserve">在绿地内擅自搭建建筑物、构筑物，围圈树木、立杆竖牌、设置广告设施；</w:t>
      </w:r>
      <w:r>
        <w:rPr>
          <w:rFonts w:hint="default" w:ascii="宋体" w:hAnsi="宋体" w:eastAsia="宋体" w:cs="Times New Roman"/>
          <w:color w:val="auto"/>
          <w:sz w:val="24"/>
          <w:highlight w:val="none"/>
        </w:rPr>
        <w:br/>
      </w:r>
      <w:r>
        <w:rPr>
          <w:rFonts w:hint="eastAsia" w:ascii="宋体" w:hAnsi="宋体" w:eastAsia="宋体" w:cs="Times New Roman"/>
          <w:color w:val="auto"/>
          <w:sz w:val="24"/>
          <w:highlight w:val="none"/>
        </w:rPr>
        <w:t xml:space="preserve">（6）</w:t>
      </w:r>
      <w:r>
        <w:rPr>
          <w:rFonts w:hint="default" w:ascii="宋体" w:hAnsi="宋体" w:eastAsia="宋体" w:cs="Times New Roman"/>
          <w:color w:val="auto"/>
          <w:sz w:val="24"/>
          <w:highlight w:val="none"/>
        </w:rPr>
        <w:t xml:space="preserve">向城市绿地内倾倒生活垃圾、建筑垃圾、有害废水等废弃物；</w:t>
      </w:r>
      <w:r>
        <w:rPr>
          <w:rFonts w:hint="default" w:ascii="宋体" w:hAnsi="宋体" w:eastAsia="宋体" w:cs="Times New Roman"/>
          <w:color w:val="auto"/>
          <w:sz w:val="24"/>
          <w:highlight w:val="none"/>
        </w:rPr>
        <w:br/>
      </w:r>
      <w:r>
        <w:rPr>
          <w:rFonts w:hint="eastAsia" w:ascii="宋体" w:hAnsi="宋体" w:eastAsia="宋体" w:cs="Times New Roman"/>
          <w:color w:val="auto"/>
          <w:sz w:val="24"/>
          <w:highlight w:val="none"/>
        </w:rPr>
        <w:t xml:space="preserve">（7）</w:t>
      </w:r>
      <w:r>
        <w:rPr>
          <w:rFonts w:hint="default" w:ascii="宋体" w:hAnsi="宋体" w:eastAsia="宋体" w:cs="Times New Roman"/>
          <w:color w:val="auto"/>
          <w:sz w:val="24"/>
          <w:highlight w:val="none"/>
        </w:rPr>
        <w:t xml:space="preserve">其他损坏城市绿化及其配套设施的行为。</w:t>
      </w:r>
      <w:r/>
    </w:p>
    <w:p>
      <w:pPr>
        <w:ind w:firstLine="480"/>
        <w:jc w:val="both"/>
        <w:spacing w:line="420" w:lineRule="exact"/>
        <w:widowControl/>
        <w:rPr>
          <w:rFonts w:hint="eastAsia" w:ascii="宋体" w:hAnsi="宋体" w:eastAsia="宋体" w:cs="Times New Roman"/>
          <w:color w:val="auto"/>
          <w:sz w:val="24"/>
          <w:highlight w:val="none"/>
        </w:rPr>
        <w:outlineLvl w:val="9"/>
      </w:pPr>
      <w:r>
        <w:rPr>
          <w:rFonts w:hint="eastAsia" w:ascii="宋体" w:hAnsi="宋体" w:eastAsia="宋体" w:cs="Times New Roman"/>
          <w:color w:val="auto"/>
          <w:sz w:val="24"/>
          <w:highlight w:val="none"/>
        </w:rPr>
        <w:t xml:space="preserve">视情况作如下处理：</w:t>
      </w:r>
      <w:r/>
    </w:p>
    <w:p>
      <w:pPr>
        <w:ind w:firstLine="480"/>
        <w:jc w:val="both"/>
        <w:spacing w:line="420" w:lineRule="exact"/>
        <w:widowControl/>
        <w:rPr>
          <w:rFonts w:hint="eastAsia" w:ascii="宋体" w:hAnsi="宋体" w:eastAsia="宋体" w:cs="Times New Roman"/>
          <w:color w:val="auto"/>
          <w:sz w:val="24"/>
          <w:highlight w:val="none"/>
        </w:rPr>
        <w:outlineLvl w:val="9"/>
      </w:pPr>
      <w:r>
        <w:rPr>
          <w:rFonts w:hint="eastAsia" w:ascii="宋体" w:hAnsi="宋体" w:eastAsia="宋体" w:cs="Times New Roman"/>
          <w:color w:val="auto"/>
          <w:sz w:val="24"/>
          <w:highlight w:val="none"/>
        </w:rPr>
        <w:t xml:space="preserve">（1）对于已经办理相关手续的开挖绿地现象，乙方应做好现场记录（包括开挖日期、地点、前后照片、开挖面积、损坏苗木及草皮数量），报甲方备案、做好事后修复工作。</w:t>
      </w:r>
      <w:r/>
    </w:p>
    <w:p>
      <w:pPr>
        <w:ind w:firstLine="480"/>
        <w:jc w:val="both"/>
        <w:spacing w:line="420" w:lineRule="exact"/>
        <w:widowControl/>
        <w:rPr>
          <w:rFonts w:hint="eastAsia" w:ascii="宋体" w:hAnsi="宋体" w:eastAsia="宋体" w:cs="Times New Roman"/>
          <w:color w:val="auto"/>
          <w:sz w:val="24"/>
          <w:highlight w:val="none"/>
        </w:rPr>
        <w:outlineLvl w:val="9"/>
      </w:pPr>
      <w:r>
        <w:rPr>
          <w:rFonts w:hint="eastAsia" w:ascii="宋体" w:hAnsi="宋体" w:eastAsia="宋体" w:cs="Times New Roman"/>
          <w:color w:val="auto"/>
          <w:sz w:val="24"/>
          <w:highlight w:val="none"/>
        </w:rPr>
        <w:t xml:space="preserve">（2）对于未办理相关手续的破坏行为，甲方为第一责任主体，可借助无锡市新吴区</w:t>
      </w:r>
      <w:r>
        <w:rPr>
          <w:rFonts w:hint="eastAsia" w:ascii="宋体" w:hAnsi="宋体" w:eastAsia="宋体" w:cs="Times New Roman"/>
          <w:color w:val="auto"/>
          <w:sz w:val="24"/>
          <w:highlight w:val="none"/>
          <w:lang w:eastAsia="zh-CN"/>
        </w:rPr>
        <w:t xml:space="preserve">江溪街道</w:t>
      </w:r>
      <w:r>
        <w:rPr>
          <w:rFonts w:hint="eastAsia" w:ascii="宋体" w:hAnsi="宋体" w:eastAsia="宋体" w:cs="Times New Roman"/>
          <w:color w:val="auto"/>
          <w:sz w:val="24"/>
          <w:highlight w:val="none"/>
        </w:rPr>
        <w:t xml:space="preserve">城管中队管理力量共同处理，并做好相关备案材料。</w:t>
      </w:r>
      <w:r/>
    </w:p>
    <w:p>
      <w:pPr>
        <w:ind w:firstLine="480"/>
        <w:jc w:val="both"/>
        <w:spacing w:line="420" w:lineRule="exact"/>
        <w:rPr>
          <w:rFonts w:hint="eastAsia" w:ascii="宋体" w:hAnsi="宋体" w:eastAsia="宋体" w:cs="Times New Roman"/>
          <w:color w:val="auto"/>
          <w:sz w:val="24"/>
          <w:highlight w:val="none"/>
        </w:rPr>
        <w:outlineLvl w:val="9"/>
      </w:pPr>
      <w:r>
        <w:rPr>
          <w:rFonts w:hint="eastAsia" w:ascii="宋体" w:hAnsi="宋体" w:eastAsia="宋体" w:cs="Times New Roman"/>
          <w:color w:val="auto"/>
          <w:sz w:val="24"/>
          <w:highlight w:val="none"/>
        </w:rPr>
        <w:t xml:space="preserve">4.5 超出常规养护范围的工作，需提前报甲方审批。</w:t>
      </w:r>
      <w:r/>
    </w:p>
    <w:p>
      <w:pPr>
        <w:ind w:firstLine="480"/>
        <w:jc w:val="both"/>
        <w:spacing w:line="420" w:lineRule="exact"/>
        <w:rPr>
          <w:rFonts w:hint="eastAsia" w:ascii="宋体" w:hAnsi="宋体" w:eastAsia="宋体" w:cs="Times New Roman"/>
          <w:color w:val="auto"/>
          <w:sz w:val="24"/>
          <w:highlight w:val="none"/>
        </w:rPr>
        <w:outlineLvl w:val="9"/>
      </w:pPr>
      <w:r>
        <w:rPr>
          <w:rFonts w:hint="eastAsia" w:ascii="宋体" w:hAnsi="宋体" w:eastAsia="宋体" w:cs="Times New Roman"/>
          <w:color w:val="auto"/>
          <w:sz w:val="24"/>
          <w:highlight w:val="none"/>
        </w:rPr>
        <w:t xml:space="preserve">4.6 及时解决来信、来访，并根据甲方要求及时处理。</w:t>
      </w:r>
      <w:r/>
    </w:p>
    <w:p>
      <w:pPr>
        <w:ind w:firstLine="480"/>
        <w:jc w:val="both"/>
        <w:spacing w:line="420" w:lineRule="exact"/>
        <w:rPr>
          <w:rFonts w:hint="eastAsia" w:ascii="宋体" w:hAnsi="宋体" w:eastAsia="宋体" w:cs="Times New Roman"/>
          <w:color w:val="auto"/>
          <w:sz w:val="24"/>
          <w:highlight w:val="none"/>
        </w:rPr>
        <w:outlineLvl w:val="9"/>
      </w:pPr>
      <w:r>
        <w:rPr>
          <w:rFonts w:hint="eastAsia" w:ascii="宋体" w:hAnsi="宋体" w:eastAsia="宋体" w:cs="Times New Roman"/>
          <w:color w:val="auto"/>
          <w:sz w:val="24"/>
          <w:highlight w:val="none"/>
        </w:rPr>
        <w:t xml:space="preserve">4.7 按时按量完成甲方交办的</w:t>
      </w:r>
      <w:r>
        <w:rPr>
          <w:rFonts w:hint="eastAsia" w:ascii="宋体" w:hAnsi="宋体" w:eastAsia="宋体" w:cs="Times New Roman"/>
          <w:color w:val="auto"/>
          <w:sz w:val="24"/>
          <w:highlight w:val="none"/>
          <w:lang w:eastAsia="zh-CN"/>
        </w:rPr>
        <w:t xml:space="preserve">其他</w:t>
      </w:r>
      <w:r>
        <w:rPr>
          <w:rFonts w:hint="eastAsia" w:ascii="宋体" w:hAnsi="宋体" w:eastAsia="宋体" w:cs="Times New Roman"/>
          <w:color w:val="auto"/>
          <w:sz w:val="24"/>
          <w:highlight w:val="none"/>
        </w:rPr>
        <w:t xml:space="preserve">突击性任务和指令性任务。</w:t>
      </w:r>
      <w:r/>
    </w:p>
    <w:p>
      <w:pPr>
        <w:ind w:firstLine="480"/>
        <w:jc w:val="both"/>
        <w:spacing w:line="420" w:lineRule="exact"/>
        <w:rPr>
          <w:rFonts w:hint="eastAsia" w:ascii="宋体" w:hAnsi="宋体" w:eastAsia="宋体" w:cs="Times New Roman"/>
          <w:color w:val="auto"/>
          <w:sz w:val="24"/>
          <w:highlight w:val="none"/>
        </w:rPr>
        <w:outlineLvl w:val="9"/>
      </w:pPr>
      <w:r>
        <w:rPr>
          <w:rFonts w:hint="eastAsia" w:ascii="宋体" w:hAnsi="宋体" w:eastAsia="宋体" w:cs="Times New Roman"/>
          <w:color w:val="auto"/>
          <w:sz w:val="24"/>
          <w:highlight w:val="none"/>
        </w:rPr>
        <w:t xml:space="preserve">4.8 加强法定节假日的正常养护维修工作。</w:t>
      </w:r>
      <w:r/>
    </w:p>
    <w:p>
      <w:pPr>
        <w:ind w:firstLine="480"/>
        <w:jc w:val="both"/>
        <w:spacing w:line="420" w:lineRule="exact"/>
        <w:rPr>
          <w:rFonts w:hint="eastAsia" w:ascii="宋体" w:hAnsi="宋体" w:eastAsia="宋体" w:cs="Times New Roman"/>
          <w:color w:val="auto"/>
          <w:sz w:val="24"/>
          <w:highlight w:val="none"/>
        </w:rPr>
        <w:outlineLvl w:val="9"/>
      </w:pPr>
      <w:r>
        <w:rPr>
          <w:rFonts w:hint="eastAsia" w:ascii="宋体" w:hAnsi="宋体" w:eastAsia="宋体" w:cs="Times New Roman"/>
          <w:color w:val="auto"/>
          <w:sz w:val="24"/>
          <w:highlight w:val="none"/>
        </w:rPr>
        <w:t xml:space="preserve">4.9 乙方应做的其他工作，双方在补充条款内约定。</w:t>
      </w:r>
      <w:r/>
    </w:p>
    <w:p>
      <w:pPr>
        <w:ind w:firstLine="480"/>
        <w:jc w:val="both"/>
        <w:spacing w:line="420" w:lineRule="exact"/>
        <w:rPr>
          <w:rFonts w:hint="eastAsia" w:ascii="宋体" w:hAnsi="宋体" w:eastAsia="宋体" w:cs="Times New Roman"/>
          <w:color w:val="auto"/>
          <w:sz w:val="24"/>
          <w:highlight w:val="none"/>
        </w:rPr>
        <w:outlineLvl w:val="9"/>
      </w:pPr>
      <w:r>
        <w:rPr>
          <w:rFonts w:hint="eastAsia" w:ascii="宋体" w:hAnsi="宋体" w:eastAsia="宋体" w:cs="Times New Roman"/>
          <w:color w:val="auto"/>
          <w:sz w:val="24"/>
          <w:highlight w:val="none"/>
        </w:rPr>
        <w:t xml:space="preserve">4.10 乙方应服从所在地的绿化行政主管部门的行业管理。</w:t>
      </w:r>
      <w:r/>
    </w:p>
    <w:p>
      <w:pPr>
        <w:ind w:firstLine="480"/>
        <w:jc w:val="both"/>
        <w:spacing w:line="420" w:lineRule="exact"/>
        <w:rPr>
          <w:rFonts w:hint="eastAsia" w:ascii="宋体" w:hAnsi="宋体" w:eastAsia="宋体" w:cs="Times New Roman"/>
          <w:color w:val="auto"/>
          <w:sz w:val="24"/>
          <w:highlight w:val="none"/>
        </w:rPr>
        <w:outlineLvl w:val="9"/>
      </w:pPr>
      <w:r>
        <w:rPr>
          <w:rFonts w:hint="eastAsia" w:ascii="宋体" w:hAnsi="宋体" w:eastAsia="宋体" w:cs="Times New Roman"/>
          <w:color w:val="auto"/>
          <w:sz w:val="24"/>
          <w:highlight w:val="none"/>
        </w:rPr>
        <w:t xml:space="preserve">5 进度计划</w:t>
      </w:r>
      <w:r/>
    </w:p>
    <w:p>
      <w:pPr>
        <w:ind w:firstLine="480"/>
        <w:jc w:val="both"/>
        <w:spacing w:line="420" w:lineRule="exact"/>
        <w:rPr>
          <w:rFonts w:hint="eastAsia" w:ascii="宋体" w:hAnsi="宋体" w:eastAsia="宋体" w:cs="Times New Roman"/>
          <w:color w:val="auto"/>
          <w:sz w:val="24"/>
          <w:highlight w:val="none"/>
        </w:rPr>
        <w:outlineLvl w:val="9"/>
      </w:pPr>
      <w:r>
        <w:rPr>
          <w:rFonts w:hint="eastAsia" w:ascii="宋体" w:hAnsi="宋体" w:eastAsia="宋体" w:cs="Times New Roman"/>
          <w:color w:val="auto"/>
          <w:sz w:val="24"/>
          <w:highlight w:val="none"/>
        </w:rPr>
        <w:t xml:space="preserve">5.1 乙方在本合同生效后15天内上报全年养护作业计划，并结合季节特点和绿化状况，制定季度、月度养护计划在当季度、月度10天前送交甲方。甲方在7天内予以确认。</w:t>
      </w:r>
      <w:r/>
    </w:p>
    <w:p>
      <w:pPr>
        <w:ind w:firstLine="480"/>
        <w:jc w:val="both"/>
        <w:spacing w:line="420" w:lineRule="exact"/>
        <w:rPr>
          <w:rFonts w:hint="eastAsia" w:ascii="宋体" w:hAnsi="宋体" w:eastAsia="宋体" w:cs="Times New Roman"/>
          <w:color w:val="auto"/>
          <w:sz w:val="24"/>
          <w:highlight w:val="none"/>
        </w:rPr>
        <w:outlineLvl w:val="9"/>
      </w:pPr>
      <w:r>
        <w:rPr>
          <w:rFonts w:hint="eastAsia" w:ascii="宋体" w:hAnsi="宋体" w:eastAsia="宋体" w:cs="Times New Roman"/>
          <w:color w:val="auto"/>
          <w:sz w:val="24"/>
          <w:highlight w:val="none"/>
        </w:rPr>
        <w:t xml:space="preserve">5.2 乙方必须按甲方确认的进度计划组织养护作业，接受甲方对进度的检查、监督。养护作业实际进度与经确认的进度计划不一致时，乙方应按甲方的要求提出改进措施，经甲方代表确认后执行。因乙方的原因导致实际进度与计划进度不符，乙方无权就改进措施提出追加合同价款。</w:t>
      </w:r>
      <w:r/>
    </w:p>
    <w:p>
      <w:pPr>
        <w:ind w:firstLine="480"/>
        <w:jc w:val="both"/>
        <w:spacing w:line="420" w:lineRule="exact"/>
        <w:rPr>
          <w:rFonts w:hint="eastAsia" w:ascii="宋体" w:hAnsi="宋体" w:eastAsia="宋体" w:cs="Times New Roman"/>
          <w:color w:val="auto"/>
          <w:sz w:val="24"/>
          <w:highlight w:val="none"/>
        </w:rPr>
        <w:outlineLvl w:val="9"/>
      </w:pPr>
      <w:r>
        <w:rPr>
          <w:rFonts w:hint="eastAsia" w:ascii="宋体" w:hAnsi="宋体" w:eastAsia="宋体" w:cs="Times New Roman"/>
          <w:color w:val="auto"/>
          <w:sz w:val="24"/>
          <w:highlight w:val="none"/>
        </w:rPr>
        <w:t xml:space="preserve">6 质量要求</w:t>
      </w:r>
      <w:r/>
    </w:p>
    <w:p>
      <w:pPr>
        <w:ind w:firstLine="480"/>
        <w:jc w:val="both"/>
        <w:spacing w:line="420" w:lineRule="exact"/>
        <w:rPr>
          <w:rFonts w:hint="eastAsia" w:ascii="宋体" w:hAnsi="宋体" w:eastAsia="宋体" w:cs="Times New Roman"/>
          <w:color w:val="auto"/>
          <w:sz w:val="24"/>
          <w:highlight w:val="none"/>
        </w:rPr>
        <w:outlineLvl w:val="9"/>
      </w:pPr>
      <w:r>
        <w:rPr>
          <w:rFonts w:hint="eastAsia" w:ascii="宋体" w:hAnsi="宋体" w:eastAsia="宋体" w:cs="Times New Roman"/>
          <w:color w:val="auto"/>
          <w:sz w:val="24"/>
          <w:highlight w:val="none"/>
          <w:lang w:val="en-US" w:eastAsia="zh-CN"/>
        </w:rPr>
        <w:t xml:space="preserve">6.1</w:t>
      </w:r>
      <w:r>
        <w:rPr>
          <w:rFonts w:hint="eastAsia" w:ascii="宋体" w:hAnsi="宋体" w:eastAsia="宋体" w:cs="Times New Roman"/>
          <w:color w:val="auto"/>
          <w:sz w:val="24"/>
          <w:highlight w:val="none"/>
        </w:rPr>
        <w:t xml:space="preserve">养护维修质量要求参照本项目招标文件约定的质量标准。因乙方原因养护质量达不到约定的质量标准，乙方承担违约责任。</w:t>
      </w:r>
      <w:r/>
    </w:p>
    <w:p>
      <w:pPr>
        <w:ind w:firstLine="480"/>
        <w:jc w:val="both"/>
        <w:spacing w:line="420" w:lineRule="exact"/>
        <w:rPr>
          <w:rFonts w:hint="eastAsia" w:ascii="宋体" w:hAnsi="宋体" w:eastAsia="宋体" w:cs="Times New Roman"/>
          <w:color w:val="auto"/>
          <w:sz w:val="24"/>
          <w:highlight w:val="none"/>
          <w:lang w:eastAsia="zh-CN"/>
        </w:rPr>
        <w:outlineLvl w:val="9"/>
      </w:pPr>
      <w:r>
        <w:rPr>
          <w:rFonts w:hint="eastAsia" w:ascii="宋体" w:hAnsi="宋体" w:eastAsia="宋体" w:cs="Times New Roman"/>
          <w:color w:val="auto"/>
          <w:sz w:val="24"/>
          <w:highlight w:val="none"/>
          <w:lang w:val="en-US" w:eastAsia="zh-CN"/>
        </w:rPr>
        <w:t xml:space="preserve">6.2</w:t>
      </w:r>
      <w:r>
        <w:rPr>
          <w:rFonts w:hint="eastAsia" w:ascii="宋体" w:hAnsi="宋体" w:eastAsia="宋体" w:cs="Times New Roman"/>
          <w:color w:val="auto"/>
          <w:sz w:val="24"/>
          <w:highlight w:val="none"/>
        </w:rPr>
        <w:t xml:space="preserve">养护作业要求</w:t>
      </w:r>
      <w:r>
        <w:rPr>
          <w:rFonts w:hint="eastAsia" w:ascii="宋体" w:hAnsi="宋体" w:eastAsia="宋体" w:cs="Times New Roman"/>
          <w:color w:val="auto"/>
          <w:sz w:val="24"/>
          <w:highlight w:val="none"/>
          <w:lang w:eastAsia="zh-CN"/>
        </w:rPr>
        <w:t xml:space="preserve">：</w:t>
      </w:r>
      <w:r/>
    </w:p>
    <w:p>
      <w:pPr>
        <w:ind w:firstLine="480"/>
        <w:jc w:val="both"/>
        <w:spacing w:line="420" w:lineRule="exact"/>
        <w:rPr>
          <w:rFonts w:hint="eastAsia" w:ascii="宋体" w:hAnsi="宋体" w:eastAsia="宋体" w:cs="Times New Roman"/>
          <w:color w:val="auto"/>
          <w:sz w:val="24"/>
          <w:highlight w:val="none"/>
        </w:rPr>
        <w:outlineLvl w:val="9"/>
      </w:pPr>
      <w:r>
        <w:rPr>
          <w:rFonts w:hint="eastAsia" w:ascii="宋体" w:hAnsi="宋体" w:eastAsia="宋体" w:cs="Times New Roman"/>
          <w:color w:val="auto"/>
          <w:sz w:val="24"/>
          <w:highlight w:val="none"/>
        </w:rPr>
        <w:t xml:space="preserve">根据甲方对养护作业的相关要求，乙方应自行组织相应的养护作业工作。养护作业要求包括一般履约要求和重点履约要求，一般履约要求主要包含日常养护的作业要求，</w:t>
      </w:r>
      <w:r>
        <w:rPr>
          <w:rFonts w:hint="eastAsia" w:ascii="宋体" w:hAnsi="宋体" w:eastAsia="宋体" w:cs="Times New Roman"/>
          <w:color w:val="auto"/>
          <w:sz w:val="24"/>
          <w:highlight w:val="none"/>
          <w:lang w:eastAsia="zh-CN"/>
        </w:rPr>
        <w:t xml:space="preserve">参照《江苏省城市园林绿化植物养护技术规定》一级绿地养护水平的</w:t>
      </w:r>
      <w:r>
        <w:rPr>
          <w:rFonts w:hint="eastAsia" w:ascii="宋体" w:hAnsi="宋体" w:eastAsia="宋体" w:cs="Times New Roman"/>
          <w:color w:val="auto"/>
          <w:sz w:val="24"/>
          <w:highlight w:val="none"/>
        </w:rPr>
        <w:t xml:space="preserve">要求执行。</w:t>
      </w:r>
      <w:r/>
    </w:p>
    <w:p>
      <w:pPr>
        <w:ind w:firstLine="480"/>
        <w:jc w:val="both"/>
        <w:spacing w:line="420" w:lineRule="exact"/>
        <w:rPr>
          <w:rFonts w:hint="eastAsia" w:ascii="宋体" w:hAnsi="宋体" w:eastAsia="宋体" w:cs="Times New Roman"/>
          <w:color w:val="auto"/>
          <w:sz w:val="24"/>
          <w:highlight w:val="none"/>
          <w:lang w:eastAsia="zh-CN"/>
        </w:rPr>
        <w:outlineLvl w:val="9"/>
      </w:pPr>
      <w:r>
        <w:rPr>
          <w:rFonts w:hint="eastAsia" w:ascii="宋体" w:hAnsi="宋体" w:eastAsia="宋体" w:cs="Times New Roman"/>
          <w:color w:val="auto"/>
          <w:sz w:val="24"/>
          <w:highlight w:val="none"/>
        </w:rPr>
        <w:t xml:space="preserve">重点履约要求包括绿地完整性、计划进度、日常巡查、重点养护作业事项四个方面</w:t>
      </w:r>
      <w:r>
        <w:rPr>
          <w:rFonts w:hint="eastAsia" w:ascii="宋体" w:hAnsi="宋体" w:eastAsia="宋体" w:cs="Times New Roman"/>
          <w:color w:val="auto"/>
          <w:sz w:val="24"/>
          <w:highlight w:val="none"/>
          <w:lang w:eastAsia="zh-CN"/>
        </w:rPr>
        <w:t xml:space="preserve">：</w:t>
      </w:r>
      <w:r/>
    </w:p>
    <w:p>
      <w:pPr>
        <w:ind w:firstLine="480"/>
        <w:jc w:val="both"/>
        <w:spacing w:line="420" w:lineRule="exact"/>
        <w:rPr>
          <w:rFonts w:hint="eastAsia" w:ascii="宋体" w:hAnsi="宋体" w:eastAsia="宋体" w:cs="Times New Roman"/>
          <w:color w:val="auto"/>
          <w:sz w:val="24"/>
          <w:highlight w:val="none"/>
        </w:rPr>
        <w:outlineLvl w:val="9"/>
      </w:pP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lang w:val="en-US" w:eastAsia="zh-CN"/>
        </w:rPr>
        <w:t xml:space="preserve">1</w:t>
      </w: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rPr>
        <w:t xml:space="preserve">绿地完整性</w:t>
      </w:r>
      <w:r/>
    </w:p>
    <w:p>
      <w:pPr>
        <w:ind w:firstLine="480"/>
        <w:jc w:val="both"/>
        <w:spacing w:line="420" w:lineRule="exact"/>
        <w:rPr>
          <w:rFonts w:hint="eastAsia" w:ascii="宋体" w:hAnsi="宋体" w:eastAsia="宋体" w:cs="Times New Roman"/>
          <w:color w:val="auto"/>
          <w:sz w:val="24"/>
          <w:highlight w:val="none"/>
        </w:rPr>
        <w:outlineLvl w:val="9"/>
      </w:pPr>
      <w:r>
        <w:rPr>
          <w:rFonts w:hint="eastAsia" w:ascii="宋体" w:hAnsi="宋体" w:eastAsia="宋体" w:cs="Times New Roman"/>
          <w:color w:val="auto"/>
          <w:sz w:val="24"/>
          <w:highlight w:val="none"/>
        </w:rPr>
        <w:t xml:space="preserve">绿地完整性包括绿地边界清晰、绿地无明显空秃等情况。</w:t>
      </w:r>
      <w:r/>
    </w:p>
    <w:p>
      <w:pPr>
        <w:ind w:firstLine="480"/>
        <w:jc w:val="both"/>
        <w:spacing w:line="420" w:lineRule="exact"/>
        <w:rPr>
          <w:rFonts w:hint="eastAsia" w:ascii="宋体" w:hAnsi="宋体" w:eastAsia="宋体" w:cs="Times New Roman"/>
          <w:color w:val="auto"/>
          <w:sz w:val="24"/>
          <w:highlight w:val="none"/>
        </w:rPr>
        <w:outlineLvl w:val="9"/>
      </w:pPr>
      <w:r>
        <w:rPr>
          <w:rFonts w:hint="eastAsia" w:ascii="宋体" w:hAnsi="宋体" w:eastAsia="宋体" w:cs="Times New Roman"/>
          <w:color w:val="auto"/>
          <w:sz w:val="24"/>
          <w:highlight w:val="none"/>
        </w:rPr>
        <w:t xml:space="preserve">合同签订后，乙方应对管辖绿地内的界桩、公示牌或（分界线）进行普查，补齐缺少或破损的界桩、公示牌或（分界线</w:t>
      </w: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rPr>
        <w:t xml:space="preserve">，确保养护期内管辖绿地范围边界清晰明确。</w:t>
      </w:r>
      <w:r/>
    </w:p>
    <w:p>
      <w:pPr>
        <w:ind w:firstLine="480"/>
        <w:jc w:val="both"/>
        <w:spacing w:line="420" w:lineRule="exact"/>
        <w:rPr>
          <w:rFonts w:hint="eastAsia" w:ascii="宋体" w:hAnsi="宋体" w:eastAsia="宋体" w:cs="Times New Roman"/>
          <w:color w:val="auto"/>
          <w:sz w:val="24"/>
          <w:highlight w:val="none"/>
        </w:rPr>
        <w:outlineLvl w:val="9"/>
      </w:pPr>
      <w:r>
        <w:rPr>
          <w:rFonts w:hint="eastAsia" w:ascii="宋体" w:hAnsi="宋体" w:eastAsia="宋体" w:cs="Times New Roman"/>
          <w:color w:val="auto"/>
          <w:sz w:val="24"/>
          <w:highlight w:val="none"/>
        </w:rPr>
        <w:t xml:space="preserve">绿地无明显空秃是指游园（或生态公园）、道路中分带、机非带或边绿地向内三米线范围内绿地无明显空秃。</w:t>
      </w:r>
      <w:r/>
    </w:p>
    <w:p>
      <w:pPr>
        <w:ind w:firstLine="480"/>
        <w:jc w:val="both"/>
        <w:spacing w:line="420" w:lineRule="exact"/>
        <w:rPr>
          <w:rFonts w:hint="eastAsia" w:ascii="宋体" w:hAnsi="宋体" w:eastAsia="宋体" w:cs="Times New Roman"/>
          <w:color w:val="auto"/>
          <w:sz w:val="24"/>
          <w:highlight w:val="none"/>
        </w:rPr>
        <w:outlineLvl w:val="9"/>
      </w:pP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lang w:val="en-US" w:eastAsia="zh-CN"/>
        </w:rPr>
        <w:t xml:space="preserve">2</w:t>
      </w: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rPr>
        <w:t xml:space="preserve">计划进度</w:t>
      </w:r>
      <w:r/>
    </w:p>
    <w:p>
      <w:pPr>
        <w:ind w:firstLine="480"/>
        <w:jc w:val="both"/>
        <w:spacing w:line="420" w:lineRule="exact"/>
        <w:rPr>
          <w:rFonts w:hint="eastAsia" w:ascii="宋体" w:hAnsi="宋体" w:eastAsia="宋体" w:cs="Times New Roman"/>
          <w:color w:val="auto"/>
          <w:sz w:val="24"/>
          <w:highlight w:val="none"/>
        </w:rPr>
        <w:outlineLvl w:val="9"/>
      </w:pPr>
      <w:r>
        <w:rPr>
          <w:rFonts w:hint="eastAsia" w:ascii="宋体" w:hAnsi="宋体" w:eastAsia="宋体" w:cs="Times New Roman"/>
          <w:color w:val="auto"/>
          <w:sz w:val="24"/>
          <w:highlight w:val="none"/>
        </w:rPr>
        <w:t xml:space="preserve">乙方在本合同生效后</w:t>
      </w:r>
      <w:r>
        <w:rPr>
          <w:rFonts w:hint="eastAsia" w:ascii="宋体" w:hAnsi="宋体" w:eastAsia="宋体" w:cs="Times New Roman"/>
          <w:color w:val="auto"/>
          <w:sz w:val="24"/>
          <w:highlight w:val="none"/>
          <w:lang w:eastAsia="zh-CN"/>
        </w:rPr>
        <w:t xml:space="preserve">按照甲方要求及时</w:t>
      </w:r>
      <w:r>
        <w:rPr>
          <w:rFonts w:hint="eastAsia" w:ascii="宋体" w:hAnsi="宋体" w:eastAsia="宋体" w:cs="Times New Roman"/>
          <w:color w:val="auto"/>
          <w:sz w:val="24"/>
          <w:highlight w:val="none"/>
        </w:rPr>
        <w:t xml:space="preserve">上报全年养护作业计划和该</w:t>
      </w:r>
      <w:r>
        <w:rPr>
          <w:rFonts w:hint="eastAsia" w:ascii="宋体" w:hAnsi="宋体" w:eastAsia="宋体" w:cs="Times New Roman"/>
          <w:color w:val="auto"/>
          <w:sz w:val="24"/>
          <w:highlight w:val="none"/>
          <w:lang w:val="en-US" w:eastAsia="zh-CN"/>
        </w:rPr>
        <w:t xml:space="preserve">项目</w:t>
      </w:r>
      <w:r>
        <w:rPr>
          <w:rFonts w:hint="eastAsia" w:ascii="宋体" w:hAnsi="宋体" w:eastAsia="宋体" w:cs="Times New Roman"/>
          <w:color w:val="auto"/>
          <w:sz w:val="24"/>
          <w:highlight w:val="none"/>
        </w:rPr>
        <w:t xml:space="preserve">养护管理人员网络组成表，并结合季节特点和绿化状况，制定季度、月度养护计划、材料计划送交甲方。</w:t>
      </w:r>
      <w:r/>
    </w:p>
    <w:p>
      <w:pPr>
        <w:ind w:firstLine="480"/>
        <w:jc w:val="both"/>
        <w:spacing w:line="420" w:lineRule="exact"/>
        <w:rPr>
          <w:rFonts w:hint="eastAsia" w:ascii="宋体" w:hAnsi="宋体" w:eastAsia="宋体" w:cs="Times New Roman"/>
          <w:color w:val="auto"/>
          <w:sz w:val="24"/>
          <w:highlight w:val="none"/>
        </w:rPr>
        <w:outlineLvl w:val="9"/>
      </w:pPr>
      <w:r>
        <w:rPr>
          <w:rFonts w:hint="eastAsia" w:ascii="宋体" w:hAnsi="宋体" w:eastAsia="宋体" w:cs="Times New Roman"/>
          <w:color w:val="auto"/>
          <w:sz w:val="24"/>
          <w:highlight w:val="none"/>
        </w:rPr>
        <w:t xml:space="preserve">乙方在制作养护年度、月度、周计划时，应保证计划的科学合理性，并保证实际作业与计划的符合。如因不可抗力因素，导致乙方实际作业与计划不相符合，乙方应在3个工作日内以书面形式告知甲方，并征得甲方同意后方可更新作业计划。</w:t>
      </w:r>
      <w:r/>
    </w:p>
    <w:p>
      <w:pPr>
        <w:ind w:firstLine="480"/>
        <w:jc w:val="both"/>
        <w:spacing w:line="420" w:lineRule="exact"/>
        <w:rPr>
          <w:rFonts w:hint="eastAsia" w:ascii="宋体" w:hAnsi="宋体" w:eastAsia="宋体" w:cs="Times New Roman"/>
          <w:color w:val="auto"/>
          <w:sz w:val="24"/>
          <w:highlight w:val="none"/>
        </w:rPr>
        <w:outlineLvl w:val="9"/>
      </w:pP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rPr>
        <w:t xml:space="preserve">日常巡查</w:t>
      </w:r>
      <w:r/>
    </w:p>
    <w:p>
      <w:pPr>
        <w:ind w:firstLine="480"/>
        <w:jc w:val="both"/>
        <w:spacing w:line="420" w:lineRule="exact"/>
        <w:rPr>
          <w:rFonts w:hint="eastAsia" w:ascii="宋体" w:hAnsi="宋体" w:eastAsia="宋体" w:cs="Times New Roman"/>
          <w:color w:val="auto"/>
          <w:sz w:val="24"/>
          <w:highlight w:val="none"/>
        </w:rPr>
        <w:outlineLvl w:val="9"/>
      </w:pPr>
      <w:r>
        <w:rPr>
          <w:rFonts w:hint="eastAsia" w:ascii="宋体" w:hAnsi="宋体" w:eastAsia="宋体" w:cs="Times New Roman"/>
          <w:color w:val="auto"/>
          <w:sz w:val="24"/>
          <w:highlight w:val="none"/>
        </w:rPr>
        <w:t xml:space="preserve">乙方应该建立相应的绿地巡查制度，并配备专职的巡查员。</w:t>
      </w:r>
      <w:r/>
    </w:p>
    <w:p>
      <w:pPr>
        <w:ind w:firstLine="480"/>
        <w:jc w:val="both"/>
        <w:spacing w:line="420" w:lineRule="exact"/>
        <w:rPr>
          <w:rFonts w:hint="eastAsia" w:ascii="宋体" w:hAnsi="宋体" w:eastAsia="宋体" w:cs="Times New Roman"/>
          <w:color w:val="auto"/>
          <w:sz w:val="24"/>
          <w:highlight w:val="none"/>
        </w:rPr>
        <w:outlineLvl w:val="9"/>
      </w:pPr>
      <w:r>
        <w:rPr>
          <w:rFonts w:hint="eastAsia" w:ascii="宋体" w:hAnsi="宋体" w:eastAsia="宋体" w:cs="Times New Roman"/>
          <w:color w:val="auto"/>
          <w:sz w:val="24"/>
          <w:highlight w:val="none"/>
        </w:rPr>
        <w:t xml:space="preserve">乙方巡查员应加强日常巡查，24小时内完成一遍中标绿地全覆盖巡查。发现毁绿、占绿的行为必须当场制止，并在24小时内将毁绿、占绿情况上报给甲方。</w:t>
      </w:r>
      <w:r/>
    </w:p>
    <w:p>
      <w:pPr>
        <w:ind w:firstLine="480"/>
        <w:jc w:val="both"/>
        <w:spacing w:line="420" w:lineRule="exact"/>
        <w:rPr>
          <w:rFonts w:hint="eastAsia" w:ascii="宋体" w:hAnsi="宋体" w:eastAsia="宋体" w:cs="Times New Roman"/>
          <w:color w:val="auto"/>
          <w:sz w:val="24"/>
          <w:highlight w:val="none"/>
        </w:rPr>
        <w:outlineLvl w:val="9"/>
      </w:pPr>
      <w:r>
        <w:rPr>
          <w:rFonts w:hint="eastAsia" w:ascii="宋体" w:hAnsi="宋体" w:eastAsia="宋体" w:cs="Times New Roman"/>
          <w:color w:val="auto"/>
          <w:sz w:val="24"/>
          <w:highlight w:val="none"/>
        </w:rPr>
        <w:t xml:space="preserve">乙方对已经审批处于临占状态的绿地负有监管职责，应定期对临占绿地进行巡查，发现施工过程中绿地管理不规范的应及时制止并告知改正，对不按照要求进行整改的应在24小时内上报给甲方；</w:t>
      </w:r>
      <w:r/>
    </w:p>
    <w:p>
      <w:pPr>
        <w:ind w:firstLine="480"/>
        <w:jc w:val="both"/>
        <w:spacing w:line="420" w:lineRule="exact"/>
        <w:rPr>
          <w:rFonts w:hint="eastAsia" w:ascii="宋体" w:hAnsi="宋体" w:eastAsia="宋体" w:cs="Times New Roman"/>
          <w:color w:val="auto"/>
          <w:sz w:val="24"/>
          <w:highlight w:val="none"/>
        </w:rPr>
        <w:outlineLvl w:val="9"/>
      </w:pP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rPr>
        <w:t xml:space="preserve">重点养护作业事项</w:t>
      </w:r>
      <w:r/>
    </w:p>
    <w:p>
      <w:pPr>
        <w:ind w:firstLine="480"/>
        <w:jc w:val="both"/>
        <w:spacing w:line="420" w:lineRule="exact"/>
        <w:rPr>
          <w:rFonts w:hint="eastAsia" w:ascii="宋体" w:hAnsi="宋体" w:eastAsia="宋体" w:cs="Times New Roman"/>
          <w:color w:val="auto"/>
          <w:sz w:val="24"/>
          <w:highlight w:val="none"/>
        </w:rPr>
        <w:outlineLvl w:val="9"/>
      </w:pPr>
      <w:r>
        <w:rPr>
          <w:rFonts w:hint="eastAsia" w:ascii="宋体" w:hAnsi="宋体" w:eastAsia="宋体" w:cs="Times New Roman"/>
          <w:color w:val="auto"/>
          <w:sz w:val="24"/>
          <w:highlight w:val="none"/>
        </w:rPr>
        <w:t xml:space="preserve">重点养护作业事项包括草花种植、草坪养护、疏林工程、病虫害防治</w:t>
      </w:r>
      <w:r>
        <w:rPr>
          <w:rFonts w:hint="eastAsia" w:ascii="宋体" w:hAnsi="宋体" w:eastAsia="宋体" w:cs="Times New Roman"/>
          <w:color w:val="auto"/>
          <w:sz w:val="24"/>
          <w:highlight w:val="none"/>
          <w:lang w:eastAsia="zh-CN"/>
        </w:rPr>
        <w:t xml:space="preserve">及</w:t>
      </w:r>
      <w:r>
        <w:rPr>
          <w:rFonts w:hint="eastAsia" w:ascii="宋体" w:hAnsi="宋体" w:eastAsia="宋体" w:cs="Times New Roman"/>
          <w:color w:val="auto"/>
          <w:sz w:val="24"/>
          <w:highlight w:val="none"/>
        </w:rPr>
        <w:t xml:space="preserve">行道树修剪及补植。</w:t>
      </w:r>
      <w:r/>
    </w:p>
    <w:p>
      <w:pPr>
        <w:ind w:firstLine="480"/>
        <w:jc w:val="both"/>
        <w:spacing w:line="420" w:lineRule="exact"/>
        <w:rPr>
          <w:rFonts w:hint="eastAsia" w:ascii="宋体" w:hAnsi="宋体" w:eastAsia="宋体" w:cs="Times New Roman"/>
          <w:color w:val="auto"/>
          <w:sz w:val="24"/>
          <w:highlight w:val="none"/>
        </w:rPr>
        <w:outlineLvl w:val="9"/>
      </w:pPr>
      <w:r>
        <w:rPr>
          <w:rFonts w:hint="eastAsia" w:ascii="宋体" w:hAnsi="宋体" w:eastAsia="宋体" w:cs="Times New Roman"/>
          <w:color w:val="auto"/>
          <w:sz w:val="24"/>
          <w:highlight w:val="none"/>
        </w:rPr>
        <w:t xml:space="preserve">作业事项</w:t>
      </w:r>
      <w:r>
        <w:rPr>
          <w:rFonts w:hint="eastAsia" w:ascii="宋体" w:hAnsi="宋体" w:eastAsia="宋体" w:cs="Times New Roman"/>
          <w:color w:val="auto"/>
          <w:sz w:val="24"/>
          <w:highlight w:val="none"/>
          <w:lang w:eastAsia="zh-CN"/>
        </w:rPr>
        <w:t xml:space="preserve">考核详见</w:t>
      </w:r>
      <w:r>
        <w:rPr>
          <w:rFonts w:hint="eastAsia" w:ascii="宋体" w:hAnsi="宋体" w:eastAsia="宋体" w:cs="Times New Roman"/>
          <w:color w:val="auto"/>
          <w:sz w:val="24"/>
          <w:highlight w:val="none"/>
          <w:lang w:val="en-US" w:eastAsia="zh-CN"/>
        </w:rPr>
        <w:t xml:space="preserve">附件</w:t>
      </w:r>
      <w:r>
        <w:rPr>
          <w:rFonts w:hint="eastAsia" w:ascii="宋体" w:hAnsi="宋体" w:eastAsia="宋体" w:cs="Times New Roman"/>
          <w:color w:val="auto"/>
          <w:sz w:val="24"/>
          <w:highlight w:val="none"/>
          <w:lang w:eastAsia="zh-CN"/>
        </w:rPr>
        <w:t xml:space="preserve">。</w:t>
      </w:r>
      <w:r/>
    </w:p>
    <w:p>
      <w:pPr>
        <w:ind w:firstLine="480"/>
        <w:jc w:val="both"/>
        <w:spacing w:line="420" w:lineRule="exact"/>
        <w:rPr>
          <w:rFonts w:hint="eastAsia" w:ascii="宋体" w:hAnsi="宋体" w:eastAsia="宋体" w:cs="Times New Roman"/>
          <w:color w:val="auto"/>
          <w:sz w:val="24"/>
          <w:highlight w:val="none"/>
        </w:rPr>
        <w:outlineLvl w:val="9"/>
      </w:pPr>
      <w:r>
        <w:rPr>
          <w:rFonts w:hint="eastAsia" w:ascii="宋体" w:hAnsi="宋体" w:eastAsia="宋体" w:cs="Times New Roman"/>
          <w:color w:val="auto"/>
          <w:sz w:val="24"/>
          <w:highlight w:val="none"/>
        </w:rPr>
        <w:t xml:space="preserve">7 检查和考核</w:t>
      </w:r>
      <w:r/>
    </w:p>
    <w:p>
      <w:pPr>
        <w:ind w:firstLine="480"/>
        <w:jc w:val="both"/>
        <w:spacing w:line="420" w:lineRule="exact"/>
        <w:rPr>
          <w:rFonts w:hint="eastAsia" w:ascii="宋体" w:hAnsi="宋体" w:eastAsia="宋体" w:cs="Times New Roman"/>
          <w:color w:val="auto"/>
          <w:sz w:val="24"/>
          <w:highlight w:val="none"/>
        </w:rPr>
        <w:outlineLvl w:val="9"/>
      </w:pPr>
      <w:r>
        <w:rPr>
          <w:rFonts w:hint="eastAsia" w:ascii="宋体" w:hAnsi="宋体" w:eastAsia="宋体" w:cs="Times New Roman"/>
          <w:color w:val="auto"/>
          <w:sz w:val="24"/>
          <w:highlight w:val="none"/>
        </w:rPr>
        <w:t xml:space="preserve">7.1 乙方应认真按照本项目招标文件约定的质量标准进行养护，随时接受甲方的检查和考核，为检查和考核提供便利条件。</w:t>
      </w:r>
      <w:r/>
    </w:p>
    <w:p>
      <w:pPr>
        <w:ind w:firstLine="480"/>
        <w:jc w:val="both"/>
        <w:spacing w:line="420" w:lineRule="exact"/>
        <w:rPr>
          <w:rFonts w:hint="eastAsia" w:ascii="宋体" w:hAnsi="宋体" w:eastAsia="宋体" w:cs="Times New Roman"/>
          <w:color w:val="auto"/>
          <w:sz w:val="24"/>
          <w:highlight w:val="none"/>
        </w:rPr>
        <w:outlineLvl w:val="9"/>
      </w:pPr>
      <w:r>
        <w:rPr>
          <w:rFonts w:hint="eastAsia" w:ascii="宋体" w:hAnsi="宋体" w:eastAsia="宋体" w:cs="Times New Roman"/>
          <w:color w:val="auto"/>
          <w:sz w:val="24"/>
          <w:highlight w:val="none"/>
        </w:rPr>
        <w:t xml:space="preserve">7.2 对于养护质量不符合要求的，甲方先通知整改，乙方在三天内不整改的或整改效果不符合要求的，由甲方派其他队伍整改，费用在乙方养护费中扣除。</w:t>
      </w:r>
      <w:r/>
    </w:p>
    <w:p>
      <w:pPr>
        <w:ind w:firstLine="480"/>
        <w:jc w:val="both"/>
        <w:spacing w:line="420" w:lineRule="exact"/>
        <w:rPr>
          <w:rFonts w:hint="eastAsia" w:ascii="宋体" w:hAnsi="宋体" w:eastAsia="宋体" w:cs="Times New Roman"/>
          <w:color w:val="auto"/>
          <w:sz w:val="24"/>
          <w:highlight w:val="none"/>
        </w:rPr>
        <w:outlineLvl w:val="9"/>
      </w:pPr>
      <w:r>
        <w:rPr>
          <w:rFonts w:hint="eastAsia" w:ascii="宋体" w:hAnsi="宋体" w:eastAsia="宋体" w:cs="Times New Roman"/>
          <w:color w:val="auto"/>
          <w:sz w:val="24"/>
          <w:highlight w:val="none"/>
        </w:rPr>
        <w:t xml:space="preserve">8 安全文明施工与检查</w:t>
      </w:r>
      <w:r/>
    </w:p>
    <w:p>
      <w:pPr>
        <w:ind w:firstLine="480"/>
        <w:jc w:val="both"/>
        <w:spacing w:line="420" w:lineRule="exact"/>
        <w:rPr>
          <w:rFonts w:hint="eastAsia" w:ascii="宋体" w:hAnsi="宋体" w:eastAsia="宋体" w:cs="Times New Roman"/>
          <w:color w:val="auto"/>
          <w:sz w:val="24"/>
          <w:highlight w:val="none"/>
        </w:rPr>
        <w:outlineLvl w:val="9"/>
      </w:pPr>
      <w:r>
        <w:rPr>
          <w:rFonts w:hint="eastAsia" w:ascii="宋体" w:hAnsi="宋体" w:eastAsia="宋体" w:cs="Times New Roman"/>
          <w:color w:val="auto"/>
          <w:sz w:val="24"/>
          <w:highlight w:val="none"/>
        </w:rPr>
        <w:t xml:space="preserve">8.1 乙方应做好养护作业管理区内的安全管理工作，并随时接受甲方或行业安全检查人员依法实施的监察检查，采取必要的安全防护措施，消除事故隐患。</w:t>
      </w:r>
      <w:r/>
    </w:p>
    <w:p>
      <w:pPr>
        <w:ind w:firstLine="480"/>
        <w:jc w:val="both"/>
        <w:spacing w:line="420" w:lineRule="exact"/>
        <w:rPr>
          <w:rFonts w:hint="eastAsia" w:ascii="宋体" w:hAnsi="宋体" w:eastAsia="宋体" w:cs="Times New Roman"/>
          <w:color w:val="auto"/>
          <w:sz w:val="24"/>
          <w:highlight w:val="none"/>
        </w:rPr>
        <w:outlineLvl w:val="9"/>
      </w:pPr>
      <w:r>
        <w:rPr>
          <w:rFonts w:hint="eastAsia" w:ascii="宋体" w:hAnsi="宋体" w:eastAsia="宋体" w:cs="Times New Roman"/>
          <w:color w:val="auto"/>
          <w:sz w:val="24"/>
          <w:highlight w:val="none"/>
        </w:rPr>
        <w:t xml:space="preserve">8.2 由于乙方管理不善，引起政府职能部门处罚和停工整改，或安全措施不力造成事故的责任和因此发生的费用，由乙方承担。</w:t>
      </w:r>
      <w:r/>
    </w:p>
    <w:p>
      <w:pPr>
        <w:ind w:firstLine="480"/>
        <w:jc w:val="both"/>
        <w:spacing w:line="420" w:lineRule="exact"/>
        <w:rPr>
          <w:rFonts w:hint="eastAsia" w:ascii="宋体" w:hAnsi="宋体" w:eastAsia="宋体" w:cs="Times New Roman"/>
          <w:color w:val="auto"/>
          <w:sz w:val="24"/>
          <w:highlight w:val="none"/>
        </w:rPr>
        <w:outlineLvl w:val="9"/>
      </w:pPr>
      <w:r>
        <w:rPr>
          <w:rFonts w:hint="eastAsia" w:ascii="宋体" w:hAnsi="宋体" w:eastAsia="宋体" w:cs="Times New Roman"/>
          <w:color w:val="auto"/>
          <w:sz w:val="24"/>
          <w:highlight w:val="none"/>
        </w:rPr>
        <w:t xml:space="preserve">8.3 因树木整形、喷洒农药等出现苗木死亡的承包人必须照价赔偿；造成人畜伤亡的，一切责任由承包人承担。</w:t>
      </w:r>
      <w:r/>
    </w:p>
    <w:p>
      <w:pPr>
        <w:ind w:firstLine="480"/>
        <w:jc w:val="both"/>
        <w:spacing w:line="420" w:lineRule="exact"/>
        <w:rPr>
          <w:rFonts w:hint="eastAsia" w:ascii="宋体" w:hAnsi="宋体" w:eastAsia="宋体" w:cs="Times New Roman"/>
          <w:color w:val="auto"/>
          <w:sz w:val="24"/>
          <w:highlight w:val="none"/>
        </w:rPr>
        <w:outlineLvl w:val="0"/>
      </w:pPr>
      <w:r>
        <w:rPr>
          <w:rFonts w:hint="eastAsia" w:ascii="宋体" w:hAnsi="宋体" w:eastAsia="宋体" w:cs="Times New Roman"/>
          <w:color w:val="auto"/>
          <w:sz w:val="24"/>
          <w:highlight w:val="none"/>
        </w:rPr>
        <w:t xml:space="preserve">8.4养护期内，养护单位须加强安全生产管理，积极主动采取防范措施，加强日常巡查，及时发现、解除安全隐患，同时通过为养护工人购买保险等方式来规避风险。如养护</w:t>
      </w:r>
      <w:r>
        <w:rPr>
          <w:rFonts w:hint="eastAsia" w:ascii="宋体" w:hAnsi="宋体" w:eastAsia="宋体" w:cs="Times New Roman"/>
          <w:color w:val="auto"/>
          <w:sz w:val="24"/>
          <w:highlight w:val="none"/>
          <w:lang w:val="en-US" w:eastAsia="zh-CN"/>
        </w:rPr>
        <w:t xml:space="preserve">范围</w:t>
      </w:r>
      <w:r>
        <w:rPr>
          <w:rFonts w:hint="eastAsia" w:ascii="宋体" w:hAnsi="宋体" w:eastAsia="宋体" w:cs="Times New Roman"/>
          <w:color w:val="auto"/>
          <w:sz w:val="24"/>
          <w:highlight w:val="none"/>
        </w:rPr>
        <w:t xml:space="preserve">内发生安全事故出现财物受损，人员伤亡事件，由养护中标单位负责处理解决，处理过程中所发生的费用（包括赔偿费用）由养护单位承担。由此可能产生的防范措施费用、赔偿等风险费用请考虑在投标综合报价内。</w:t>
      </w:r>
      <w:r/>
    </w:p>
    <w:p>
      <w:pPr>
        <w:ind w:firstLine="480"/>
        <w:jc w:val="both"/>
        <w:spacing w:line="420" w:lineRule="exact"/>
        <w:rPr>
          <w:rFonts w:hint="eastAsia" w:ascii="宋体" w:hAnsi="宋体" w:eastAsia="宋体" w:cs="Times New Roman"/>
          <w:color w:val="auto"/>
          <w:sz w:val="24"/>
          <w:highlight w:val="none"/>
        </w:rPr>
        <w:outlineLvl w:val="9"/>
      </w:pPr>
      <w:r>
        <w:rPr>
          <w:rFonts w:hint="default" w:ascii="宋体" w:hAnsi="宋体" w:eastAsia="宋体" w:cs="Times New Roman"/>
          <w:color w:val="auto"/>
          <w:sz w:val="24"/>
          <w:highlight w:val="none"/>
        </w:rPr>
        <w:t xml:space="preserve">9</w:t>
      </w:r>
      <w:r>
        <w:rPr>
          <w:rFonts w:hint="eastAsia" w:ascii="宋体" w:hAnsi="宋体" w:eastAsia="宋体" w:cs="Times New Roman"/>
          <w:color w:val="auto"/>
          <w:sz w:val="24"/>
          <w:highlight w:val="none"/>
        </w:rPr>
        <w:t xml:space="preserve"> 安全防护</w:t>
      </w:r>
      <w:r/>
    </w:p>
    <w:p>
      <w:pPr>
        <w:ind w:firstLine="480"/>
        <w:jc w:val="both"/>
        <w:spacing w:line="420" w:lineRule="exact"/>
        <w:rPr>
          <w:rFonts w:hint="eastAsia" w:ascii="宋体" w:hAnsi="宋体" w:eastAsia="宋体" w:cs="Times New Roman"/>
          <w:color w:val="auto"/>
          <w:sz w:val="24"/>
          <w:highlight w:val="none"/>
        </w:rPr>
        <w:outlineLvl w:val="9"/>
      </w:pPr>
      <w:r>
        <w:rPr>
          <w:rFonts w:hint="eastAsia" w:ascii="宋体" w:hAnsi="宋体" w:eastAsia="宋体" w:cs="Times New Roman"/>
          <w:color w:val="auto"/>
          <w:sz w:val="24"/>
          <w:highlight w:val="none"/>
        </w:rPr>
        <w:t xml:space="preserve">养护作业人员应做好各项安全防范措施，必须着装上岗操作。</w:t>
      </w:r>
      <w:r/>
    </w:p>
    <w:p>
      <w:pPr>
        <w:ind w:firstLine="480"/>
        <w:jc w:val="both"/>
        <w:spacing w:line="420" w:lineRule="exact"/>
        <w:rPr>
          <w:rFonts w:hint="eastAsia" w:ascii="宋体" w:hAnsi="宋体" w:eastAsia="宋体" w:cs="Times New Roman"/>
          <w:color w:val="auto"/>
          <w:sz w:val="24"/>
          <w:highlight w:val="none"/>
        </w:rPr>
        <w:outlineLvl w:val="0"/>
      </w:pPr>
      <w:r>
        <w:rPr>
          <w:rFonts w:hint="eastAsia" w:ascii="宋体" w:hAnsi="宋体" w:eastAsia="宋体" w:cs="Times New Roman"/>
          <w:color w:val="auto"/>
          <w:sz w:val="24"/>
          <w:highlight w:val="none"/>
        </w:rPr>
        <w:t xml:space="preserve">10、交接与验收</w:t>
      </w:r>
      <w:r/>
    </w:p>
    <w:p>
      <w:pPr>
        <w:ind w:firstLine="480"/>
        <w:jc w:val="both"/>
        <w:spacing w:line="420" w:lineRule="exact"/>
        <w:rPr>
          <w:rFonts w:hint="eastAsia" w:ascii="宋体" w:hAnsi="宋体" w:eastAsia="宋体" w:cs="Times New Roman"/>
          <w:color w:val="auto"/>
          <w:sz w:val="24"/>
          <w:highlight w:val="none"/>
        </w:rPr>
        <w:outlineLvl w:val="0"/>
      </w:pPr>
      <w:r>
        <w:rPr>
          <w:rFonts w:hint="eastAsia" w:ascii="宋体" w:hAnsi="宋体" w:eastAsia="宋体" w:cs="Times New Roman"/>
          <w:color w:val="auto"/>
          <w:sz w:val="24"/>
          <w:highlight w:val="none"/>
        </w:rPr>
        <w:t xml:space="preserve">10.1交接</w:t>
      </w:r>
      <w:r/>
    </w:p>
    <w:p>
      <w:pPr>
        <w:ind w:firstLine="480"/>
        <w:jc w:val="both"/>
        <w:spacing w:line="420" w:lineRule="exact"/>
        <w:rPr>
          <w:rFonts w:hint="eastAsia" w:ascii="宋体" w:hAnsi="宋体" w:eastAsia="宋体" w:cs="Times New Roman"/>
          <w:color w:val="auto"/>
          <w:sz w:val="24"/>
          <w:highlight w:val="none"/>
        </w:rPr>
        <w:outlineLvl w:val="0"/>
      </w:pPr>
      <w:r>
        <w:rPr>
          <w:rFonts w:hint="eastAsia" w:ascii="宋体" w:hAnsi="宋体" w:eastAsia="宋体" w:cs="Times New Roman"/>
          <w:color w:val="auto"/>
          <w:sz w:val="24"/>
          <w:highlight w:val="none"/>
        </w:rPr>
        <w:t xml:space="preserve">（1）绿地到期前，绿地重新招标，并确定新的养护承包人后，原养护承包人应做好与新养护承包人的交接工作，对于交接过程中发生的问题，确系原养护承包人原因所致，应及时进行整改，需在规定时间内按要求整改到位后交付，逾期整改不到位由接管方进行整改，所需费用由原养护承包人支付。</w:t>
      </w:r>
      <w:r/>
    </w:p>
    <w:p>
      <w:pPr>
        <w:ind w:firstLine="480"/>
        <w:jc w:val="both"/>
        <w:spacing w:line="420" w:lineRule="exact"/>
        <w:rPr>
          <w:rFonts w:hint="eastAsia" w:ascii="宋体" w:hAnsi="宋体" w:eastAsia="宋体" w:cs="Times New Roman"/>
          <w:color w:val="auto"/>
          <w:sz w:val="24"/>
          <w:highlight w:val="none"/>
        </w:rPr>
        <w:outlineLvl w:val="0"/>
      </w:pPr>
      <w:r>
        <w:rPr>
          <w:rFonts w:hint="eastAsia" w:ascii="宋体" w:hAnsi="宋体" w:eastAsia="宋体" w:cs="Times New Roman"/>
          <w:color w:val="auto"/>
          <w:sz w:val="24"/>
          <w:highlight w:val="none"/>
        </w:rPr>
        <w:t xml:space="preserve">（2）绿地到期，因新养护承包人或甲方的原因，新养护承包人和原养护承包人未及时交接，养护工作仍由原养护承包人负责，超出原养护合同期的养护费用，由甲方支付给原养护承包人，养护费用按原养护合同中规定的标准，并经采购人、财政部门等相关部门审核后确定。而甲方和新养护承包人的养护费用，扣除新养护承包人未养护期间的费用，扣除费用按甲方和新养护承包人签订的新的养护合同中规定的标准，并经采购人、财政部门等相关部门审核后确定。</w:t>
      </w:r>
      <w:r/>
    </w:p>
    <w:p>
      <w:pPr>
        <w:ind w:firstLine="480"/>
        <w:jc w:val="both"/>
        <w:spacing w:line="420" w:lineRule="exact"/>
        <w:rPr>
          <w:rFonts w:hint="eastAsia" w:ascii="宋体" w:hAnsi="宋体" w:eastAsia="宋体" w:cs="Times New Roman"/>
          <w:color w:val="auto"/>
          <w:sz w:val="24"/>
          <w:highlight w:val="none"/>
        </w:rPr>
        <w:outlineLvl w:val="0"/>
      </w:pPr>
      <w:r>
        <w:rPr>
          <w:rFonts w:hint="eastAsia" w:ascii="宋体" w:hAnsi="宋体" w:eastAsia="宋体" w:cs="Times New Roman"/>
          <w:color w:val="auto"/>
          <w:sz w:val="24"/>
          <w:highlight w:val="none"/>
        </w:rPr>
        <w:t xml:space="preserve">10.2验收</w:t>
      </w:r>
      <w:r/>
    </w:p>
    <w:p>
      <w:pPr>
        <w:ind w:firstLine="480"/>
        <w:jc w:val="both"/>
        <w:spacing w:line="420" w:lineRule="exact"/>
        <w:rPr>
          <w:rFonts w:hint="eastAsia" w:ascii="宋体" w:hAnsi="宋体" w:eastAsia="宋体" w:cs="Times New Roman"/>
          <w:color w:val="auto"/>
          <w:sz w:val="24"/>
          <w:highlight w:val="none"/>
        </w:rPr>
        <w:outlineLvl w:val="0"/>
      </w:pPr>
      <w:r>
        <w:rPr>
          <w:rFonts w:hint="eastAsia" w:ascii="宋体" w:hAnsi="宋体" w:eastAsia="宋体" w:cs="Times New Roman"/>
          <w:color w:val="auto"/>
          <w:sz w:val="24"/>
          <w:highlight w:val="none"/>
        </w:rPr>
        <w:t xml:space="preserve">原养护承包人对养护</w:t>
      </w:r>
      <w:r>
        <w:rPr>
          <w:rFonts w:hint="eastAsia" w:ascii="宋体" w:hAnsi="宋体" w:eastAsia="宋体" w:cs="Times New Roman"/>
          <w:color w:val="auto"/>
          <w:sz w:val="24"/>
          <w:highlight w:val="none"/>
          <w:lang w:val="en-US" w:eastAsia="zh-CN"/>
        </w:rPr>
        <w:t xml:space="preserve">范围</w:t>
      </w:r>
      <w:r>
        <w:rPr>
          <w:rFonts w:hint="eastAsia" w:ascii="宋体" w:hAnsi="宋体" w:eastAsia="宋体" w:cs="Times New Roman"/>
          <w:color w:val="auto"/>
          <w:sz w:val="24"/>
          <w:highlight w:val="none"/>
        </w:rPr>
        <w:t xml:space="preserve">内存在的问题整改完成准备交接前，由</w:t>
      </w:r>
      <w:r>
        <w:rPr>
          <w:rFonts w:hint="eastAsia" w:ascii="宋体" w:hAnsi="宋体" w:eastAsia="宋体" w:cs="Times New Roman"/>
          <w:color w:val="auto"/>
          <w:sz w:val="24"/>
          <w:highlight w:val="none"/>
          <w:lang w:eastAsia="zh-CN"/>
        </w:rPr>
        <w:t xml:space="preserve">甲方</w:t>
      </w:r>
      <w:r>
        <w:rPr>
          <w:rFonts w:hint="eastAsia" w:ascii="宋体" w:hAnsi="宋体" w:eastAsia="宋体" w:cs="Times New Roman"/>
          <w:color w:val="auto"/>
          <w:sz w:val="24"/>
          <w:highlight w:val="none"/>
        </w:rPr>
        <w:t xml:space="preserve">、原养护承</w:t>
      </w:r>
      <w:r>
        <w:rPr>
          <w:rFonts w:hint="eastAsia" w:ascii="宋体" w:hAnsi="宋体" w:eastAsia="宋体" w:cs="Times New Roman"/>
          <w:color w:val="auto"/>
          <w:sz w:val="24"/>
          <w:highlight w:val="none"/>
          <w:lang w:eastAsia="zh-CN"/>
        </w:rPr>
        <w:t xml:space="preserve">包人</w:t>
      </w:r>
      <w:r>
        <w:rPr>
          <w:rFonts w:hint="eastAsia" w:ascii="宋体" w:hAnsi="宋体" w:eastAsia="宋体" w:cs="Times New Roman"/>
          <w:color w:val="auto"/>
          <w:sz w:val="24"/>
          <w:highlight w:val="none"/>
        </w:rPr>
        <w:t xml:space="preserve">、新养护承包人对绿地进行验收，验收通过后，三方签署验收交接单并加盖公章后备案。</w:t>
      </w:r>
      <w:r/>
    </w:p>
    <w:p>
      <w:pPr>
        <w:ind w:firstLine="480"/>
        <w:jc w:val="both"/>
        <w:spacing w:line="420" w:lineRule="exact"/>
        <w:rPr>
          <w:rFonts w:hint="eastAsia" w:ascii="宋体" w:hAnsi="宋体" w:eastAsia="宋体" w:cs="Times New Roman"/>
          <w:color w:val="auto"/>
          <w:sz w:val="24"/>
          <w:highlight w:val="none"/>
        </w:rPr>
        <w:outlineLvl w:val="0"/>
      </w:pPr>
      <w:r>
        <w:rPr>
          <w:rFonts w:hint="eastAsia" w:ascii="宋体" w:hAnsi="宋体" w:eastAsia="宋体" w:cs="Times New Roman"/>
          <w:color w:val="auto"/>
          <w:sz w:val="24"/>
          <w:highlight w:val="none"/>
        </w:rPr>
        <w:t xml:space="preserve">10.3事故处理</w:t>
      </w:r>
      <w:r/>
    </w:p>
    <w:p>
      <w:pPr>
        <w:ind w:firstLine="480"/>
        <w:jc w:val="both"/>
        <w:spacing w:line="420" w:lineRule="exact"/>
        <w:rPr>
          <w:rFonts w:hint="eastAsia" w:ascii="宋体" w:hAnsi="宋体" w:eastAsia="宋体" w:cs="Times New Roman"/>
          <w:color w:val="auto"/>
          <w:sz w:val="24"/>
          <w:highlight w:val="none"/>
        </w:rPr>
        <w:outlineLvl w:val="0"/>
      </w:pPr>
      <w:r>
        <w:rPr>
          <w:rFonts w:hint="eastAsia" w:ascii="宋体" w:hAnsi="宋体" w:eastAsia="宋体" w:cs="Times New Roman"/>
          <w:color w:val="auto"/>
          <w:sz w:val="24"/>
          <w:highlight w:val="none"/>
        </w:rPr>
        <w:t xml:space="preserve">发生重大伤亡及其他安全事故，乙方应按有关规定立即上报有关部门并通知甲方，同时按政府有关部门要求处理由事故责任方承担发生的费用。</w:t>
      </w:r>
      <w:r/>
    </w:p>
    <w:p>
      <w:pPr>
        <w:ind w:firstLine="480"/>
        <w:jc w:val="both"/>
        <w:spacing w:line="420" w:lineRule="exact"/>
        <w:rPr>
          <w:rFonts w:hint="eastAsia" w:ascii="宋体" w:hAnsi="宋体" w:eastAsia="宋体" w:cs="Times New Roman"/>
          <w:color w:val="auto"/>
          <w:sz w:val="24"/>
          <w:highlight w:val="none"/>
        </w:rPr>
        <w:outlineLvl w:val="9"/>
      </w:pPr>
      <w:r>
        <w:rPr>
          <w:rFonts w:hint="eastAsia" w:ascii="宋体" w:hAnsi="宋体" w:eastAsia="宋体" w:cs="Times New Roman"/>
          <w:color w:val="auto"/>
          <w:sz w:val="24"/>
          <w:highlight w:val="none"/>
        </w:rPr>
        <w:t xml:space="preserve">11 事故处理</w:t>
      </w:r>
      <w:r/>
    </w:p>
    <w:p>
      <w:pPr>
        <w:ind w:firstLine="480"/>
        <w:jc w:val="both"/>
        <w:spacing w:line="420" w:lineRule="exact"/>
        <w:rPr>
          <w:rFonts w:hint="eastAsia" w:ascii="宋体" w:hAnsi="宋体" w:eastAsia="宋体" w:cs="Times New Roman"/>
          <w:color w:val="auto"/>
          <w:sz w:val="24"/>
          <w:highlight w:val="none"/>
        </w:rPr>
        <w:outlineLvl w:val="9"/>
      </w:pPr>
      <w:r>
        <w:rPr>
          <w:rFonts w:hint="eastAsia" w:ascii="宋体" w:hAnsi="宋体" w:eastAsia="宋体" w:cs="Times New Roman"/>
          <w:color w:val="auto"/>
          <w:sz w:val="24"/>
          <w:highlight w:val="none"/>
        </w:rPr>
        <w:t xml:space="preserve">发生重大伤亡及其他安全事故，乙方应按有关规定立即上报有关部门并通知甲方，同时按政府有关部门要求处理由事故责任方承担发生的费用。</w:t>
      </w:r>
      <w:r/>
    </w:p>
    <w:p>
      <w:pPr>
        <w:ind w:firstLine="480"/>
        <w:jc w:val="both"/>
        <w:spacing w:line="420" w:lineRule="exact"/>
        <w:rPr>
          <w:rFonts w:hint="eastAsia" w:ascii="宋体" w:hAnsi="宋体" w:eastAsia="宋体" w:cs="Times New Roman"/>
          <w:color w:val="auto"/>
          <w:sz w:val="24"/>
          <w:highlight w:val="none"/>
        </w:rPr>
        <w:outlineLvl w:val="9"/>
      </w:pPr>
      <w:r>
        <w:rPr>
          <w:rFonts w:hint="default" w:ascii="宋体" w:hAnsi="宋体" w:eastAsia="宋体" w:cs="Times New Roman"/>
          <w:color w:val="auto"/>
          <w:sz w:val="24"/>
          <w:highlight w:val="none"/>
        </w:rPr>
        <w:t xml:space="preserve">1</w:t>
      </w:r>
      <w:r>
        <w:rPr>
          <w:rFonts w:hint="eastAsia" w:ascii="宋体" w:hAnsi="宋体" w:eastAsia="宋体" w:cs="Times New Roman"/>
          <w:color w:val="auto"/>
          <w:sz w:val="24"/>
          <w:highlight w:val="none"/>
        </w:rPr>
        <w:t xml:space="preserve">2 合同价款</w:t>
      </w:r>
      <w:r/>
    </w:p>
    <w:p>
      <w:pPr>
        <w:ind w:firstLine="480"/>
        <w:jc w:val="both"/>
        <w:spacing w:line="420" w:lineRule="exact"/>
        <w:rPr>
          <w:rFonts w:hint="eastAsia" w:ascii="宋体" w:hAnsi="宋体" w:eastAsia="宋体" w:cs="Times New Roman"/>
          <w:color w:val="auto"/>
          <w:sz w:val="24"/>
          <w:highlight w:val="none"/>
        </w:rPr>
        <w:outlineLvl w:val="9"/>
      </w:pPr>
      <w:r>
        <w:rPr>
          <w:rFonts w:hint="eastAsia" w:ascii="宋体" w:hAnsi="宋体" w:eastAsia="宋体" w:cs="Times New Roman"/>
          <w:color w:val="auto"/>
          <w:sz w:val="24"/>
          <w:highlight w:val="none"/>
        </w:rPr>
        <w:t xml:space="preserve">12.1 合同价款由甲、乙双方依据中标通知书中的中标价格在协议书内约定。</w:t>
      </w:r>
      <w:r/>
    </w:p>
    <w:p>
      <w:pPr>
        <w:ind w:firstLine="480"/>
        <w:jc w:val="both"/>
        <w:spacing w:line="420" w:lineRule="exact"/>
        <w:rPr>
          <w:rFonts w:hint="eastAsia" w:ascii="宋体" w:hAnsi="宋体" w:eastAsia="宋体" w:cs="Times New Roman"/>
          <w:color w:val="auto"/>
          <w:sz w:val="24"/>
          <w:highlight w:val="none"/>
        </w:rPr>
        <w:outlineLvl w:val="9"/>
      </w:pPr>
      <w:r>
        <w:rPr>
          <w:rFonts w:hint="eastAsia" w:ascii="宋体" w:hAnsi="宋体" w:eastAsia="宋体" w:cs="Times New Roman"/>
          <w:color w:val="auto"/>
          <w:sz w:val="24"/>
          <w:highlight w:val="none"/>
        </w:rPr>
        <w:t xml:space="preserve">12.2 乙方应向甲方提交月度养护作业统计报表。甲方在接到报表的7天内进行计量与考核，考核结果作为合同价款支付的依据。</w:t>
      </w:r>
      <w:r/>
    </w:p>
    <w:p>
      <w:pPr>
        <w:ind w:firstLine="480"/>
        <w:jc w:val="both"/>
        <w:spacing w:line="420" w:lineRule="exact"/>
        <w:rPr>
          <w:rFonts w:hint="eastAsia" w:ascii="宋体" w:hAnsi="宋体" w:eastAsia="宋体" w:cs="Times New Roman"/>
          <w:color w:val="auto"/>
          <w:sz w:val="24"/>
          <w:highlight w:val="none"/>
        </w:rPr>
        <w:outlineLvl w:val="9"/>
      </w:pPr>
      <w:r>
        <w:rPr>
          <w:rFonts w:hint="eastAsia" w:ascii="宋体" w:hAnsi="宋体" w:eastAsia="宋体" w:cs="Times New Roman"/>
          <w:color w:val="auto"/>
          <w:sz w:val="24"/>
          <w:highlight w:val="none"/>
        </w:rPr>
        <w:t xml:space="preserve">12.3如实际作业量与移交清单有出入时，乙方应及时上报工程量变更单，经甲方审核并报有关部门审定后方可在下月养护计划中调整。</w:t>
      </w:r>
      <w:r/>
    </w:p>
    <w:p>
      <w:pPr>
        <w:ind w:firstLine="480"/>
        <w:jc w:val="both"/>
        <w:spacing w:line="420" w:lineRule="exact"/>
        <w:rPr>
          <w:rFonts w:hint="eastAsia" w:ascii="宋体" w:hAnsi="宋体" w:eastAsia="宋体" w:cs="Times New Roman"/>
          <w:color w:val="auto"/>
          <w:sz w:val="24"/>
          <w:highlight w:val="none"/>
        </w:rPr>
        <w:outlineLvl w:val="9"/>
      </w:pPr>
      <w:r>
        <w:rPr>
          <w:rFonts w:hint="eastAsia" w:ascii="宋体" w:hAnsi="宋体" w:eastAsia="宋体" w:cs="Times New Roman"/>
          <w:color w:val="auto"/>
          <w:sz w:val="24"/>
          <w:highlight w:val="none"/>
        </w:rPr>
        <w:t xml:space="preserve">13</w:t>
      </w:r>
      <w:r>
        <w:rPr>
          <w:rFonts w:hint="default" w:ascii="宋体" w:hAnsi="宋体" w:eastAsia="宋体" w:cs="Times New Roman"/>
          <w:color w:val="auto"/>
          <w:sz w:val="24"/>
          <w:highlight w:val="none"/>
        </w:rPr>
        <w:t xml:space="preserve">付款方式</w:t>
      </w:r>
      <w:r/>
    </w:p>
    <w:p>
      <w:pPr>
        <w:ind w:firstLine="480"/>
        <w:jc w:val="both"/>
        <w:spacing w:line="420" w:lineRule="exact"/>
        <w:rPr>
          <w:rFonts w:hint="eastAsia" w:ascii="宋体" w:hAnsi="宋体" w:eastAsia="宋体" w:cs="Times New Roman"/>
          <w:b/>
          <w:bCs/>
          <w:color w:val="auto"/>
          <w:sz w:val="24"/>
          <w:highlight w:val="none"/>
          <w:lang w:val="en-US" w:eastAsia="zh-CN"/>
        </w:rPr>
        <w:outlineLvl w:val="9"/>
      </w:pPr>
      <w:r>
        <w:rPr>
          <w:rFonts w:hint="eastAsia" w:ascii="宋体" w:hAnsi="宋体" w:eastAsia="宋体" w:cs="Times New Roman"/>
          <w:color w:val="auto"/>
          <w:sz w:val="24"/>
          <w:highlight w:val="none"/>
        </w:rPr>
        <w:t xml:space="preserve">13.1</w:t>
      </w:r>
      <w:r>
        <w:rPr>
          <w:rFonts w:hint="eastAsia" w:ascii="宋体" w:hAnsi="宋体" w:eastAsia="宋体" w:cs="Times New Roman"/>
          <w:b/>
          <w:bCs/>
          <w:color w:val="auto"/>
          <w:sz w:val="24"/>
          <w:highlight w:val="none"/>
        </w:rPr>
        <w:t xml:space="preserve">本项目按年度支付，按每年的养护工程量（双方签字盖章），结合考核扣款，支付年度养护费的80%，养护期结束送审，根据审定价付清。</w:t>
      </w:r>
      <w:r/>
    </w:p>
    <w:p>
      <w:pPr>
        <w:ind w:firstLine="480"/>
        <w:jc w:val="both"/>
        <w:spacing w:line="420" w:lineRule="exact"/>
        <w:rPr>
          <w:rFonts w:hint="eastAsia" w:ascii="宋体" w:hAnsi="宋体" w:eastAsia="宋体" w:cs="Times New Roman"/>
          <w:color w:val="auto"/>
          <w:sz w:val="24"/>
          <w:highlight w:val="none"/>
        </w:rPr>
        <w:outlineLvl w:val="9"/>
      </w:pPr>
      <w:r>
        <w:rPr>
          <w:rFonts w:hint="eastAsia" w:ascii="宋体" w:hAnsi="宋体" w:eastAsia="宋体" w:cs="Times New Roman"/>
          <w:color w:val="auto"/>
          <w:sz w:val="24"/>
          <w:highlight w:val="none"/>
        </w:rPr>
        <w:t xml:space="preserve">14 相关计量规定</w:t>
      </w:r>
      <w:r/>
    </w:p>
    <w:p>
      <w:pPr>
        <w:ind w:firstLine="480"/>
        <w:jc w:val="both"/>
        <w:spacing w:line="420" w:lineRule="exact"/>
        <w:rPr>
          <w:rFonts w:hint="eastAsia" w:ascii="宋体" w:hAnsi="宋体" w:eastAsia="宋体" w:cs="Times New Roman"/>
          <w:color w:val="auto"/>
          <w:sz w:val="24"/>
          <w:highlight w:val="none"/>
        </w:rPr>
        <w:outlineLvl w:val="9"/>
      </w:pPr>
      <w:r>
        <w:rPr>
          <w:rFonts w:hint="eastAsia" w:ascii="宋体" w:hAnsi="宋体" w:eastAsia="宋体" w:cs="Times New Roman"/>
          <w:color w:val="auto"/>
          <w:sz w:val="24"/>
          <w:highlight w:val="none"/>
        </w:rPr>
        <w:t xml:space="preserve">14.1 新增加未纳入本次招标范围的绿地按就近方便原则由该绿地所属承包区域的养护单位养护，综合单价按照中标价格。</w:t>
      </w:r>
      <w:r/>
    </w:p>
    <w:p>
      <w:pPr>
        <w:ind w:firstLine="480"/>
        <w:jc w:val="both"/>
        <w:spacing w:line="420" w:lineRule="exact"/>
        <w:rPr>
          <w:rFonts w:hint="eastAsia" w:ascii="宋体" w:hAnsi="宋体" w:eastAsia="宋体" w:cs="Times New Roman"/>
          <w:color w:val="auto"/>
          <w:sz w:val="24"/>
          <w:highlight w:val="none"/>
        </w:rPr>
        <w:outlineLvl w:val="9"/>
      </w:pPr>
      <w:r>
        <w:rPr>
          <w:rFonts w:hint="eastAsia" w:ascii="宋体" w:hAnsi="宋体" w:eastAsia="宋体" w:cs="Times New Roman"/>
          <w:color w:val="auto"/>
          <w:sz w:val="24"/>
          <w:highlight w:val="none"/>
        </w:rPr>
        <w:t xml:space="preserve">14.</w:t>
      </w:r>
      <w:r>
        <w:rPr>
          <w:rFonts w:hint="eastAsia" w:ascii="宋体" w:hAnsi="宋体" w:eastAsia="宋体" w:cs="Times New Roman"/>
          <w:color w:val="auto"/>
          <w:sz w:val="24"/>
          <w:highlight w:val="none"/>
          <w:lang w:val="en-US" w:eastAsia="zh-CN"/>
        </w:rPr>
        <w:t xml:space="preserve">2</w:t>
      </w:r>
      <w:r>
        <w:rPr>
          <w:rFonts w:hint="eastAsia" w:ascii="宋体" w:hAnsi="宋体" w:eastAsia="宋体" w:cs="Times New Roman"/>
          <w:color w:val="auto"/>
          <w:sz w:val="24"/>
          <w:highlight w:val="none"/>
        </w:rPr>
        <w:t xml:space="preserve"> </w:t>
      </w:r>
      <w:r>
        <w:rPr>
          <w:rFonts w:hint="default" w:ascii="宋体" w:hAnsi="宋体" w:eastAsia="宋体" w:cs="Times New Roman"/>
          <w:color w:val="auto"/>
          <w:sz w:val="24"/>
          <w:highlight w:val="none"/>
        </w:rPr>
        <w:t xml:space="preserve">草花种植每年更换</w:t>
      </w:r>
      <w:r>
        <w:rPr>
          <w:rFonts w:hint="eastAsia" w:ascii="宋体" w:hAnsi="宋体" w:eastAsia="宋体" w:cs="Times New Roman"/>
          <w:color w:val="auto"/>
          <w:sz w:val="24"/>
          <w:highlight w:val="none"/>
        </w:rPr>
        <w:t xml:space="preserve">4</w:t>
      </w:r>
      <w:r>
        <w:rPr>
          <w:rFonts w:hint="default" w:ascii="宋体" w:hAnsi="宋体" w:eastAsia="宋体" w:cs="Times New Roman"/>
          <w:color w:val="auto"/>
          <w:sz w:val="24"/>
          <w:highlight w:val="none"/>
        </w:rPr>
        <w:t xml:space="preserve">期，为</w:t>
      </w:r>
      <w:r>
        <w:rPr>
          <w:rFonts w:hint="eastAsia" w:ascii="宋体" w:hAnsi="宋体" w:eastAsia="宋体" w:cs="Times New Roman"/>
          <w:color w:val="auto"/>
          <w:sz w:val="24"/>
          <w:highlight w:val="none"/>
        </w:rPr>
        <w:t xml:space="preserve">无锡市</w:t>
      </w:r>
      <w:r>
        <w:rPr>
          <w:rFonts w:hint="default" w:ascii="宋体" w:hAnsi="宋体" w:eastAsia="宋体" w:cs="Times New Roman"/>
          <w:color w:val="auto"/>
          <w:sz w:val="24"/>
          <w:highlight w:val="none"/>
        </w:rPr>
        <w:t xml:space="preserve">常规草花品种，</w:t>
      </w:r>
      <w:r>
        <w:rPr>
          <w:rFonts w:hint="eastAsia" w:ascii="宋体" w:hAnsi="宋体" w:eastAsia="宋体" w:cs="Times New Roman"/>
          <w:color w:val="auto"/>
          <w:sz w:val="24"/>
          <w:highlight w:val="none"/>
        </w:rPr>
        <w:t xml:space="preserve">营养钵</w:t>
      </w:r>
      <w:r>
        <w:rPr>
          <w:rFonts w:hint="default" w:ascii="宋体" w:hAnsi="宋体" w:eastAsia="宋体" w:cs="Times New Roman"/>
          <w:color w:val="auto"/>
          <w:sz w:val="24"/>
          <w:highlight w:val="none"/>
        </w:rPr>
        <w:t xml:space="preserve">苗，生长健壮、</w:t>
      </w:r>
      <w:r>
        <w:rPr>
          <w:rFonts w:hint="eastAsia" w:ascii="宋体" w:hAnsi="宋体" w:eastAsia="宋体" w:cs="Times New Roman"/>
          <w:color w:val="auto"/>
          <w:sz w:val="24"/>
          <w:highlight w:val="none"/>
        </w:rPr>
        <w:t xml:space="preserve">色彩</w:t>
      </w:r>
      <w:r>
        <w:rPr>
          <w:rFonts w:hint="default" w:ascii="宋体" w:hAnsi="宋体" w:eastAsia="宋体" w:cs="Times New Roman"/>
          <w:color w:val="auto"/>
          <w:sz w:val="24"/>
          <w:highlight w:val="none"/>
        </w:rPr>
        <w:t xml:space="preserve">鲜艳。</w:t>
      </w:r>
      <w:r/>
    </w:p>
    <w:p>
      <w:pPr>
        <w:ind w:firstLine="480"/>
        <w:jc w:val="both"/>
        <w:spacing w:line="420" w:lineRule="exact"/>
        <w:rPr>
          <w:rFonts w:hint="eastAsia" w:ascii="Times New Roman" w:hAnsi="Times New Roman" w:eastAsia="宋体" w:cs="Times New Roman"/>
          <w:color w:val="auto"/>
          <w:highlight w:val="none"/>
          <w:lang w:eastAsia="zh-CN"/>
        </w:rPr>
        <w:outlineLvl w:val="9"/>
      </w:pPr>
      <w:r>
        <w:rPr>
          <w:rFonts w:hint="eastAsia" w:ascii="宋体" w:hAnsi="宋体" w:eastAsia="宋体" w:cs="Times New Roman"/>
          <w:color w:val="auto"/>
          <w:sz w:val="24"/>
          <w:highlight w:val="none"/>
        </w:rPr>
        <w:t xml:space="preserve">14.</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rPr>
        <w:t xml:space="preserve"> </w:t>
      </w:r>
      <w:r>
        <w:rPr>
          <w:rFonts w:hint="eastAsia" w:ascii="宋体" w:hAnsi="宋体" w:eastAsia="宋体" w:cs="Times New Roman"/>
          <w:color w:val="auto"/>
          <w:sz w:val="24"/>
          <w:highlight w:val="none"/>
          <w:lang w:eastAsia="zh-CN"/>
        </w:rPr>
        <w:t xml:space="preserve">其他</w:t>
      </w:r>
      <w:r>
        <w:rPr>
          <w:rFonts w:hint="eastAsia" w:ascii="宋体" w:hAnsi="宋体" w:eastAsia="宋体" w:cs="Times New Roman"/>
          <w:color w:val="auto"/>
          <w:sz w:val="24"/>
          <w:highlight w:val="none"/>
        </w:rPr>
        <w:t xml:space="preserve">未尽事宜 参照市区相关文件执行。</w:t>
      </w:r>
      <w:r/>
    </w:p>
    <w:p>
      <w:pPr>
        <w:ind w:firstLine="0"/>
        <w:jc w:val="both"/>
        <w:rPr>
          <w:rFonts w:hint="eastAsia" w:ascii="Times New Roman" w:hAnsi="Times New Roman" w:eastAsia="宋体" w:cs="Times New Roman"/>
          <w:color w:val="auto"/>
          <w:highlight w:val="none"/>
          <w:lang w:eastAsia="zh-CN"/>
        </w:rPr>
        <w:outlineLvl w:val="9"/>
      </w:pPr>
      <w:r>
        <w:rPr>
          <w:rFonts w:hint="eastAsia" w:ascii="Times New Roman" w:hAnsi="Times New Roman" w:eastAsia="宋体" w:cs="Times New Roman"/>
          <w:color w:val="auto"/>
          <w:highlight w:val="none"/>
          <w:lang w:eastAsia="zh-CN"/>
        </w:rPr>
      </w:r>
      <w:r/>
    </w:p>
    <w:p>
      <w:pPr>
        <w:ind w:firstLine="0"/>
        <w:jc w:val="left"/>
        <w:spacing w:line="420" w:lineRule="exact"/>
        <w:rPr>
          <w:rFonts w:hint="eastAsia" w:ascii="宋体" w:hAnsi="宋体" w:eastAsia="宋体" w:cs="Times New Roman"/>
          <w:color w:val="auto"/>
          <w:sz w:val="24"/>
          <w:highlight w:val="none"/>
        </w:rPr>
        <w:outlineLvl w:val="9"/>
      </w:pPr>
      <w:r>
        <w:rPr>
          <w:rFonts w:hint="eastAsia" w:ascii="宋体" w:hAnsi="宋体" w:eastAsia="宋体" w:cs="Times New Roman"/>
          <w:color w:val="auto"/>
          <w:sz w:val="24"/>
          <w:highlight w:val="none"/>
        </w:rPr>
        <w:t xml:space="preserve">发包人</w:t>
      </w: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rPr>
        <w:t xml:space="preserve">盖章</w:t>
      </w: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rPr>
        <w:t xml:space="preserve">：                            承包人</w:t>
      </w: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rPr>
        <w:t xml:space="preserve">盖章</w:t>
      </w:r>
      <w:r>
        <w:rPr>
          <w:rFonts w:hint="eastAsia" w:ascii="宋体" w:hAnsi="宋体" w:eastAsia="宋体" w:cs="Times New Roman"/>
          <w:color w:val="auto"/>
          <w:sz w:val="24"/>
          <w:highlight w:val="none"/>
          <w:lang w:eastAsia="zh-CN"/>
        </w:rPr>
        <w:t xml:space="preserve">）</w:t>
      </w:r>
      <w:r>
        <w:rPr>
          <w:rFonts w:hint="eastAsia" w:ascii="宋体" w:hAnsi="宋体" w:eastAsia="宋体" w:cs="Times New Roman"/>
          <w:color w:val="auto"/>
          <w:sz w:val="24"/>
          <w:highlight w:val="none"/>
        </w:rPr>
        <w:t xml:space="preserve">：              </w:t>
      </w:r>
      <w:r/>
    </w:p>
    <w:p>
      <w:pPr>
        <w:ind w:firstLine="0"/>
        <w:jc w:val="left"/>
        <w:spacing w:line="420" w:lineRule="exact"/>
        <w:rPr>
          <w:rFonts w:hint="eastAsia" w:ascii="宋体" w:hAnsi="宋体" w:eastAsia="宋体" w:cs="Times New Roman"/>
          <w:color w:val="auto"/>
          <w:sz w:val="24"/>
          <w:highlight w:val="none"/>
        </w:rPr>
        <w:outlineLvl w:val="9"/>
      </w:pPr>
      <w:r>
        <w:rPr>
          <w:rFonts w:hint="eastAsia" w:ascii="宋体" w:hAnsi="宋体" w:eastAsia="宋体" w:cs="Times New Roman"/>
          <w:color w:val="auto"/>
          <w:sz w:val="24"/>
          <w:highlight w:val="none"/>
        </w:rPr>
      </w:r>
      <w:r/>
    </w:p>
    <w:p>
      <w:pPr>
        <w:ind w:firstLine="0"/>
        <w:jc w:val="left"/>
        <w:spacing w:line="420" w:lineRule="exact"/>
        <w:rPr>
          <w:rFonts w:hint="eastAsia" w:ascii="宋体" w:hAnsi="宋体" w:eastAsia="宋体" w:cs="Times New Roman"/>
          <w:color w:val="auto"/>
          <w:sz w:val="24"/>
          <w:highlight w:val="none"/>
        </w:rPr>
        <w:outlineLvl w:val="9"/>
      </w:pPr>
      <w:r>
        <w:rPr>
          <w:rFonts w:hint="eastAsia" w:ascii="宋体" w:hAnsi="宋体" w:eastAsia="宋体" w:cs="Times New Roman"/>
          <w:color w:val="auto"/>
          <w:sz w:val="24"/>
          <w:highlight w:val="none"/>
        </w:rPr>
        <w:t xml:space="preserve">法定代表人：                              法定代表人：</w:t>
      </w:r>
      <w:r/>
    </w:p>
    <w:p>
      <w:pPr>
        <w:ind w:firstLine="0"/>
        <w:jc w:val="left"/>
        <w:spacing w:line="420" w:lineRule="exact"/>
        <w:rPr>
          <w:rFonts w:hint="eastAsia" w:ascii="宋体" w:hAnsi="宋体" w:eastAsia="宋体" w:cs="Times New Roman"/>
          <w:color w:val="auto"/>
          <w:sz w:val="24"/>
          <w:highlight w:val="none"/>
        </w:rPr>
        <w:outlineLvl w:val="9"/>
      </w:pPr>
      <w:r>
        <w:rPr>
          <w:rFonts w:hint="eastAsia" w:ascii="宋体" w:hAnsi="宋体" w:eastAsia="宋体" w:cs="Times New Roman"/>
          <w:color w:val="auto"/>
          <w:sz w:val="24"/>
          <w:highlight w:val="none"/>
        </w:rPr>
      </w:r>
      <w:r/>
    </w:p>
    <w:p>
      <w:pPr>
        <w:ind w:firstLine="0"/>
        <w:jc w:val="left"/>
        <w:spacing w:line="420" w:lineRule="exact"/>
        <w:rPr>
          <w:rFonts w:hint="eastAsia" w:ascii="宋体" w:hAnsi="宋体" w:eastAsia="宋体" w:cs="Times New Roman"/>
          <w:color w:val="auto"/>
          <w:sz w:val="24"/>
          <w:highlight w:val="none"/>
        </w:rPr>
        <w:outlineLvl w:val="9"/>
      </w:pPr>
      <w:r>
        <w:rPr>
          <w:rFonts w:hint="eastAsia" w:ascii="宋体" w:hAnsi="宋体" w:eastAsia="宋体" w:cs="Times New Roman"/>
          <w:color w:val="auto"/>
          <w:sz w:val="24"/>
          <w:highlight w:val="none"/>
        </w:rPr>
        <w:t xml:space="preserve">项目负责人：                              项目经理：</w:t>
      </w:r>
      <w:r/>
    </w:p>
    <w:p>
      <w:pPr>
        <w:ind w:firstLine="0"/>
        <w:jc w:val="left"/>
        <w:spacing w:line="420" w:lineRule="exact"/>
        <w:rPr>
          <w:rFonts w:hint="eastAsia" w:ascii="宋体" w:hAnsi="宋体" w:eastAsia="宋体" w:cs="Times New Roman"/>
          <w:color w:val="auto"/>
          <w:sz w:val="24"/>
          <w:highlight w:val="none"/>
        </w:rPr>
        <w:outlineLvl w:val="9"/>
      </w:pPr>
      <w:r>
        <w:rPr>
          <w:rFonts w:hint="eastAsia" w:ascii="宋体" w:hAnsi="宋体" w:eastAsia="宋体" w:cs="Times New Roman"/>
          <w:color w:val="auto"/>
          <w:sz w:val="24"/>
          <w:highlight w:val="none"/>
        </w:rPr>
      </w:r>
      <w:r/>
    </w:p>
    <w:p>
      <w:pPr>
        <w:ind w:firstLine="0"/>
        <w:jc w:val="left"/>
        <w:spacing w:line="420" w:lineRule="exact"/>
        <w:rPr>
          <w:rFonts w:hint="eastAsia" w:ascii="宋体" w:hAnsi="宋体" w:eastAsia="宋体" w:cs="Times New Roman"/>
          <w:color w:val="auto"/>
          <w:sz w:val="24"/>
          <w:highlight w:val="none"/>
        </w:rPr>
        <w:outlineLvl w:val="9"/>
      </w:pPr>
      <w:r>
        <w:rPr>
          <w:rFonts w:hint="eastAsia" w:ascii="宋体" w:hAnsi="宋体" w:eastAsia="宋体" w:cs="Times New Roman"/>
          <w:color w:val="auto"/>
          <w:sz w:val="24"/>
          <w:highlight w:val="none"/>
        </w:rPr>
        <w:t xml:space="preserve">电  话：                                  电  话：                   </w:t>
      </w:r>
      <w:r/>
    </w:p>
    <w:p>
      <w:pPr>
        <w:ind w:firstLine="0"/>
        <w:jc w:val="left"/>
        <w:spacing w:line="420" w:lineRule="exact"/>
        <w:rPr>
          <w:rFonts w:hint="eastAsia" w:ascii="宋体" w:hAnsi="宋体" w:eastAsia="宋体" w:cs="Times New Roman"/>
          <w:color w:val="auto"/>
          <w:sz w:val="24"/>
          <w:highlight w:val="none"/>
        </w:rPr>
        <w:outlineLvl w:val="9"/>
      </w:pPr>
      <w:r>
        <w:rPr>
          <w:rFonts w:hint="eastAsia" w:ascii="宋体" w:hAnsi="宋体" w:eastAsia="宋体" w:cs="Times New Roman"/>
          <w:color w:val="auto"/>
          <w:sz w:val="24"/>
          <w:highlight w:val="none"/>
        </w:rPr>
        <w:t xml:space="preserve">地  址：                                  地   址：                  </w:t>
      </w:r>
      <w:r/>
    </w:p>
    <w:p>
      <w:pPr>
        <w:ind w:firstLine="0"/>
        <w:jc w:val="left"/>
        <w:spacing w:line="420" w:lineRule="exact"/>
        <w:rPr>
          <w:rFonts w:hint="eastAsia" w:ascii="宋体" w:hAnsi="宋体" w:eastAsia="宋体" w:cs="Times New Roman"/>
          <w:color w:val="auto"/>
          <w:sz w:val="24"/>
          <w:highlight w:val="none"/>
        </w:rPr>
        <w:outlineLvl w:val="9"/>
      </w:pPr>
      <w:r>
        <w:rPr>
          <w:rFonts w:hint="eastAsia" w:ascii="宋体" w:hAnsi="宋体" w:eastAsia="宋体" w:cs="Times New Roman"/>
          <w:color w:val="auto"/>
          <w:sz w:val="24"/>
          <w:highlight w:val="none"/>
        </w:rPr>
        <w:t xml:space="preserve">年  月   日                              年  月   日     </w:t>
      </w:r>
      <w:r/>
    </w:p>
    <w:p>
      <w:pPr>
        <w:ind w:firstLine="0"/>
        <w:jc w:val="left"/>
        <w:spacing w:line="420" w:lineRule="exact"/>
        <w:rPr>
          <w:rFonts w:hint="eastAsia" w:ascii="宋体" w:hAnsi="宋体" w:eastAsia="宋体" w:cs="Times New Roman"/>
          <w:color w:val="auto"/>
          <w:sz w:val="24"/>
          <w:highlight w:val="none"/>
        </w:rPr>
        <w:outlineLvl w:val="9"/>
      </w:pPr>
      <w:r>
        <w:rPr>
          <w:rFonts w:hint="eastAsia" w:ascii="宋体" w:hAnsi="宋体" w:eastAsia="宋体" w:cs="Times New Roman"/>
          <w:color w:val="auto"/>
          <w:sz w:val="24"/>
          <w:highlight w:val="none"/>
        </w:rPr>
      </w:r>
      <w:r/>
    </w:p>
    <w:p>
      <w:pPr>
        <w:ind w:firstLine="0"/>
        <w:jc w:val="left"/>
        <w:spacing w:line="420" w:lineRule="exact"/>
        <w:rPr>
          <w:rFonts w:hint="eastAsia" w:ascii="宋体" w:hAnsi="宋体" w:eastAsia="宋体" w:cs="Times New Roman"/>
          <w:color w:val="auto"/>
          <w:sz w:val="24"/>
          <w:highlight w:val="none"/>
        </w:rPr>
        <w:outlineLvl w:val="9"/>
      </w:pPr>
      <w:r>
        <w:rPr>
          <w:rFonts w:hint="eastAsia" w:ascii="宋体" w:hAnsi="宋体" w:eastAsia="宋体" w:cs="Times New Roman"/>
          <w:color w:val="auto"/>
          <w:sz w:val="24"/>
          <w:highlight w:val="none"/>
        </w:rPr>
        <w:t xml:space="preserve">见证方：</w:t>
      </w:r>
      <w:r/>
    </w:p>
    <w:p>
      <w:pPr>
        <w:ind w:firstLine="0"/>
        <w:jc w:val="left"/>
        <w:spacing w:line="360" w:lineRule="auto"/>
        <w:rPr>
          <w:rFonts w:hint="eastAsia" w:ascii="宋体" w:hAnsi="宋体" w:eastAsia="宋体" w:cs="宋体"/>
          <w:color w:val="auto"/>
          <w:sz w:val="32"/>
          <w:szCs w:val="32"/>
          <w:highlight w:val="none"/>
        </w:rPr>
        <w:outlineLvl w:val="9"/>
      </w:pPr>
      <w:r>
        <w:rPr>
          <w:rFonts w:hint="eastAsia" w:ascii="宋体" w:hAnsi="宋体" w:eastAsia="宋体" w:cs="Times New Roman"/>
          <w:color w:val="auto"/>
          <w:sz w:val="24"/>
          <w:highlight w:val="none"/>
        </w:rPr>
        <w:t xml:space="preserve">日期：</w:t>
      </w:r>
      <w:r>
        <w:rPr>
          <w:rFonts w:hint="eastAsia" w:ascii="宋体" w:hAnsi="宋体" w:eastAsia="宋体" w:cs="宋体"/>
          <w:color w:val="auto"/>
          <w:sz w:val="32"/>
          <w:szCs w:val="32"/>
          <w:highlight w:val="none"/>
        </w:rPr>
        <w:br w:type="page" w:clear="all"/>
      </w:r>
      <w:r/>
    </w:p>
    <w:p>
      <w:pPr>
        <w:ind w:firstLine="640"/>
        <w:jc w:val="center"/>
        <w:shd w:val="clear" w:color="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五、投标文件（格式）</w:t>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711"/>
        <w:ind w:left="9"/>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firstLine="1040"/>
        <w:jc w:val="center"/>
        <w:shd w:val="clear" w:color="auto"/>
        <w:rPr>
          <w:rFonts w:hint="eastAsia" w:ascii="宋体" w:hAnsi="宋体" w:eastAsia="宋体" w:cs="宋体"/>
          <w:color w:val="auto"/>
          <w:sz w:val="52"/>
          <w:szCs w:val="52"/>
          <w:highlight w:val="none"/>
        </w:rPr>
        <w:outlineLvl w:val="9"/>
      </w:pPr>
      <w:r>
        <w:rPr>
          <w:rFonts w:hint="eastAsia" w:ascii="宋体" w:hAnsi="宋体" w:eastAsia="宋体" w:cs="宋体"/>
          <w:color w:val="auto"/>
          <w:sz w:val="52"/>
          <w:szCs w:val="52"/>
          <w:highlight w:val="none"/>
        </w:rPr>
        <w:t xml:space="preserve">投</w:t>
      </w:r>
      <w:r/>
    </w:p>
    <w:p>
      <w:pPr>
        <w:ind w:firstLine="1040"/>
        <w:jc w:val="center"/>
        <w:shd w:val="clear" w:color="auto"/>
        <w:rPr>
          <w:rFonts w:hint="eastAsia" w:ascii="宋体" w:hAnsi="宋体" w:eastAsia="宋体" w:cs="宋体"/>
          <w:color w:val="auto"/>
          <w:sz w:val="52"/>
          <w:szCs w:val="52"/>
          <w:highlight w:val="none"/>
        </w:rPr>
        <w:outlineLvl w:val="9"/>
      </w:pPr>
      <w:r>
        <w:rPr>
          <w:rFonts w:hint="eastAsia" w:ascii="宋体" w:hAnsi="宋体" w:eastAsia="宋体" w:cs="宋体"/>
          <w:color w:val="auto"/>
          <w:sz w:val="52"/>
          <w:szCs w:val="52"/>
          <w:highlight w:val="none"/>
        </w:rPr>
      </w:r>
      <w:r/>
    </w:p>
    <w:p>
      <w:pPr>
        <w:ind w:firstLine="1040"/>
        <w:jc w:val="center"/>
        <w:shd w:val="clear" w:color="auto"/>
        <w:rPr>
          <w:rFonts w:hint="eastAsia" w:ascii="宋体" w:hAnsi="宋体" w:eastAsia="宋体" w:cs="宋体"/>
          <w:color w:val="auto"/>
          <w:sz w:val="52"/>
          <w:szCs w:val="52"/>
          <w:highlight w:val="none"/>
        </w:rPr>
        <w:outlineLvl w:val="9"/>
      </w:pPr>
      <w:r>
        <w:rPr>
          <w:rFonts w:hint="eastAsia" w:ascii="宋体" w:hAnsi="宋体" w:eastAsia="宋体" w:cs="宋体"/>
          <w:color w:val="auto"/>
          <w:sz w:val="52"/>
          <w:szCs w:val="52"/>
          <w:highlight w:val="none"/>
        </w:rPr>
        <w:t xml:space="preserve">标</w:t>
      </w:r>
      <w:r/>
    </w:p>
    <w:p>
      <w:pPr>
        <w:ind w:firstLine="1040"/>
        <w:jc w:val="center"/>
        <w:shd w:val="clear" w:color="auto"/>
        <w:rPr>
          <w:rFonts w:hint="eastAsia" w:ascii="宋体" w:hAnsi="宋体" w:eastAsia="宋体" w:cs="宋体"/>
          <w:color w:val="auto"/>
          <w:sz w:val="52"/>
          <w:szCs w:val="52"/>
          <w:highlight w:val="none"/>
        </w:rPr>
        <w:outlineLvl w:val="9"/>
      </w:pPr>
      <w:r>
        <w:rPr>
          <w:rFonts w:hint="eastAsia" w:ascii="宋体" w:hAnsi="宋体" w:eastAsia="宋体" w:cs="宋体"/>
          <w:color w:val="auto"/>
          <w:sz w:val="52"/>
          <w:szCs w:val="52"/>
          <w:highlight w:val="none"/>
        </w:rPr>
      </w:r>
      <w:r/>
    </w:p>
    <w:p>
      <w:pPr>
        <w:ind w:firstLine="1040"/>
        <w:jc w:val="center"/>
        <w:shd w:val="clear" w:color="auto"/>
        <w:rPr>
          <w:rFonts w:hint="eastAsia" w:ascii="宋体" w:hAnsi="宋体" w:eastAsia="宋体" w:cs="宋体"/>
          <w:color w:val="auto"/>
          <w:sz w:val="52"/>
          <w:szCs w:val="52"/>
          <w:highlight w:val="none"/>
        </w:rPr>
        <w:outlineLvl w:val="9"/>
      </w:pPr>
      <w:r>
        <w:rPr>
          <w:rFonts w:hint="eastAsia" w:ascii="宋体" w:hAnsi="宋体" w:eastAsia="宋体" w:cs="宋体"/>
          <w:color w:val="auto"/>
          <w:sz w:val="52"/>
          <w:szCs w:val="52"/>
          <w:highlight w:val="none"/>
        </w:rPr>
        <w:t xml:space="preserve">文</w:t>
      </w:r>
      <w:r/>
    </w:p>
    <w:p>
      <w:pPr>
        <w:ind w:firstLine="1040"/>
        <w:jc w:val="center"/>
        <w:shd w:val="clear" w:color="auto"/>
        <w:rPr>
          <w:rFonts w:hint="eastAsia" w:ascii="宋体" w:hAnsi="宋体" w:eastAsia="宋体" w:cs="宋体"/>
          <w:color w:val="auto"/>
          <w:sz w:val="52"/>
          <w:szCs w:val="52"/>
          <w:highlight w:val="none"/>
        </w:rPr>
        <w:outlineLvl w:val="9"/>
      </w:pPr>
      <w:r>
        <w:rPr>
          <w:rFonts w:hint="eastAsia" w:ascii="宋体" w:hAnsi="宋体" w:eastAsia="宋体" w:cs="宋体"/>
          <w:color w:val="auto"/>
          <w:sz w:val="52"/>
          <w:szCs w:val="52"/>
          <w:highlight w:val="none"/>
        </w:rPr>
      </w:r>
      <w:r/>
    </w:p>
    <w:p>
      <w:pPr>
        <w:ind w:firstLine="1040"/>
        <w:jc w:val="center"/>
        <w:shd w:val="clear" w:color="auto"/>
        <w:rPr>
          <w:rFonts w:hint="eastAsia" w:ascii="宋体" w:hAnsi="宋体" w:eastAsia="宋体" w:cs="宋体"/>
          <w:color w:val="auto"/>
          <w:sz w:val="52"/>
          <w:szCs w:val="52"/>
          <w:highlight w:val="none"/>
        </w:rPr>
        <w:outlineLvl w:val="9"/>
      </w:pPr>
      <w:r>
        <w:rPr>
          <w:rFonts w:hint="eastAsia" w:ascii="宋体" w:hAnsi="宋体" w:eastAsia="宋体" w:cs="宋体"/>
          <w:color w:val="auto"/>
          <w:sz w:val="52"/>
          <w:szCs w:val="52"/>
          <w:highlight w:val="none"/>
        </w:rPr>
        <w:t xml:space="preserve">件</w:t>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firstLine="560"/>
        <w:spacing w:line="360" w:lineRule="auto"/>
        <w:shd w:val="clear" w:color="auto"/>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r>
      <w:r/>
    </w:p>
    <w:p>
      <w:pPr>
        <w:ind w:firstLine="560"/>
        <w:spacing w:line="360" w:lineRule="auto"/>
        <w:shd w:val="clear" w:color="auto"/>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r>
      <w:r/>
    </w:p>
    <w:p>
      <w:pPr>
        <w:ind w:firstLine="560"/>
        <w:spacing w:line="360" w:lineRule="auto"/>
        <w:shd w:val="clear" w:color="auto"/>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r>
      <w:r/>
    </w:p>
    <w:p>
      <w:pPr>
        <w:ind w:firstLine="560"/>
        <w:spacing w:line="360" w:lineRule="auto"/>
        <w:shd w:val="clear" w:color="auto"/>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t xml:space="preserve">采购项目编号：</w:t>
      </w:r>
      <w:r/>
    </w:p>
    <w:p>
      <w:pPr>
        <w:ind w:firstLine="560"/>
        <w:spacing w:line="360" w:lineRule="auto"/>
        <w:shd w:val="clear" w:color="auto"/>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t xml:space="preserve">采购项目名称：</w:t>
      </w:r>
      <w:r/>
    </w:p>
    <w:p>
      <w:pPr>
        <w:ind w:firstLine="560"/>
        <w:spacing w:line="360" w:lineRule="auto"/>
        <w:shd w:val="clear" w:color="auto"/>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t xml:space="preserve">投标供应商：</w:t>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firstLine="720"/>
        <w:jc w:val="center"/>
        <w:shd w:val="clear" w:color="auto"/>
        <w:rPr>
          <w:rFonts w:hint="eastAsia" w:ascii="宋体" w:hAnsi="宋体" w:eastAsia="宋体" w:cs="宋体"/>
          <w:color w:val="auto"/>
          <w:sz w:val="36"/>
          <w:szCs w:val="36"/>
          <w:highlight w:val="none"/>
        </w:rPr>
        <w:outlineLvl w:val="9"/>
      </w:pPr>
      <w:r>
        <w:rPr>
          <w:rFonts w:hint="eastAsia" w:ascii="宋体" w:hAnsi="宋体" w:eastAsia="宋体" w:cs="宋体"/>
          <w:color w:val="auto"/>
          <w:sz w:val="36"/>
          <w:szCs w:val="36"/>
          <w:highlight w:val="none"/>
          <w:lang w:eastAsia="zh-CN"/>
        </w:rPr>
        <w:t xml:space="preserve">二〇</w:t>
      </w:r>
      <w:r>
        <w:rPr>
          <w:rFonts w:hint="eastAsia" w:ascii="宋体" w:hAnsi="宋体" w:eastAsia="宋体" w:cs="宋体"/>
          <w:color w:val="auto"/>
          <w:sz w:val="36"/>
          <w:szCs w:val="36"/>
          <w:highlight w:val="none"/>
        </w:rPr>
        <w:t xml:space="preserve">   年   月  日</w:t>
      </w:r>
      <w:bookmarkStart w:id="3" w:name="一．报价函（格式）"/>
      <w:r/>
      <w:bookmarkEnd w:id="3"/>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firstLine="480"/>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jc w:val="left"/>
        <w:shd w:val="clear" w:color="auto"/>
        <w:rPr>
          <w:rFonts w:hint="eastAsia" w:ascii="宋体" w:hAnsi="宋体" w:eastAsia="宋体" w:cs="宋体"/>
          <w:b/>
          <w:bCs/>
          <w:color w:val="auto"/>
          <w:sz w:val="28"/>
          <w:szCs w:val="28"/>
          <w:highlight w:val="none"/>
        </w:rPr>
        <w:outlineLvl w:val="0"/>
      </w:pPr>
      <w:r>
        <w:rPr>
          <w:rFonts w:hint="eastAsia" w:ascii="宋体" w:hAnsi="宋体" w:eastAsia="宋体" w:cs="宋体"/>
          <w:b/>
          <w:bCs/>
          <w:color w:val="auto"/>
          <w:sz w:val="28"/>
          <w:szCs w:val="28"/>
          <w:highlight w:val="none"/>
        </w:rPr>
        <w:t xml:space="preserve">（一）投标函（格式）</w:t>
      </w:r>
      <w:r/>
    </w:p>
    <w:p>
      <w:pPr>
        <w:jc w:val="center"/>
        <w:keepLines w:val="0"/>
        <w:keepNext w:val="0"/>
        <w:pageBreakBefore w:val="0"/>
        <w:spacing w:before="164" w:after="164"/>
        <w:shd w:val="clear" w:color="auto"/>
        <w:widowControl w:val="off"/>
        <w:rPr>
          <w:rFonts w:hint="eastAsia" w:ascii="宋体" w:hAnsi="宋体" w:eastAsia="宋体" w:cs="宋体"/>
          <w:b/>
          <w:bCs/>
          <w:color w:val="auto"/>
          <w:sz w:val="28"/>
          <w:szCs w:val="28"/>
          <w:highlight w:val="none"/>
        </w:rPr>
        <w:outlineLvl w:val="0"/>
      </w:pPr>
      <w:r>
        <w:rPr>
          <w:rFonts w:hint="eastAsia" w:ascii="宋体" w:hAnsi="宋体" w:eastAsia="宋体" w:cs="宋体"/>
          <w:b/>
          <w:bCs/>
          <w:color w:val="auto"/>
          <w:sz w:val="28"/>
          <w:szCs w:val="28"/>
          <w:highlight w:val="none"/>
        </w:rPr>
        <w:t xml:space="preserve">投标函</w:t>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致</w:t>
      </w:r>
      <w:r>
        <w:rPr>
          <w:rFonts w:hint="eastAsia" w:ascii="宋体" w:hAnsi="宋体" w:cs="宋体"/>
          <w:color w:val="auto"/>
          <w:sz w:val="24"/>
          <w:szCs w:val="24"/>
          <w:highlight w:val="none"/>
          <w:lang w:eastAsia="zh-CN"/>
        </w:rPr>
        <w:t xml:space="preserve">无锡市新吴区人民政府江溪街道办事处</w:t>
      </w:r>
      <w:r>
        <w:rPr>
          <w:rFonts w:hint="eastAsia" w:ascii="宋体" w:hAnsi="宋体" w:eastAsia="宋体" w:cs="宋体"/>
          <w:color w:val="auto"/>
          <w:sz w:val="24"/>
          <w:szCs w:val="24"/>
          <w:highlight w:val="none"/>
        </w:rPr>
        <w:t xml:space="preserve">：</w:t>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我方收到贵方编号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招标文件，经仔细阅读和研究，我方决定参加此项目的投标。</w:t>
      </w:r>
      <w:r/>
    </w:p>
    <w:p>
      <w:pPr>
        <w:pStyle w:val="906"/>
        <w:numPr>
          <w:ilvl w:val="0"/>
          <w:numId w:val="0"/>
        </w:numPr>
        <w:ind w:left="552" w:hanging="42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bidi="ar-SA"/>
        </w:rPr>
        <w:t xml:space="preserve">一、</w:t>
      </w:r>
      <w:r>
        <w:rPr>
          <w:rFonts w:hint="eastAsia" w:ascii="宋体" w:hAnsi="宋体" w:eastAsia="宋体" w:cs="宋体"/>
          <w:color w:val="auto"/>
          <w:sz w:val="24"/>
          <w:szCs w:val="24"/>
          <w:highlight w:val="none"/>
        </w:rPr>
        <w:t xml:space="preserve">我方愿意按照招标文件的一切要求，提供本项目的投标，投标总价见《开标一览表》。</w:t>
      </w:r>
      <w:r/>
    </w:p>
    <w:p>
      <w:pPr>
        <w:pStyle w:val="906"/>
        <w:numPr>
          <w:ilvl w:val="0"/>
          <w:numId w:val="0"/>
        </w:numPr>
        <w:ind w:left="552" w:hanging="420"/>
        <w:spacing w:line="360" w:lineRule="auto"/>
        <w:shd w:val="clear" w:color="auto"/>
        <w:rPr>
          <w:rStyle w:val="746"/>
          <w:rFonts w:hint="eastAsia" w:ascii="宋体" w:hAnsi="宋体" w:eastAsia="宋体" w:cs="宋体"/>
          <w:bCs/>
          <w:color w:val="auto"/>
          <w:highlight w:val="none"/>
        </w:rPr>
        <w:outlineLvl w:val="9"/>
      </w:pPr>
      <w:r>
        <w:rPr>
          <w:rFonts w:hint="eastAsia" w:ascii="宋体" w:hAnsi="宋体" w:eastAsia="宋体" w:cs="宋体"/>
          <w:bCs/>
          <w:color w:val="auto"/>
          <w:sz w:val="24"/>
          <w:szCs w:val="24"/>
          <w:highlight w:val="none"/>
          <w:lang w:val="en-US" w:eastAsia="zh-CN" w:bidi="ar-SA"/>
        </w:rPr>
        <w:t xml:space="preserve">二、</w:t>
      </w:r>
      <w:r>
        <w:rPr>
          <w:rFonts w:hint="eastAsia" w:ascii="宋体" w:hAnsi="宋体" w:eastAsia="宋体" w:cs="宋体"/>
          <w:color w:val="auto"/>
          <w:sz w:val="24"/>
          <w:szCs w:val="24"/>
          <w:highlight w:val="none"/>
        </w:rPr>
        <w:t xml:space="preserve">我方愿意提供</w:t>
      </w:r>
      <w:r>
        <w:rPr>
          <w:rFonts w:hint="eastAsia" w:ascii="宋体" w:hAnsi="宋体" w:cs="宋体"/>
          <w:color w:val="auto"/>
          <w:sz w:val="24"/>
          <w:szCs w:val="24"/>
          <w:highlight w:val="none"/>
          <w:lang w:eastAsia="zh-CN"/>
        </w:rPr>
        <w:t xml:space="preserve">江苏万力通项目管理有限公司</w:t>
      </w:r>
      <w:r>
        <w:rPr>
          <w:rFonts w:hint="eastAsia" w:ascii="宋体" w:hAnsi="宋体" w:eastAsia="宋体" w:cs="宋体"/>
          <w:color w:val="auto"/>
          <w:sz w:val="24"/>
          <w:szCs w:val="24"/>
          <w:highlight w:val="none"/>
        </w:rPr>
        <w:t xml:space="preserve">在招标文件中要求的文件、资料。</w:t>
      </w:r>
      <w:r/>
    </w:p>
    <w:p>
      <w:pPr>
        <w:pStyle w:val="906"/>
        <w:numPr>
          <w:ilvl w:val="0"/>
          <w:numId w:val="0"/>
        </w:numPr>
        <w:ind w:left="552" w:hanging="42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bidi="ar-SA"/>
        </w:rPr>
        <w:t xml:space="preserve">三、</w:t>
      </w:r>
      <w:r>
        <w:rPr>
          <w:rFonts w:hint="eastAsia" w:ascii="宋体" w:hAnsi="宋体" w:eastAsia="宋体" w:cs="宋体"/>
          <w:color w:val="auto"/>
          <w:sz w:val="24"/>
          <w:szCs w:val="24"/>
          <w:highlight w:val="none"/>
        </w:rPr>
        <w:t xml:space="preserve">我方同意按招标文件中的规定，本投标文件投标的有效期限为开标之日起90天。</w:t>
      </w:r>
      <w:r/>
    </w:p>
    <w:p>
      <w:pPr>
        <w:pStyle w:val="906"/>
        <w:numPr>
          <w:ilvl w:val="0"/>
          <w:numId w:val="0"/>
        </w:numPr>
        <w:ind w:left="552" w:hanging="42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bidi="ar-SA"/>
        </w:rPr>
        <w:t xml:space="preserve">四、</w:t>
      </w:r>
      <w:r>
        <w:rPr>
          <w:rFonts w:hint="eastAsia" w:ascii="宋体" w:hAnsi="宋体" w:eastAsia="宋体" w:cs="宋体"/>
          <w:color w:val="auto"/>
          <w:sz w:val="24"/>
          <w:szCs w:val="24"/>
          <w:highlight w:val="none"/>
        </w:rPr>
        <w:t xml:space="preserve">如果我方的投标文件被接受，我方将履行招标文件中规定的每一项要求，按期、按质、按量，完成交货任务。</w:t>
      </w:r>
      <w:r/>
    </w:p>
    <w:p>
      <w:pPr>
        <w:pStyle w:val="906"/>
        <w:numPr>
          <w:ilvl w:val="0"/>
          <w:numId w:val="0"/>
        </w:numPr>
        <w:ind w:left="552" w:hanging="42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bidi="ar-SA"/>
        </w:rPr>
        <w:t xml:space="preserve">五、</w:t>
      </w:r>
      <w:r>
        <w:rPr>
          <w:rFonts w:hint="eastAsia" w:ascii="宋体" w:hAnsi="宋体" w:eastAsia="宋体" w:cs="宋体"/>
          <w:color w:val="auto"/>
          <w:sz w:val="24"/>
          <w:szCs w:val="24"/>
          <w:highlight w:val="none"/>
        </w:rPr>
        <w:t xml:space="preserve">我方认为你们有权决定中标者。</w:t>
      </w:r>
      <w:r/>
    </w:p>
    <w:p>
      <w:pPr>
        <w:pStyle w:val="906"/>
        <w:numPr>
          <w:ilvl w:val="0"/>
          <w:numId w:val="0"/>
        </w:numPr>
        <w:ind w:left="552" w:hanging="42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bidi="ar-SA"/>
        </w:rPr>
        <w:t xml:space="preserve">六、</w:t>
      </w:r>
      <w:r>
        <w:rPr>
          <w:rFonts w:hint="eastAsia" w:ascii="宋体" w:hAnsi="宋体" w:eastAsia="宋体" w:cs="宋体"/>
          <w:color w:val="auto"/>
          <w:sz w:val="24"/>
          <w:szCs w:val="24"/>
          <w:highlight w:val="none"/>
        </w:rPr>
        <w:t xml:space="preserve">我方愿意遵守《中华人民共和国政府采购法》，并</w:t>
      </w:r>
      <w:r>
        <w:rPr>
          <w:rFonts w:hint="eastAsia" w:ascii="宋体" w:hAnsi="宋体" w:cs="宋体"/>
          <w:color w:val="auto"/>
          <w:sz w:val="24"/>
          <w:szCs w:val="24"/>
          <w:highlight w:val="none"/>
          <w:lang w:eastAsia="zh-CN"/>
        </w:rPr>
        <w:t xml:space="preserve">按照《中华人民共和国</w:t>
      </w:r>
      <w:r>
        <w:rPr>
          <w:rFonts w:hint="eastAsia" w:ascii="宋体" w:hAnsi="宋体" w:eastAsia="宋体" w:cs="宋体"/>
          <w:color w:val="auto"/>
          <w:sz w:val="24"/>
          <w:szCs w:val="24"/>
          <w:highlight w:val="none"/>
        </w:rPr>
        <w:t xml:space="preserve">民法典》、财政部《政府采购货物和服务招标投标管理办法》和合同条款履行自己的全部责任。</w:t>
      </w:r>
      <w:r/>
    </w:p>
    <w:p>
      <w:pPr>
        <w:pStyle w:val="906"/>
        <w:numPr>
          <w:ilvl w:val="0"/>
          <w:numId w:val="0"/>
        </w:numPr>
        <w:ind w:left="552" w:hanging="42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bidi="ar-SA"/>
        </w:rPr>
        <w:t xml:space="preserve">七、</w:t>
      </w:r>
      <w:r>
        <w:rPr>
          <w:rFonts w:hint="eastAsia" w:ascii="宋体" w:hAnsi="宋体" w:eastAsia="宋体" w:cs="宋体"/>
          <w:color w:val="auto"/>
          <w:sz w:val="24"/>
          <w:szCs w:val="24"/>
          <w:highlight w:val="none"/>
        </w:rPr>
        <w:t xml:space="preserve">我方认可并遵守招标文件的所有规定，放弃对招标文件提出质疑的权利。</w:t>
      </w:r>
      <w:r/>
    </w:p>
    <w:p>
      <w:pPr>
        <w:pStyle w:val="906"/>
        <w:numPr>
          <w:ilvl w:val="0"/>
          <w:numId w:val="0"/>
        </w:numPr>
        <w:ind w:left="552" w:hanging="42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bidi="ar-SA"/>
        </w:rPr>
        <w:t xml:space="preserve">八、</w:t>
      </w:r>
      <w:r>
        <w:rPr>
          <w:rFonts w:hint="eastAsia" w:ascii="宋体" w:hAnsi="宋体" w:eastAsia="宋体" w:cs="宋体"/>
          <w:color w:val="auto"/>
          <w:sz w:val="24"/>
          <w:szCs w:val="24"/>
          <w:highlight w:val="none"/>
        </w:rPr>
        <w:t xml:space="preserve">我方愿意按招标文件的规定上传《投标（报价）承诺函》。如我方在投标截止期后撤回投标及中标后拒绝遵守投标承诺或拒绝在规定的时间内与采购人签订合同，则接受政府采购监督管理部门的处理。</w:t>
      </w:r>
      <w:r/>
    </w:p>
    <w:p>
      <w:pPr>
        <w:pStyle w:val="906"/>
        <w:numPr>
          <w:ilvl w:val="0"/>
          <w:numId w:val="0"/>
        </w:numPr>
        <w:ind w:left="552" w:hanging="42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bidi="ar-SA"/>
        </w:rPr>
        <w:t xml:space="preserve">九、</w:t>
      </w:r>
      <w:r>
        <w:rPr>
          <w:rFonts w:hint="eastAsia" w:ascii="宋体" w:hAnsi="宋体" w:eastAsia="宋体" w:cs="宋体"/>
          <w:color w:val="auto"/>
          <w:sz w:val="24"/>
          <w:szCs w:val="24"/>
          <w:highlight w:val="none"/>
        </w:rPr>
        <w:t xml:space="preserve">如果我方被确定为中标供应商，我方如无不可抗力，又未履行招标文件、投标文件和合同条款的，一经查实，我方愿意赔偿由此而造成的一切损失，并同意接受按招标文件的相关要求对我方进行的处理。</w:t>
      </w:r>
      <w:r/>
    </w:p>
    <w:p>
      <w:pPr>
        <w:pStyle w:val="906"/>
        <w:numPr>
          <w:ilvl w:val="0"/>
          <w:numId w:val="0"/>
        </w:numPr>
        <w:ind w:left="552" w:hanging="42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val="en-US" w:eastAsia="zh-CN" w:bidi="ar-SA"/>
        </w:rPr>
        <w:t xml:space="preserve">十、</w:t>
      </w:r>
      <w:r>
        <w:rPr>
          <w:rFonts w:hint="eastAsia" w:ascii="宋体" w:hAnsi="宋体" w:eastAsia="宋体" w:cs="宋体"/>
          <w:color w:val="auto"/>
          <w:sz w:val="24"/>
          <w:szCs w:val="24"/>
          <w:highlight w:val="none"/>
        </w:rPr>
        <w:t xml:space="preserve">我方决不提供虚假材料谋取中标、决不采取不正当手段诋毁、排挤其他供应商、决不与采购人、</w:t>
      </w:r>
      <w:r>
        <w:rPr>
          <w:rFonts w:hint="eastAsia" w:ascii="宋体" w:hAnsi="宋体" w:eastAsia="宋体" w:cs="宋体"/>
          <w:color w:val="auto"/>
          <w:sz w:val="24"/>
          <w:szCs w:val="24"/>
          <w:highlight w:val="none"/>
          <w:lang w:eastAsia="zh-CN"/>
        </w:rPr>
        <w:t xml:space="preserve">其他</w:t>
      </w:r>
      <w:r>
        <w:rPr>
          <w:rFonts w:hint="eastAsia" w:ascii="宋体" w:hAnsi="宋体" w:eastAsia="宋体" w:cs="宋体"/>
          <w:color w:val="auto"/>
          <w:sz w:val="24"/>
          <w:szCs w:val="24"/>
          <w:highlight w:val="none"/>
        </w:rPr>
        <w:t xml:space="preserve">供应商或者采购中心恶意串通、决不向采购人、采购代理机构和评委进行商业贿赂、决不在采购过程中与采购人进行协商谈判、决不拒绝有关部门监督检查或提供虚假情况，如有违反，无条件接受贵方及相关管理部门的处罚。</w:t>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lang w:eastAsia="zh-CN"/>
        </w:rPr>
        <w:t xml:space="preserve">投标供应商</w:t>
      </w:r>
      <w:r>
        <w:rPr>
          <w:rFonts w:hint="eastAsia" w:ascii="宋体" w:hAnsi="宋体" w:eastAsia="宋体" w:cs="宋体"/>
          <w:color w:val="auto"/>
          <w:sz w:val="24"/>
          <w:szCs w:val="24"/>
          <w:highlight w:val="none"/>
        </w:rPr>
        <w:t xml:space="preserve">（盖章）：     </w:t>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法定代表人或法定代表人授权代表</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签字或盖章</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电话：                              传真：</w:t>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通讯地址：                          邮编：</w:t>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jc w:val="left"/>
        <w:shd w:val="clear" w:color="auto"/>
        <w:rPr>
          <w:rFonts w:hint="eastAsia" w:ascii="宋体" w:hAnsi="宋体" w:eastAsia="宋体" w:cs="宋体"/>
          <w:b/>
          <w:bCs/>
          <w:color w:val="auto"/>
          <w:sz w:val="28"/>
          <w:szCs w:val="28"/>
          <w:highlight w:val="none"/>
        </w:rPr>
        <w:outlineLvl w:val="0"/>
      </w:pPr>
      <w:r>
        <w:rPr>
          <w:rFonts w:hint="eastAsia" w:ascii="宋体" w:hAnsi="宋体" w:eastAsia="宋体" w:cs="宋体"/>
          <w:b/>
          <w:bCs/>
          <w:color w:val="auto"/>
          <w:sz w:val="28"/>
          <w:szCs w:val="28"/>
          <w:highlight w:val="none"/>
        </w:rPr>
        <w:t xml:space="preserve">（二）开标一览表（格式）</w:t>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jc w:val="center"/>
        <w:keepLines w:val="0"/>
        <w:keepNext w:val="0"/>
        <w:pageBreakBefore w:val="0"/>
        <w:spacing w:before="164" w:after="164"/>
        <w:shd w:val="clear" w:color="auto"/>
        <w:widowControl w:val="off"/>
        <w:rPr>
          <w:rFonts w:hint="eastAsia" w:ascii="宋体" w:hAnsi="宋体" w:eastAsia="宋体" w:cs="宋体"/>
          <w:b/>
          <w:bCs/>
          <w:color w:val="auto"/>
          <w:sz w:val="28"/>
          <w:szCs w:val="28"/>
          <w:highlight w:val="none"/>
        </w:rPr>
        <w:outlineLvl w:val="0"/>
      </w:pPr>
      <w:r>
        <w:rPr>
          <w:rFonts w:hint="eastAsia" w:ascii="宋体" w:hAnsi="宋体" w:eastAsia="宋体" w:cs="宋体"/>
          <w:b/>
          <w:bCs/>
          <w:color w:val="auto"/>
          <w:sz w:val="28"/>
          <w:szCs w:val="28"/>
          <w:highlight w:val="none"/>
        </w:rPr>
        <w:t xml:space="preserve">开标一览表（格式）</w:t>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firstLine="480"/>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投标供应商全称（加盖公章）：                       采购项目编号： </w:t>
      </w:r>
      <w:r/>
    </w:p>
    <w:tbl>
      <w:tblPr>
        <w:tblStyle w:val="704"/>
        <w:tblW w:w="9402"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38"/>
        <w:gridCol w:w="7064"/>
      </w:tblGrid>
      <w:tr>
        <w:trPr>
          <w:cantSplit/>
          <w:trHeight w:val="1083"/>
        </w:trPr>
        <w:tc>
          <w:tcPr>
            <w:tcW w:w="2338" w:type="dxa"/>
            <w:vAlign w:val="center"/>
            <w:textDirection w:val="lrTb"/>
            <w:noWrap w:val="false"/>
          </w:tcPr>
          <w:p>
            <w:pPr>
              <w:ind w:firstLine="0"/>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w:t>
            </w:r>
            <w:r/>
          </w:p>
        </w:tc>
        <w:tc>
          <w:tcPr>
            <w:tcW w:w="7064" w:type="dxa"/>
            <w:vAlign w:val="center"/>
            <w:textDirection w:val="lrTb"/>
            <w:noWrap w:val="false"/>
          </w:tcPr>
          <w:p>
            <w:pPr>
              <w:ind w:firstLine="0"/>
              <w:spacing w:line="360" w:lineRule="auto"/>
              <w:shd w:val="clear" w:color="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 xml:space="preserve">2026-2029年度江溪街道公共绿化养护项目</w:t>
            </w:r>
            <w:r/>
          </w:p>
        </w:tc>
      </w:tr>
      <w:tr>
        <w:trPr>
          <w:cantSplit/>
          <w:trHeight w:val="1083"/>
        </w:trPr>
        <w:tc>
          <w:tcPr>
            <w:tcW w:w="2338" w:type="dxa"/>
            <w:vAlign w:val="center"/>
            <w:textDirection w:val="lrTb"/>
            <w:noWrap w:val="false"/>
          </w:tcPr>
          <w:p>
            <w:pPr>
              <w:ind w:firstLine="0"/>
              <w:jc w:val="center"/>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一年投标报价</w:t>
            </w:r>
            <w:r/>
          </w:p>
          <w:p>
            <w:pPr>
              <w:ind w:firstLine="720"/>
              <w:jc w:val="both"/>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（元）</w:t>
            </w:r>
            <w:r/>
          </w:p>
        </w:tc>
        <w:tc>
          <w:tcPr>
            <w:tcW w:w="7064" w:type="dxa"/>
            <w:vAlign w:val="center"/>
            <w:textDirection w:val="lrTb"/>
            <w:noWrap w:val="false"/>
          </w:tcPr>
          <w:p>
            <w:pPr>
              <w:pStyle w:val="711"/>
              <w:spacing w:line="300" w:lineRule="auto"/>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大写：</w:t>
            </w:r>
            <w:r/>
          </w:p>
          <w:p>
            <w:pPr>
              <w:pStyle w:val="711"/>
              <w:spacing w:line="30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小写：</w:t>
            </w:r>
            <w:r/>
          </w:p>
        </w:tc>
      </w:tr>
      <w:tr>
        <w:trPr>
          <w:cantSplit/>
          <w:trHeight w:val="1083"/>
        </w:trPr>
        <w:tc>
          <w:tcPr>
            <w:tcW w:w="2338" w:type="dxa"/>
            <w:vAlign w:val="center"/>
            <w:textDirection w:val="lrTb"/>
            <w:noWrap w:val="false"/>
          </w:tcPr>
          <w:p>
            <w:pPr>
              <w:ind w:firstLine="0"/>
              <w:jc w:val="center"/>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三年投标总报价（元）</w:t>
            </w:r>
            <w:r/>
          </w:p>
        </w:tc>
        <w:tc>
          <w:tcPr>
            <w:tcW w:w="7064" w:type="dxa"/>
            <w:vAlign w:val="center"/>
            <w:textDirection w:val="lrTb"/>
            <w:noWrap w:val="false"/>
          </w:tcPr>
          <w:p>
            <w:pPr>
              <w:pStyle w:val="711"/>
              <w:spacing w:line="300" w:lineRule="auto"/>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大写：</w:t>
            </w:r>
            <w:r/>
          </w:p>
          <w:p>
            <w:pPr>
              <w:pStyle w:val="711"/>
              <w:spacing w:line="30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小写：</w:t>
            </w:r>
            <w:r/>
          </w:p>
        </w:tc>
      </w:tr>
      <w:tr>
        <w:trPr>
          <w:cantSplit/>
          <w:trHeight w:val="1031"/>
        </w:trPr>
        <w:tc>
          <w:tcPr>
            <w:tcW w:w="2338" w:type="dxa"/>
            <w:vAlign w:val="center"/>
            <w:textDirection w:val="lrTb"/>
            <w:noWrap w:val="false"/>
          </w:tcPr>
          <w:p>
            <w:pPr>
              <w:ind w:firstLine="0"/>
              <w:jc w:val="center"/>
              <w:spacing w:line="300" w:lineRule="auto"/>
              <w:rPr>
                <w:rFonts w:hint="eastAsia" w:ascii="宋体" w:hAnsi="宋体" w:eastAsia="宋体" w:cs="宋体"/>
                <w:color w:val="auto"/>
                <w:sz w:val="24"/>
                <w:szCs w:val="22"/>
                <w:highlight w:val="none"/>
              </w:rPr>
            </w:pPr>
            <w:r>
              <w:rPr>
                <w:rFonts w:hint="eastAsia" w:ascii="宋体" w:hAnsi="宋体" w:eastAsia="宋体" w:cs="宋体"/>
                <w:color w:val="auto"/>
                <w:sz w:val="24"/>
                <w:highlight w:val="none"/>
              </w:rPr>
              <w:t xml:space="preserve">服务期</w:t>
            </w:r>
            <w:r/>
          </w:p>
        </w:tc>
        <w:tc>
          <w:tcPr>
            <w:tcW w:w="7064" w:type="dxa"/>
            <w:vAlign w:val="center"/>
            <w:textDirection w:val="lrTb"/>
            <w:noWrap w:val="false"/>
          </w:tcPr>
          <w:p>
            <w:pPr>
              <w:spacing w:line="30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1031"/>
        </w:trPr>
        <w:tc>
          <w:tcPr>
            <w:tcW w:w="2338" w:type="dxa"/>
            <w:vAlign w:val="center"/>
            <w:textDirection w:val="lrTb"/>
            <w:noWrap w:val="false"/>
          </w:tcPr>
          <w:p>
            <w:pPr>
              <w:ind w:firstLine="0"/>
              <w:jc w:val="center"/>
              <w:spacing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质量要求</w:t>
            </w:r>
            <w:r/>
          </w:p>
        </w:tc>
        <w:tc>
          <w:tcPr>
            <w:tcW w:w="7064" w:type="dxa"/>
            <w:vAlign w:val="center"/>
            <w:textDirection w:val="lrTb"/>
            <w:noWrap w:val="false"/>
          </w:tcPr>
          <w:p>
            <w:pPr>
              <w:spacing w:line="30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1031"/>
        </w:trPr>
        <w:tc>
          <w:tcPr>
            <w:tcW w:w="2338" w:type="dxa"/>
            <w:vAlign w:val="center"/>
            <w:textDirection w:val="lrTb"/>
            <w:noWrap w:val="false"/>
          </w:tcPr>
          <w:p>
            <w:pPr>
              <w:ind w:firstLine="0"/>
              <w:jc w:val="center"/>
              <w:spacing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服务响应时间</w:t>
            </w:r>
            <w:r/>
          </w:p>
        </w:tc>
        <w:tc>
          <w:tcPr>
            <w:tcW w:w="7064" w:type="dxa"/>
            <w:vAlign w:val="center"/>
            <w:textDirection w:val="lrTb"/>
            <w:noWrap w:val="false"/>
          </w:tcPr>
          <w:p>
            <w:pPr>
              <w:spacing w:line="30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cantSplit/>
          <w:trHeight w:val="1031"/>
        </w:trPr>
        <w:tc>
          <w:tcPr>
            <w:tcW w:w="2338" w:type="dxa"/>
            <w:vAlign w:val="center"/>
            <w:textDirection w:val="lrTb"/>
            <w:noWrap w:val="false"/>
          </w:tcPr>
          <w:p>
            <w:pPr>
              <w:ind w:firstLine="0"/>
              <w:jc w:val="center"/>
              <w:spacing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8"/>
                <w:highlight w:val="none"/>
              </w:rPr>
              <w:t xml:space="preserve">项目负责人</w:t>
            </w:r>
            <w:r/>
          </w:p>
        </w:tc>
        <w:tc>
          <w:tcPr>
            <w:tcW w:w="7064" w:type="dxa"/>
            <w:vAlign w:val="center"/>
            <w:textDirection w:val="lrTb"/>
            <w:noWrap w:val="false"/>
          </w:tcPr>
          <w:p>
            <w:pPr>
              <w:spacing w:line="300" w:lineRule="auto"/>
              <w:shd w:val="clear" w:color="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firstLine="480"/>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ind w:firstLine="480"/>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法定代表人或授权代表签字：                          日期：   年   月   日</w:t>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填写说明：</w:t>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注：</w:t>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1、开标一览表中的内容应与响应函内容一致，否则评标时一律按开标一览表中内容为准，开标一览表中必须盖章或签字。</w:t>
      </w:r>
      <w:r/>
    </w:p>
    <w:p>
      <w:pPr>
        <w:ind w:firstLine="480"/>
        <w:spacing w:line="360" w:lineRule="auto"/>
        <w:shd w:val="clear" w:color="auto"/>
        <w:rPr>
          <w:rFonts w:hint="eastAsia" w:ascii="宋体" w:hAnsi="宋体" w:eastAsia="宋体" w:cs="宋体"/>
          <w:color w:val="auto"/>
          <w:highlight w:val="none"/>
        </w:rPr>
        <w:outlineLvl w:val="9"/>
      </w:pPr>
      <w:r>
        <w:rPr>
          <w:rFonts w:hint="eastAsia" w:ascii="宋体" w:hAnsi="宋体" w:eastAsia="宋体" w:cs="宋体"/>
          <w:color w:val="auto"/>
          <w:sz w:val="24"/>
          <w:szCs w:val="24"/>
          <w:highlight w:val="none"/>
        </w:rPr>
        <w:t xml:space="preserve">2、报价均以人民币元表示，金额精确到小数点后2位。</w:t>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firstLine="0"/>
        <w:jc w:val="both"/>
        <w:spacing w:line="400" w:lineRule="exact"/>
        <w:rPr>
          <w:rFonts w:hint="eastAsia" w:ascii="宋体" w:hAnsi="宋体" w:eastAsia="宋体" w:cs="宋体"/>
          <w:color w:val="auto"/>
          <w:szCs w:val="21"/>
          <w:highlight w:val="none"/>
          <w:lang w:val="zh-CN"/>
        </w:rPr>
        <w:outlineLvl w:val="0"/>
      </w:pPr>
      <w:r>
        <w:rPr>
          <w:rFonts w:hint="eastAsia" w:ascii="宋体" w:hAnsi="宋体" w:eastAsia="宋体" w:cs="宋体"/>
          <w:b/>
          <w:bCs/>
          <w:color w:val="auto"/>
          <w:sz w:val="28"/>
          <w:szCs w:val="28"/>
          <w:highlight w:val="none"/>
        </w:rPr>
        <w:t xml:space="preserve">报价明细表（格式）（格式</w:t>
      </w:r>
      <w:r>
        <w:rPr>
          <w:rFonts w:hint="eastAsia" w:ascii="宋体" w:hAnsi="宋体" w:eastAsia="宋体" w:cs="宋体"/>
          <w:b/>
          <w:bCs/>
          <w:color w:val="auto"/>
          <w:sz w:val="28"/>
          <w:szCs w:val="28"/>
          <w:highlight w:val="none"/>
          <w:lang w:eastAsia="zh-CN"/>
        </w:rPr>
        <w:t xml:space="preserve">按照提供养护量清单的格式</w:t>
      </w:r>
      <w:r>
        <w:rPr>
          <w:rFonts w:hint="eastAsia" w:ascii="宋体" w:hAnsi="宋体" w:eastAsia="宋体" w:cs="宋体"/>
          <w:b/>
          <w:bCs/>
          <w:color w:val="auto"/>
          <w:sz w:val="28"/>
          <w:szCs w:val="28"/>
          <w:highlight w:val="none"/>
        </w:rPr>
        <w:t xml:space="preserve">）</w:t>
      </w:r>
      <w:r>
        <w:rPr>
          <w:rFonts w:hint="eastAsia" w:ascii="宋体" w:hAnsi="宋体" w:eastAsia="宋体" w:cs="宋体"/>
          <w:b/>
          <w:bCs/>
          <w:color w:val="auto"/>
          <w:sz w:val="28"/>
          <w:szCs w:val="28"/>
          <w:highlight w:val="none"/>
          <w:lang w:val="en-US" w:eastAsia="zh-CN"/>
        </w:rPr>
        <w:t xml:space="preserve"> </w:t>
      </w:r>
      <w:r/>
    </w:p>
    <w:p>
      <w:pPr>
        <w:ind w:firstLine="0"/>
        <w:jc w:val="both"/>
        <w:rPr>
          <w:rFonts w:hint="eastAsia" w:ascii="宋体" w:hAnsi="宋体" w:eastAsia="宋体" w:cs="宋体"/>
          <w:b/>
          <w:color w:val="auto"/>
          <w:sz w:val="24"/>
          <w:szCs w:val="30"/>
          <w:highlight w:val="none"/>
        </w:rPr>
        <w:outlineLvl w:val="0"/>
      </w:pPr>
      <w:r/>
      <w:bookmarkStart w:id="4" w:name="_Toc9200"/>
      <w:r/>
      <w:r/>
    </w:p>
    <w:p>
      <w:pPr>
        <w:ind w:firstLine="0"/>
        <w:jc w:val="center"/>
        <w:rPr>
          <w:rFonts w:hint="eastAsia" w:ascii="宋体" w:hAnsi="宋体" w:eastAsia="宋体" w:cs="宋体"/>
          <w:b/>
          <w:color w:val="auto"/>
          <w:sz w:val="24"/>
          <w:szCs w:val="30"/>
          <w:highlight w:val="none"/>
          <w:lang w:val="en-US" w:eastAsia="zh-CN"/>
        </w:rPr>
        <w:outlineLvl w:val="0"/>
      </w:pPr>
      <w:r>
        <w:rPr>
          <w:rFonts w:hint="eastAsia" w:ascii="宋体" w:hAnsi="宋体" w:eastAsia="宋体" w:cs="宋体"/>
          <w:b/>
          <w:color w:val="auto"/>
          <w:sz w:val="24"/>
          <w:szCs w:val="30"/>
          <w:highlight w:val="none"/>
        </w:rPr>
        <w:t xml:space="preserve">养护清单、设施量清单（另提供电子版）</w:t>
      </w:r>
      <w:bookmarkEnd w:id="4"/>
      <w:r>
        <w:rPr>
          <w:rFonts w:hint="eastAsia" w:ascii="宋体" w:hAnsi="宋体" w:eastAsia="宋体" w:cs="宋体"/>
          <w:b/>
          <w:color w:val="auto"/>
          <w:sz w:val="24"/>
          <w:szCs w:val="30"/>
          <w:highlight w:val="none"/>
          <w:lang w:eastAsia="zh-CN"/>
        </w:rPr>
        <w:t xml:space="preserve">，</w:t>
      </w:r>
      <w:r>
        <w:rPr>
          <w:rFonts w:hint="eastAsia" w:ascii="宋体" w:hAnsi="宋体" w:eastAsia="宋体" w:cs="宋体"/>
          <w:b/>
          <w:color w:val="auto"/>
          <w:sz w:val="24"/>
          <w:szCs w:val="30"/>
          <w:highlight w:val="none"/>
          <w:lang w:val="en-US" w:eastAsia="zh-CN"/>
        </w:rPr>
        <w:t xml:space="preserve">清单中为一年养护工作量。</w:t>
      </w:r>
      <w:r/>
    </w:p>
    <w:p>
      <w:pPr>
        <w:ind w:left="0" w:right="0" w:firstLine="420"/>
        <w:jc w:val="center"/>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8"/>
          <w:szCs w:val="28"/>
          <w:highlight w:val="none"/>
        </w:rPr>
        <w:br w:type="page" w:clear="all"/>
      </w:r>
      <w:r>
        <w:rPr>
          <w:rFonts w:ascii="宋体" w:hAnsi="宋体" w:eastAsia="宋体" w:cs="宋体"/>
          <w:b/>
          <w:color w:val="000000"/>
          <w:sz w:val="30"/>
          <w:highlight w:val="none"/>
        </w:rPr>
        <w:t xml:space="preserve">报价合理性分析表</w:t>
      </w:r>
      <w:r/>
    </w:p>
    <w:tbl>
      <w:tblPr>
        <w:tblStyle w:val="74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36"/>
        <w:gridCol w:w="1377"/>
        <w:gridCol w:w="1646"/>
        <w:gridCol w:w="1545"/>
        <w:gridCol w:w="1354"/>
        <w:gridCol w:w="3080"/>
      </w:tblGrid>
      <w:tr>
        <w:trPr>
          <w:trHeight w:val="27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0"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86"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59"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投入总数量（人）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56"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人工工资（元）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62"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养护作业人员年度费用合计（元）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113"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备注</w:t>
            </w:r>
            <w:r/>
          </w:p>
        </w:tc>
      </w:tr>
      <w:tr>
        <w:trPr>
          <w:trHeight w:val="7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0"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6"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养护作业人员</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59"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56"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2"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3" w:type="dxa"/>
            <w:vAlign w:val="center"/>
            <w:textDirection w:val="lrTb"/>
            <w:noWrap w:val="false"/>
          </w:tcPr>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1、养护作业人员投入数量以《养护作业人员投入计划一览表》为准，不得低于最低作业人员配置要求</w:t>
            </w:r>
            <w:r/>
          </w:p>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2、人工工资不得低于2660元/人/月</w:t>
            </w:r>
            <w:r/>
          </w:p>
        </w:tc>
      </w:tr>
      <w:tr>
        <w:trPr>
          <w:trHeight w:val="22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0"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6"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年度养护费用报价（元）</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77"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3"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与投标报价汇总表中的“年度养护费用报价合计”须一致</w:t>
            </w:r>
            <w:r/>
          </w:p>
        </w:tc>
      </w:tr>
      <w:tr>
        <w:trPr>
          <w:trHeight w:val="2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0"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6"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投标报价汇总（元）</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77"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3"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与投标报价汇总表中的“投标报价汇总（元）”须一致</w:t>
            </w:r>
            <w:r/>
          </w:p>
        </w:tc>
      </w:tr>
      <w:tr>
        <w:trPr>
          <w:trHeight w:val="17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0"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6"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人工费占比</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77"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3"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养护作业人员合同期内总人工费/投标报价汇总</w:t>
            </w:r>
            <w:r/>
          </w:p>
        </w:tc>
      </w:tr>
      <w:tr>
        <w:trPr>
          <w:trHeight w:val="1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0"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6"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人工费占比标准</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77" w:type="dxa"/>
            <w:vAlign w:val="center"/>
            <w:textDirection w:val="lrTb"/>
            <w:noWrap w:val="false"/>
          </w:tcPr>
          <w:p>
            <w:pPr>
              <w:ind w:left="0" w:right="0" w:firstLine="0"/>
              <w:jc w:val="center"/>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3" w:type="dxa"/>
            <w:vAlign w:val="center"/>
            <w:textDirection w:val="lrTb"/>
            <w:noWrap w:val="false"/>
          </w:tcPr>
          <w:p>
            <w:pPr>
              <w:ind w:left="0" w:right="0" w:firstLine="0"/>
              <w:jc w:val="both"/>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采购文件“投标邀请”第3项中人工费占比标准</w:t>
            </w:r>
            <w:r/>
          </w:p>
        </w:tc>
      </w:tr>
    </w:tbl>
    <w:p>
      <w:pPr>
        <w:ind w:left="0" w:right="0" w:firstLine="210"/>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p>
      <w:pPr>
        <w:ind w:left="0" w:right="0" w:firstLine="210"/>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注：1、单价、合价均以人民币元表示，金额及百分比精确到小数点后2位。</w:t>
      </w:r>
      <w:r/>
    </w:p>
    <w:p>
      <w:pPr>
        <w:ind w:left="-2" w:firstLine="0"/>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2、人工费占比不得高于人工费占比标准。</w:t>
      </w:r>
      <w:r/>
    </w:p>
    <w:p>
      <w:pPr>
        <w:ind w:left="0" w:right="0" w:firstLine="0"/>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3、上表中的人工费占比以投入总人数计算。</w:t>
      </w:r>
      <w:r/>
    </w:p>
    <w:p>
      <w:pPr>
        <w:ind w:left="0" w:right="0" w:firstLine="420"/>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p>
      <w:pPr>
        <w:ind w:left="0" w:right="0" w:firstLine="420"/>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 </w:t>
      </w:r>
      <w:r/>
    </w:p>
    <w:p>
      <w:pPr>
        <w:ind w:left="0" w:right="0" w:firstLine="420"/>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投标供应商（盖章）：</w:t>
      </w:r>
      <w:r/>
    </w:p>
    <w:p>
      <w:pPr>
        <w:ind w:left="0" w:right="0" w:firstLine="0"/>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 </w:t>
      </w:r>
      <w:r/>
    </w:p>
    <w:p>
      <w:pPr>
        <w:ind w:left="0" w:right="0" w:firstLine="0"/>
        <w:spacing w:before="0" w:after="0"/>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法定代表人（签字或盖章）：</w:t>
      </w:r>
      <w:r/>
    </w:p>
    <w:p>
      <w:pPr>
        <w:jc w:val="center"/>
        <w:spacing w:line="360" w:lineRule="auto"/>
        <w:rPr>
          <w:rFonts w:hint="eastAsia" w:ascii="宋体" w:hAnsi="宋体" w:eastAsia="宋体" w:cs="宋体"/>
          <w:b/>
          <w:bCs/>
          <w:color w:val="auto"/>
          <w:sz w:val="30"/>
          <w:szCs w:val="30"/>
          <w:highlight w:val="none"/>
        </w:rPr>
        <w:outlineLvl w:val="0"/>
      </w:pPr>
      <w:r>
        <w:rPr>
          <w:rFonts w:hint="eastAsia" w:ascii="宋体" w:hAnsi="宋体" w:eastAsia="宋体" w:cs="宋体"/>
          <w:b/>
          <w:bCs/>
          <w:color w:val="auto"/>
          <w:sz w:val="30"/>
          <w:szCs w:val="30"/>
          <w:highlight w:val="none"/>
        </w:rPr>
      </w:r>
      <w:r/>
    </w:p>
    <w:p>
      <w:pPr>
        <w:ind w:left="0" w:firstLine="0"/>
        <w:shd w:val="clear" w:color="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br w:type="page" w:clear="all"/>
      </w:r>
      <w:r/>
    </w:p>
    <w:p>
      <w:pPr>
        <w:ind w:left="0" w:firstLine="0"/>
        <w:shd w:val="clear" w:color="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w:t>
      </w:r>
      <w:r>
        <w:rPr>
          <w:rFonts w:hint="eastAsia" w:ascii="宋体" w:hAnsi="宋体" w:eastAsia="宋体" w:cs="宋体"/>
          <w:b/>
          <w:bCs/>
          <w:color w:val="auto"/>
          <w:sz w:val="28"/>
          <w:szCs w:val="28"/>
          <w:highlight w:val="none"/>
          <w:lang w:val="en-US" w:eastAsia="zh-CN"/>
        </w:rPr>
        <w:t xml:space="preserve">四</w:t>
      </w:r>
      <w:r>
        <w:rPr>
          <w:rFonts w:hint="eastAsia" w:ascii="宋体" w:hAnsi="宋体" w:eastAsia="宋体" w:cs="宋体"/>
          <w:b/>
          <w:bCs/>
          <w:color w:val="auto"/>
          <w:sz w:val="28"/>
          <w:szCs w:val="28"/>
          <w:highlight w:val="none"/>
        </w:rPr>
        <w:t xml:space="preserve">）承诺书（格式）</w:t>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jc w:val="center"/>
        <w:keepLines w:val="0"/>
        <w:keepNext w:val="0"/>
        <w:pageBreakBefore w:val="0"/>
        <w:spacing w:before="164" w:after="164"/>
        <w:shd w:val="clear" w:color="auto"/>
        <w:widowControl w:val="off"/>
        <w:rPr>
          <w:rFonts w:hint="eastAsia" w:ascii="宋体" w:hAnsi="宋体" w:eastAsia="宋体" w:cs="宋体"/>
          <w:b/>
          <w:bCs/>
          <w:color w:val="auto"/>
          <w:sz w:val="28"/>
          <w:szCs w:val="28"/>
          <w:highlight w:val="none"/>
        </w:rPr>
        <w:outlineLvl w:val="0"/>
      </w:pPr>
      <w:r>
        <w:rPr>
          <w:rFonts w:hint="eastAsia" w:ascii="宋体" w:hAnsi="宋体" w:eastAsia="宋体" w:cs="宋体"/>
          <w:b/>
          <w:bCs/>
          <w:color w:val="auto"/>
          <w:sz w:val="28"/>
          <w:szCs w:val="28"/>
          <w:highlight w:val="none"/>
        </w:rPr>
        <w:t xml:space="preserve">承诺书一</w:t>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（投标供应商名称）在此承诺：</w:t>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ind w:firstLine="480"/>
        <w:spacing w:line="360" w:lineRule="auto"/>
        <w:shd w:val="clear" w:color="auto"/>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我公司</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单位</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愿针对此次</w:t>
      </w:r>
      <w:r>
        <w:rPr>
          <w:rFonts w:hint="eastAsia" w:ascii="宋体" w:hAnsi="宋体" w:eastAsia="宋体" w:cs="宋体"/>
          <w:color w:val="auto"/>
          <w:sz w:val="24"/>
          <w:szCs w:val="24"/>
          <w:highlight w:val="none"/>
          <w:u w:val="single"/>
        </w:rPr>
        <w:t xml:space="preserve">              （项目名称）</w:t>
      </w:r>
      <w:r>
        <w:rPr>
          <w:rFonts w:hint="eastAsia" w:ascii="宋体" w:hAnsi="宋体" w:eastAsia="宋体" w:cs="宋体"/>
          <w:color w:val="auto"/>
          <w:sz w:val="24"/>
          <w:szCs w:val="24"/>
          <w:highlight w:val="none"/>
        </w:rPr>
        <w:t xml:space="preserve">进行投标。</w:t>
      </w:r>
      <w:r/>
    </w:p>
    <w:p>
      <w:pPr>
        <w:ind w:firstLine="480"/>
        <w:spacing w:line="360" w:lineRule="auto"/>
        <w:shd w:val="clear" w:color="auto"/>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    我公司符合《中华人民共和国政府采购法》第二十二条的规定，在此郑重承诺具备以下条件：</w:t>
      </w:r>
      <w:r/>
    </w:p>
    <w:p>
      <w:pPr>
        <w:ind w:firstLine="480"/>
        <w:spacing w:line="360" w:lineRule="auto"/>
        <w:shd w:val="clear" w:color="auto"/>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一</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具有独立承担民事责任的能力；</w:t>
      </w:r>
      <w:r/>
    </w:p>
    <w:p>
      <w:pPr>
        <w:ind w:firstLine="480"/>
        <w:spacing w:line="360" w:lineRule="auto"/>
        <w:shd w:val="clear" w:color="auto"/>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具有良好的商业信誉和健全的财务会计制度；</w:t>
      </w:r>
      <w:r/>
    </w:p>
    <w:p>
      <w:pPr>
        <w:ind w:firstLine="480"/>
        <w:spacing w:line="360" w:lineRule="auto"/>
        <w:shd w:val="clear" w:color="auto"/>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三</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具有履行合同所必需的设备和专业技术能力；</w:t>
      </w:r>
      <w:r/>
    </w:p>
    <w:p>
      <w:pPr>
        <w:ind w:firstLine="480"/>
        <w:spacing w:line="360" w:lineRule="auto"/>
        <w:shd w:val="clear" w:color="auto"/>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四</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有依法缴纳税收和社会保障资金的良好记录；</w:t>
      </w:r>
      <w:r/>
    </w:p>
    <w:p>
      <w:pPr>
        <w:ind w:firstLine="480"/>
        <w:spacing w:line="360" w:lineRule="auto"/>
        <w:shd w:val="clear" w:color="auto"/>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五</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近三年内，在经营活动中没有重大违法记录；</w:t>
      </w:r>
      <w:r/>
    </w:p>
    <w:p>
      <w:pPr>
        <w:ind w:firstLine="480"/>
        <w:spacing w:line="360" w:lineRule="auto"/>
        <w:shd w:val="clear" w:color="auto"/>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六</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投标文件中所有关于投标资格的文件、证明、陈述均是真实的、准确的。</w:t>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若有违背，我公司</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单位</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愿意承担由此而产生的一切后果。</w:t>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投标供应商（盖章）：</w:t>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法定代表人或法定代表人授权代表签字或盖章：</w:t>
      </w:r>
      <w:r/>
    </w:p>
    <w:p>
      <w:pPr>
        <w:ind w:firstLine="480"/>
        <w:jc w:val="center"/>
        <w:shd w:val="clear" w:color="auto"/>
        <w:rPr>
          <w:rFonts w:hint="eastAsia" w:ascii="宋体" w:hAnsi="宋体" w:eastAsia="宋体" w:cs="宋体"/>
          <w:color w:val="auto"/>
          <w:sz w:val="32"/>
          <w:szCs w:val="32"/>
          <w:highlight w:val="none"/>
        </w:rPr>
        <w:outlineLvl w:val="9"/>
      </w:pPr>
      <w:r>
        <w:rPr>
          <w:rFonts w:hint="eastAsia" w:ascii="宋体" w:hAnsi="宋体" w:eastAsia="宋体" w:cs="宋体"/>
          <w:bCs/>
          <w:color w:val="auto"/>
          <w:sz w:val="24"/>
          <w:highlight w:val="none"/>
        </w:rPr>
        <w:br w:type="page" w:clear="all"/>
      </w:r>
      <w:r>
        <w:rPr>
          <w:rFonts w:hint="eastAsia" w:ascii="宋体" w:hAnsi="宋体" w:eastAsia="宋体" w:cs="宋体"/>
          <w:b/>
          <w:bCs/>
          <w:color w:val="auto"/>
          <w:sz w:val="28"/>
          <w:szCs w:val="28"/>
          <w:highlight w:val="none"/>
        </w:rPr>
        <w:t xml:space="preserve">承诺书二</w:t>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致：      （采购人名称）      </w:t>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我公司自愿参加贵单位（公司）项目的投标，并接受对我公司的资格审查，我公司承诺：本公</w:t>
      </w:r>
      <w:r>
        <w:rPr>
          <w:rFonts w:hint="eastAsia" w:ascii="宋体" w:hAnsi="宋体" w:cs="宋体"/>
          <w:color w:val="auto"/>
          <w:sz w:val="24"/>
          <w:szCs w:val="24"/>
          <w:highlight w:val="none"/>
          <w:lang w:eastAsia="zh-CN"/>
        </w:rPr>
        <w:t xml:space="preserve">司在</w:t>
      </w:r>
      <w:r>
        <w:rPr>
          <w:rFonts w:hint="eastAsia" w:ascii="宋体" w:hAnsi="宋体" w:eastAsia="宋体" w:cs="宋体"/>
          <w:color w:val="auto"/>
          <w:sz w:val="24"/>
          <w:szCs w:val="24"/>
          <w:highlight w:val="none"/>
        </w:rPr>
        <w:t xml:space="preserve">参加政府采购活动前3年内在经营活动中没有重大违法记录；我公司未处于被责令停业、投标资格被取消或者财产被接管、冻结和破产状态，企业没有因骗取中标或者严重违约以及发生重大工程质量事故等问题，被有关部门暂停投标资格并在暂停期内的。根据贵单位（公司）提出的招标文件要求，本公司递交的投标文件中的内容没有隐瞒、虚假、伪造等弄虚作假行为。若发现该行为，贵公司可以拒绝我公司报价，如已中标，我单位自愿放弃中标资格，并接受政府采购主管部门对我公司弄虚作假、违反公平和诚实信用原则</w:t>
      </w:r>
      <w:r>
        <w:rPr>
          <w:rFonts w:hint="eastAsia" w:ascii="宋体" w:hAnsi="宋体" w:cs="宋体"/>
          <w:color w:val="auto"/>
          <w:sz w:val="24"/>
          <w:szCs w:val="24"/>
          <w:highlight w:val="none"/>
          <w:lang w:eastAsia="zh-CN"/>
        </w:rPr>
        <w:t xml:space="preserve">作出</w:t>
      </w:r>
      <w:r>
        <w:rPr>
          <w:rFonts w:hint="eastAsia" w:ascii="宋体" w:hAnsi="宋体" w:eastAsia="宋体" w:cs="宋体"/>
          <w:color w:val="auto"/>
          <w:sz w:val="24"/>
          <w:szCs w:val="24"/>
          <w:highlight w:val="none"/>
        </w:rPr>
        <w:t xml:space="preserve">的任何处理。</w:t>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投标供应商：（盖章）  </w:t>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法定代表人签名或盖章：          </w:t>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年    月    日</w:t>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br w:type="page" w:clear="all"/>
      </w:r>
      <w:r/>
    </w:p>
    <w:p>
      <w:pPr>
        <w:jc w:val="center"/>
        <w:keepLines w:val="0"/>
        <w:keepNext w:val="0"/>
        <w:pageBreakBefore w:val="0"/>
        <w:spacing w:before="164" w:after="164"/>
        <w:shd w:val="clear" w:color="auto"/>
        <w:widowControl w:val="off"/>
        <w:rPr>
          <w:rFonts w:hint="eastAsia" w:ascii="宋体" w:hAnsi="宋体" w:eastAsia="宋体" w:cs="宋体"/>
          <w:b/>
          <w:color w:val="auto"/>
          <w:sz w:val="28"/>
          <w:highlight w:val="none"/>
        </w:rPr>
        <w:outlineLvl w:val="0"/>
      </w:pPr>
      <w:r>
        <w:rPr>
          <w:rFonts w:hint="eastAsia" w:ascii="宋体" w:hAnsi="宋体" w:eastAsia="宋体" w:cs="宋体"/>
          <w:b/>
          <w:bCs/>
          <w:color w:val="auto"/>
          <w:sz w:val="28"/>
          <w:szCs w:val="28"/>
          <w:highlight w:val="none"/>
        </w:rPr>
        <w:t xml:space="preserve">承诺书三</w:t>
      </w:r>
      <w:r>
        <w:rPr>
          <w:rFonts w:hint="eastAsia" w:ascii="宋体" w:hAnsi="宋体" w:eastAsia="宋体" w:cs="宋体"/>
          <w:b/>
          <w:bCs/>
          <w:color w:val="auto"/>
          <w:sz w:val="28"/>
          <w:szCs w:val="28"/>
          <w:highlight w:val="none"/>
          <w:lang w:val="en-US" w:eastAsia="zh-CN"/>
        </w:rPr>
        <w:t xml:space="preserve">  </w:t>
      </w:r>
      <w:r>
        <w:rPr>
          <w:rFonts w:hint="eastAsia" w:ascii="宋体" w:hAnsi="宋体" w:eastAsia="宋体" w:cs="宋体"/>
          <w:b/>
          <w:color w:val="auto"/>
          <w:sz w:val="28"/>
          <w:highlight w:val="none"/>
        </w:rPr>
        <w:t xml:space="preserve">不拖欠农民工工资承诺书</w:t>
      </w:r>
      <w:r/>
    </w:p>
    <w:p>
      <w:pPr>
        <w:spacing w:line="360" w:lineRule="auto"/>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shd w:val="clear" w:color="auto"/>
        <w:rPr>
          <w:rFonts w:hint="eastAsia" w:ascii="宋体" w:hAnsi="宋体" w:eastAsia="宋体" w:cs="宋体"/>
          <w:color w:val="auto"/>
          <w:sz w:val="24"/>
          <w:highlight w:val="none"/>
        </w:rPr>
        <w:outlineLvl w:val="0"/>
      </w:pPr>
      <w:r>
        <w:rPr>
          <w:rFonts w:hint="eastAsia" w:ascii="宋体" w:hAnsi="宋体" w:eastAsia="宋体" w:cs="宋体"/>
          <w:bCs/>
          <w:color w:val="auto"/>
          <w:sz w:val="24"/>
          <w:szCs w:val="22"/>
          <w:highlight w:val="none"/>
        </w:rPr>
        <w:t xml:space="preserve">致：</w:t>
      </w:r>
      <w:r>
        <w:rPr>
          <w:rFonts w:hint="eastAsia" w:ascii="宋体" w:hAnsi="宋体" w:eastAsia="宋体" w:cs="宋体"/>
          <w:bCs/>
          <w:color w:val="auto"/>
          <w:sz w:val="24"/>
          <w:szCs w:val="22"/>
          <w:highlight w:val="none"/>
          <w:u w:val="single"/>
        </w:rPr>
        <w:t xml:space="preserve">      （采购人名称）       </w:t>
      </w:r>
      <w:r/>
    </w:p>
    <w:p>
      <w:pPr>
        <w:ind w:firstLine="513"/>
        <w:spacing w:line="360" w:lineRule="auto"/>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为保护农民工的合法权益，不拖欠农民工工资，本签名人郑重承诺：</w:t>
      </w:r>
      <w:r/>
    </w:p>
    <w:p>
      <w:pPr>
        <w:ind w:firstLine="513"/>
        <w:spacing w:line="360" w:lineRule="auto"/>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本企业如果中标项目，需要使用农民工时，将保证做到：</w:t>
      </w:r>
      <w:r/>
    </w:p>
    <w:p>
      <w:pPr>
        <w:ind w:firstLine="513"/>
        <w:spacing w:line="360" w:lineRule="auto"/>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1、按照《</w:t>
      </w:r>
      <w:r>
        <w:rPr>
          <w:rFonts w:hint="eastAsia" w:ascii="宋体" w:hAnsi="宋体" w:eastAsia="宋体" w:cs="宋体"/>
          <w:color w:val="auto"/>
          <w:sz w:val="24"/>
          <w:highlight w:val="none"/>
          <w:lang w:eastAsia="zh-CN"/>
        </w:rPr>
        <w:t xml:space="preserve">中华人民共和国劳动法</w:t>
      </w:r>
      <w:r>
        <w:rPr>
          <w:rFonts w:hint="eastAsia" w:ascii="宋体" w:hAnsi="宋体" w:eastAsia="宋体" w:cs="宋体"/>
          <w:color w:val="auto"/>
          <w:sz w:val="24"/>
          <w:highlight w:val="none"/>
        </w:rPr>
        <w:t xml:space="preserve">》规定雇佣和使用农民工，工资将直接发放给农民工本人，严禁发放给“包工头”。</w:t>
      </w:r>
      <w:r/>
    </w:p>
    <w:p>
      <w:pPr>
        <w:ind w:firstLine="513"/>
        <w:spacing w:line="360" w:lineRule="auto"/>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我公司分包单位雇佣农民工的，将要求分包单位按照第1条规定签订劳动合同，并负责督促其按照合同规定及时结付农民工工资。如因我公司未按合同约定与分包单位结清工程款，致使后者拖欠农民工工资的，将由我公司先行垫付欠款。本公司对分包单位清偿欠农民工工资负总责。</w:t>
      </w:r>
      <w:r/>
    </w:p>
    <w:p>
      <w:pPr>
        <w:ind w:firstLine="513"/>
        <w:spacing w:line="360" w:lineRule="auto"/>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3、如果发生违反规定拖欠或克扣农民工工资行为，造成农民工上访，本公司愿意接受业主暂停我公司1年期间参加业主招标项目投标资格的处罚，同时愿意接受交通行政主管部门依照有关规定作出</w:t>
      </w:r>
      <w:r>
        <w:rPr>
          <w:rFonts w:hint="eastAsia" w:ascii="宋体" w:hAnsi="宋体" w:eastAsia="宋体" w:cs="宋体"/>
          <w:color w:val="auto"/>
          <w:sz w:val="24"/>
          <w:highlight w:val="none"/>
          <w:lang w:eastAsia="zh-CN"/>
        </w:rPr>
        <w:t xml:space="preserve">的其他</w:t>
      </w:r>
      <w:r>
        <w:rPr>
          <w:rFonts w:hint="eastAsia" w:ascii="宋体" w:hAnsi="宋体" w:eastAsia="宋体" w:cs="宋体"/>
          <w:color w:val="auto"/>
          <w:sz w:val="24"/>
          <w:highlight w:val="none"/>
        </w:rPr>
        <w:t xml:space="preserve">处罚决定。</w:t>
      </w:r>
      <w:r/>
    </w:p>
    <w:p>
      <w:pPr>
        <w:ind w:firstLine="513"/>
        <w:spacing w:line="360" w:lineRule="auto"/>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4、本公司同意：在合同执行期间由业主按规定每月扣留工程计量款的1%作为农民工工资保障金：工程结束后，业主代表视承包人对农民工工资支付情况，据实结算返还剩余的保障金。</w:t>
      </w:r>
      <w:r/>
    </w:p>
    <w:p>
      <w:pPr>
        <w:ind w:firstLine="513"/>
        <w:spacing w:line="360" w:lineRule="auto"/>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513"/>
        <w:spacing w:line="360" w:lineRule="auto"/>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0"/>
        <w:spacing w:line="360" w:lineRule="auto"/>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投标供应商：   （盖章）         </w:t>
      </w:r>
      <w:r/>
    </w:p>
    <w:p>
      <w:pPr>
        <w:ind w:firstLine="513"/>
        <w:spacing w:line="360" w:lineRule="auto"/>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法定代表人或其授权代理人：   （签字） </w:t>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highlight w:val="none"/>
        </w:rPr>
        <w:t xml:space="preserve">                                   日期：     年   月    日</w:t>
      </w:r>
      <w:r/>
    </w:p>
    <w:p>
      <w:pPr>
        <w:ind w:firstLine="480"/>
        <w:spacing w:line="360" w:lineRule="auto"/>
        <w:shd w:val="clear" w:color="auto"/>
        <w:rPr>
          <w:rFonts w:hint="eastAsia" w:ascii="宋体" w:hAnsi="宋体" w:eastAsia="宋体" w:cs="宋体"/>
          <w:color w:val="auto"/>
          <w:sz w:val="24"/>
          <w:szCs w:val="24"/>
          <w:highlight w:val="none"/>
        </w:rPr>
        <w:sectPr>
          <w:headerReference w:type="default" r:id="rId10"/>
          <w:footerReference w:type="default" r:id="rId12"/>
          <w:footnotePr/>
          <w:endnotePr/>
          <w:type w:val="nextPage"/>
          <w:pgSz w:w="11906" w:h="16838" w:orient="portrait"/>
          <w:pgMar w:top="1134" w:right="1134" w:bottom="1134" w:left="1134" w:header="850" w:footer="992" w:gutter="0"/>
          <w:cols w:num="1" w:sep="0" w:space="0" w:equalWidth="1"/>
          <w:docGrid w:linePitch="360"/>
        </w:sectPr>
        <w:outlineLvl w:val="9"/>
      </w:pPr>
      <w:r>
        <w:rPr>
          <w:rFonts w:hint="eastAsia" w:ascii="宋体" w:hAnsi="宋体" w:eastAsia="宋体" w:cs="宋体"/>
          <w:color w:val="auto"/>
          <w:sz w:val="24"/>
          <w:szCs w:val="24"/>
          <w:highlight w:val="none"/>
        </w:rPr>
      </w:r>
      <w:r/>
    </w:p>
    <w:p>
      <w:pPr>
        <w:jc w:val="center"/>
        <w:keepNext/>
        <w:spacing w:line="360" w:lineRule="auto"/>
        <w:shd w:val="clear" w:color="auto"/>
        <w:rPr>
          <w:rFonts w:hint="eastAsia" w:ascii="宋体" w:hAnsi="宋体" w:eastAsia="宋体" w:cs="宋体"/>
          <w:b/>
          <w:color w:val="auto"/>
          <w:sz w:val="28"/>
          <w:szCs w:val="22"/>
          <w:highlight w:val="none"/>
        </w:rPr>
        <w:outlineLvl w:val="2"/>
      </w:pPr>
      <w:r>
        <w:rPr>
          <w:rFonts w:hint="eastAsia" w:ascii="宋体" w:hAnsi="宋体" w:eastAsia="宋体" w:cs="宋体"/>
          <w:b/>
          <w:color w:val="auto"/>
          <w:sz w:val="28"/>
          <w:szCs w:val="22"/>
          <w:highlight w:val="none"/>
        </w:rPr>
        <w:t xml:space="preserve">承诺书</w:t>
      </w:r>
      <w:r>
        <w:rPr>
          <w:rFonts w:hint="eastAsia" w:ascii="宋体" w:hAnsi="宋体" w:eastAsia="宋体" w:cs="宋体"/>
          <w:b/>
          <w:color w:val="auto"/>
          <w:sz w:val="28"/>
          <w:szCs w:val="22"/>
          <w:highlight w:val="none"/>
          <w:lang w:val="en-US" w:eastAsia="zh-CN"/>
        </w:rPr>
        <w:t xml:space="preserve">四</w:t>
      </w:r>
      <w:r>
        <w:rPr>
          <w:rFonts w:hint="eastAsia" w:ascii="宋体" w:hAnsi="宋体" w:eastAsia="宋体" w:cs="宋体"/>
          <w:b/>
          <w:color w:val="auto"/>
          <w:sz w:val="28"/>
          <w:szCs w:val="22"/>
          <w:highlight w:val="none"/>
        </w:rPr>
        <w:t xml:space="preserve">（廉洁承诺书格式）</w:t>
      </w:r>
      <w:r/>
    </w:p>
    <w:p>
      <w:pPr>
        <w:ind w:firstLine="480"/>
        <w:spacing w:line="360" w:lineRule="auto"/>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为了积极配合贵单位的招标工作，有效遏制不公平竞争和违规违纪问题的发生，确保招标工作的公平、公正、公开，我们保证认真贯彻</w:t>
      </w:r>
      <w:r>
        <w:rPr>
          <w:rFonts w:hint="eastAsia" w:ascii="宋体" w:hAnsi="宋体" w:eastAsia="宋体" w:cs="宋体"/>
          <w:color w:val="auto"/>
          <w:sz w:val="24"/>
          <w:highlight w:val="none"/>
          <w:lang w:eastAsia="zh-CN"/>
        </w:rPr>
        <w:t xml:space="preserve">《中华人民共和国招标投标法》</w:t>
      </w:r>
      <w:r>
        <w:rPr>
          <w:rFonts w:hint="eastAsia" w:ascii="宋体" w:hAnsi="宋体" w:eastAsia="宋体" w:cs="宋体"/>
          <w:color w:val="auto"/>
          <w:sz w:val="24"/>
          <w:highlight w:val="none"/>
        </w:rPr>
        <w:t xml:space="preserve">等相关规定以及相关廉洁要求，特向贵单位承诺如下事项：</w:t>
      </w:r>
      <w:r/>
    </w:p>
    <w:p>
      <w:pPr>
        <w:ind w:firstLine="480"/>
        <w:spacing w:line="360" w:lineRule="auto"/>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1、自觉遵守国家法律法规及有关廉政建设制度。</w:t>
      </w:r>
      <w:r/>
    </w:p>
    <w:p>
      <w:pPr>
        <w:ind w:firstLine="480"/>
        <w:spacing w:line="360" w:lineRule="auto"/>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2、主动了解贵局招投标纪律，积极配合贵局执行招投标廉政建设的有关规定。</w:t>
      </w:r>
      <w:r/>
    </w:p>
    <w:p>
      <w:pPr>
        <w:ind w:firstLine="480"/>
        <w:spacing w:line="360" w:lineRule="auto"/>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3、不使用不正当手段妨碍、排挤其他投标供应商或串通投标。</w:t>
      </w:r>
      <w:r/>
    </w:p>
    <w:p>
      <w:pPr>
        <w:ind w:firstLine="480"/>
        <w:spacing w:line="360" w:lineRule="auto"/>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4、按照招标文件规定的方式进行投标，不隐瞒本单位投标资质的真实情况，投标资质符合规定。</w:t>
      </w:r>
      <w:r/>
    </w:p>
    <w:p>
      <w:pPr>
        <w:ind w:firstLine="480"/>
        <w:spacing w:line="360" w:lineRule="auto"/>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不以任何方式向采购人员赠送礼品、礼金及有价证券；不宴请或邀请招标方的任何人参加高档娱乐消费、旅游、考察、参观等活动；不以任何形式报销招标方的任何人以及亲友的各种票据及费用；不进行可能影响招投标公平、公正的任何活动。</w:t>
      </w:r>
      <w:r/>
    </w:p>
    <w:p>
      <w:pPr>
        <w:ind w:firstLine="480"/>
        <w:spacing w:line="360" w:lineRule="auto"/>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6、不向设计招标的单位及个人购置或提供通讯工具、交通工具和高档办公用品等。</w:t>
      </w:r>
      <w:r/>
    </w:p>
    <w:p>
      <w:pPr>
        <w:ind w:firstLine="480"/>
        <w:spacing w:line="360" w:lineRule="auto"/>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7、不向涉及招标的单位及个人的配偶、子女、亲属分包此次招标项目。</w:t>
      </w:r>
      <w:r/>
    </w:p>
    <w:p>
      <w:pPr>
        <w:ind w:firstLine="480"/>
        <w:spacing w:line="360" w:lineRule="auto"/>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8、不向涉及招标的单位及个人支付好处费、介绍费。</w:t>
      </w:r>
      <w:r/>
    </w:p>
    <w:p>
      <w:pPr>
        <w:ind w:firstLine="480"/>
        <w:spacing w:line="360" w:lineRule="auto"/>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9、一旦发现相关人员在招标过程中有索要财物等不廉洁行为，坚决予以抵制，并及时向贵局纪检监察室举报。</w:t>
      </w:r>
      <w:r/>
    </w:p>
    <w:p>
      <w:pPr>
        <w:ind w:firstLine="480"/>
        <w:spacing w:line="360" w:lineRule="auto"/>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我们若违反上述承诺，我单位自愿放弃投标资格并接受其他任何形式的处理。</w:t>
      </w:r>
      <w:r/>
    </w:p>
    <w:p>
      <w:pPr>
        <w:ind w:firstLine="480"/>
        <w:spacing w:line="360" w:lineRule="auto"/>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320"/>
        <w:spacing w:line="360" w:lineRule="auto"/>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320"/>
        <w:spacing w:line="360" w:lineRule="auto"/>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投标供应商（公章）：             </w:t>
      </w:r>
      <w:r/>
    </w:p>
    <w:p>
      <w:pPr>
        <w:ind w:firstLine="3840"/>
        <w:spacing w:line="360" w:lineRule="auto"/>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法定代表人或授权代理人：      （签字或盖章）</w:t>
      </w:r>
      <w:r/>
    </w:p>
    <w:p>
      <w:pPr>
        <w:ind w:firstLine="3840"/>
        <w:spacing w:line="360" w:lineRule="auto"/>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年    月     日</w:t>
      </w:r>
      <w:r/>
    </w:p>
    <w:p>
      <w:pPr>
        <w:spacing w:line="360" w:lineRule="auto"/>
        <w:shd w:val="clear" w:color="auto"/>
        <w:rPr>
          <w:rFonts w:hint="eastAsia" w:ascii="宋体" w:hAnsi="宋体" w:eastAsia="宋体" w:cs="宋体"/>
          <w:b/>
          <w:bCs/>
          <w:color w:val="auto"/>
          <w:spacing w:val="10"/>
          <w:sz w:val="21"/>
          <w:szCs w:val="21"/>
          <w:highlight w:val="none"/>
        </w:rPr>
      </w:pPr>
      <w:r>
        <w:rPr>
          <w:rFonts w:hint="eastAsia" w:ascii="宋体" w:hAnsi="宋体" w:eastAsia="宋体" w:cs="宋体"/>
          <w:color w:val="auto"/>
          <w:sz w:val="24"/>
          <w:highlight w:val="none"/>
        </w:rPr>
        <w:br w:type="page" w:clear="all"/>
      </w:r>
      <w:r/>
    </w:p>
    <w:p>
      <w:pPr>
        <w:pStyle w:val="694"/>
        <w:numPr>
          <w:ilvl w:val="0"/>
          <w:numId w:val="0"/>
        </w:numPr>
        <w:jc w:val="both"/>
        <w:shd w:val="clear" w:color="auto"/>
        <w:rPr>
          <w:rFonts w:hint="eastAsia" w:ascii="宋体" w:hAnsi="宋体" w:eastAsia="宋体" w:cs="宋体"/>
          <w:b/>
          <w:bCs/>
          <w:color w:val="auto"/>
          <w:sz w:val="28"/>
          <w:szCs w:val="28"/>
          <w:highlight w:val="none"/>
        </w:rPr>
        <w:outlineLvl w:val="0"/>
      </w:pPr>
      <w:r>
        <w:rPr>
          <w:rFonts w:hint="eastAsia" w:ascii="宋体" w:hAnsi="宋体" w:eastAsia="宋体" w:cs="宋体"/>
          <w:b/>
          <w:bCs/>
          <w:color w:val="auto"/>
          <w:sz w:val="28"/>
          <w:szCs w:val="28"/>
          <w:highlight w:val="none"/>
        </w:rPr>
        <w:t xml:space="preserve">（</w:t>
      </w:r>
      <w:r>
        <w:rPr>
          <w:rFonts w:hint="eastAsia" w:ascii="宋体" w:hAnsi="宋体" w:eastAsia="宋体" w:cs="宋体"/>
          <w:b/>
          <w:bCs/>
          <w:color w:val="auto"/>
          <w:sz w:val="28"/>
          <w:szCs w:val="28"/>
          <w:highlight w:val="none"/>
          <w:lang w:val="en-US" w:eastAsia="zh-CN"/>
        </w:rPr>
        <w:t xml:space="preserve">五</w:t>
      </w:r>
      <w:r>
        <w:rPr>
          <w:rFonts w:hint="eastAsia" w:ascii="宋体" w:hAnsi="宋体" w:eastAsia="宋体" w:cs="宋体"/>
          <w:b/>
          <w:bCs/>
          <w:color w:val="auto"/>
          <w:sz w:val="28"/>
          <w:szCs w:val="28"/>
          <w:highlight w:val="none"/>
        </w:rPr>
        <w:t xml:space="preserve">）法定代表人授权委托书（格式）</w:t>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jc w:val="center"/>
        <w:keepLines w:val="0"/>
        <w:keepNext w:val="0"/>
        <w:pageBreakBefore w:val="0"/>
        <w:spacing w:before="164" w:after="164"/>
        <w:shd w:val="clear" w:color="auto"/>
        <w:widowControl w:val="off"/>
        <w:rPr>
          <w:rFonts w:hint="eastAsia" w:ascii="宋体" w:hAnsi="宋体" w:eastAsia="宋体" w:cs="宋体"/>
          <w:b/>
          <w:bCs/>
          <w:color w:val="auto"/>
          <w:sz w:val="28"/>
          <w:szCs w:val="28"/>
          <w:highlight w:val="none"/>
        </w:rPr>
        <w:outlineLvl w:val="0"/>
      </w:pPr>
      <w:r>
        <w:rPr>
          <w:rFonts w:hint="eastAsia" w:ascii="宋体" w:hAnsi="宋体" w:eastAsia="宋体" w:cs="宋体"/>
          <w:b/>
          <w:bCs/>
          <w:color w:val="auto"/>
          <w:sz w:val="28"/>
          <w:szCs w:val="28"/>
          <w:highlight w:val="none"/>
        </w:rPr>
        <w:t xml:space="preserve">法定代表人授权委托书</w:t>
      </w:r>
      <w:r/>
    </w:p>
    <w:p>
      <w:pPr>
        <w:spacing w:line="360" w:lineRule="auto"/>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pacing w:line="360" w:lineRule="auto"/>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采购编号：</w:t>
      </w:r>
      <w:r/>
    </w:p>
    <w:p>
      <w:pPr>
        <w:spacing w:line="360" w:lineRule="auto"/>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    日期：</w:t>
      </w:r>
      <w:r/>
    </w:p>
    <w:p>
      <w:pPr>
        <w:spacing w:line="360" w:lineRule="auto"/>
        <w:shd w:val="clear" w:color="auto"/>
        <w:rPr>
          <w:rFonts w:hint="eastAsia" w:ascii="宋体" w:hAnsi="宋体" w:eastAsia="宋体" w:cs="宋体"/>
          <w:color w:val="auto"/>
          <w:highlight w:val="none"/>
        </w:rPr>
        <w:outlineLvl w:val="9"/>
      </w:pPr>
      <w:r>
        <w:rPr>
          <w:rFonts w:hint="eastAsia" w:ascii="宋体" w:hAnsi="宋体" w:cs="宋体"/>
          <w:color w:val="auto"/>
          <w:highlight w:val="none"/>
          <w:lang w:eastAsia="zh-CN"/>
        </w:rPr>
        <w:t xml:space="preserve">江苏万力通项目管理有限公司</w:t>
      </w:r>
      <w:r>
        <w:rPr>
          <w:rFonts w:hint="eastAsia" w:ascii="宋体" w:hAnsi="宋体" w:eastAsia="宋体" w:cs="宋体"/>
          <w:color w:val="auto"/>
          <w:highlight w:val="none"/>
        </w:rPr>
        <w:t xml:space="preserve">：</w:t>
      </w:r>
      <w:r/>
    </w:p>
    <w:p>
      <w:pPr>
        <w:spacing w:line="360" w:lineRule="auto"/>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  </w:t>
      </w:r>
      <w:r>
        <w:rPr>
          <w:rFonts w:hint="eastAsia" w:ascii="宋体" w:hAnsi="宋体" w:eastAsia="宋体" w:cs="宋体"/>
          <w:color w:val="auto"/>
          <w:highlight w:val="none"/>
          <w:u w:val="single"/>
        </w:rPr>
        <w:t xml:space="preserve">      （投标供应商名称）       </w:t>
      </w:r>
      <w:r>
        <w:rPr>
          <w:rFonts w:hint="eastAsia" w:ascii="宋体" w:hAnsi="宋体" w:eastAsia="宋体" w:cs="宋体"/>
          <w:color w:val="auto"/>
          <w:highlight w:val="none"/>
        </w:rPr>
        <w:t xml:space="preserve">系中华人民共和国合法企业</w:t>
      </w:r>
      <w:r/>
    </w:p>
    <w:p>
      <w:pPr>
        <w:spacing w:line="360" w:lineRule="auto"/>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法定地址：                      特授权      代表我公司（单位）全权办理针对本项目（采购编号：          ）的报价等具体工作，并签署全部有关文件、协议及合同。</w:t>
      </w:r>
      <w:r/>
    </w:p>
    <w:p>
      <w:pPr>
        <w:spacing w:line="360" w:lineRule="auto"/>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我公司（单位）对被授权人的签名负全部责任。</w:t>
      </w:r>
      <w:r/>
    </w:p>
    <w:p>
      <w:pPr>
        <w:spacing w:line="360" w:lineRule="auto"/>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在撤销授权的书面通知送达你处以前，本授权书一直有效，被授权人签署的所有文件（在授权书有效期内签署的）不因授权的撤销而失效。被授权人有（无）转委托权。</w:t>
      </w:r>
      <w:r/>
    </w:p>
    <w:p>
      <w:pPr>
        <w:spacing w:line="360" w:lineRule="auto"/>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被授权人情况：</w:t>
      </w:r>
      <w:r/>
    </w:p>
    <w:p>
      <w:pPr>
        <w:spacing w:line="360" w:lineRule="auto"/>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姓名：          性别：         年龄：          职务：</w:t>
      </w:r>
      <w:r/>
    </w:p>
    <w:p>
      <w:pPr>
        <w:spacing w:line="360" w:lineRule="auto"/>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身份证号码：                   电话：</w:t>
      </w:r>
      <w:r/>
    </w:p>
    <w:p>
      <w:pPr>
        <w:spacing w:line="360" w:lineRule="auto"/>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通讯地址：</w:t>
      </w:r>
      <w:r/>
    </w:p>
    <w:p>
      <w:pPr>
        <w:spacing w:line="360" w:lineRule="auto"/>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被授权人签名：                  投标供应商（盖章）：</w:t>
      </w:r>
      <w:r/>
    </w:p>
    <w:p>
      <w:pPr>
        <w:spacing w:line="360" w:lineRule="auto"/>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法定代表人（签字或盖章）：</w:t>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年     月     日</w:t>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tbl>
      <w:tblPr>
        <w:tblStyle w:val="704"/>
        <w:tblW w:w="10192"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4792"/>
      </w:tblGrid>
      <w:tr>
        <w:trPr>
          <w:trHeight w:val="2820"/>
        </w:trPr>
        <w:tc>
          <w:tcPr>
            <w:tcW w:w="4680" w:type="dxa"/>
            <w:textDirection w:val="lrTb"/>
            <w:noWrap w:val="false"/>
          </w:tcPr>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lang w:eastAsia="zh-CN"/>
              </w:rPr>
              <w:outlineLvl w:val="9"/>
            </w:pPr>
            <w:r>
              <w:rPr>
                <w:rFonts w:hint="eastAsia" w:ascii="宋体" w:hAnsi="宋体" w:eastAsia="宋体" w:cs="宋体"/>
                <w:color w:val="auto"/>
                <w:highlight w:val="none"/>
              </w:rPr>
              <w:t xml:space="preserve">法定代表人身份证</w:t>
            </w:r>
            <w:r>
              <w:rPr>
                <w:rFonts w:hint="eastAsia" w:ascii="宋体" w:hAnsi="宋体" w:eastAsia="宋体" w:cs="宋体"/>
                <w:color w:val="auto"/>
                <w:highlight w:val="none"/>
                <w:lang w:eastAsia="zh-CN"/>
              </w:rPr>
              <w:t xml:space="preserve">扫描件</w:t>
            </w:r>
            <w:r/>
          </w:p>
        </w:tc>
        <w:tc>
          <w:tcPr>
            <w:tcBorders>
              <w:top w:val="none" w:color="000000" w:sz="4" w:space="0"/>
              <w:bottom w:val="none" w:color="000000" w:sz="4" w:space="0"/>
            </w:tcBorders>
            <w:tcW w:w="720" w:type="dxa"/>
            <w:textDirection w:val="lrTb"/>
            <w:noWrap w:val="false"/>
          </w:tcPr>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tc>
        <w:tc>
          <w:tcPr>
            <w:tcW w:w="4792" w:type="dxa"/>
            <w:textDirection w:val="lrTb"/>
            <w:noWrap w:val="false"/>
          </w:tcPr>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lang w:eastAsia="zh-CN"/>
              </w:rPr>
              <w:outlineLvl w:val="9"/>
            </w:pPr>
            <w:r>
              <w:rPr>
                <w:rFonts w:hint="eastAsia" w:ascii="宋体" w:hAnsi="宋体" w:eastAsia="宋体" w:cs="宋体"/>
                <w:color w:val="auto"/>
                <w:highlight w:val="none"/>
              </w:rPr>
              <w:t xml:space="preserve">授权代表身份证</w:t>
            </w:r>
            <w:r>
              <w:rPr>
                <w:rFonts w:hint="eastAsia" w:ascii="宋体" w:hAnsi="宋体" w:eastAsia="宋体" w:cs="宋体"/>
                <w:color w:val="auto"/>
                <w:highlight w:val="none"/>
                <w:lang w:eastAsia="zh-CN"/>
              </w:rPr>
              <w:t xml:space="preserve">扫描件</w:t>
            </w:r>
            <w:r/>
          </w:p>
        </w:tc>
      </w:tr>
    </w:tbl>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jc w:val="left"/>
        <w:shd w:val="clear" w:color="auto"/>
        <w:rPr>
          <w:rFonts w:hint="eastAsia" w:ascii="宋体" w:hAnsi="宋体" w:eastAsia="宋体" w:cs="宋体"/>
          <w:b/>
          <w:bCs/>
          <w:color w:val="auto"/>
          <w:sz w:val="28"/>
          <w:szCs w:val="28"/>
          <w:highlight w:val="none"/>
        </w:rPr>
        <w:outlineLvl w:val="0"/>
      </w:pPr>
      <w:r>
        <w:rPr>
          <w:rFonts w:hint="eastAsia" w:ascii="宋体" w:hAnsi="宋体" w:eastAsia="宋体" w:cs="宋体"/>
          <w:b/>
          <w:bCs/>
          <w:color w:val="auto"/>
          <w:sz w:val="28"/>
          <w:szCs w:val="28"/>
          <w:highlight w:val="none"/>
        </w:rPr>
        <w:t xml:space="preserve">（</w:t>
      </w:r>
      <w:r>
        <w:rPr>
          <w:rFonts w:hint="eastAsia" w:ascii="宋体" w:hAnsi="宋体" w:eastAsia="宋体" w:cs="宋体"/>
          <w:b/>
          <w:bCs/>
          <w:color w:val="auto"/>
          <w:sz w:val="28"/>
          <w:szCs w:val="28"/>
          <w:highlight w:val="none"/>
          <w:lang w:val="en-US" w:eastAsia="zh-CN"/>
        </w:rPr>
        <w:t xml:space="preserve">六</w:t>
      </w:r>
      <w:r>
        <w:rPr>
          <w:rFonts w:hint="eastAsia" w:ascii="宋体" w:hAnsi="宋体" w:eastAsia="宋体" w:cs="宋体"/>
          <w:b/>
          <w:bCs/>
          <w:color w:val="auto"/>
          <w:sz w:val="28"/>
          <w:szCs w:val="28"/>
          <w:highlight w:val="none"/>
        </w:rPr>
        <w:t xml:space="preserve">）关于资格的声明函（格式）</w:t>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jc w:val="center"/>
        <w:keepLines w:val="0"/>
        <w:keepNext w:val="0"/>
        <w:pageBreakBefore w:val="0"/>
        <w:spacing w:before="164" w:after="164"/>
        <w:shd w:val="clear" w:color="auto"/>
        <w:widowControl w:val="off"/>
        <w:rPr>
          <w:rFonts w:hint="eastAsia" w:ascii="宋体" w:hAnsi="宋体" w:eastAsia="宋体" w:cs="宋体"/>
          <w:b/>
          <w:bCs/>
          <w:color w:val="auto"/>
          <w:sz w:val="28"/>
          <w:szCs w:val="28"/>
          <w:highlight w:val="none"/>
        </w:rPr>
        <w:outlineLvl w:val="0"/>
      </w:pPr>
      <w:r>
        <w:rPr>
          <w:rFonts w:hint="eastAsia" w:ascii="宋体" w:hAnsi="宋体" w:eastAsia="宋体" w:cs="宋体"/>
          <w:b/>
          <w:bCs/>
          <w:color w:val="auto"/>
          <w:sz w:val="28"/>
          <w:szCs w:val="28"/>
          <w:highlight w:val="none"/>
        </w:rPr>
        <w:t xml:space="preserve">关于资格的声明函</w:t>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采购编号：</w:t>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    日期：</w:t>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cs="宋体"/>
          <w:color w:val="auto"/>
          <w:sz w:val="24"/>
          <w:szCs w:val="24"/>
          <w:highlight w:val="none"/>
          <w:lang w:eastAsia="zh-CN"/>
        </w:rPr>
        <w:t xml:space="preserve">江苏万力通项目管理有限公司</w:t>
      </w:r>
      <w:r>
        <w:rPr>
          <w:rFonts w:hint="eastAsia" w:ascii="宋体" w:hAnsi="宋体" w:eastAsia="宋体" w:cs="宋体"/>
          <w:color w:val="auto"/>
          <w:sz w:val="24"/>
          <w:szCs w:val="24"/>
          <w:highlight w:val="none"/>
        </w:rPr>
        <w:t xml:space="preserve">：</w:t>
      </w:r>
      <w:r/>
    </w:p>
    <w:p>
      <w:pPr>
        <w:pStyle w:val="714"/>
        <w:ind w:firstLine="480"/>
        <w:spacing w:line="360" w:lineRule="auto"/>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我公司（单位）在参加本次政府采购活动前三年内，在经营活动中没有重大违法记录。</w:t>
      </w:r>
      <w:r/>
    </w:p>
    <w:p>
      <w:pPr>
        <w:pStyle w:val="714"/>
        <w:ind w:firstLine="480"/>
        <w:spacing w:line="360" w:lineRule="auto"/>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我公司愿针对本项目（采购编号：　　　　）进行报价，投标文件中所有关于报价资格的文件、证明、陈述均是真实的、准确的。若有违背，我公司（单位）愿意承担由此而产生的一切后果。</w:t>
      </w:r>
      <w:r/>
    </w:p>
    <w:p>
      <w:pPr>
        <w:pStyle w:val="714"/>
        <w:ind w:firstLine="480"/>
        <w:spacing w:line="360" w:lineRule="auto"/>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714"/>
        <w:ind w:firstLine="480"/>
        <w:spacing w:line="360" w:lineRule="auto"/>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pStyle w:val="714"/>
        <w:ind w:firstLine="480"/>
        <w:spacing w:line="360" w:lineRule="auto"/>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投标供应商（盖章）：</w:t>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法定代表人或法定代表人授权代表签字或盖章：</w:t>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年    月    日</w:t>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sectPr>
          <w:footerReference w:type="default" r:id="rId13"/>
          <w:footnotePr/>
          <w:endnotePr/>
          <w:type w:val="nextPage"/>
          <w:pgSz w:w="11906" w:h="16838" w:orient="portrait"/>
          <w:pgMar w:top="1134" w:right="1134" w:bottom="1134" w:left="1134" w:header="850" w:footer="992" w:gutter="0"/>
          <w:cols w:num="1" w:sep="0" w:space="0" w:equalWidth="1"/>
          <w:docGrid w:linePitch="360"/>
        </w:sectPr>
      </w:pPr>
      <w:r>
        <w:rPr>
          <w:rFonts w:hint="eastAsia" w:ascii="宋体" w:hAnsi="宋体" w:eastAsia="宋体" w:cs="宋体"/>
          <w:color w:val="auto"/>
          <w:highlight w:val="none"/>
        </w:rPr>
        <w:br w:type="page" w:clear="all"/>
      </w:r>
      <w:r/>
    </w:p>
    <w:p>
      <w:pPr>
        <w:pStyle w:val="695"/>
        <w:numPr>
          <w:ilvl w:val="1"/>
          <w:numId w:val="0"/>
        </w:numPr>
        <w:ind w:firstLine="0"/>
        <w:jc w:val="both"/>
        <w:spacing w:before="260" w:after="260" w:line="416" w:lineRule="auto"/>
        <w:tabs>
          <w:tab w:val="left" w:pos="567" w:leader="none"/>
        </w:tabs>
        <w:rPr>
          <w:rFonts w:hint="eastAsia" w:ascii="宋体" w:hAnsi="宋体" w:eastAsia="宋体" w:cs="宋体"/>
          <w:b/>
          <w:bCs/>
          <w:color w:val="auto"/>
          <w:highlight w:val="none"/>
        </w:rPr>
      </w:pPr>
      <w:r>
        <w:rPr>
          <w:rFonts w:hint="eastAsia" w:ascii="宋体" w:hAnsi="宋体" w:eastAsia="宋体" w:cs="宋体"/>
          <w:b/>
          <w:bCs/>
          <w:color w:val="auto"/>
          <w:sz w:val="28"/>
          <w:szCs w:val="28"/>
          <w:highlight w:val="none"/>
        </w:rPr>
        <w:t xml:space="preserve">（</w:t>
      </w:r>
      <w:r>
        <w:rPr>
          <w:rFonts w:hint="eastAsia" w:ascii="宋体" w:hAnsi="宋体" w:eastAsia="宋体" w:cs="宋体"/>
          <w:b/>
          <w:bCs/>
          <w:color w:val="auto"/>
          <w:sz w:val="28"/>
          <w:szCs w:val="28"/>
          <w:highlight w:val="none"/>
          <w:lang w:val="en-US" w:eastAsia="zh-CN"/>
        </w:rPr>
        <w:t xml:space="preserve">七</w:t>
      </w:r>
      <w:r>
        <w:rPr>
          <w:rFonts w:hint="eastAsia" w:ascii="宋体" w:hAnsi="宋体" w:eastAsia="宋体" w:cs="宋体"/>
          <w:b/>
          <w:bCs/>
          <w:color w:val="auto"/>
          <w:sz w:val="28"/>
          <w:szCs w:val="28"/>
          <w:highlight w:val="none"/>
        </w:rPr>
        <w:t xml:space="preserve">）</w:t>
      </w:r>
      <w:r>
        <w:rPr>
          <w:rFonts w:hint="eastAsia" w:ascii="宋体" w:hAnsi="宋体" w:eastAsia="宋体" w:cs="宋体"/>
          <w:b/>
          <w:bCs w:val="0"/>
          <w:color w:val="auto"/>
          <w:sz w:val="28"/>
          <w:szCs w:val="28"/>
          <w:highlight w:val="none"/>
        </w:rPr>
        <w:t xml:space="preserve">拟派人员配置情况</w:t>
      </w:r>
      <w:r/>
    </w:p>
    <w:p>
      <w:pPr>
        <w:ind w:firstLine="0"/>
        <w:jc w:val="center"/>
        <w:spacing w:line="400" w:lineRule="exact"/>
        <w:rPr>
          <w:rFonts w:hint="eastAsia" w:ascii="宋体" w:hAnsi="宋体" w:eastAsia="宋体" w:cs="宋体"/>
          <w:b/>
          <w:color w:val="auto"/>
          <w:sz w:val="28"/>
          <w:szCs w:val="28"/>
          <w:highlight w:val="none"/>
        </w:rPr>
        <w:outlineLvl w:val="9"/>
      </w:pPr>
      <w:r>
        <w:rPr>
          <w:rFonts w:hint="eastAsia" w:ascii="宋体" w:hAnsi="宋体" w:eastAsia="宋体" w:cs="宋体"/>
          <w:b/>
          <w:color w:val="auto"/>
          <w:sz w:val="28"/>
          <w:szCs w:val="28"/>
          <w:highlight w:val="none"/>
        </w:rPr>
        <w:t xml:space="preserve">（1）人员配置表</w:t>
      </w:r>
      <w:r/>
    </w:p>
    <w:p>
      <w:pPr>
        <w:ind w:firstLine="0"/>
        <w:jc w:val="center"/>
        <w:spacing w:line="400" w:lineRule="exact"/>
        <w:rPr>
          <w:rFonts w:hint="eastAsia" w:ascii="宋体" w:hAnsi="宋体" w:eastAsia="宋体" w:cs="宋体"/>
          <w:bCs/>
          <w:color w:val="auto"/>
          <w:sz w:val="24"/>
          <w:szCs w:val="20"/>
          <w:highlight w:val="none"/>
        </w:rPr>
        <w:outlineLvl w:val="9"/>
      </w:pPr>
      <w:r>
        <w:rPr>
          <w:rFonts w:hint="eastAsia" w:ascii="宋体" w:hAnsi="宋体" w:eastAsia="宋体" w:cs="宋体"/>
          <w:bCs/>
          <w:color w:val="auto"/>
          <w:sz w:val="24"/>
          <w:szCs w:val="20"/>
          <w:highlight w:val="none"/>
        </w:rPr>
      </w:r>
      <w:r/>
    </w:p>
    <w:p>
      <w:pPr>
        <w:ind w:firstLine="0"/>
        <w:jc w:val="both"/>
        <w:spacing w:line="400" w:lineRule="exact"/>
        <w:rPr>
          <w:rFonts w:hint="eastAsia" w:ascii="宋体" w:hAnsi="宋体" w:eastAsia="宋体" w:cs="宋体"/>
          <w:bCs/>
          <w:color w:val="auto"/>
          <w:sz w:val="34"/>
          <w:szCs w:val="21"/>
          <w:highlight w:val="none"/>
        </w:rPr>
        <w:outlineLvl w:val="9"/>
      </w:pPr>
      <w:r>
        <w:rPr>
          <w:rFonts w:hint="eastAsia" w:ascii="宋体" w:hAnsi="宋体" w:eastAsia="宋体" w:cs="宋体"/>
          <w:bCs/>
          <w:color w:val="auto"/>
          <w:sz w:val="24"/>
          <w:szCs w:val="20"/>
          <w:highlight w:val="none"/>
          <w:lang w:eastAsia="zh-CN"/>
        </w:rPr>
        <w:t xml:space="preserve">投标供应商</w:t>
      </w:r>
      <w:r>
        <w:rPr>
          <w:rFonts w:hint="eastAsia" w:ascii="宋体" w:hAnsi="宋体" w:eastAsia="宋体" w:cs="宋体"/>
          <w:bCs/>
          <w:color w:val="auto"/>
          <w:sz w:val="24"/>
          <w:szCs w:val="20"/>
          <w:highlight w:val="none"/>
        </w:rPr>
        <w:t xml:space="preserve">名称（盖章）                              政府采购项目编号：</w:t>
      </w:r>
      <w:r/>
    </w:p>
    <w:tbl>
      <w:tblPr>
        <w:tblStyle w:val="704"/>
        <w:tblW w:w="10372" w:type="dxa"/>
        <w:tblInd w:w="-44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1"/>
        <w:gridCol w:w="1079"/>
        <w:gridCol w:w="756"/>
        <w:gridCol w:w="734"/>
        <w:gridCol w:w="1530"/>
        <w:gridCol w:w="1280"/>
        <w:gridCol w:w="1384"/>
        <w:gridCol w:w="1380"/>
        <w:gridCol w:w="1568"/>
      </w:tblGrid>
      <w:tr>
        <w:trPr>
          <w:trHeight w:val="728"/>
        </w:trPr>
        <w:tc>
          <w:tcPr>
            <w:tcW w:w="661" w:type="dxa"/>
            <w:vAlign w:val="center"/>
            <w:textDirection w:val="lrTb"/>
            <w:noWrap w:val="false"/>
          </w:tcPr>
          <w:p>
            <w:pPr>
              <w:ind w:firstLine="0"/>
              <w:jc w:val="center"/>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序号</w:t>
            </w:r>
            <w:r/>
          </w:p>
        </w:tc>
        <w:tc>
          <w:tcPr>
            <w:tcW w:w="1079" w:type="dxa"/>
            <w:vAlign w:val="center"/>
            <w:textDirection w:val="lrTb"/>
            <w:noWrap w:val="false"/>
          </w:tcPr>
          <w:p>
            <w:pPr>
              <w:ind w:firstLine="0"/>
              <w:jc w:val="center"/>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姓名</w:t>
            </w:r>
            <w:r/>
          </w:p>
        </w:tc>
        <w:tc>
          <w:tcPr>
            <w:tcW w:w="756" w:type="dxa"/>
            <w:vAlign w:val="center"/>
            <w:textDirection w:val="lrTb"/>
            <w:noWrap w:val="false"/>
          </w:tcPr>
          <w:p>
            <w:pPr>
              <w:ind w:firstLine="0"/>
              <w:jc w:val="both"/>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性别</w:t>
            </w:r>
            <w:r/>
          </w:p>
        </w:tc>
        <w:tc>
          <w:tcPr>
            <w:tcW w:w="734" w:type="dxa"/>
            <w:vAlign w:val="center"/>
            <w:textDirection w:val="lrTb"/>
            <w:noWrap w:val="false"/>
          </w:tcPr>
          <w:p>
            <w:pPr>
              <w:ind w:firstLine="0"/>
              <w:jc w:val="both"/>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年龄</w:t>
            </w:r>
            <w:r/>
          </w:p>
        </w:tc>
        <w:tc>
          <w:tcPr>
            <w:tcW w:w="1530" w:type="dxa"/>
            <w:vAlign w:val="center"/>
            <w:textDirection w:val="lrTb"/>
            <w:noWrap w:val="false"/>
          </w:tcPr>
          <w:p>
            <w:pPr>
              <w:ind w:firstLine="0"/>
              <w:jc w:val="center"/>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岗位名称</w:t>
            </w:r>
            <w:r/>
          </w:p>
        </w:tc>
        <w:tc>
          <w:tcPr>
            <w:tcW w:w="1280" w:type="dxa"/>
            <w:vAlign w:val="center"/>
            <w:textDirection w:val="lrTb"/>
            <w:noWrap w:val="false"/>
          </w:tcPr>
          <w:p>
            <w:pPr>
              <w:ind w:firstLine="0"/>
              <w:jc w:val="center"/>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学历</w:t>
            </w:r>
            <w:r/>
          </w:p>
        </w:tc>
        <w:tc>
          <w:tcPr>
            <w:tcW w:w="1384" w:type="dxa"/>
            <w:vAlign w:val="center"/>
            <w:textDirection w:val="lrTb"/>
            <w:noWrap w:val="false"/>
          </w:tcPr>
          <w:p>
            <w:pPr>
              <w:ind w:firstLine="0"/>
              <w:jc w:val="center"/>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职称</w:t>
            </w:r>
            <w:r/>
          </w:p>
        </w:tc>
        <w:tc>
          <w:tcPr>
            <w:tcW w:w="1380" w:type="dxa"/>
            <w:vAlign w:val="center"/>
            <w:textDirection w:val="lrTb"/>
            <w:noWrap w:val="false"/>
          </w:tcPr>
          <w:p>
            <w:pPr>
              <w:ind w:firstLine="0"/>
              <w:jc w:val="center"/>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工作经验</w:t>
            </w:r>
            <w:r/>
          </w:p>
        </w:tc>
        <w:tc>
          <w:tcPr>
            <w:tcW w:w="1568" w:type="dxa"/>
            <w:vAlign w:val="center"/>
            <w:textDirection w:val="lrTb"/>
            <w:noWrap w:val="false"/>
          </w:tcPr>
          <w:p>
            <w:pPr>
              <w:ind w:firstLine="0"/>
              <w:jc w:val="center"/>
              <w:rPr>
                <w:rFonts w:hint="eastAsia" w:ascii="宋体" w:hAnsi="宋体" w:eastAsia="宋体" w:cs="宋体"/>
                <w:b/>
                <w:color w:val="auto"/>
                <w:sz w:val="24"/>
                <w:szCs w:val="24"/>
                <w:highlight w:val="none"/>
                <w:lang w:val="en-US" w:eastAsia="zh-CN"/>
              </w:rPr>
              <w:outlineLvl w:val="9"/>
            </w:pPr>
            <w:r>
              <w:rPr>
                <w:rFonts w:hint="eastAsia" w:ascii="宋体" w:hAnsi="宋体" w:eastAsia="宋体" w:cs="宋体"/>
                <w:b/>
                <w:bCs w:val="0"/>
                <w:color w:val="auto"/>
                <w:sz w:val="24"/>
                <w:szCs w:val="24"/>
                <w:highlight w:val="none"/>
                <w:lang w:val="en-US" w:eastAsia="zh-CN"/>
              </w:rPr>
              <w:t xml:space="preserve">提供证明材料（列出证明材料明细及在社保材料中的具体号码）</w:t>
            </w:r>
            <w:r/>
          </w:p>
        </w:tc>
      </w:tr>
      <w:tr>
        <w:trPr>
          <w:trHeight w:val="597"/>
        </w:trPr>
        <w:tc>
          <w:tcPr>
            <w:tcW w:w="661"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w:t>
            </w:r>
            <w:r/>
          </w:p>
        </w:tc>
        <w:tc>
          <w:tcPr>
            <w:tcW w:w="1079"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756"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734"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530"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 </w:t>
            </w:r>
            <w:r/>
          </w:p>
        </w:tc>
        <w:tc>
          <w:tcPr>
            <w:tcW w:w="1280"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384"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380"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568"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trHeight w:val="525"/>
        </w:trPr>
        <w:tc>
          <w:tcPr>
            <w:tcW w:w="661"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w:t>
            </w:r>
            <w:r/>
          </w:p>
        </w:tc>
        <w:tc>
          <w:tcPr>
            <w:tcW w:w="1079"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756"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734"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530"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 </w:t>
            </w:r>
            <w:r/>
          </w:p>
        </w:tc>
        <w:tc>
          <w:tcPr>
            <w:tcW w:w="1280"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384"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380"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568"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trHeight w:val="532"/>
        </w:trPr>
        <w:tc>
          <w:tcPr>
            <w:tcW w:w="661"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w:t>
            </w:r>
            <w:r/>
          </w:p>
        </w:tc>
        <w:tc>
          <w:tcPr>
            <w:tcW w:w="1079"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756"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734"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530"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 </w:t>
            </w:r>
            <w:r/>
          </w:p>
        </w:tc>
        <w:tc>
          <w:tcPr>
            <w:tcW w:w="1280"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384"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380"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568"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trHeight w:val="507"/>
        </w:trPr>
        <w:tc>
          <w:tcPr>
            <w:tcW w:w="661"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w:t>
            </w:r>
            <w:r/>
          </w:p>
        </w:tc>
        <w:tc>
          <w:tcPr>
            <w:tcW w:w="1079"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756"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734"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530"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280"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384"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380"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568"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trHeight w:val="577"/>
        </w:trPr>
        <w:tc>
          <w:tcPr>
            <w:tcW w:w="661"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w:t>
            </w:r>
            <w:r/>
          </w:p>
        </w:tc>
        <w:tc>
          <w:tcPr>
            <w:tcW w:w="1079"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756"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734"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530"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280"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384"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380"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568"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trHeight w:val="568"/>
        </w:trPr>
        <w:tc>
          <w:tcPr>
            <w:tcW w:w="661"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w:t>
            </w:r>
            <w:r/>
          </w:p>
        </w:tc>
        <w:tc>
          <w:tcPr>
            <w:tcW w:w="1079"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756"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734"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530"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280"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384"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380"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568"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trHeight w:val="568"/>
        </w:trPr>
        <w:tc>
          <w:tcPr>
            <w:tcW w:w="661"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7</w:t>
            </w:r>
            <w:r/>
          </w:p>
        </w:tc>
        <w:tc>
          <w:tcPr>
            <w:tcW w:w="1079"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756"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734"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530"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280"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384"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380"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568"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trHeight w:val="534"/>
        </w:trPr>
        <w:tc>
          <w:tcPr>
            <w:tcW w:w="661"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8</w:t>
            </w:r>
            <w:r/>
          </w:p>
        </w:tc>
        <w:tc>
          <w:tcPr>
            <w:tcW w:w="1079"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756"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734"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530"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280"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384"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380"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568"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trHeight w:val="517"/>
        </w:trPr>
        <w:tc>
          <w:tcPr>
            <w:tcW w:w="661"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9</w:t>
            </w:r>
            <w:r/>
          </w:p>
        </w:tc>
        <w:tc>
          <w:tcPr>
            <w:tcW w:w="1079"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756"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734"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530"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280"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384"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380"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568"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trHeight w:val="728"/>
        </w:trPr>
        <w:tc>
          <w:tcPr>
            <w:tcW w:w="661"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10</w:t>
            </w:r>
            <w:r/>
          </w:p>
        </w:tc>
        <w:tc>
          <w:tcPr>
            <w:tcW w:w="1079"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756"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734"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530"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280"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384"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380"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568"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r>
        <w:trPr>
          <w:cantSplit/>
          <w:trHeight w:val="1099"/>
        </w:trPr>
        <w:tc>
          <w:tcPr>
            <w:tcW w:w="661"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 …</w:t>
            </w:r>
            <w:r/>
          </w:p>
        </w:tc>
        <w:tc>
          <w:tcPr>
            <w:tcW w:w="1079"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756"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734"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530"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280"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384"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380"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c>
          <w:tcPr>
            <w:tcW w:w="1568" w:type="dxa"/>
            <w:vAlign w:val="center"/>
            <w:textDirection w:val="lrTb"/>
            <w:noWrap w:val="false"/>
          </w:tcPr>
          <w:p>
            <w:pPr>
              <w:ind w:firstLine="0"/>
              <w:jc w:val="center"/>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tc>
      </w:tr>
    </w:tbl>
    <w:p>
      <w:pPr>
        <w:ind w:firstLine="0"/>
        <w:jc w:val="both"/>
        <w:spacing w:line="400" w:lineRule="exact"/>
        <w:rPr>
          <w:rFonts w:hint="eastAsia" w:ascii="宋体" w:hAnsi="宋体" w:eastAsia="宋体" w:cs="宋体"/>
          <w:b/>
          <w:bCs/>
          <w:color w:val="auto"/>
          <w:sz w:val="24"/>
          <w:szCs w:val="20"/>
          <w:highlight w:val="none"/>
        </w:rPr>
        <w:outlineLvl w:val="9"/>
      </w:pPr>
      <w:r>
        <w:rPr>
          <w:rFonts w:hint="eastAsia" w:ascii="宋体" w:hAnsi="宋体" w:eastAsia="宋体" w:cs="宋体"/>
          <w:b/>
          <w:bCs/>
          <w:color w:val="auto"/>
          <w:sz w:val="24"/>
          <w:szCs w:val="20"/>
          <w:highlight w:val="none"/>
        </w:rPr>
        <w:t xml:space="preserve">法定代表人或法定代表人授权代表签字或盖章：</w:t>
      </w:r>
      <w:r/>
    </w:p>
    <w:p>
      <w:pPr>
        <w:ind w:firstLine="0"/>
        <w:jc w:val="both"/>
        <w:spacing w:line="400" w:lineRule="exact"/>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r>
      <w:r/>
    </w:p>
    <w:p>
      <w:pPr>
        <w:jc w:val="left"/>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注：1、</w:t>
      </w:r>
      <w:r>
        <w:rPr>
          <w:rFonts w:hint="eastAsia" w:ascii="宋体" w:hAnsi="宋体" w:eastAsia="宋体" w:cs="宋体"/>
          <w:bCs/>
          <w:color w:val="auto"/>
          <w:sz w:val="24"/>
          <w:szCs w:val="24"/>
          <w:highlight w:val="none"/>
          <w:lang w:val="en-US" w:eastAsia="zh-CN" w:bidi="ar-SA"/>
        </w:rPr>
        <w:t xml:space="preserve">上表可自行延长。</w:t>
      </w:r>
      <w:r/>
    </w:p>
    <w:p>
      <w:pPr>
        <w:spacing w:line="360" w:lineRule="auto"/>
        <w:shd w:val="clear" w:color="auto"/>
        <w:rPr>
          <w:rFonts w:hint="eastAsia" w:ascii="宋体" w:hAnsi="宋体" w:eastAsia="宋体" w:cs="宋体"/>
          <w:color w:val="auto"/>
          <w:highlight w:val="none"/>
        </w:rPr>
        <w:sectPr>
          <w:footnotePr/>
          <w:endnotePr/>
          <w:type w:val="nextPage"/>
          <w:pgSz w:w="11906" w:h="16838" w:orient="portrait"/>
          <w:pgMar w:top="1134" w:right="1134" w:bottom="1134" w:left="1134" w:header="850" w:footer="992" w:gutter="0"/>
          <w:cols w:num="1" w:sep="0" w:space="0" w:equalWidth="1"/>
          <w:docGrid w:linePitch="360"/>
        </w:sectPr>
      </w:pPr>
      <w:r>
        <w:rPr>
          <w:rFonts w:hint="eastAsia" w:ascii="宋体" w:hAnsi="宋体" w:eastAsia="宋体" w:cs="宋体"/>
          <w:color w:val="auto"/>
          <w:sz w:val="24"/>
          <w:szCs w:val="24"/>
          <w:highlight w:val="none"/>
          <w:lang w:val="en-US" w:eastAsia="zh-CN" w:bidi="ar-SA"/>
        </w:rPr>
        <w:t xml:space="preserve">2、证明材料要求详见招标文件相关要求。</w:t>
      </w:r>
      <w:r/>
    </w:p>
    <w:p>
      <w:pPr>
        <w:pStyle w:val="912"/>
        <w:ind w:firstLine="0"/>
        <w:jc w:val="center"/>
        <w:rPr>
          <w:rFonts w:hint="eastAsia" w:ascii="宋体" w:hAnsi="宋体" w:eastAsia="宋体" w:cs="宋体"/>
          <w:b/>
          <w:color w:val="auto"/>
          <w:sz w:val="28"/>
          <w:szCs w:val="28"/>
          <w:highlight w:val="none"/>
        </w:rPr>
        <w:outlineLvl w:val="9"/>
      </w:pPr>
      <w:r>
        <w:rPr>
          <w:rFonts w:hint="eastAsia" w:ascii="宋体" w:hAnsi="宋体" w:eastAsia="宋体" w:cs="宋体"/>
          <w:b/>
          <w:bCs/>
          <w:color w:val="auto"/>
          <w:sz w:val="28"/>
          <w:szCs w:val="28"/>
          <w:highlight w:val="none"/>
        </w:rPr>
        <w:t xml:space="preserve">（2）</w:t>
      </w:r>
      <w:r>
        <w:rPr>
          <w:rFonts w:hint="eastAsia" w:ascii="宋体" w:hAnsi="宋体" w:eastAsia="宋体" w:cs="宋体"/>
          <w:b/>
          <w:color w:val="auto"/>
          <w:sz w:val="28"/>
          <w:szCs w:val="28"/>
          <w:highlight w:val="none"/>
        </w:rPr>
        <w:t xml:space="preserve">拟派项目经理简历表</w:t>
      </w:r>
      <w:r/>
    </w:p>
    <w:p>
      <w:pPr>
        <w:jc w:val="both"/>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投标供应商名称（盖章）                          政府采购项目编号：</w:t>
      </w:r>
      <w:r/>
    </w:p>
    <w:tbl>
      <w:tblPr>
        <w:tblStyle w:val="704"/>
        <w:tblW w:w="9958"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794"/>
        <w:gridCol w:w="1897"/>
        <w:gridCol w:w="2453"/>
        <w:gridCol w:w="1109"/>
        <w:gridCol w:w="1285"/>
        <w:gridCol w:w="6"/>
        <w:gridCol w:w="2414"/>
      </w:tblGrid>
      <w:tr>
        <w:trPr>
          <w:cantSplit/>
          <w:jc w:val="center"/>
          <w:trHeight w:val="661"/>
        </w:trPr>
        <w:tc>
          <w:tcPr>
            <w:tcW w:w="794" w:type="dxa"/>
            <w:vAlign w:val="center"/>
            <w:textDirection w:val="lrTb"/>
            <w:noWrap w:val="false"/>
          </w:tcPr>
          <w:p>
            <w:pPr>
              <w:ind w:firstLine="0"/>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w:t>
            </w:r>
            <w:r/>
          </w:p>
        </w:tc>
        <w:tc>
          <w:tcPr>
            <w:tcW w:w="1897" w:type="dxa"/>
            <w:vAlign w:val="center"/>
            <w:textDirection w:val="lrTb"/>
            <w:noWrap w:val="false"/>
          </w:tcPr>
          <w:p>
            <w:pPr>
              <w:ind w:firstLine="0"/>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姓名</w:t>
            </w:r>
            <w:r/>
          </w:p>
        </w:tc>
        <w:tc>
          <w:tcPr>
            <w:tcW w:w="2453" w:type="dxa"/>
            <w:vAlign w:val="center"/>
            <w:textDirection w:val="lrTb"/>
            <w:noWrap w:val="false"/>
          </w:tcPr>
          <w:p>
            <w:pPr>
              <w:ind w:firstLine="0"/>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W w:w="1109" w:type="dxa"/>
            <w:vAlign w:val="center"/>
            <w:textDirection w:val="lrTb"/>
            <w:noWrap w:val="false"/>
          </w:tcPr>
          <w:p>
            <w:pPr>
              <w:ind w:firstLine="0"/>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性别</w:t>
            </w:r>
            <w:r/>
          </w:p>
        </w:tc>
        <w:tc>
          <w:tcPr>
            <w:gridSpan w:val="3"/>
            <w:tcW w:w="3705" w:type="dxa"/>
            <w:vAlign w:val="center"/>
            <w:textDirection w:val="lrTb"/>
            <w:noWrap w:val="false"/>
          </w:tcPr>
          <w:p>
            <w:pPr>
              <w:ind w:firstLine="0"/>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jc w:val="center"/>
          <w:trHeight w:val="716"/>
        </w:trPr>
        <w:tc>
          <w:tcPr>
            <w:tcW w:w="794" w:type="dxa"/>
            <w:vAlign w:val="center"/>
            <w:textDirection w:val="lrTb"/>
            <w:noWrap w:val="false"/>
          </w:tcPr>
          <w:p>
            <w:pPr>
              <w:ind w:firstLine="0"/>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w:t>
            </w:r>
            <w:r/>
          </w:p>
        </w:tc>
        <w:tc>
          <w:tcPr>
            <w:tcW w:w="1897" w:type="dxa"/>
            <w:vAlign w:val="center"/>
            <w:textDirection w:val="lrTb"/>
            <w:noWrap w:val="false"/>
          </w:tcPr>
          <w:p>
            <w:pPr>
              <w:ind w:firstLine="0"/>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身份证号码</w:t>
            </w:r>
            <w:r/>
          </w:p>
        </w:tc>
        <w:tc>
          <w:tcPr>
            <w:gridSpan w:val="2"/>
            <w:tcBorders>
              <w:right w:val="single" w:color="auto" w:sz="4" w:space="0"/>
            </w:tcBorders>
            <w:tcW w:w="3562" w:type="dxa"/>
            <w:vAlign w:val="center"/>
            <w:textDirection w:val="lrTb"/>
            <w:noWrap w:val="false"/>
          </w:tcPr>
          <w:p>
            <w:pPr>
              <w:ind w:firstLine="0"/>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c>
          <w:tcPr>
            <w:tcBorders>
              <w:left w:val="single" w:color="auto" w:sz="4" w:space="0"/>
              <w:bottom w:val="single" w:color="auto" w:sz="4" w:space="0"/>
              <w:right w:val="single" w:color="auto" w:sz="4" w:space="0"/>
            </w:tcBorders>
            <w:tcW w:w="1285" w:type="dxa"/>
            <w:vAlign w:val="center"/>
            <w:textDirection w:val="lrTb"/>
            <w:noWrap w:val="false"/>
          </w:tcPr>
          <w:p>
            <w:pPr>
              <w:ind w:firstLine="0"/>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出生年月</w:t>
            </w:r>
            <w:r/>
          </w:p>
        </w:tc>
        <w:tc>
          <w:tcPr>
            <w:gridSpan w:val="2"/>
            <w:tcBorders>
              <w:left w:val="single" w:color="auto" w:sz="4" w:space="0"/>
            </w:tcBorders>
            <w:tcW w:w="2420" w:type="dxa"/>
            <w:vAlign w:val="center"/>
            <w:textDirection w:val="lrTb"/>
            <w:noWrap w:val="false"/>
          </w:tcPr>
          <w:p>
            <w:pPr>
              <w:ind w:firstLine="0"/>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年     月</w:t>
            </w:r>
            <w:r/>
          </w:p>
        </w:tc>
      </w:tr>
      <w:tr>
        <w:trPr>
          <w:cantSplit/>
          <w:jc w:val="center"/>
          <w:trHeight w:val="716"/>
        </w:trPr>
        <w:tc>
          <w:tcPr>
            <w:tcW w:w="794" w:type="dxa"/>
            <w:vAlign w:val="center"/>
            <w:textDirection w:val="lrTb"/>
            <w:noWrap w:val="false"/>
          </w:tcPr>
          <w:p>
            <w:pPr>
              <w:ind w:firstLine="0"/>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w:t>
            </w:r>
            <w:r/>
          </w:p>
        </w:tc>
        <w:tc>
          <w:tcPr>
            <w:gridSpan w:val="3"/>
            <w:tcBorders>
              <w:right w:val="single" w:color="auto" w:sz="4" w:space="0"/>
            </w:tcBorders>
            <w:tcW w:w="5459" w:type="dxa"/>
            <w:vAlign w:val="center"/>
            <w:textDirection w:val="lrTb"/>
            <w:noWrap w:val="false"/>
          </w:tcPr>
          <w:p>
            <w:pPr>
              <w:ind w:firstLine="0"/>
              <w:jc w:val="lef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联系电话/传真： </w:t>
            </w:r>
            <w:r/>
          </w:p>
        </w:tc>
        <w:tc>
          <w:tcPr>
            <w:gridSpan w:val="2"/>
            <w:tcBorders>
              <w:left w:val="single" w:color="auto" w:sz="4" w:space="0"/>
              <w:right w:val="single" w:color="auto" w:sz="4" w:space="0"/>
            </w:tcBorders>
            <w:tcW w:w="1291" w:type="dxa"/>
            <w:vAlign w:val="center"/>
            <w:textDirection w:val="lrTb"/>
            <w:noWrap w:val="false"/>
          </w:tcPr>
          <w:p>
            <w:pPr>
              <w:ind w:firstLine="0"/>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岗位</w:t>
            </w:r>
            <w:r/>
          </w:p>
        </w:tc>
        <w:tc>
          <w:tcPr>
            <w:tcBorders>
              <w:left w:val="single" w:color="auto" w:sz="4" w:space="0"/>
            </w:tcBorders>
            <w:tcW w:w="2414" w:type="dxa"/>
            <w:vAlign w:val="center"/>
            <w:textDirection w:val="lrTb"/>
            <w:noWrap w:val="false"/>
          </w:tcPr>
          <w:p>
            <w:pPr>
              <w:ind w:firstLine="0"/>
              <w:jc w:val="lef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cantSplit/>
          <w:jc w:val="center"/>
          <w:trHeight w:val="2148"/>
        </w:trPr>
        <w:tc>
          <w:tcPr>
            <w:tcW w:w="794" w:type="dxa"/>
            <w:vAlign w:val="center"/>
            <w:textDirection w:val="lrTb"/>
            <w:noWrap w:val="false"/>
          </w:tcPr>
          <w:p>
            <w:pPr>
              <w:ind w:firstLine="0"/>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w:t>
            </w:r>
            <w:r/>
          </w:p>
        </w:tc>
        <w:tc>
          <w:tcPr>
            <w:gridSpan w:val="6"/>
            <w:tcW w:w="9164" w:type="dxa"/>
            <w:vAlign w:val="top"/>
            <w:textDirection w:val="lrTb"/>
            <w:noWrap w:val="false"/>
          </w:tcPr>
          <w:p>
            <w:pPr>
              <w:ind w:firstLine="0"/>
              <w:jc w:val="lef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从事本项工作时间及工作经历：</w:t>
            </w:r>
            <w:r/>
          </w:p>
        </w:tc>
      </w:tr>
      <w:tr>
        <w:trPr>
          <w:cantSplit/>
          <w:jc w:val="center"/>
          <w:trHeight w:val="694"/>
        </w:trPr>
        <w:tc>
          <w:tcPr>
            <w:tcW w:w="794" w:type="dxa"/>
            <w:vAlign w:val="center"/>
            <w:textDirection w:val="lrTb"/>
            <w:noWrap w:val="false"/>
          </w:tcPr>
          <w:p>
            <w:pPr>
              <w:ind w:firstLine="0"/>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w:t>
            </w:r>
            <w:r/>
          </w:p>
        </w:tc>
        <w:tc>
          <w:tcPr>
            <w:gridSpan w:val="6"/>
            <w:tcW w:w="9164" w:type="dxa"/>
            <w:vAlign w:val="center"/>
            <w:textDirection w:val="lrTb"/>
            <w:noWrap w:val="false"/>
          </w:tcPr>
          <w:p>
            <w:pPr>
              <w:ind w:firstLine="0"/>
              <w:jc w:val="lef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拥有关于本项服务方面的职称：</w:t>
            </w:r>
            <w:r/>
          </w:p>
        </w:tc>
      </w:tr>
      <w:tr>
        <w:trPr>
          <w:cantSplit/>
          <w:jc w:val="center"/>
          <w:trHeight w:val="712"/>
        </w:trPr>
        <w:tc>
          <w:tcPr>
            <w:tcW w:w="794" w:type="dxa"/>
            <w:vAlign w:val="center"/>
            <w:textDirection w:val="lrTb"/>
            <w:noWrap w:val="false"/>
          </w:tcPr>
          <w:p>
            <w:pPr>
              <w:ind w:left="-2" w:firstLine="0"/>
              <w:jc w:val="cente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w:t>
            </w:r>
            <w:r/>
          </w:p>
        </w:tc>
        <w:tc>
          <w:tcPr>
            <w:gridSpan w:val="6"/>
            <w:tcW w:w="9164" w:type="dxa"/>
            <w:vAlign w:val="center"/>
            <w:textDirection w:val="lrTb"/>
            <w:noWrap w:val="false"/>
          </w:tcPr>
          <w:p>
            <w:pPr>
              <w:ind w:firstLine="0"/>
              <w:jc w:val="lef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曾获得的关于管理服务方面的奖励情况：</w:t>
            </w:r>
            <w:r/>
          </w:p>
        </w:tc>
      </w:tr>
      <w:tr>
        <w:trPr>
          <w:cantSplit/>
          <w:jc w:val="center"/>
          <w:trHeight w:val="1870"/>
        </w:trPr>
        <w:tc>
          <w:tcPr>
            <w:tcW w:w="794" w:type="dxa"/>
            <w:vAlign w:val="center"/>
            <w:textDirection w:val="lrTb"/>
            <w:noWrap w:val="false"/>
          </w:tcPr>
          <w:p>
            <w:pPr>
              <w:ind w:left="-2" w:firstLine="0"/>
              <w:jc w:val="cente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7</w:t>
            </w:r>
            <w:r/>
          </w:p>
        </w:tc>
        <w:tc>
          <w:tcPr>
            <w:gridSpan w:val="6"/>
            <w:tcW w:w="9164" w:type="dxa"/>
            <w:vAlign w:val="top"/>
            <w:textDirection w:val="lrTb"/>
            <w:noWrap w:val="false"/>
          </w:tcPr>
          <w:p>
            <w:pPr>
              <w:ind w:firstLine="0"/>
              <w:jc w:val="left"/>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近3年内负责的主要项目业绩：</w:t>
            </w:r>
            <w:r/>
          </w:p>
        </w:tc>
      </w:tr>
      <w:tr>
        <w:trPr>
          <w:cantSplit/>
          <w:jc w:val="center"/>
          <w:trHeight w:val="691"/>
        </w:trPr>
        <w:tc>
          <w:tcPr>
            <w:tcBorders>
              <w:bottom w:val="single" w:color="auto" w:sz="6" w:space="0"/>
            </w:tcBorders>
            <w:tcW w:w="794" w:type="dxa"/>
            <w:vAlign w:val="center"/>
            <w:textDirection w:val="lrTb"/>
            <w:noWrap w:val="false"/>
          </w:tcPr>
          <w:p>
            <w:pPr>
              <w:ind w:left="-2" w:firstLine="0"/>
              <w:jc w:val="center"/>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8</w:t>
            </w:r>
            <w:r/>
          </w:p>
        </w:tc>
        <w:tc>
          <w:tcPr>
            <w:gridSpan w:val="6"/>
            <w:tcBorders>
              <w:bottom w:val="single" w:color="auto" w:sz="6" w:space="0"/>
            </w:tcBorders>
            <w:tcW w:w="9164" w:type="dxa"/>
            <w:vAlign w:val="center"/>
            <w:textDirection w:val="lrTb"/>
            <w:noWrap w:val="false"/>
          </w:tcPr>
          <w:p>
            <w:pPr>
              <w:ind w:firstLine="0"/>
              <w:jc w:val="left"/>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其他需要说明的情况</w:t>
            </w:r>
            <w:r/>
          </w:p>
        </w:tc>
      </w:tr>
    </w:tbl>
    <w:p>
      <w:pPr>
        <w:ind w:firstLine="0"/>
        <w:jc w:val="both"/>
        <w:rPr>
          <w:rFonts w:hint="eastAsia" w:ascii="宋体" w:hAnsi="宋体" w:eastAsia="宋体" w:cs="宋体"/>
          <w:b/>
          <w:bCs/>
          <w:color w:val="auto"/>
          <w:sz w:val="24"/>
          <w:szCs w:val="20"/>
          <w:highlight w:val="none"/>
        </w:rPr>
        <w:outlineLvl w:val="9"/>
      </w:pPr>
      <w:r>
        <w:rPr>
          <w:rFonts w:hint="eastAsia" w:ascii="宋体" w:hAnsi="宋体" w:eastAsia="宋体" w:cs="宋体"/>
          <w:b/>
          <w:bCs/>
          <w:color w:val="auto"/>
          <w:sz w:val="24"/>
          <w:szCs w:val="20"/>
          <w:highlight w:val="none"/>
        </w:rPr>
      </w:r>
      <w:r/>
    </w:p>
    <w:p>
      <w:pPr>
        <w:jc w:val="left"/>
        <w:shd w:val="clear" w:color="auto"/>
        <w:rPr>
          <w:rFonts w:hint="eastAsia" w:ascii="宋体" w:hAnsi="宋体" w:eastAsia="宋体" w:cs="宋体"/>
          <w:color w:val="auto"/>
          <w:sz w:val="24"/>
          <w:szCs w:val="24"/>
          <w:highlight w:val="none"/>
        </w:rPr>
        <w:outlineLvl w:val="0"/>
      </w:pPr>
      <w:r>
        <w:rPr>
          <w:rFonts w:hint="eastAsia" w:ascii="宋体" w:hAnsi="宋体" w:eastAsia="宋体" w:cs="宋体"/>
          <w:b/>
          <w:bCs/>
          <w:color w:val="auto"/>
          <w:sz w:val="24"/>
          <w:szCs w:val="20"/>
          <w:highlight w:val="none"/>
        </w:rPr>
        <w:t xml:space="preserve">法定代表人或法定代表人授权代表签字或盖章：</w:t>
      </w:r>
      <w:r/>
    </w:p>
    <w:p>
      <w:pPr>
        <w:ind w:left="0" w:firstLine="0"/>
        <w:jc w:val="left"/>
        <w:shd w:val="clear" w:color="auto"/>
        <w:rPr>
          <w:rFonts w:hint="eastAsia" w:ascii="宋体" w:hAnsi="宋体" w:eastAsia="宋体" w:cs="宋体"/>
          <w:bCs/>
          <w:color w:val="auto"/>
          <w:sz w:val="24"/>
          <w:szCs w:val="22"/>
          <w:highlight w:val="none"/>
        </w:rPr>
        <w:outlineLvl w:val="0"/>
      </w:pPr>
      <w:r>
        <w:rPr>
          <w:rFonts w:hint="eastAsia" w:ascii="宋体" w:hAnsi="宋体" w:eastAsia="宋体" w:cs="宋体"/>
          <w:bCs/>
          <w:color w:val="auto"/>
          <w:sz w:val="24"/>
          <w:szCs w:val="22"/>
          <w:highlight w:val="none"/>
        </w:rPr>
      </w:r>
      <w:r/>
    </w:p>
    <w:p>
      <w:pPr>
        <w:ind w:left="0" w:firstLine="0"/>
        <w:jc w:val="left"/>
        <w:shd w:val="clear" w:color="auto"/>
        <w:rPr>
          <w:rFonts w:hint="eastAsia" w:ascii="宋体" w:hAnsi="宋体" w:eastAsia="宋体" w:cs="宋体"/>
          <w:bCs/>
          <w:color w:val="auto"/>
          <w:sz w:val="24"/>
          <w:szCs w:val="22"/>
          <w:highlight w:val="none"/>
        </w:rPr>
        <w:outlineLvl w:val="0"/>
      </w:pPr>
      <w:r>
        <w:rPr>
          <w:rFonts w:hint="eastAsia" w:ascii="宋体" w:hAnsi="宋体" w:eastAsia="宋体" w:cs="宋体"/>
          <w:bCs/>
          <w:color w:val="auto"/>
          <w:sz w:val="24"/>
          <w:szCs w:val="22"/>
          <w:highlight w:val="none"/>
        </w:rPr>
      </w:r>
      <w:r/>
    </w:p>
    <w:p>
      <w:pPr>
        <w:ind w:left="0" w:firstLine="0"/>
        <w:jc w:val="left"/>
        <w:shd w:val="clear" w:color="auto"/>
        <w:rPr>
          <w:rFonts w:hint="eastAsia" w:ascii="宋体" w:hAnsi="宋体" w:eastAsia="宋体" w:cs="宋体"/>
          <w:bCs/>
          <w:color w:val="auto"/>
          <w:sz w:val="24"/>
          <w:szCs w:val="22"/>
          <w:highlight w:val="none"/>
        </w:rPr>
        <w:outlineLvl w:val="0"/>
      </w:pPr>
      <w:r>
        <w:rPr>
          <w:rFonts w:hint="eastAsia" w:ascii="宋体" w:hAnsi="宋体" w:eastAsia="宋体" w:cs="宋体"/>
          <w:bCs/>
          <w:color w:val="auto"/>
          <w:sz w:val="24"/>
          <w:szCs w:val="22"/>
          <w:highlight w:val="none"/>
        </w:rPr>
      </w:r>
      <w:r/>
    </w:p>
    <w:p>
      <w:pPr>
        <w:ind w:firstLine="0"/>
        <w:jc w:val="both"/>
        <w:spacing w:line="360" w:lineRule="auto"/>
        <w:rPr>
          <w:rFonts w:hint="eastAsia" w:ascii="宋体" w:hAnsi="宋体" w:eastAsia="宋体" w:cs="宋体"/>
          <w:b/>
          <w:bCs/>
          <w:color w:val="auto"/>
          <w:sz w:val="28"/>
          <w:szCs w:val="28"/>
          <w:highlight w:val="none"/>
        </w:rPr>
        <w:outlineLvl w:val="1"/>
      </w:pPr>
      <w:r>
        <w:rPr>
          <w:rFonts w:hint="eastAsia" w:ascii="宋体" w:hAnsi="宋体" w:eastAsia="宋体" w:cs="宋体"/>
          <w:b/>
          <w:bCs/>
          <w:color w:val="auto"/>
          <w:sz w:val="28"/>
          <w:szCs w:val="28"/>
          <w:highlight w:val="none"/>
        </w:rPr>
      </w:r>
      <w:r/>
    </w:p>
    <w:p>
      <w:pPr>
        <w:ind w:firstLine="0"/>
        <w:jc w:val="both"/>
        <w:spacing w:line="360" w:lineRule="auto"/>
        <w:rPr>
          <w:rFonts w:hint="eastAsia" w:ascii="宋体" w:hAnsi="宋体" w:eastAsia="宋体" w:cs="宋体"/>
          <w:b/>
          <w:bCs/>
          <w:color w:val="auto"/>
          <w:sz w:val="28"/>
          <w:szCs w:val="28"/>
          <w:highlight w:val="none"/>
        </w:rPr>
        <w:outlineLvl w:val="1"/>
      </w:pPr>
      <w:r>
        <w:rPr>
          <w:rFonts w:hint="eastAsia" w:ascii="宋体" w:hAnsi="宋体" w:eastAsia="宋体" w:cs="宋体"/>
          <w:b/>
          <w:bCs/>
          <w:color w:val="auto"/>
          <w:sz w:val="28"/>
          <w:szCs w:val="28"/>
          <w:highlight w:val="none"/>
        </w:rPr>
      </w:r>
      <w:r/>
    </w:p>
    <w:p>
      <w:pPr>
        <w:ind w:firstLine="0"/>
        <w:jc w:val="both"/>
        <w:spacing w:line="360" w:lineRule="auto"/>
        <w:rPr>
          <w:rFonts w:hint="eastAsia" w:ascii="宋体" w:hAnsi="宋体" w:eastAsia="宋体" w:cs="宋体"/>
          <w:b/>
          <w:bCs/>
          <w:color w:val="auto"/>
          <w:sz w:val="28"/>
          <w:szCs w:val="28"/>
          <w:highlight w:val="none"/>
        </w:rPr>
        <w:outlineLvl w:val="1"/>
      </w:pPr>
      <w:r>
        <w:rPr>
          <w:rFonts w:hint="eastAsia" w:ascii="宋体" w:hAnsi="宋体" w:eastAsia="宋体" w:cs="宋体"/>
          <w:b/>
          <w:bCs/>
          <w:color w:val="auto"/>
          <w:sz w:val="28"/>
          <w:szCs w:val="28"/>
          <w:highlight w:val="none"/>
        </w:rPr>
      </w:r>
      <w:r/>
    </w:p>
    <w:p>
      <w:pPr>
        <w:ind w:firstLine="0"/>
        <w:jc w:val="both"/>
        <w:spacing w:line="360" w:lineRule="auto"/>
        <w:rPr>
          <w:rFonts w:hint="eastAsia" w:ascii="宋体" w:hAnsi="宋体" w:eastAsia="宋体" w:cs="宋体"/>
          <w:b/>
          <w:bCs/>
          <w:color w:val="auto"/>
          <w:sz w:val="28"/>
          <w:szCs w:val="28"/>
          <w:highlight w:val="none"/>
        </w:rPr>
        <w:outlineLvl w:val="1"/>
      </w:pPr>
      <w:r>
        <w:rPr>
          <w:rFonts w:hint="eastAsia" w:ascii="宋体" w:hAnsi="宋体" w:eastAsia="宋体" w:cs="宋体"/>
          <w:b/>
          <w:bCs/>
          <w:color w:val="auto"/>
          <w:sz w:val="28"/>
          <w:szCs w:val="28"/>
          <w:highlight w:val="none"/>
        </w:rPr>
      </w:r>
      <w:r/>
    </w:p>
    <w:p>
      <w:pPr>
        <w:ind w:firstLine="0"/>
        <w:jc w:val="both"/>
        <w:spacing w:line="360" w:lineRule="auto"/>
        <w:rPr>
          <w:rFonts w:hint="eastAsia" w:ascii="宋体" w:hAnsi="宋体" w:eastAsia="宋体" w:cs="宋体"/>
          <w:b/>
          <w:bCs/>
          <w:color w:val="auto"/>
          <w:sz w:val="28"/>
          <w:szCs w:val="28"/>
          <w:highlight w:val="none"/>
        </w:rPr>
        <w:outlineLvl w:val="1"/>
      </w:pPr>
      <w:r>
        <w:rPr>
          <w:rFonts w:hint="eastAsia" w:ascii="宋体" w:hAnsi="宋体" w:eastAsia="宋体" w:cs="宋体"/>
          <w:b/>
          <w:bCs/>
          <w:color w:val="auto"/>
          <w:sz w:val="28"/>
          <w:szCs w:val="28"/>
          <w:highlight w:val="none"/>
        </w:rPr>
      </w:r>
      <w:r/>
    </w:p>
    <w:p>
      <w:pPr>
        <w:ind w:firstLine="0"/>
        <w:jc w:val="both"/>
        <w:spacing w:line="360" w:lineRule="auto"/>
        <w:rPr>
          <w:rFonts w:hint="eastAsia" w:ascii="宋体" w:hAnsi="宋体" w:eastAsia="宋体" w:cs="宋体"/>
          <w:b/>
          <w:bCs/>
          <w:color w:val="auto"/>
          <w:sz w:val="28"/>
          <w:szCs w:val="28"/>
          <w:highlight w:val="none"/>
        </w:rPr>
        <w:outlineLvl w:val="1"/>
      </w:pPr>
      <w:r>
        <w:rPr>
          <w:rFonts w:hint="eastAsia" w:ascii="宋体" w:hAnsi="宋体" w:eastAsia="宋体" w:cs="宋体"/>
          <w:b/>
          <w:bCs/>
          <w:color w:val="auto"/>
          <w:sz w:val="28"/>
          <w:szCs w:val="28"/>
          <w:highlight w:val="none"/>
        </w:rPr>
      </w:r>
      <w:r/>
    </w:p>
    <w:p>
      <w:pPr>
        <w:ind w:firstLine="0"/>
        <w:jc w:val="both"/>
        <w:spacing w:line="360" w:lineRule="auto"/>
        <w:rPr>
          <w:rFonts w:hint="eastAsia" w:ascii="宋体" w:hAnsi="宋体" w:eastAsia="宋体" w:cs="宋体"/>
          <w:b/>
          <w:color w:val="auto"/>
          <w:sz w:val="28"/>
          <w:szCs w:val="28"/>
          <w:highlight w:val="none"/>
        </w:rPr>
        <w:outlineLvl w:val="1"/>
      </w:pPr>
      <w:r>
        <w:rPr>
          <w:rFonts w:hint="eastAsia" w:ascii="宋体" w:hAnsi="宋体" w:eastAsia="宋体" w:cs="宋体"/>
          <w:b/>
          <w:bCs/>
          <w:color w:val="auto"/>
          <w:sz w:val="28"/>
          <w:szCs w:val="28"/>
          <w:highlight w:val="none"/>
        </w:rPr>
        <w:t xml:space="preserve">（</w:t>
      </w:r>
      <w:r>
        <w:rPr>
          <w:rFonts w:hint="eastAsia" w:ascii="宋体" w:hAnsi="宋体" w:eastAsia="宋体" w:cs="宋体"/>
          <w:b/>
          <w:bCs/>
          <w:color w:val="auto"/>
          <w:sz w:val="28"/>
          <w:szCs w:val="28"/>
          <w:highlight w:val="none"/>
          <w:lang w:val="en-US" w:eastAsia="zh-CN"/>
        </w:rPr>
        <w:t xml:space="preserve">八</w:t>
      </w:r>
      <w:r>
        <w:rPr>
          <w:rFonts w:hint="eastAsia" w:ascii="宋体" w:hAnsi="宋体" w:eastAsia="宋体" w:cs="宋体"/>
          <w:b/>
          <w:bCs/>
          <w:color w:val="auto"/>
          <w:sz w:val="28"/>
          <w:szCs w:val="28"/>
          <w:highlight w:val="none"/>
        </w:rPr>
        <w:t xml:space="preserve">）</w:t>
      </w:r>
      <w:r>
        <w:rPr>
          <w:rFonts w:hint="eastAsia" w:ascii="宋体" w:hAnsi="宋体" w:eastAsia="宋体" w:cs="宋体"/>
          <w:b/>
          <w:color w:val="auto"/>
          <w:sz w:val="28"/>
          <w:szCs w:val="28"/>
          <w:highlight w:val="none"/>
        </w:rPr>
        <w:t xml:space="preserve">拟投入车辆及设备一览表</w:t>
      </w:r>
      <w:r/>
    </w:p>
    <w:tbl>
      <w:tblPr>
        <w:tblStyle w:val="704"/>
        <w:tblW w:w="9016"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506"/>
        <w:gridCol w:w="1070"/>
        <w:gridCol w:w="1226"/>
        <w:gridCol w:w="947"/>
        <w:gridCol w:w="1218"/>
        <w:gridCol w:w="1101"/>
        <w:gridCol w:w="950"/>
        <w:gridCol w:w="933"/>
        <w:gridCol w:w="1065"/>
      </w:tblGrid>
      <w:tr>
        <w:trPr>
          <w:cantSplit/>
          <w:jc w:val="center"/>
          <w:trHeight w:val="1714"/>
        </w:trPr>
        <w:tc>
          <w:tcPr>
            <w:tcW w:w="506"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Cs/>
                <w:color w:val="auto"/>
                <w:szCs w:val="24"/>
                <w:highlight w:val="none"/>
                <w:lang w:val="en-US" w:eastAsia="zh-CN"/>
              </w:rPr>
              <w:outlineLvl w:val="9"/>
            </w:pPr>
            <w:r>
              <w:rPr>
                <w:rFonts w:hint="eastAsia" w:ascii="宋体" w:hAnsi="宋体" w:eastAsia="宋体" w:cs="宋体"/>
                <w:bCs/>
                <w:color w:val="auto"/>
                <w:szCs w:val="24"/>
                <w:highlight w:val="none"/>
                <w:lang w:val="en-US" w:eastAsia="zh-CN"/>
              </w:rPr>
              <w:t xml:space="preserve">序号</w:t>
            </w:r>
            <w:r/>
          </w:p>
        </w:tc>
        <w:tc>
          <w:tcPr>
            <w:tcW w:w="107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Cs/>
                <w:color w:val="auto"/>
                <w:szCs w:val="24"/>
                <w:highlight w:val="none"/>
                <w:lang w:val="en-US" w:eastAsia="zh-CN"/>
              </w:rPr>
              <w:outlineLvl w:val="9"/>
            </w:pPr>
            <w:r>
              <w:rPr>
                <w:rFonts w:hint="eastAsia" w:ascii="宋体" w:hAnsi="宋体" w:eastAsia="宋体" w:cs="宋体"/>
                <w:bCs/>
                <w:color w:val="auto"/>
                <w:szCs w:val="24"/>
                <w:highlight w:val="none"/>
                <w:lang w:val="en-US" w:eastAsia="zh-CN"/>
              </w:rPr>
              <w:t xml:space="preserve">机械设备</w:t>
            </w:r>
            <w:r/>
          </w:p>
          <w:p>
            <w:pPr>
              <w:ind w:firstLine="0"/>
              <w:jc w:val="center"/>
              <w:keepLines w:val="0"/>
              <w:keepNext w:val="0"/>
              <w:pageBreakBefore w:val="0"/>
              <w:spacing w:line="240" w:lineRule="auto"/>
              <w:widowControl w:val="off"/>
              <w:rPr>
                <w:rFonts w:hint="eastAsia" w:ascii="宋体" w:hAnsi="宋体" w:eastAsia="宋体" w:cs="宋体"/>
                <w:bCs/>
                <w:color w:val="auto"/>
                <w:szCs w:val="24"/>
                <w:highlight w:val="none"/>
                <w:lang w:val="en-US" w:eastAsia="zh-CN"/>
              </w:rPr>
              <w:outlineLvl w:val="9"/>
            </w:pPr>
            <w:r>
              <w:rPr>
                <w:rFonts w:hint="eastAsia" w:ascii="宋体" w:hAnsi="宋体" w:eastAsia="宋体" w:cs="宋体"/>
                <w:bCs/>
                <w:color w:val="auto"/>
                <w:szCs w:val="24"/>
                <w:highlight w:val="none"/>
                <w:lang w:val="en-US" w:eastAsia="zh-CN"/>
              </w:rPr>
              <w:t xml:space="preserve">名称</w:t>
            </w:r>
            <w:r/>
          </w:p>
        </w:tc>
        <w:tc>
          <w:tcPr>
            <w:tcW w:w="1226"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Cs/>
                <w:color w:val="auto"/>
                <w:szCs w:val="24"/>
                <w:highlight w:val="none"/>
                <w:lang w:val="en-US" w:eastAsia="zh-CN"/>
              </w:rPr>
              <w:outlineLvl w:val="9"/>
            </w:pPr>
            <w:r>
              <w:rPr>
                <w:rFonts w:hint="eastAsia" w:ascii="宋体" w:hAnsi="宋体" w:eastAsia="宋体" w:cs="宋体"/>
                <w:bCs/>
                <w:color w:val="auto"/>
                <w:szCs w:val="24"/>
                <w:highlight w:val="none"/>
                <w:lang w:val="en-US" w:eastAsia="zh-CN"/>
              </w:rPr>
              <w:t xml:space="preserve">品牌、型号规格</w:t>
            </w:r>
            <w:r/>
          </w:p>
        </w:tc>
        <w:tc>
          <w:tcPr>
            <w:tcW w:w="947"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Cs/>
                <w:color w:val="auto"/>
                <w:szCs w:val="24"/>
                <w:highlight w:val="none"/>
                <w:lang w:val="en-US" w:eastAsia="zh-CN"/>
              </w:rPr>
              <w:outlineLvl w:val="9"/>
            </w:pPr>
            <w:r>
              <w:rPr>
                <w:rFonts w:hint="eastAsia" w:ascii="宋体" w:hAnsi="宋体" w:eastAsia="宋体" w:cs="宋体"/>
                <w:bCs/>
                <w:color w:val="auto"/>
                <w:szCs w:val="24"/>
                <w:highlight w:val="none"/>
                <w:lang w:val="en-US" w:eastAsia="zh-CN"/>
              </w:rPr>
              <w:t xml:space="preserve">数量</w:t>
            </w:r>
            <w:r/>
          </w:p>
        </w:tc>
        <w:tc>
          <w:tcPr>
            <w:tcW w:w="1218"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Cs/>
                <w:color w:val="auto"/>
                <w:szCs w:val="24"/>
                <w:highlight w:val="none"/>
                <w:lang w:val="en-US" w:eastAsia="zh-CN"/>
              </w:rPr>
              <w:outlineLvl w:val="9"/>
            </w:pPr>
            <w:r>
              <w:rPr>
                <w:rFonts w:hint="eastAsia" w:ascii="宋体" w:hAnsi="宋体" w:eastAsia="宋体" w:cs="宋体"/>
                <w:bCs/>
                <w:color w:val="auto"/>
                <w:szCs w:val="24"/>
                <w:highlight w:val="none"/>
                <w:lang w:val="en-US" w:eastAsia="zh-CN"/>
              </w:rPr>
              <w:t xml:space="preserve">自有/租赁</w:t>
            </w:r>
            <w:r/>
          </w:p>
        </w:tc>
        <w:tc>
          <w:tcPr>
            <w:tcW w:w="1101"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Cs/>
                <w:color w:val="auto"/>
                <w:szCs w:val="24"/>
                <w:highlight w:val="none"/>
                <w:lang w:val="en-US" w:eastAsia="zh-CN"/>
              </w:rPr>
              <w:outlineLvl w:val="9"/>
            </w:pPr>
            <w:r>
              <w:rPr>
                <w:rFonts w:hint="eastAsia" w:ascii="宋体" w:hAnsi="宋体" w:eastAsia="宋体" w:cs="宋体"/>
                <w:bCs/>
                <w:color w:val="auto"/>
                <w:szCs w:val="24"/>
                <w:highlight w:val="none"/>
                <w:lang w:val="en-US" w:eastAsia="zh-CN"/>
              </w:rPr>
              <w:t xml:space="preserve">所属单位/租赁单位</w:t>
            </w:r>
            <w:r/>
          </w:p>
        </w:tc>
        <w:tc>
          <w:tcPr>
            <w:tcW w:w="95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Cs/>
                <w:color w:val="auto"/>
                <w:szCs w:val="24"/>
                <w:highlight w:val="none"/>
                <w:lang w:val="en-US" w:eastAsia="zh-CN"/>
              </w:rPr>
              <w:outlineLvl w:val="9"/>
            </w:pPr>
            <w:r>
              <w:rPr>
                <w:rFonts w:hint="eastAsia" w:ascii="宋体" w:hAnsi="宋体" w:eastAsia="宋体" w:cs="宋体"/>
                <w:bCs/>
                <w:color w:val="auto"/>
                <w:szCs w:val="24"/>
                <w:highlight w:val="none"/>
                <w:lang w:val="en-US" w:eastAsia="zh-CN"/>
              </w:rPr>
              <w:t xml:space="preserve">车牌号</w:t>
            </w:r>
            <w:r/>
          </w:p>
        </w:tc>
        <w:tc>
          <w:tcPr>
            <w:tcW w:w="933"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Cs/>
                <w:color w:val="auto"/>
                <w:szCs w:val="24"/>
                <w:highlight w:val="none"/>
                <w:lang w:val="en-US" w:eastAsia="zh-CN"/>
              </w:rPr>
              <w:outlineLvl w:val="9"/>
            </w:pPr>
            <w:r>
              <w:rPr>
                <w:rFonts w:hint="eastAsia" w:ascii="宋体" w:hAnsi="宋体" w:eastAsia="宋体" w:cs="宋体"/>
                <w:bCs/>
                <w:color w:val="auto"/>
                <w:szCs w:val="24"/>
                <w:highlight w:val="none"/>
                <w:lang w:val="en-US" w:eastAsia="zh-CN"/>
              </w:rPr>
              <w:t xml:space="preserve">发动机号</w:t>
            </w:r>
            <w:r/>
          </w:p>
        </w:tc>
        <w:tc>
          <w:tcPr>
            <w:tcW w:w="1065" w:type="dxa"/>
            <w:vAlign w:val="center"/>
            <w:textDirection w:val="lrTb"/>
            <w:noWrap w:val="false"/>
          </w:tcPr>
          <w:p>
            <w:pPr>
              <w:ind w:firstLine="0"/>
              <w:jc w:val="both"/>
              <w:keepLines w:val="0"/>
              <w:keepNext w:val="0"/>
              <w:pageBreakBefore w:val="0"/>
              <w:spacing w:line="240" w:lineRule="auto"/>
              <w:widowControl w:val="off"/>
              <w:rPr>
                <w:rFonts w:hint="eastAsia" w:ascii="宋体" w:hAnsi="宋体" w:eastAsia="宋体" w:cs="宋体"/>
                <w:bCs/>
                <w:color w:val="auto"/>
                <w:szCs w:val="24"/>
                <w:highlight w:val="none"/>
                <w:lang w:val="en-US" w:eastAsia="zh-CN"/>
              </w:rPr>
              <w:outlineLvl w:val="9"/>
            </w:pPr>
            <w:r>
              <w:rPr>
                <w:rFonts w:hint="eastAsia" w:ascii="宋体" w:hAnsi="宋体" w:eastAsia="宋体" w:cs="宋体"/>
                <w:bCs/>
                <w:color w:val="auto"/>
                <w:szCs w:val="24"/>
                <w:highlight w:val="none"/>
                <w:lang w:val="en-US" w:eastAsia="zh-CN"/>
              </w:rPr>
              <w:t xml:space="preserve">车辆类型（以车辆行驶证登记为准）</w:t>
            </w:r>
            <w:r/>
          </w:p>
        </w:tc>
      </w:tr>
      <w:tr>
        <w:trPr>
          <w:jc w:val="center"/>
          <w:trHeight w:val="345"/>
        </w:trPr>
        <w:tc>
          <w:tcPr>
            <w:tcW w:w="506"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Cs/>
                <w:color w:val="auto"/>
                <w:szCs w:val="24"/>
                <w:highlight w:val="none"/>
                <w:lang w:val="en-US" w:eastAsia="zh-CN"/>
              </w:rPr>
              <w:outlineLvl w:val="9"/>
            </w:pPr>
            <w:r>
              <w:rPr>
                <w:rFonts w:hint="eastAsia" w:ascii="宋体" w:hAnsi="宋体" w:eastAsia="宋体" w:cs="宋体"/>
                <w:bCs/>
                <w:color w:val="auto"/>
                <w:szCs w:val="24"/>
                <w:highlight w:val="none"/>
                <w:lang w:val="en-US" w:eastAsia="zh-CN"/>
              </w:rPr>
              <w:t xml:space="preserve">1</w:t>
            </w:r>
            <w:r/>
          </w:p>
        </w:tc>
        <w:tc>
          <w:tcPr>
            <w:tcW w:w="1070" w:type="dxa"/>
            <w:vAlign w:val="center"/>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 w:val="21"/>
                <w:szCs w:val="21"/>
                <w:highlight w:val="none"/>
              </w:rPr>
              <w:outlineLvl w:val="9"/>
            </w:pPr>
            <w:r>
              <w:rPr>
                <w:rFonts w:hint="eastAsia" w:ascii="宋体" w:hAnsi="宋体" w:eastAsia="宋体" w:cs="宋体"/>
                <w:bCs/>
                <w:color w:val="auto"/>
                <w:sz w:val="24"/>
                <w:szCs w:val="24"/>
                <w:highlight w:val="none"/>
                <w:lang w:eastAsia="zh-CN"/>
              </w:rPr>
              <w:t xml:space="preserve">……</w:t>
            </w:r>
            <w:r/>
          </w:p>
        </w:tc>
        <w:tc>
          <w:tcPr>
            <w:tcW w:w="1226" w:type="dxa"/>
            <w:vAlign w:val="center"/>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947" w:type="dxa"/>
            <w:vAlign w:val="center"/>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1218" w:type="dxa"/>
            <w:vAlign w:val="center"/>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1101" w:type="dxa"/>
            <w:vAlign w:val="center"/>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950" w:type="dxa"/>
            <w:vAlign w:val="center"/>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933" w:type="dxa"/>
            <w:vAlign w:val="center"/>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1065" w:type="dxa"/>
            <w:vAlign w:val="center"/>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r>
      <w:tr>
        <w:trPr>
          <w:jc w:val="center"/>
          <w:trHeight w:val="306"/>
        </w:trPr>
        <w:tc>
          <w:tcPr>
            <w:tcW w:w="506" w:type="dxa"/>
            <w:vAlign w:val="top"/>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Cs/>
                <w:color w:val="auto"/>
                <w:szCs w:val="24"/>
                <w:highlight w:val="none"/>
                <w:lang w:val="en-US" w:eastAsia="zh-CN"/>
              </w:rPr>
              <w:outlineLvl w:val="9"/>
            </w:pPr>
            <w:r>
              <w:rPr>
                <w:rFonts w:hint="eastAsia" w:ascii="宋体" w:hAnsi="宋体" w:eastAsia="宋体" w:cs="宋体"/>
                <w:bCs/>
                <w:color w:val="auto"/>
                <w:szCs w:val="24"/>
                <w:highlight w:val="none"/>
                <w:lang w:val="en-US" w:eastAsia="zh-CN"/>
              </w:rPr>
              <w:t xml:space="preserve">2</w:t>
            </w:r>
            <w:r/>
          </w:p>
        </w:tc>
        <w:tc>
          <w:tcPr>
            <w:tcW w:w="1070"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 w:val="21"/>
                <w:szCs w:val="21"/>
                <w:highlight w:val="none"/>
                <w:lang w:val="en-US" w:eastAsia="zh-CN" w:bidi="ar-SA"/>
              </w:rPr>
              <w:outlineLvl w:val="9"/>
            </w:pPr>
            <w:r>
              <w:rPr>
                <w:rFonts w:hint="eastAsia" w:ascii="宋体" w:hAnsi="宋体" w:eastAsia="宋体" w:cs="宋体"/>
                <w:bCs/>
                <w:color w:val="auto"/>
                <w:sz w:val="21"/>
                <w:szCs w:val="21"/>
                <w:highlight w:val="none"/>
                <w:lang w:eastAsia="zh-CN"/>
              </w:rPr>
              <w:t xml:space="preserve">……</w:t>
            </w:r>
            <w:r/>
          </w:p>
        </w:tc>
        <w:tc>
          <w:tcPr>
            <w:tcW w:w="1226"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 w:val="21"/>
                <w:szCs w:val="24"/>
                <w:highlight w:val="none"/>
                <w:lang w:val="en-US" w:eastAsia="zh-CN" w:bidi="ar-SA"/>
              </w:rPr>
              <w:outlineLvl w:val="9"/>
            </w:pPr>
            <w:r>
              <w:rPr>
                <w:rFonts w:hint="eastAsia" w:ascii="宋体" w:hAnsi="宋体" w:eastAsia="宋体" w:cs="宋体"/>
                <w:bCs/>
                <w:color w:val="auto"/>
                <w:sz w:val="21"/>
                <w:szCs w:val="24"/>
                <w:highlight w:val="none"/>
                <w:lang w:val="en-US" w:eastAsia="zh-CN" w:bidi="ar-SA"/>
              </w:rPr>
            </w:r>
            <w:r/>
          </w:p>
        </w:tc>
        <w:tc>
          <w:tcPr>
            <w:tcW w:w="947"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 w:val="21"/>
                <w:szCs w:val="24"/>
                <w:highlight w:val="none"/>
                <w:lang w:val="en-US" w:eastAsia="zh-CN" w:bidi="ar-SA"/>
              </w:rPr>
              <w:outlineLvl w:val="9"/>
            </w:pPr>
            <w:r>
              <w:rPr>
                <w:rFonts w:hint="eastAsia" w:ascii="宋体" w:hAnsi="宋体" w:eastAsia="宋体" w:cs="宋体"/>
                <w:bCs/>
                <w:color w:val="auto"/>
                <w:sz w:val="21"/>
                <w:szCs w:val="24"/>
                <w:highlight w:val="none"/>
                <w:lang w:val="en-US" w:eastAsia="zh-CN" w:bidi="ar-SA"/>
              </w:rPr>
            </w:r>
            <w:r/>
          </w:p>
        </w:tc>
        <w:tc>
          <w:tcPr>
            <w:tcW w:w="1218"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1101"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950"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933"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1065"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r>
      <w:tr>
        <w:trPr>
          <w:jc w:val="center"/>
          <w:trHeight w:val="306"/>
        </w:trPr>
        <w:tc>
          <w:tcPr>
            <w:tcW w:w="506" w:type="dxa"/>
            <w:vAlign w:val="top"/>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Cs/>
                <w:color w:val="auto"/>
                <w:szCs w:val="24"/>
                <w:highlight w:val="none"/>
                <w:lang w:val="en-US" w:eastAsia="zh-CN"/>
              </w:rPr>
              <w:outlineLvl w:val="9"/>
            </w:pPr>
            <w:r>
              <w:rPr>
                <w:rFonts w:hint="eastAsia" w:ascii="宋体" w:hAnsi="宋体" w:eastAsia="宋体" w:cs="宋体"/>
                <w:bCs/>
                <w:color w:val="auto"/>
                <w:szCs w:val="24"/>
                <w:highlight w:val="none"/>
                <w:lang w:val="en-US" w:eastAsia="zh-CN"/>
              </w:rPr>
              <w:t xml:space="preserve">3</w:t>
            </w:r>
            <w:r/>
          </w:p>
        </w:tc>
        <w:tc>
          <w:tcPr>
            <w:tcW w:w="1070"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 w:val="21"/>
                <w:szCs w:val="21"/>
                <w:highlight w:val="none"/>
                <w:lang w:eastAsia="zh-CN"/>
              </w:rPr>
              <w:outlineLvl w:val="9"/>
            </w:pPr>
            <w:r>
              <w:rPr>
                <w:rFonts w:hint="eastAsia" w:ascii="宋体" w:hAnsi="宋体" w:eastAsia="宋体" w:cs="宋体"/>
                <w:bCs/>
                <w:color w:val="auto"/>
                <w:sz w:val="21"/>
                <w:szCs w:val="21"/>
                <w:highlight w:val="none"/>
                <w:lang w:eastAsia="zh-CN"/>
              </w:rPr>
              <w:t xml:space="preserve">……</w:t>
            </w:r>
            <w:r/>
          </w:p>
        </w:tc>
        <w:tc>
          <w:tcPr>
            <w:tcW w:w="1226"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947"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1218"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1101"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950"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933"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1065"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r>
      <w:tr>
        <w:trPr>
          <w:jc w:val="center"/>
          <w:trHeight w:val="306"/>
        </w:trPr>
        <w:tc>
          <w:tcPr>
            <w:tcW w:w="506" w:type="dxa"/>
            <w:vAlign w:val="top"/>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Cs/>
                <w:color w:val="auto"/>
                <w:szCs w:val="24"/>
                <w:highlight w:val="none"/>
                <w:lang w:val="en-US" w:eastAsia="zh-CN"/>
              </w:rPr>
              <w:outlineLvl w:val="9"/>
            </w:pPr>
            <w:r>
              <w:rPr>
                <w:rFonts w:hint="eastAsia" w:ascii="宋体" w:hAnsi="宋体" w:eastAsia="宋体" w:cs="宋体"/>
                <w:bCs/>
                <w:color w:val="auto"/>
                <w:szCs w:val="24"/>
                <w:highlight w:val="none"/>
                <w:lang w:val="en-US" w:eastAsia="zh-CN"/>
              </w:rPr>
              <w:t xml:space="preserve">4</w:t>
            </w:r>
            <w:r/>
          </w:p>
        </w:tc>
        <w:tc>
          <w:tcPr>
            <w:tcW w:w="1070"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 w:val="21"/>
                <w:szCs w:val="21"/>
                <w:highlight w:val="none"/>
                <w:lang w:val="en-US" w:eastAsia="zh-CN"/>
              </w:rPr>
              <w:outlineLvl w:val="9"/>
            </w:pPr>
            <w:r>
              <w:rPr>
                <w:rFonts w:hint="eastAsia" w:ascii="宋体" w:hAnsi="宋体" w:eastAsia="宋体" w:cs="宋体"/>
                <w:bCs/>
                <w:color w:val="auto"/>
                <w:sz w:val="21"/>
                <w:szCs w:val="21"/>
                <w:highlight w:val="none"/>
                <w:lang w:eastAsia="zh-CN"/>
              </w:rPr>
              <w:t xml:space="preserve">……</w:t>
            </w:r>
            <w:r/>
          </w:p>
        </w:tc>
        <w:tc>
          <w:tcPr>
            <w:tcW w:w="1226"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947"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1218"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1101"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950"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933"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1065"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r>
      <w:tr>
        <w:trPr>
          <w:jc w:val="center"/>
          <w:trHeight w:val="306"/>
        </w:trPr>
        <w:tc>
          <w:tcPr>
            <w:tcW w:w="506" w:type="dxa"/>
            <w:vAlign w:val="top"/>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Cs/>
                <w:color w:val="auto"/>
                <w:szCs w:val="24"/>
                <w:highlight w:val="none"/>
                <w:lang w:val="en-US" w:eastAsia="zh-CN"/>
              </w:rPr>
              <w:outlineLvl w:val="9"/>
            </w:pPr>
            <w:r>
              <w:rPr>
                <w:rFonts w:hint="eastAsia" w:ascii="宋体" w:hAnsi="宋体" w:eastAsia="宋体" w:cs="宋体"/>
                <w:bCs/>
                <w:color w:val="auto"/>
                <w:szCs w:val="24"/>
                <w:highlight w:val="none"/>
                <w:lang w:val="en-US" w:eastAsia="zh-CN"/>
              </w:rPr>
              <w:t xml:space="preserve">5</w:t>
            </w:r>
            <w:r/>
          </w:p>
        </w:tc>
        <w:tc>
          <w:tcPr>
            <w:tcW w:w="1070"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 w:val="18"/>
                <w:szCs w:val="21"/>
                <w:highlight w:val="none"/>
              </w:rPr>
              <w:outlineLvl w:val="9"/>
            </w:pPr>
            <w:r>
              <w:rPr>
                <w:rFonts w:hint="eastAsia" w:ascii="宋体" w:hAnsi="宋体" w:eastAsia="宋体" w:cs="宋体"/>
                <w:bCs/>
                <w:color w:val="auto"/>
                <w:sz w:val="21"/>
                <w:szCs w:val="21"/>
                <w:highlight w:val="none"/>
                <w:lang w:eastAsia="zh-CN"/>
              </w:rPr>
              <w:t xml:space="preserve">……</w:t>
            </w:r>
            <w:r/>
          </w:p>
        </w:tc>
        <w:tc>
          <w:tcPr>
            <w:tcW w:w="1226"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947"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1218"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1101"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950"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933"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1065"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r>
      <w:tr>
        <w:trPr>
          <w:jc w:val="center"/>
          <w:trHeight w:val="306"/>
        </w:trPr>
        <w:tc>
          <w:tcPr>
            <w:tcW w:w="506" w:type="dxa"/>
            <w:vAlign w:val="top"/>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Cs/>
                <w:color w:val="auto"/>
                <w:szCs w:val="24"/>
                <w:highlight w:val="none"/>
                <w:lang w:val="en-US" w:eastAsia="zh-CN"/>
              </w:rPr>
              <w:outlineLvl w:val="9"/>
            </w:pPr>
            <w:r>
              <w:rPr>
                <w:rFonts w:hint="eastAsia" w:ascii="宋体" w:hAnsi="宋体" w:eastAsia="宋体" w:cs="宋体"/>
                <w:bCs/>
                <w:color w:val="auto"/>
                <w:szCs w:val="24"/>
                <w:highlight w:val="none"/>
                <w:lang w:val="en-US" w:eastAsia="zh-CN"/>
              </w:rPr>
              <w:t xml:space="preserve">6</w:t>
            </w:r>
            <w:r/>
          </w:p>
        </w:tc>
        <w:tc>
          <w:tcPr>
            <w:tcW w:w="1070"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 w:val="18"/>
                <w:szCs w:val="21"/>
                <w:highlight w:val="none"/>
              </w:rPr>
              <w:outlineLvl w:val="9"/>
            </w:pPr>
            <w:r>
              <w:rPr>
                <w:rFonts w:hint="eastAsia" w:ascii="宋体" w:hAnsi="宋体" w:eastAsia="宋体" w:cs="宋体"/>
                <w:bCs/>
                <w:color w:val="auto"/>
                <w:sz w:val="21"/>
                <w:szCs w:val="21"/>
                <w:highlight w:val="none"/>
                <w:lang w:eastAsia="zh-CN"/>
              </w:rPr>
              <w:t xml:space="preserve">……</w:t>
            </w:r>
            <w:r/>
          </w:p>
        </w:tc>
        <w:tc>
          <w:tcPr>
            <w:tcW w:w="1226"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947"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1218"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1101"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950"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933"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1065"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r>
      <w:tr>
        <w:trPr>
          <w:jc w:val="center"/>
          <w:trHeight w:val="345"/>
        </w:trPr>
        <w:tc>
          <w:tcPr>
            <w:tcW w:w="506" w:type="dxa"/>
            <w:vAlign w:val="top"/>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Cs/>
                <w:color w:val="auto"/>
                <w:szCs w:val="24"/>
                <w:highlight w:val="none"/>
                <w:lang w:val="en-US" w:eastAsia="zh-CN"/>
              </w:rPr>
              <w:outlineLvl w:val="9"/>
            </w:pPr>
            <w:r>
              <w:rPr>
                <w:rFonts w:hint="eastAsia" w:ascii="宋体" w:hAnsi="宋体" w:eastAsia="宋体" w:cs="宋体"/>
                <w:bCs/>
                <w:color w:val="auto"/>
                <w:szCs w:val="24"/>
                <w:highlight w:val="none"/>
                <w:lang w:val="en-US" w:eastAsia="zh-CN"/>
              </w:rPr>
              <w:t xml:space="preserve">7</w:t>
            </w:r>
            <w:r/>
          </w:p>
        </w:tc>
        <w:tc>
          <w:tcPr>
            <w:tcW w:w="1070"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 w:val="18"/>
                <w:szCs w:val="21"/>
                <w:highlight w:val="none"/>
              </w:rPr>
              <w:outlineLvl w:val="9"/>
            </w:pPr>
            <w:r>
              <w:rPr>
                <w:rFonts w:hint="eastAsia" w:ascii="宋体" w:hAnsi="宋体" w:eastAsia="宋体" w:cs="宋体"/>
                <w:bCs/>
                <w:color w:val="auto"/>
                <w:sz w:val="24"/>
                <w:szCs w:val="24"/>
                <w:highlight w:val="none"/>
                <w:lang w:eastAsia="zh-CN"/>
              </w:rPr>
              <w:t xml:space="preserve">……</w:t>
            </w:r>
            <w:r/>
          </w:p>
        </w:tc>
        <w:tc>
          <w:tcPr>
            <w:tcW w:w="1226"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947"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1218"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1101"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950"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933"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1065"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r>
      <w:tr>
        <w:trPr>
          <w:jc w:val="center"/>
          <w:trHeight w:val="345"/>
        </w:trPr>
        <w:tc>
          <w:tcPr>
            <w:tcW w:w="506" w:type="dxa"/>
            <w:vAlign w:val="top"/>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Cs/>
                <w:color w:val="auto"/>
                <w:szCs w:val="24"/>
                <w:highlight w:val="none"/>
                <w:lang w:val="en-US" w:eastAsia="zh-CN"/>
              </w:rPr>
              <w:outlineLvl w:val="9"/>
            </w:pPr>
            <w:r>
              <w:rPr>
                <w:rFonts w:hint="eastAsia" w:ascii="宋体" w:hAnsi="宋体" w:eastAsia="宋体" w:cs="宋体"/>
                <w:bCs/>
                <w:color w:val="auto"/>
                <w:szCs w:val="24"/>
                <w:highlight w:val="none"/>
                <w:lang w:val="en-US" w:eastAsia="zh-CN"/>
              </w:rPr>
              <w:t xml:space="preserve">8</w:t>
            </w:r>
            <w:r/>
          </w:p>
        </w:tc>
        <w:tc>
          <w:tcPr>
            <w:tcW w:w="1070"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 w:val="24"/>
                <w:szCs w:val="24"/>
                <w:highlight w:val="none"/>
                <w:lang w:eastAsia="zh-CN"/>
              </w:rPr>
              <w:t xml:space="preserve">……</w:t>
            </w:r>
            <w:r/>
          </w:p>
        </w:tc>
        <w:tc>
          <w:tcPr>
            <w:tcW w:w="1226"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947"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1218"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1101"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950"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933"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1065"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r>
      <w:tr>
        <w:trPr>
          <w:jc w:val="center"/>
          <w:trHeight w:val="345"/>
        </w:trPr>
        <w:tc>
          <w:tcPr>
            <w:tcW w:w="506" w:type="dxa"/>
            <w:vAlign w:val="top"/>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Cs/>
                <w:color w:val="auto"/>
                <w:szCs w:val="24"/>
                <w:highlight w:val="none"/>
                <w:lang w:val="en-US" w:eastAsia="zh-CN"/>
              </w:rPr>
              <w:outlineLvl w:val="9"/>
            </w:pPr>
            <w:r>
              <w:rPr>
                <w:rFonts w:hint="eastAsia" w:ascii="宋体" w:hAnsi="宋体" w:eastAsia="宋体" w:cs="宋体"/>
                <w:bCs/>
                <w:color w:val="auto"/>
                <w:szCs w:val="24"/>
                <w:highlight w:val="none"/>
                <w:lang w:val="en-US" w:eastAsia="zh-CN"/>
              </w:rPr>
              <w:t xml:space="preserve">9</w:t>
            </w:r>
            <w:r/>
          </w:p>
        </w:tc>
        <w:tc>
          <w:tcPr>
            <w:tcW w:w="1070"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 w:val="24"/>
                <w:szCs w:val="24"/>
                <w:highlight w:val="none"/>
                <w:lang w:eastAsia="zh-CN"/>
              </w:rPr>
              <w:t xml:space="preserve">……</w:t>
            </w:r>
            <w:r/>
          </w:p>
        </w:tc>
        <w:tc>
          <w:tcPr>
            <w:tcW w:w="1226"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947"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1218"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1101"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950"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933"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1065"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r>
      <w:tr>
        <w:trPr>
          <w:jc w:val="center"/>
          <w:trHeight w:val="345"/>
        </w:trPr>
        <w:tc>
          <w:tcPr>
            <w:tcW w:w="506" w:type="dxa"/>
            <w:vAlign w:val="top"/>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Cs/>
                <w:color w:val="auto"/>
                <w:szCs w:val="24"/>
                <w:highlight w:val="none"/>
                <w:lang w:val="en-US" w:eastAsia="zh-CN"/>
              </w:rPr>
              <w:outlineLvl w:val="9"/>
            </w:pPr>
            <w:r>
              <w:rPr>
                <w:rFonts w:hint="eastAsia" w:ascii="宋体" w:hAnsi="宋体" w:eastAsia="宋体" w:cs="宋体"/>
                <w:bCs/>
                <w:color w:val="auto"/>
                <w:szCs w:val="24"/>
                <w:highlight w:val="none"/>
                <w:lang w:val="en-US" w:eastAsia="zh-CN"/>
              </w:rPr>
              <w:t xml:space="preserve">10</w:t>
            </w:r>
            <w:r/>
          </w:p>
        </w:tc>
        <w:tc>
          <w:tcPr>
            <w:tcW w:w="1070"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 w:val="24"/>
                <w:szCs w:val="24"/>
                <w:highlight w:val="none"/>
                <w:lang w:eastAsia="zh-CN"/>
              </w:rPr>
              <w:t xml:space="preserve">……</w:t>
            </w:r>
            <w:r/>
          </w:p>
        </w:tc>
        <w:tc>
          <w:tcPr>
            <w:tcW w:w="1226"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947"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1218"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1101"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950"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933"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1065"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r>
      <w:tr>
        <w:trPr>
          <w:jc w:val="center"/>
          <w:trHeight w:val="345"/>
        </w:trPr>
        <w:tc>
          <w:tcPr>
            <w:tcW w:w="506" w:type="dxa"/>
            <w:vAlign w:val="top"/>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Cs/>
                <w:color w:val="auto"/>
                <w:szCs w:val="24"/>
                <w:highlight w:val="none"/>
                <w:lang w:val="en-US" w:eastAsia="zh-CN"/>
              </w:rPr>
              <w:outlineLvl w:val="9"/>
            </w:pPr>
            <w:r>
              <w:rPr>
                <w:rFonts w:hint="eastAsia" w:ascii="宋体" w:hAnsi="宋体" w:eastAsia="宋体" w:cs="宋体"/>
                <w:bCs/>
                <w:color w:val="auto"/>
                <w:szCs w:val="24"/>
                <w:highlight w:val="none"/>
                <w:lang w:val="en-US" w:eastAsia="zh-CN"/>
              </w:rPr>
              <w:t xml:space="preserve">11</w:t>
            </w:r>
            <w:r/>
          </w:p>
        </w:tc>
        <w:tc>
          <w:tcPr>
            <w:tcW w:w="1070"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 w:val="24"/>
                <w:szCs w:val="24"/>
                <w:highlight w:val="none"/>
                <w:lang w:eastAsia="zh-CN"/>
              </w:rPr>
              <w:t xml:space="preserve">……</w:t>
            </w:r>
            <w:r/>
          </w:p>
        </w:tc>
        <w:tc>
          <w:tcPr>
            <w:tcW w:w="1226"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947"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1218"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1101"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950"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933"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1065"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r>
      <w:tr>
        <w:trPr>
          <w:jc w:val="center"/>
          <w:trHeight w:val="659"/>
        </w:trPr>
        <w:tc>
          <w:tcPr>
            <w:tcW w:w="506" w:type="dxa"/>
            <w:vAlign w:val="top"/>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 w:val="24"/>
                <w:szCs w:val="24"/>
                <w:highlight w:val="none"/>
                <w:lang w:eastAsia="zh-CN"/>
              </w:rPr>
              <w:t xml:space="preserve">……</w:t>
            </w:r>
            <w:r/>
          </w:p>
        </w:tc>
        <w:tc>
          <w:tcPr>
            <w:tcW w:w="1070"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 w:val="24"/>
                <w:szCs w:val="24"/>
                <w:highlight w:val="none"/>
                <w:lang w:eastAsia="zh-CN"/>
              </w:rPr>
              <w:t xml:space="preserve">……</w:t>
            </w:r>
            <w:r/>
          </w:p>
        </w:tc>
        <w:tc>
          <w:tcPr>
            <w:tcW w:w="1226"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947"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1218"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1101"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950"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933"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1065"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r>
      <w:tr>
        <w:trPr>
          <w:jc w:val="center"/>
          <w:trHeight w:val="720"/>
        </w:trPr>
        <w:tc>
          <w:tcPr>
            <w:tcW w:w="506" w:type="dxa"/>
            <w:vAlign w:val="top"/>
            <w:textDirection w:val="lrTb"/>
            <w:noWrap w:val="false"/>
          </w:tcPr>
          <w:p>
            <w:pPr>
              <w:ind w:firstLine="0"/>
              <w:jc w:val="center"/>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 w:val="24"/>
                <w:szCs w:val="24"/>
                <w:highlight w:val="none"/>
                <w:lang w:eastAsia="zh-CN"/>
              </w:rPr>
              <w:t xml:space="preserve">……</w:t>
            </w:r>
            <w:r/>
          </w:p>
        </w:tc>
        <w:tc>
          <w:tcPr>
            <w:tcW w:w="1070"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 w:val="24"/>
                <w:szCs w:val="24"/>
                <w:highlight w:val="none"/>
                <w:lang w:eastAsia="zh-CN"/>
              </w:rPr>
              <w:t xml:space="preserve">……</w:t>
            </w:r>
            <w:r/>
          </w:p>
        </w:tc>
        <w:tc>
          <w:tcPr>
            <w:tcW w:w="1226"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947"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1218"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1101"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950"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933"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c>
          <w:tcPr>
            <w:tcW w:w="1065" w:type="dxa"/>
            <w:vAlign w:val="top"/>
            <w:textDirection w:val="lrTb"/>
            <w:noWrap w:val="false"/>
          </w:tcPr>
          <w:p>
            <w:pPr>
              <w:ind w:firstLine="0"/>
              <w:jc w:val="left"/>
              <w:keepLines w:val="0"/>
              <w:keepNext w:val="0"/>
              <w:pageBreakBefore w:val="0"/>
              <w:spacing w:line="240" w:lineRule="auto"/>
              <w:widowControl w:val="off"/>
              <w:rPr>
                <w:rFonts w:hint="eastAsia" w:ascii="宋体" w:hAnsi="宋体" w:eastAsia="宋体" w:cs="宋体"/>
                <w:bCs/>
                <w:color w:val="auto"/>
                <w:szCs w:val="24"/>
                <w:highlight w:val="none"/>
              </w:rPr>
              <w:outlineLvl w:val="9"/>
            </w:pPr>
            <w:r>
              <w:rPr>
                <w:rFonts w:hint="eastAsia" w:ascii="宋体" w:hAnsi="宋体" w:eastAsia="宋体" w:cs="宋体"/>
                <w:bCs/>
                <w:color w:val="auto"/>
                <w:szCs w:val="24"/>
                <w:highlight w:val="none"/>
              </w:rPr>
            </w:r>
            <w:r/>
          </w:p>
        </w:tc>
      </w:tr>
    </w:tbl>
    <w:p>
      <w:pPr>
        <w:ind w:firstLine="420"/>
        <w:jc w:val="both"/>
        <w:rPr>
          <w:rFonts w:hint="eastAsia" w:ascii="宋体" w:hAnsi="宋体" w:eastAsia="宋体" w:cs="宋体"/>
          <w:color w:val="auto"/>
          <w:sz w:val="34"/>
          <w:szCs w:val="20"/>
          <w:highlight w:val="none"/>
        </w:rPr>
        <w:outlineLvl w:val="9"/>
      </w:pPr>
      <w:r>
        <w:rPr>
          <w:rFonts w:hint="eastAsia" w:ascii="宋体" w:hAnsi="宋体" w:eastAsia="宋体" w:cs="宋体"/>
          <w:color w:val="auto"/>
          <w:sz w:val="34"/>
          <w:szCs w:val="20"/>
          <w:highlight w:val="none"/>
        </w:rPr>
      </w:r>
      <w:r/>
    </w:p>
    <w:p>
      <w:pPr>
        <w:pStyle w:val="912"/>
        <w:shd w:val="clear" w:color="auto"/>
        <w:rPr>
          <w:rFonts w:hint="eastAsia" w:ascii="宋体" w:hAnsi="宋体" w:eastAsia="宋体" w:cs="宋体"/>
          <w:color w:val="auto"/>
          <w:highlight w:val="none"/>
        </w:rPr>
        <w:outlineLvl w:val="9"/>
      </w:pPr>
      <w:r>
        <w:rPr>
          <w:rFonts w:hint="eastAsia" w:ascii="宋体" w:hAnsi="宋体" w:eastAsia="宋体" w:cs="宋体"/>
          <w:color w:val="auto"/>
          <w:sz w:val="24"/>
          <w:szCs w:val="24"/>
          <w:highlight w:val="none"/>
        </w:rPr>
        <w:t xml:space="preserve">注：“拟投入车辆及设备一览表”中所提供的车辆设备需提供相关证明</w:t>
      </w:r>
      <w:r>
        <w:rPr>
          <w:rFonts w:hint="eastAsia" w:ascii="宋体" w:hAnsi="宋体" w:eastAsia="宋体" w:cs="宋体"/>
          <w:color w:val="auto"/>
          <w:sz w:val="24"/>
          <w:szCs w:val="24"/>
          <w:highlight w:val="none"/>
          <w:lang w:val="en-US" w:eastAsia="zh-CN"/>
        </w:rPr>
        <w:t xml:space="preserve">原件扫描件</w:t>
      </w:r>
      <w:r>
        <w:rPr>
          <w:rFonts w:hint="eastAsia" w:ascii="宋体" w:hAnsi="宋体" w:eastAsia="宋体" w:cs="宋体"/>
          <w:color w:val="auto"/>
          <w:sz w:val="24"/>
          <w:szCs w:val="24"/>
          <w:highlight w:val="none"/>
        </w:rPr>
        <w:t xml:space="preserve">加盖公章</w:t>
      </w:r>
      <w:r>
        <w:rPr>
          <w:rFonts w:hint="eastAsia" w:ascii="宋体" w:hAnsi="宋体" w:eastAsia="宋体" w:cs="宋体"/>
          <w:bCs/>
          <w:color w:val="auto"/>
          <w:sz w:val="24"/>
          <w:szCs w:val="20"/>
          <w:highlight w:val="none"/>
        </w:rPr>
        <w:t xml:space="preserve">，相关证明文件详见招标文件要求。</w:t>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ind w:left="0" w:firstLine="0"/>
        <w:jc w:val="left"/>
        <w:shd w:val="clear" w:color="auto"/>
        <w:rPr>
          <w:rFonts w:hint="eastAsia" w:ascii="宋体" w:hAnsi="宋体" w:eastAsia="宋体" w:cs="宋体"/>
          <w:b/>
          <w:bCs/>
          <w:color w:val="auto"/>
          <w:sz w:val="28"/>
          <w:szCs w:val="28"/>
          <w:highlight w:val="none"/>
        </w:rPr>
        <w:outlineLvl w:val="0"/>
      </w:pPr>
      <w:r>
        <w:rPr>
          <w:rFonts w:hint="eastAsia" w:ascii="宋体" w:hAnsi="宋体" w:eastAsia="宋体" w:cs="宋体"/>
          <w:b/>
          <w:bCs/>
          <w:color w:val="auto"/>
          <w:sz w:val="28"/>
          <w:szCs w:val="28"/>
          <w:highlight w:val="none"/>
        </w:rPr>
        <w:t xml:space="preserve">（</w:t>
      </w:r>
      <w:r>
        <w:rPr>
          <w:rFonts w:hint="eastAsia" w:ascii="宋体" w:hAnsi="宋体" w:eastAsia="宋体" w:cs="宋体"/>
          <w:b/>
          <w:bCs/>
          <w:color w:val="auto"/>
          <w:sz w:val="28"/>
          <w:szCs w:val="28"/>
          <w:highlight w:val="none"/>
          <w:lang w:val="en-US" w:eastAsia="zh-CN"/>
        </w:rPr>
        <w:t xml:space="preserve">九</w:t>
      </w:r>
      <w:r>
        <w:rPr>
          <w:rFonts w:hint="eastAsia" w:ascii="宋体" w:hAnsi="宋体" w:eastAsia="宋体" w:cs="宋体"/>
          <w:b/>
          <w:bCs/>
          <w:color w:val="auto"/>
          <w:sz w:val="28"/>
          <w:szCs w:val="28"/>
          <w:highlight w:val="none"/>
        </w:rPr>
        <w:t xml:space="preserve">）投标供应商简介和经营情况说明</w:t>
      </w:r>
      <w:r>
        <w:rPr>
          <w:rFonts w:hint="eastAsia" w:ascii="宋体" w:hAnsi="宋体" w:eastAsia="宋体" w:cs="宋体"/>
          <w:b/>
          <w:bCs/>
          <w:color w:val="auto"/>
          <w:sz w:val="28"/>
          <w:szCs w:val="28"/>
          <w:highlight w:val="none"/>
          <w:lang w:eastAsia="zh-CN"/>
        </w:rPr>
        <w:t xml:space="preserve">表</w:t>
      </w:r>
      <w:r>
        <w:rPr>
          <w:rFonts w:hint="eastAsia" w:ascii="宋体" w:hAnsi="宋体" w:eastAsia="宋体" w:cs="宋体"/>
          <w:b/>
          <w:bCs/>
          <w:color w:val="auto"/>
          <w:sz w:val="28"/>
          <w:szCs w:val="28"/>
          <w:highlight w:val="none"/>
        </w:rPr>
        <w:t xml:space="preserve">（格式）</w:t>
      </w:r>
      <w:r/>
    </w:p>
    <w:p>
      <w:pPr>
        <w:pStyle w:val="936"/>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shd w:val="clear" w:color="auto"/>
        <w:rPr>
          <w:rFonts w:hint="eastAsia" w:ascii="宋体" w:hAnsi="宋体" w:eastAsia="宋体" w:cs="宋体"/>
          <w:b/>
          <w:bCs/>
          <w:color w:val="auto"/>
          <w:sz w:val="28"/>
          <w:szCs w:val="28"/>
          <w:highlight w:val="none"/>
          <w:lang w:eastAsia="zh-CN"/>
        </w:rPr>
      </w:pPr>
      <w:r>
        <w:rPr>
          <w:rFonts w:hint="eastAsia" w:ascii="宋体" w:hAnsi="宋体" w:eastAsia="宋体" w:cs="宋体"/>
          <w:b/>
          <w:bCs/>
          <w:color w:val="auto"/>
          <w:sz w:val="28"/>
          <w:szCs w:val="28"/>
          <w:highlight w:val="none"/>
          <w:lang w:eastAsia="zh-CN"/>
        </w:rPr>
        <w:t xml:space="preserve">投标供应商简介和经营情况说明表</w:t>
      </w:r>
      <w:r/>
    </w:p>
    <w:p>
      <w:pPr>
        <w:jc w:val="center"/>
        <w:spacing w:line="360" w:lineRule="auto"/>
        <w:shd w:val="clear" w:color="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（内容写不完的栏目可相应扩展）</w:t>
      </w:r>
      <w:r/>
    </w:p>
    <w:p>
      <w:pPr>
        <w:ind w:firstLine="480"/>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单位名称（盖章）</w:t>
      </w:r>
      <w:r/>
    </w:p>
    <w:tbl>
      <w:tblPr>
        <w:tblStyle w:val="704"/>
        <w:tblW w:w="9478" w:type="dxa"/>
        <w:tblInd w:w="108"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861"/>
        <w:gridCol w:w="1885"/>
        <w:gridCol w:w="2131"/>
        <w:gridCol w:w="2601"/>
      </w:tblGrid>
      <w:tr>
        <w:trPr/>
        <w:tc>
          <w:tcPr>
            <w:tcBorders>
              <w:top w:val="single" w:color="auto" w:sz="6" w:space="0"/>
              <w:bottom w:val="single" w:color="auto" w:sz="6" w:space="0"/>
              <w:right w:val="single" w:color="auto" w:sz="6" w:space="0"/>
            </w:tcBorders>
            <w:tcW w:w="2861" w:type="dxa"/>
            <w:vAlign w:val="top"/>
            <w:textDirection w:val="lrTb"/>
            <w:noWrap w:val="false"/>
          </w:tcPr>
          <w:p>
            <w:pPr>
              <w:ind w:firstLine="480"/>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法定代表人</w:t>
            </w:r>
            <w:r/>
          </w:p>
        </w:tc>
        <w:tc>
          <w:tcPr>
            <w:tcBorders>
              <w:top w:val="single" w:color="auto" w:sz="6" w:space="0"/>
              <w:left w:val="single" w:color="auto" w:sz="6" w:space="0"/>
              <w:bottom w:val="single" w:color="auto" w:sz="6" w:space="0"/>
              <w:right w:val="single" w:color="auto" w:sz="6" w:space="0"/>
            </w:tcBorders>
            <w:tcW w:w="1885" w:type="dxa"/>
            <w:vAlign w:val="top"/>
            <w:textDirection w:val="lrTb"/>
            <w:noWrap w:val="false"/>
          </w:tcPr>
          <w:p>
            <w:pPr>
              <w:ind w:firstLine="480"/>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auto" w:sz="6" w:space="0"/>
              <w:left w:val="single" w:color="auto" w:sz="6" w:space="0"/>
              <w:bottom w:val="single" w:color="auto" w:sz="6" w:space="0"/>
              <w:right w:val="single" w:color="auto" w:sz="6" w:space="0"/>
            </w:tcBorders>
            <w:tcW w:w="2131" w:type="dxa"/>
            <w:vAlign w:val="top"/>
            <w:textDirection w:val="lrTb"/>
            <w:noWrap w:val="false"/>
          </w:tcPr>
          <w:p>
            <w:pPr>
              <w:ind w:firstLine="480"/>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成立日期</w:t>
            </w:r>
            <w:r/>
          </w:p>
        </w:tc>
        <w:tc>
          <w:tcPr>
            <w:tcBorders>
              <w:top w:val="single" w:color="auto" w:sz="6" w:space="0"/>
              <w:left w:val="single" w:color="auto" w:sz="6" w:space="0"/>
              <w:bottom w:val="single" w:color="auto" w:sz="6" w:space="0"/>
            </w:tcBorders>
            <w:tcW w:w="2601" w:type="dxa"/>
            <w:vAlign w:val="top"/>
            <w:textDirection w:val="lrTb"/>
            <w:noWrap w:val="false"/>
          </w:tcPr>
          <w:p>
            <w:pPr>
              <w:ind w:firstLine="480"/>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r>
            <w:r/>
          </w:p>
        </w:tc>
      </w:tr>
      <w:tr>
        <w:trPr/>
        <w:tc>
          <w:tcPr>
            <w:tcBorders>
              <w:top w:val="single" w:color="auto" w:sz="6" w:space="0"/>
              <w:bottom w:val="single" w:color="auto" w:sz="6" w:space="0"/>
              <w:right w:val="single" w:color="auto" w:sz="6" w:space="0"/>
            </w:tcBorders>
            <w:tcW w:w="2861" w:type="dxa"/>
            <w:vAlign w:val="top"/>
            <w:textDirection w:val="lrTb"/>
            <w:noWrap w:val="false"/>
          </w:tcPr>
          <w:p>
            <w:pPr>
              <w:ind w:firstLine="480"/>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企业地址</w:t>
            </w:r>
            <w:r/>
          </w:p>
        </w:tc>
        <w:tc>
          <w:tcPr>
            <w:tcBorders>
              <w:top w:val="single" w:color="auto" w:sz="6" w:space="0"/>
              <w:left w:val="single" w:color="auto" w:sz="6" w:space="0"/>
              <w:bottom w:val="single" w:color="auto" w:sz="6" w:space="0"/>
              <w:right w:val="single" w:color="auto" w:sz="6" w:space="0"/>
            </w:tcBorders>
            <w:tcW w:w="1885" w:type="dxa"/>
            <w:vAlign w:val="top"/>
            <w:textDirection w:val="lrTb"/>
            <w:noWrap w:val="false"/>
          </w:tcPr>
          <w:p>
            <w:pPr>
              <w:ind w:firstLine="480"/>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auto" w:sz="6" w:space="0"/>
              <w:left w:val="single" w:color="auto" w:sz="6" w:space="0"/>
              <w:bottom w:val="single" w:color="auto" w:sz="6" w:space="0"/>
              <w:right w:val="single" w:color="auto" w:sz="6" w:space="0"/>
            </w:tcBorders>
            <w:tcW w:w="2131" w:type="dxa"/>
            <w:vAlign w:val="top"/>
            <w:textDirection w:val="lrTb"/>
            <w:noWrap w:val="false"/>
          </w:tcPr>
          <w:p>
            <w:pPr>
              <w:ind w:firstLine="480"/>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注册资本</w:t>
            </w:r>
            <w:r/>
          </w:p>
        </w:tc>
        <w:tc>
          <w:tcPr>
            <w:tcBorders>
              <w:top w:val="single" w:color="auto" w:sz="6" w:space="0"/>
              <w:left w:val="single" w:color="auto" w:sz="6" w:space="0"/>
              <w:bottom w:val="single" w:color="auto" w:sz="6" w:space="0"/>
            </w:tcBorders>
            <w:tcW w:w="2601" w:type="dxa"/>
            <w:vAlign w:val="top"/>
            <w:textDirection w:val="lrTb"/>
            <w:noWrap w:val="false"/>
          </w:tcPr>
          <w:p>
            <w:pPr>
              <w:ind w:firstLine="735"/>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万元</w:t>
            </w:r>
            <w:r/>
          </w:p>
        </w:tc>
      </w:tr>
      <w:tr>
        <w:trPr/>
        <w:tc>
          <w:tcPr>
            <w:tcBorders>
              <w:top w:val="single" w:color="auto" w:sz="6" w:space="0"/>
              <w:bottom w:val="single" w:color="auto" w:sz="6" w:space="0"/>
              <w:right w:val="single" w:color="auto" w:sz="6" w:space="0"/>
            </w:tcBorders>
            <w:tcW w:w="2861" w:type="dxa"/>
            <w:vAlign w:val="top"/>
            <w:textDirection w:val="lrTb"/>
            <w:noWrap w:val="false"/>
          </w:tcPr>
          <w:p>
            <w:pPr>
              <w:ind w:firstLine="480"/>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经营范围</w:t>
            </w:r>
            <w:r/>
          </w:p>
        </w:tc>
        <w:tc>
          <w:tcPr>
            <w:gridSpan w:val="3"/>
            <w:tcBorders>
              <w:top w:val="single" w:color="auto" w:sz="6" w:space="0"/>
              <w:left w:val="single" w:color="auto" w:sz="6" w:space="0"/>
              <w:bottom w:val="single" w:color="auto" w:sz="6" w:space="0"/>
            </w:tcBorders>
            <w:tcW w:w="6617" w:type="dxa"/>
            <w:vAlign w:val="top"/>
            <w:textDirection w:val="lrTb"/>
            <w:noWrap w:val="false"/>
          </w:tcPr>
          <w:p>
            <w:pPr>
              <w:ind w:firstLine="480"/>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r>
            <w:r/>
          </w:p>
        </w:tc>
      </w:tr>
      <w:tr>
        <w:trPr/>
        <w:tc>
          <w:tcPr>
            <w:tcBorders>
              <w:top w:val="single" w:color="auto" w:sz="6" w:space="0"/>
              <w:bottom w:val="single" w:color="auto" w:sz="6" w:space="0"/>
              <w:right w:val="single" w:color="auto" w:sz="6" w:space="0"/>
            </w:tcBorders>
            <w:tcW w:w="2861" w:type="dxa"/>
            <w:vAlign w:val="top"/>
            <w:textDirection w:val="lrTb"/>
            <w:noWrap w:val="false"/>
          </w:tcPr>
          <w:p>
            <w:pPr>
              <w:ind w:firstLine="480"/>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职工人数</w:t>
            </w:r>
            <w:r/>
          </w:p>
        </w:tc>
        <w:tc>
          <w:tcPr>
            <w:tcBorders>
              <w:top w:val="single" w:color="auto" w:sz="6" w:space="0"/>
              <w:left w:val="single" w:color="auto" w:sz="6" w:space="0"/>
              <w:bottom w:val="single" w:color="auto" w:sz="6" w:space="0"/>
              <w:right w:val="single" w:color="auto" w:sz="6" w:space="0"/>
            </w:tcBorders>
            <w:tcW w:w="1885" w:type="dxa"/>
            <w:vAlign w:val="top"/>
            <w:textDirection w:val="lrTb"/>
            <w:noWrap w:val="false"/>
          </w:tcPr>
          <w:p>
            <w:pPr>
              <w:ind w:firstLine="480"/>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gridSpan w:val="2"/>
            <w:tcBorders>
              <w:top w:val="single" w:color="auto" w:sz="6" w:space="0"/>
              <w:left w:val="single" w:color="auto" w:sz="6" w:space="0"/>
              <w:bottom w:val="single" w:color="auto" w:sz="6" w:space="0"/>
            </w:tcBorders>
            <w:tcW w:w="4732" w:type="dxa"/>
            <w:vAlign w:val="top"/>
            <w:textDirection w:val="lrTb"/>
            <w:noWrap w:val="false"/>
          </w:tcPr>
          <w:p>
            <w:pPr>
              <w:ind w:firstLine="480"/>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其中：</w:t>
            </w:r>
            <w:r/>
          </w:p>
          <w:p>
            <w:pPr>
              <w:ind w:left="899" w:hanging="420"/>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中级职称</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rPr>
              <w:t xml:space="preserve">人数、</w:t>
            </w:r>
            <w:r/>
          </w:p>
          <w:p>
            <w:pPr>
              <w:ind w:left="899" w:hanging="420"/>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高级职称</w:t>
            </w:r>
            <w:r>
              <w:rPr>
                <w:rFonts w:hint="eastAsia" w:ascii="宋体" w:hAnsi="宋体" w:eastAsia="宋体" w:cs="宋体"/>
                <w:bCs/>
                <w:color w:val="auto"/>
                <w:highlight w:val="none"/>
                <w:u w:val="single"/>
              </w:rPr>
              <w:t xml:space="preserve">     </w:t>
            </w:r>
            <w:r>
              <w:rPr>
                <w:rFonts w:hint="eastAsia" w:ascii="宋体" w:hAnsi="宋体" w:eastAsia="宋体" w:cs="宋体"/>
                <w:bCs/>
                <w:color w:val="auto"/>
                <w:highlight w:val="none"/>
              </w:rPr>
              <w:t xml:space="preserve">人数</w:t>
            </w:r>
            <w:r/>
          </w:p>
        </w:tc>
      </w:tr>
      <w:tr>
        <w:trPr>
          <w:trHeight w:val="566"/>
        </w:trPr>
        <w:tc>
          <w:tcPr>
            <w:tcBorders>
              <w:top w:val="single" w:color="auto" w:sz="6" w:space="0"/>
              <w:bottom w:val="single" w:color="auto" w:sz="6" w:space="0"/>
              <w:right w:val="single" w:color="auto" w:sz="6" w:space="0"/>
            </w:tcBorders>
            <w:tcW w:w="2861" w:type="dxa"/>
            <w:vAlign w:val="top"/>
            <w:textDirection w:val="lrTb"/>
            <w:noWrap w:val="false"/>
          </w:tcPr>
          <w:p>
            <w:pPr>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lang w:val="en-US" w:eastAsia="zh-CN"/>
              </w:rPr>
              <w:t xml:space="preserve">2024</w:t>
            </w:r>
            <w:r>
              <w:rPr>
                <w:rFonts w:hint="eastAsia" w:ascii="宋体" w:hAnsi="宋体" w:eastAsia="宋体" w:cs="宋体"/>
                <w:bCs/>
                <w:color w:val="auto"/>
                <w:highlight w:val="none"/>
              </w:rPr>
              <w:t xml:space="preserve">年12月资产总额</w:t>
            </w:r>
            <w:r/>
          </w:p>
        </w:tc>
        <w:tc>
          <w:tcPr>
            <w:tcBorders>
              <w:top w:val="single" w:color="auto" w:sz="6" w:space="0"/>
              <w:left w:val="single" w:color="auto" w:sz="6" w:space="0"/>
              <w:bottom w:val="single" w:color="auto" w:sz="6" w:space="0"/>
              <w:right w:val="single" w:color="auto" w:sz="6" w:space="0"/>
            </w:tcBorders>
            <w:tcW w:w="1885" w:type="dxa"/>
            <w:vAlign w:val="top"/>
            <w:textDirection w:val="lrTb"/>
            <w:noWrap w:val="false"/>
          </w:tcPr>
          <w:p>
            <w:pPr>
              <w:ind w:firstLine="480"/>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     万元</w:t>
            </w:r>
            <w:r/>
          </w:p>
        </w:tc>
        <w:tc>
          <w:tcPr>
            <w:tcBorders>
              <w:top w:val="single" w:color="auto" w:sz="6" w:space="0"/>
              <w:left w:val="single" w:color="auto" w:sz="6" w:space="0"/>
              <w:bottom w:val="single" w:color="auto" w:sz="6" w:space="0"/>
              <w:right w:val="single" w:color="auto" w:sz="6" w:space="0"/>
            </w:tcBorders>
            <w:tcW w:w="2131" w:type="dxa"/>
            <w:vAlign w:val="top"/>
            <w:textDirection w:val="lrTb"/>
            <w:noWrap w:val="false"/>
          </w:tcPr>
          <w:p>
            <w:pPr>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净资产</w:t>
            </w:r>
            <w:r/>
          </w:p>
        </w:tc>
        <w:tc>
          <w:tcPr>
            <w:tcBorders>
              <w:top w:val="single" w:color="auto" w:sz="6" w:space="0"/>
              <w:left w:val="single" w:color="auto" w:sz="6" w:space="0"/>
              <w:bottom w:val="single" w:color="auto" w:sz="6" w:space="0"/>
            </w:tcBorders>
            <w:tcW w:w="2601" w:type="dxa"/>
            <w:vAlign w:val="top"/>
            <w:textDirection w:val="lrTb"/>
            <w:noWrap w:val="false"/>
          </w:tcPr>
          <w:p>
            <w:pPr>
              <w:ind w:firstLine="480"/>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         万元</w:t>
            </w:r>
            <w:r/>
          </w:p>
        </w:tc>
      </w:tr>
      <w:tr>
        <w:trPr/>
        <w:tc>
          <w:tcPr>
            <w:tcBorders>
              <w:top w:val="single" w:color="auto" w:sz="6" w:space="0"/>
              <w:bottom w:val="single" w:color="auto" w:sz="6" w:space="0"/>
              <w:right w:val="single" w:color="auto" w:sz="6" w:space="0"/>
            </w:tcBorders>
            <w:tcW w:w="2861" w:type="dxa"/>
            <w:vAlign w:val="top"/>
            <w:textDirection w:val="lrTb"/>
            <w:noWrap w:val="false"/>
          </w:tcPr>
          <w:p>
            <w:pPr>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lang w:val="en-US" w:eastAsia="zh-CN"/>
              </w:rPr>
              <w:t xml:space="preserve">2024</w:t>
            </w:r>
            <w:r>
              <w:rPr>
                <w:rFonts w:hint="eastAsia" w:ascii="宋体" w:hAnsi="宋体" w:eastAsia="宋体" w:cs="宋体"/>
                <w:bCs/>
                <w:color w:val="auto"/>
                <w:highlight w:val="none"/>
              </w:rPr>
              <w:t xml:space="preserve">年12月股东权益</w:t>
            </w:r>
            <w:r/>
          </w:p>
        </w:tc>
        <w:tc>
          <w:tcPr>
            <w:tcBorders>
              <w:top w:val="single" w:color="auto" w:sz="6" w:space="0"/>
              <w:left w:val="single" w:color="auto" w:sz="6" w:space="0"/>
              <w:bottom w:val="single" w:color="auto" w:sz="6" w:space="0"/>
              <w:right w:val="single" w:color="auto" w:sz="6" w:space="0"/>
            </w:tcBorders>
            <w:tcW w:w="1885" w:type="dxa"/>
            <w:vAlign w:val="top"/>
            <w:textDirection w:val="lrTb"/>
            <w:noWrap w:val="false"/>
          </w:tcPr>
          <w:p>
            <w:pPr>
              <w:ind w:firstLine="480"/>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     万元</w:t>
            </w:r>
            <w:r/>
          </w:p>
        </w:tc>
        <w:tc>
          <w:tcPr>
            <w:tcBorders>
              <w:top w:val="single" w:color="auto" w:sz="6" w:space="0"/>
              <w:left w:val="single" w:color="auto" w:sz="6" w:space="0"/>
              <w:bottom w:val="single" w:color="auto" w:sz="6" w:space="0"/>
              <w:right w:val="single" w:color="auto" w:sz="6" w:space="0"/>
            </w:tcBorders>
            <w:tcW w:w="2131" w:type="dxa"/>
            <w:vAlign w:val="top"/>
            <w:textDirection w:val="lrTb"/>
            <w:noWrap w:val="false"/>
          </w:tcPr>
          <w:p>
            <w:pPr>
              <w:ind w:left="0" w:firstLine="210"/>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lang w:val="en-US" w:eastAsia="zh-CN"/>
              </w:rPr>
              <w:t xml:space="preserve">2024</w:t>
            </w:r>
            <w:r>
              <w:rPr>
                <w:rFonts w:hint="eastAsia" w:ascii="宋体" w:hAnsi="宋体" w:eastAsia="宋体" w:cs="宋体"/>
                <w:bCs/>
                <w:color w:val="auto"/>
                <w:highlight w:val="none"/>
              </w:rPr>
              <w:t xml:space="preserve">年业务收入</w:t>
            </w:r>
            <w:r/>
          </w:p>
        </w:tc>
        <w:tc>
          <w:tcPr>
            <w:tcBorders>
              <w:top w:val="single" w:color="auto" w:sz="6" w:space="0"/>
              <w:left w:val="single" w:color="auto" w:sz="6" w:space="0"/>
              <w:bottom w:val="single" w:color="auto" w:sz="6" w:space="0"/>
            </w:tcBorders>
            <w:tcW w:w="2601" w:type="dxa"/>
            <w:vAlign w:val="top"/>
            <w:textDirection w:val="lrTb"/>
            <w:noWrap w:val="false"/>
          </w:tcPr>
          <w:p>
            <w:pPr>
              <w:ind w:firstLine="480"/>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         万元</w:t>
            </w:r>
            <w:r/>
          </w:p>
        </w:tc>
      </w:tr>
      <w:tr>
        <w:trPr/>
        <w:tc>
          <w:tcPr>
            <w:tcBorders>
              <w:top w:val="single" w:color="auto" w:sz="6" w:space="0"/>
              <w:bottom w:val="single" w:color="auto" w:sz="6" w:space="0"/>
              <w:right w:val="single" w:color="auto" w:sz="6" w:space="0"/>
            </w:tcBorders>
            <w:tcW w:w="2861" w:type="dxa"/>
            <w:vAlign w:val="top"/>
            <w:textDirection w:val="lrTb"/>
            <w:noWrap w:val="false"/>
          </w:tcPr>
          <w:p>
            <w:pPr>
              <w:ind w:firstLine="480"/>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lang w:val="en-US" w:eastAsia="zh-CN"/>
              </w:rPr>
              <w:t xml:space="preserve">2024</w:t>
            </w:r>
            <w:r>
              <w:rPr>
                <w:rFonts w:hint="eastAsia" w:ascii="宋体" w:hAnsi="宋体" w:eastAsia="宋体" w:cs="宋体"/>
                <w:bCs/>
                <w:color w:val="auto"/>
                <w:highlight w:val="none"/>
              </w:rPr>
              <w:t xml:space="preserve">年实现利润</w:t>
            </w:r>
            <w:r/>
          </w:p>
        </w:tc>
        <w:tc>
          <w:tcPr>
            <w:tcBorders>
              <w:top w:val="single" w:color="auto" w:sz="6" w:space="0"/>
              <w:left w:val="single" w:color="auto" w:sz="6" w:space="0"/>
              <w:bottom w:val="single" w:color="auto" w:sz="6" w:space="0"/>
              <w:right w:val="single" w:color="auto" w:sz="6" w:space="0"/>
            </w:tcBorders>
            <w:tcW w:w="1885" w:type="dxa"/>
            <w:vAlign w:val="top"/>
            <w:textDirection w:val="lrTb"/>
            <w:noWrap w:val="false"/>
          </w:tcPr>
          <w:p>
            <w:pPr>
              <w:ind w:firstLine="945"/>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 万元</w:t>
            </w:r>
            <w:r/>
          </w:p>
        </w:tc>
        <w:tc>
          <w:tcPr>
            <w:tcBorders>
              <w:top w:val="single" w:color="auto" w:sz="6" w:space="0"/>
              <w:left w:val="single" w:color="auto" w:sz="6" w:space="0"/>
              <w:bottom w:val="single" w:color="auto" w:sz="6" w:space="0"/>
              <w:right w:val="single" w:color="auto" w:sz="6" w:space="0"/>
            </w:tcBorders>
            <w:tcW w:w="2131" w:type="dxa"/>
            <w:vAlign w:val="top"/>
            <w:textDirection w:val="lrTb"/>
            <w:noWrap w:val="false"/>
          </w:tcPr>
          <w:p>
            <w:pPr>
              <w:ind w:firstLine="480"/>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auto" w:sz="6" w:space="0"/>
              <w:left w:val="single" w:color="auto" w:sz="6" w:space="0"/>
              <w:bottom w:val="single" w:color="auto" w:sz="6" w:space="0"/>
            </w:tcBorders>
            <w:tcW w:w="2601" w:type="dxa"/>
            <w:vAlign w:val="top"/>
            <w:textDirection w:val="lrTb"/>
            <w:noWrap w:val="false"/>
          </w:tcPr>
          <w:p>
            <w:pPr>
              <w:ind w:firstLine="480"/>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r>
            <w:r/>
          </w:p>
        </w:tc>
      </w:tr>
      <w:tr>
        <w:trPr/>
        <w:tc>
          <w:tcPr>
            <w:tcBorders>
              <w:top w:val="single" w:color="auto" w:sz="6" w:space="0"/>
              <w:bottom w:val="single" w:color="auto" w:sz="6" w:space="0"/>
              <w:right w:val="single" w:color="auto" w:sz="6" w:space="0"/>
            </w:tcBorders>
            <w:tcW w:w="2861" w:type="dxa"/>
            <w:vAlign w:val="top"/>
            <w:textDirection w:val="lrTb"/>
            <w:noWrap w:val="false"/>
          </w:tcPr>
          <w:p>
            <w:pPr>
              <w:ind w:firstLine="480"/>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办公面积</w:t>
            </w:r>
            <w:r/>
          </w:p>
          <w:p>
            <w:pPr>
              <w:ind w:firstLine="480"/>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r>
            <w:r/>
          </w:p>
        </w:tc>
        <w:tc>
          <w:tcPr>
            <w:tcBorders>
              <w:top w:val="single" w:color="auto" w:sz="6" w:space="0"/>
              <w:left w:val="single" w:color="auto" w:sz="6" w:space="0"/>
              <w:bottom w:val="single" w:color="auto" w:sz="6" w:space="0"/>
              <w:right w:val="single" w:color="auto" w:sz="6" w:space="0"/>
            </w:tcBorders>
            <w:tcW w:w="1885" w:type="dxa"/>
            <w:vAlign w:val="top"/>
            <w:textDirection w:val="lrTb"/>
            <w:noWrap w:val="false"/>
          </w:tcPr>
          <w:p>
            <w:pPr>
              <w:ind w:firstLine="480"/>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   平方米</w:t>
            </w:r>
            <w:r/>
          </w:p>
        </w:tc>
        <w:tc>
          <w:tcPr>
            <w:tcBorders>
              <w:top w:val="single" w:color="auto" w:sz="6" w:space="0"/>
              <w:left w:val="single" w:color="auto" w:sz="6" w:space="0"/>
              <w:bottom w:val="single" w:color="auto" w:sz="6" w:space="0"/>
              <w:right w:val="single" w:color="auto" w:sz="6" w:space="0"/>
            </w:tcBorders>
            <w:tcW w:w="2131" w:type="dxa"/>
            <w:vAlign w:val="top"/>
            <w:textDirection w:val="lrTb"/>
            <w:noWrap w:val="false"/>
          </w:tcPr>
          <w:p>
            <w:pPr>
              <w:ind w:firstLine="480"/>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其中：</w:t>
            </w:r>
            <w:r/>
          </w:p>
        </w:tc>
        <w:tc>
          <w:tcPr>
            <w:tcBorders>
              <w:top w:val="single" w:color="auto" w:sz="6" w:space="0"/>
              <w:left w:val="single" w:color="auto" w:sz="6" w:space="0"/>
              <w:bottom w:val="single" w:color="auto" w:sz="6" w:space="0"/>
            </w:tcBorders>
            <w:tcW w:w="2601" w:type="dxa"/>
            <w:vAlign w:val="top"/>
            <w:textDirection w:val="lrTb"/>
            <w:noWrap w:val="false"/>
          </w:tcPr>
          <w:p>
            <w:pPr>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自有面积    平方米</w:t>
            </w:r>
            <w:r/>
          </w:p>
          <w:p>
            <w:pPr>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承租面积    平方米</w:t>
            </w:r>
            <w:r/>
          </w:p>
        </w:tc>
      </w:tr>
      <w:tr>
        <w:trPr/>
        <w:tc>
          <w:tcPr>
            <w:gridSpan w:val="2"/>
            <w:tcBorders>
              <w:top w:val="single" w:color="auto" w:sz="6" w:space="0"/>
              <w:bottom w:val="single" w:color="auto" w:sz="6" w:space="0"/>
              <w:right w:val="single" w:color="auto" w:sz="6" w:space="0"/>
            </w:tcBorders>
            <w:tcW w:w="4746" w:type="dxa"/>
            <w:vAlign w:val="top"/>
            <w:textDirection w:val="lrTb"/>
            <w:noWrap w:val="false"/>
          </w:tcPr>
          <w:p>
            <w:pPr>
              <w:ind w:firstLine="480"/>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单位简历及内设机构情况</w:t>
            </w:r>
            <w:r/>
          </w:p>
        </w:tc>
        <w:tc>
          <w:tcPr>
            <w:gridSpan w:val="2"/>
            <w:tcBorders>
              <w:top w:val="single" w:color="auto" w:sz="6" w:space="0"/>
              <w:left w:val="single" w:color="auto" w:sz="6" w:space="0"/>
              <w:bottom w:val="single" w:color="auto" w:sz="6" w:space="0"/>
            </w:tcBorders>
            <w:tcW w:w="4732" w:type="dxa"/>
            <w:vAlign w:val="top"/>
            <w:textDirection w:val="lrTb"/>
            <w:noWrap w:val="false"/>
          </w:tcPr>
          <w:p>
            <w:pPr>
              <w:ind w:firstLine="480"/>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r>
            <w:r/>
          </w:p>
        </w:tc>
      </w:tr>
      <w:tr>
        <w:trPr/>
        <w:tc>
          <w:tcPr>
            <w:gridSpan w:val="2"/>
            <w:tcBorders>
              <w:top w:val="single" w:color="auto" w:sz="6" w:space="0"/>
              <w:bottom w:val="single" w:color="auto" w:sz="6" w:space="0"/>
              <w:right w:val="single" w:color="auto" w:sz="6" w:space="0"/>
            </w:tcBorders>
            <w:tcW w:w="4746" w:type="dxa"/>
            <w:vAlign w:val="top"/>
            <w:textDirection w:val="lrTb"/>
            <w:noWrap w:val="false"/>
          </w:tcPr>
          <w:p>
            <w:pPr>
              <w:ind w:firstLine="480"/>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单位优势及特长</w:t>
            </w:r>
            <w:r/>
          </w:p>
        </w:tc>
        <w:tc>
          <w:tcPr>
            <w:gridSpan w:val="2"/>
            <w:tcBorders>
              <w:top w:val="single" w:color="auto" w:sz="6" w:space="0"/>
              <w:left w:val="single" w:color="auto" w:sz="6" w:space="0"/>
              <w:bottom w:val="single" w:color="auto" w:sz="6" w:space="0"/>
            </w:tcBorders>
            <w:tcW w:w="4732" w:type="dxa"/>
            <w:vAlign w:val="top"/>
            <w:textDirection w:val="lrTb"/>
            <w:noWrap w:val="false"/>
          </w:tcPr>
          <w:p>
            <w:pPr>
              <w:ind w:firstLine="480"/>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r>
            <w:r/>
          </w:p>
        </w:tc>
      </w:tr>
      <w:tr>
        <w:trPr/>
        <w:tc>
          <w:tcPr>
            <w:gridSpan w:val="2"/>
            <w:tcBorders>
              <w:top w:val="single" w:color="auto" w:sz="6" w:space="0"/>
              <w:bottom w:val="single" w:color="auto" w:sz="6" w:space="0"/>
              <w:right w:val="single" w:color="auto" w:sz="6" w:space="0"/>
            </w:tcBorders>
            <w:tcW w:w="4746" w:type="dxa"/>
            <w:vAlign w:val="top"/>
            <w:textDirection w:val="lrTb"/>
            <w:noWrap w:val="false"/>
          </w:tcPr>
          <w:p>
            <w:pPr>
              <w:ind w:firstLine="480"/>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近三年来完成或正在履行的重大合同情况</w:t>
            </w:r>
            <w:r/>
          </w:p>
        </w:tc>
        <w:tc>
          <w:tcPr>
            <w:gridSpan w:val="2"/>
            <w:tcBorders>
              <w:top w:val="single" w:color="auto" w:sz="6" w:space="0"/>
              <w:left w:val="single" w:color="auto" w:sz="6" w:space="0"/>
              <w:bottom w:val="single" w:color="auto" w:sz="6" w:space="0"/>
            </w:tcBorders>
            <w:tcW w:w="4732" w:type="dxa"/>
            <w:vAlign w:val="top"/>
            <w:textDirection w:val="lrTb"/>
            <w:noWrap w:val="false"/>
          </w:tcPr>
          <w:p>
            <w:pPr>
              <w:ind w:firstLine="480"/>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r>
            <w:r/>
          </w:p>
        </w:tc>
      </w:tr>
      <w:tr>
        <w:trPr/>
        <w:tc>
          <w:tcPr>
            <w:gridSpan w:val="2"/>
            <w:tcBorders>
              <w:top w:val="single" w:color="auto" w:sz="6" w:space="0"/>
              <w:bottom w:val="single" w:color="auto" w:sz="6" w:space="0"/>
              <w:right w:val="single" w:color="auto" w:sz="6" w:space="0"/>
            </w:tcBorders>
            <w:tcW w:w="4746" w:type="dxa"/>
            <w:vAlign w:val="top"/>
            <w:textDirection w:val="lrTb"/>
            <w:noWrap w:val="false"/>
          </w:tcPr>
          <w:p>
            <w:pPr>
              <w:ind w:firstLine="480"/>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近三年来受行业主管部门考核评价及业主评价意见</w:t>
            </w:r>
            <w:r/>
          </w:p>
        </w:tc>
        <w:tc>
          <w:tcPr>
            <w:gridSpan w:val="2"/>
            <w:tcBorders>
              <w:top w:val="single" w:color="auto" w:sz="6" w:space="0"/>
              <w:left w:val="single" w:color="auto" w:sz="6" w:space="0"/>
              <w:bottom w:val="single" w:color="auto" w:sz="6" w:space="0"/>
            </w:tcBorders>
            <w:tcW w:w="4732" w:type="dxa"/>
            <w:vAlign w:val="top"/>
            <w:textDirection w:val="lrTb"/>
            <w:noWrap w:val="false"/>
          </w:tcPr>
          <w:p>
            <w:pPr>
              <w:ind w:firstLine="480"/>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r>
            <w:r/>
          </w:p>
        </w:tc>
      </w:tr>
      <w:tr>
        <w:trPr/>
        <w:tc>
          <w:tcPr>
            <w:gridSpan w:val="2"/>
            <w:tcBorders>
              <w:top w:val="single" w:color="auto" w:sz="6" w:space="0"/>
              <w:bottom w:val="single" w:color="auto" w:sz="6" w:space="0"/>
              <w:right w:val="single" w:color="auto" w:sz="6" w:space="0"/>
            </w:tcBorders>
            <w:tcW w:w="4746" w:type="dxa"/>
            <w:vAlign w:val="top"/>
            <w:textDirection w:val="lrTb"/>
            <w:noWrap w:val="false"/>
          </w:tcPr>
          <w:p>
            <w:pPr>
              <w:ind w:firstLine="480"/>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最近3年内有无因违纪</w:t>
            </w:r>
            <w:r>
              <w:rPr>
                <w:rFonts w:hint="eastAsia" w:ascii="宋体" w:hAnsi="宋体" w:eastAsia="宋体" w:cs="宋体"/>
                <w:bCs/>
                <w:color w:val="auto"/>
                <w:highlight w:val="none"/>
                <w:lang w:eastAsia="zh-CN"/>
              </w:rPr>
              <w:t xml:space="preserve">或</w:t>
            </w:r>
            <w:r>
              <w:rPr>
                <w:rFonts w:hint="eastAsia" w:ascii="宋体" w:hAnsi="宋体" w:eastAsia="宋体" w:cs="宋体"/>
                <w:bCs/>
                <w:color w:val="auto"/>
                <w:highlight w:val="none"/>
              </w:rPr>
              <w:t xml:space="preserve">其他原因被投诉或起诉的情况及说明</w:t>
            </w:r>
            <w:r/>
          </w:p>
        </w:tc>
        <w:tc>
          <w:tcPr>
            <w:gridSpan w:val="2"/>
            <w:tcBorders>
              <w:top w:val="single" w:color="auto" w:sz="6" w:space="0"/>
              <w:left w:val="single" w:color="auto" w:sz="6" w:space="0"/>
              <w:bottom w:val="single" w:color="auto" w:sz="6" w:space="0"/>
            </w:tcBorders>
            <w:tcW w:w="4732" w:type="dxa"/>
            <w:vAlign w:val="top"/>
            <w:textDirection w:val="lrTb"/>
            <w:noWrap w:val="false"/>
          </w:tcPr>
          <w:p>
            <w:pPr>
              <w:ind w:firstLine="480"/>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（包括解决方式和结果）</w:t>
            </w:r>
            <w:r/>
          </w:p>
        </w:tc>
      </w:tr>
      <w:tr>
        <w:trPr/>
        <w:tc>
          <w:tcPr>
            <w:gridSpan w:val="2"/>
            <w:tcBorders>
              <w:top w:val="single" w:color="auto" w:sz="6" w:space="0"/>
              <w:bottom w:val="single" w:color="auto" w:sz="6" w:space="0"/>
              <w:right w:val="single" w:color="auto" w:sz="6" w:space="0"/>
            </w:tcBorders>
            <w:tcW w:w="4746" w:type="dxa"/>
            <w:vAlign w:val="top"/>
            <w:textDirection w:val="lrTb"/>
            <w:noWrap w:val="false"/>
          </w:tcPr>
          <w:p>
            <w:pPr>
              <w:ind w:firstLine="480"/>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最近3年内主要负责人有无因经济犯罪被司法机关追究的情况及说明</w:t>
            </w:r>
            <w:r/>
          </w:p>
        </w:tc>
        <w:tc>
          <w:tcPr>
            <w:gridSpan w:val="2"/>
            <w:tcBorders>
              <w:top w:val="single" w:color="auto" w:sz="6" w:space="0"/>
              <w:left w:val="single" w:color="auto" w:sz="6" w:space="0"/>
              <w:bottom w:val="single" w:color="auto" w:sz="6" w:space="0"/>
            </w:tcBorders>
            <w:tcW w:w="4732" w:type="dxa"/>
            <w:vAlign w:val="top"/>
            <w:textDirection w:val="lrTb"/>
            <w:noWrap w:val="false"/>
          </w:tcPr>
          <w:p>
            <w:pPr>
              <w:ind w:firstLine="480"/>
              <w:spacing w:line="360" w:lineRule="auto"/>
              <w:shd w:val="clear" w:color="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r>
      <w:tr>
        <w:trPr>
          <w:trHeight w:val="447"/>
        </w:trPr>
        <w:tc>
          <w:tcPr>
            <w:gridSpan w:val="2"/>
            <w:tcBorders>
              <w:top w:val="single" w:color="auto" w:sz="6" w:space="0"/>
              <w:bottom w:val="single" w:color="auto" w:sz="6" w:space="0"/>
              <w:right w:val="single" w:color="auto" w:sz="6" w:space="0"/>
            </w:tcBorders>
            <w:tcW w:w="4746" w:type="dxa"/>
            <w:vAlign w:val="top"/>
            <w:textDirection w:val="lrTb"/>
            <w:noWrap w:val="false"/>
          </w:tcPr>
          <w:p>
            <w:pPr>
              <w:ind w:firstLine="480"/>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其他需要说明的情况</w:t>
            </w:r>
            <w:r/>
          </w:p>
        </w:tc>
        <w:tc>
          <w:tcPr>
            <w:gridSpan w:val="2"/>
            <w:tcBorders>
              <w:top w:val="single" w:color="auto" w:sz="6" w:space="0"/>
              <w:left w:val="single" w:color="auto" w:sz="6" w:space="0"/>
              <w:bottom w:val="single" w:color="auto" w:sz="6" w:space="0"/>
            </w:tcBorders>
            <w:tcW w:w="4732" w:type="dxa"/>
            <w:vAlign w:val="top"/>
            <w:textDirection w:val="lrTb"/>
            <w:noWrap w:val="false"/>
          </w:tcPr>
          <w:p>
            <w:pPr>
              <w:ind w:firstLine="480"/>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r>
            <w:r/>
          </w:p>
        </w:tc>
      </w:tr>
    </w:tbl>
    <w:p>
      <w:pPr>
        <w:ind w:left="0" w:right="0" w:firstLine="480"/>
        <w:spacing w:before="0" w:after="0" w:line="85"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none"/>
        </w:rPr>
        <w:t xml:space="preserve">注：本表可以扩展。</w:t>
      </w:r>
      <w:r/>
    </w:p>
    <w:p>
      <w:pPr>
        <w:ind w:firstLine="480"/>
        <w:spacing w:line="360" w:lineRule="auto"/>
        <w:shd w:val="clear" w:color="auto"/>
        <w:rPr>
          <w:rFonts w:hint="eastAsia" w:ascii="宋体" w:hAnsi="宋体" w:eastAsia="宋体" w:cs="宋体"/>
          <w:bCs/>
          <w:color w:val="auto"/>
          <w:highlight w:val="none"/>
        </w:rPr>
      </w:pPr>
      <w:r>
        <w:rPr>
          <w:rFonts w:hint="eastAsia" w:ascii="宋体" w:hAnsi="宋体" w:eastAsia="宋体" w:cs="宋体"/>
          <w:bCs/>
          <w:color w:val="auto"/>
          <w:highlight w:val="none"/>
        </w:rPr>
      </w:r>
      <w:r/>
    </w:p>
    <w:p>
      <w:pPr>
        <w:spacing w:line="360" w:lineRule="auto"/>
        <w:shd w:val="clear" w:color="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法定代表人或授权代表签字：</w:t>
      </w:r>
      <w:r/>
    </w:p>
    <w:p>
      <w:pPr>
        <w:jc w:val="left"/>
        <w:shd w:val="clear" w:color="auto"/>
        <w:rPr>
          <w:rFonts w:hint="eastAsia" w:ascii="宋体" w:hAnsi="宋体" w:eastAsia="宋体" w:cs="宋体"/>
          <w:b/>
          <w:bCs/>
          <w:color w:val="auto"/>
          <w:sz w:val="28"/>
          <w:szCs w:val="28"/>
          <w:highlight w:val="none"/>
        </w:rPr>
        <w:outlineLvl w:val="0"/>
      </w:pPr>
      <w:r>
        <w:rPr>
          <w:rFonts w:hint="eastAsia" w:ascii="宋体" w:hAnsi="宋体" w:eastAsia="宋体" w:cs="宋体"/>
          <w:b/>
          <w:bCs/>
          <w:color w:val="auto"/>
          <w:sz w:val="28"/>
          <w:szCs w:val="28"/>
          <w:highlight w:val="none"/>
        </w:rPr>
      </w:r>
      <w:r/>
    </w:p>
    <w:p>
      <w:pPr>
        <w:jc w:val="left"/>
        <w:shd w:val="clear" w:color="auto"/>
        <w:rPr>
          <w:rFonts w:hint="eastAsia" w:ascii="宋体" w:hAnsi="宋体" w:eastAsia="宋体" w:cs="宋体"/>
          <w:b/>
          <w:bCs/>
          <w:color w:val="auto"/>
          <w:sz w:val="28"/>
          <w:szCs w:val="28"/>
          <w:highlight w:val="none"/>
        </w:rPr>
        <w:outlineLvl w:val="0"/>
      </w:pPr>
      <w:r>
        <w:rPr>
          <w:rFonts w:hint="eastAsia" w:ascii="宋体" w:hAnsi="宋体" w:eastAsia="宋体" w:cs="宋体"/>
          <w:b/>
          <w:bCs/>
          <w:color w:val="auto"/>
          <w:sz w:val="28"/>
          <w:szCs w:val="28"/>
          <w:highlight w:val="none"/>
        </w:rPr>
      </w:r>
      <w:r/>
    </w:p>
    <w:p>
      <w:pPr>
        <w:pStyle w:val="711"/>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712"/>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11"/>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shd w:val="clear" w:color="auto"/>
        <w:rPr>
          <w:rFonts w:hint="eastAsia" w:ascii="宋体" w:hAnsi="宋体" w:eastAsia="宋体" w:cs="宋体"/>
          <w:b/>
          <w:bCs/>
          <w:color w:val="auto"/>
          <w:sz w:val="28"/>
          <w:szCs w:val="28"/>
          <w:highlight w:val="none"/>
        </w:rPr>
        <w:outlineLvl w:val="0"/>
      </w:pPr>
      <w:r>
        <w:rPr>
          <w:rFonts w:hint="eastAsia" w:ascii="宋体" w:hAnsi="宋体" w:eastAsia="宋体" w:cs="宋体"/>
          <w:b/>
          <w:bCs/>
          <w:color w:val="auto"/>
          <w:sz w:val="28"/>
          <w:szCs w:val="28"/>
          <w:highlight w:val="none"/>
          <w:lang w:eastAsia="zh-CN"/>
        </w:rPr>
        <w:t xml:space="preserve">（十）</w:t>
      </w:r>
      <w:r>
        <w:rPr>
          <w:rFonts w:hint="eastAsia" w:ascii="宋体" w:hAnsi="宋体" w:eastAsia="宋体" w:cs="宋体"/>
          <w:b/>
          <w:bCs/>
          <w:color w:val="auto"/>
          <w:sz w:val="28"/>
          <w:szCs w:val="28"/>
          <w:highlight w:val="none"/>
        </w:rPr>
        <w:t xml:space="preserve">投标偏离表（格式）</w:t>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jc w:val="center"/>
        <w:keepLines w:val="0"/>
        <w:keepNext w:val="0"/>
        <w:pageBreakBefore w:val="0"/>
        <w:spacing w:before="164" w:after="164"/>
        <w:shd w:val="clear" w:color="auto"/>
        <w:widowControl w:val="off"/>
        <w:rPr>
          <w:rFonts w:hint="eastAsia" w:ascii="宋体" w:hAnsi="宋体" w:eastAsia="宋体" w:cs="宋体"/>
          <w:b/>
          <w:bCs/>
          <w:color w:val="auto"/>
          <w:sz w:val="28"/>
          <w:szCs w:val="28"/>
          <w:highlight w:val="none"/>
        </w:rPr>
        <w:outlineLvl w:val="0"/>
      </w:pPr>
      <w:r>
        <w:rPr>
          <w:rFonts w:hint="eastAsia" w:ascii="宋体" w:hAnsi="宋体" w:eastAsia="宋体" w:cs="宋体"/>
          <w:b/>
          <w:bCs/>
          <w:color w:val="auto"/>
          <w:sz w:val="28"/>
          <w:szCs w:val="28"/>
          <w:highlight w:val="none"/>
        </w:rPr>
        <w:t xml:space="preserve">投标偏离表（格式）</w:t>
      </w:r>
      <w:r/>
    </w:p>
    <w:p>
      <w:pPr>
        <w:ind w:firstLine="2569"/>
        <w:spacing w:line="400" w:lineRule="exact"/>
        <w:shd w:val="clear" w:color="auto"/>
        <w:rPr>
          <w:rFonts w:hint="eastAsia" w:ascii="宋体" w:hAnsi="宋体" w:eastAsia="宋体" w:cs="宋体"/>
          <w:b/>
          <w:bCs/>
          <w:color w:val="auto"/>
          <w:spacing w:val="20"/>
          <w:sz w:val="28"/>
          <w:szCs w:val="28"/>
          <w:highlight w:val="none"/>
        </w:rPr>
      </w:pPr>
      <w:r>
        <w:rPr>
          <w:rFonts w:hint="eastAsia" w:ascii="宋体" w:hAnsi="宋体" w:eastAsia="宋体" w:cs="宋体"/>
          <w:b/>
          <w:bCs/>
          <w:color w:val="auto"/>
          <w:spacing w:val="20"/>
          <w:sz w:val="28"/>
          <w:szCs w:val="28"/>
          <w:highlight w:val="none"/>
        </w:rPr>
      </w:r>
      <w:r/>
    </w:p>
    <w:tbl>
      <w:tblPr>
        <w:tblStyle w:val="704"/>
        <w:tblW w:w="8898" w:type="dxa"/>
        <w:tblInd w:w="44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950"/>
        <w:gridCol w:w="2520"/>
        <w:gridCol w:w="1800"/>
        <w:gridCol w:w="1800"/>
      </w:tblGrid>
      <w:tr>
        <w:trPr>
          <w:trHeight w:val="580"/>
        </w:trPr>
        <w:tc>
          <w:tcPr>
            <w:tcW w:w="828" w:type="dxa"/>
            <w:vAlign w:val="center"/>
            <w:textDirection w:val="lrTb"/>
            <w:noWrap w:val="false"/>
          </w:tcPr>
          <w:p>
            <w:pPr>
              <w:ind w:left="0" w:firstLine="0"/>
              <w:jc w:val="center"/>
              <w:spacing w:line="400" w:lineRule="exact"/>
              <w:shd w:val="clear" w:color="auto"/>
              <w:rPr>
                <w:rFonts w:hint="eastAsia" w:ascii="宋体" w:hAnsi="宋体" w:eastAsia="宋体" w:cs="宋体"/>
                <w:b/>
                <w:color w:val="auto"/>
                <w:spacing w:val="20"/>
                <w:sz w:val="24"/>
                <w:highlight w:val="none"/>
              </w:rPr>
            </w:pPr>
            <w:r>
              <w:rPr>
                <w:rFonts w:hint="eastAsia" w:ascii="宋体" w:hAnsi="宋体" w:eastAsia="宋体" w:cs="宋体"/>
                <w:b/>
                <w:color w:val="auto"/>
                <w:spacing w:val="20"/>
                <w:sz w:val="24"/>
                <w:highlight w:val="none"/>
              </w:rPr>
              <w:t xml:space="preserve">序号</w:t>
            </w:r>
            <w:r/>
          </w:p>
        </w:tc>
        <w:tc>
          <w:tcPr>
            <w:tcW w:w="1950" w:type="dxa"/>
            <w:vAlign w:val="center"/>
            <w:textDirection w:val="lrTb"/>
            <w:noWrap w:val="false"/>
          </w:tcPr>
          <w:p>
            <w:pPr>
              <w:ind w:left="0" w:firstLine="0"/>
              <w:jc w:val="center"/>
              <w:spacing w:line="400" w:lineRule="exact"/>
              <w:shd w:val="clear" w:color="auto"/>
              <w:rPr>
                <w:rFonts w:hint="eastAsia" w:ascii="宋体" w:hAnsi="宋体" w:eastAsia="宋体" w:cs="宋体"/>
                <w:b/>
                <w:color w:val="auto"/>
                <w:spacing w:val="20"/>
                <w:sz w:val="24"/>
                <w:highlight w:val="none"/>
              </w:rPr>
            </w:pPr>
            <w:r>
              <w:rPr>
                <w:rFonts w:hint="eastAsia" w:ascii="宋体" w:hAnsi="宋体" w:eastAsia="宋体" w:cs="宋体"/>
                <w:b/>
                <w:color w:val="auto"/>
                <w:spacing w:val="20"/>
                <w:sz w:val="24"/>
                <w:highlight w:val="none"/>
              </w:rPr>
              <w:t xml:space="preserve">名称</w:t>
            </w:r>
            <w:r/>
          </w:p>
        </w:tc>
        <w:tc>
          <w:tcPr>
            <w:tcW w:w="2520" w:type="dxa"/>
            <w:vAlign w:val="center"/>
            <w:textDirection w:val="lrTb"/>
            <w:noWrap w:val="false"/>
          </w:tcPr>
          <w:p>
            <w:pPr>
              <w:ind w:left="0" w:firstLine="0"/>
              <w:jc w:val="center"/>
              <w:spacing w:line="400" w:lineRule="exact"/>
              <w:shd w:val="clear" w:color="auto"/>
              <w:rPr>
                <w:rFonts w:hint="eastAsia" w:ascii="宋体" w:hAnsi="宋体" w:eastAsia="宋体" w:cs="宋体"/>
                <w:b/>
                <w:color w:val="auto"/>
                <w:spacing w:val="20"/>
                <w:sz w:val="24"/>
                <w:highlight w:val="none"/>
              </w:rPr>
            </w:pPr>
            <w:r>
              <w:rPr>
                <w:rFonts w:hint="eastAsia" w:ascii="宋体" w:hAnsi="宋体" w:eastAsia="宋体" w:cs="宋体"/>
                <w:b/>
                <w:color w:val="auto"/>
                <w:spacing w:val="20"/>
                <w:sz w:val="24"/>
                <w:highlight w:val="none"/>
              </w:rPr>
              <w:t xml:space="preserve">采购要求</w:t>
            </w:r>
            <w:r/>
          </w:p>
        </w:tc>
        <w:tc>
          <w:tcPr>
            <w:tcW w:w="1800" w:type="dxa"/>
            <w:vAlign w:val="center"/>
            <w:textDirection w:val="lrTb"/>
            <w:noWrap w:val="false"/>
          </w:tcPr>
          <w:p>
            <w:pPr>
              <w:ind w:left="0" w:firstLine="0"/>
              <w:jc w:val="center"/>
              <w:spacing w:line="400" w:lineRule="exact"/>
              <w:shd w:val="clear" w:color="auto"/>
              <w:rPr>
                <w:rFonts w:hint="eastAsia" w:ascii="宋体" w:hAnsi="宋体" w:eastAsia="宋体" w:cs="宋体"/>
                <w:b/>
                <w:color w:val="auto"/>
                <w:spacing w:val="20"/>
                <w:sz w:val="24"/>
                <w:highlight w:val="none"/>
              </w:rPr>
            </w:pPr>
            <w:r>
              <w:rPr>
                <w:rFonts w:hint="eastAsia" w:ascii="宋体" w:hAnsi="宋体" w:eastAsia="宋体" w:cs="宋体"/>
                <w:b/>
                <w:color w:val="auto"/>
                <w:spacing w:val="20"/>
                <w:sz w:val="24"/>
                <w:highlight w:val="none"/>
              </w:rPr>
              <w:t xml:space="preserve">实报内容</w:t>
            </w:r>
            <w:r/>
          </w:p>
        </w:tc>
        <w:tc>
          <w:tcPr>
            <w:tcW w:w="1800" w:type="dxa"/>
            <w:vAlign w:val="center"/>
            <w:textDirection w:val="lrTb"/>
            <w:noWrap w:val="false"/>
          </w:tcPr>
          <w:p>
            <w:pPr>
              <w:ind w:left="0" w:firstLine="0"/>
              <w:jc w:val="center"/>
              <w:spacing w:line="400" w:lineRule="exact"/>
              <w:shd w:val="clear" w:color="auto"/>
              <w:rPr>
                <w:rFonts w:hint="eastAsia" w:ascii="宋体" w:hAnsi="宋体" w:eastAsia="宋体" w:cs="宋体"/>
                <w:b/>
                <w:color w:val="auto"/>
                <w:spacing w:val="20"/>
                <w:sz w:val="24"/>
                <w:highlight w:val="none"/>
              </w:rPr>
            </w:pPr>
            <w:r>
              <w:rPr>
                <w:rFonts w:hint="eastAsia" w:ascii="宋体" w:hAnsi="宋体" w:eastAsia="宋体" w:cs="宋体"/>
                <w:b/>
                <w:color w:val="auto"/>
                <w:spacing w:val="20"/>
                <w:sz w:val="24"/>
                <w:highlight w:val="none"/>
              </w:rPr>
              <w:t xml:space="preserve">偏离说明</w:t>
            </w:r>
            <w:r/>
          </w:p>
        </w:tc>
      </w:tr>
      <w:tr>
        <w:trPr>
          <w:cantSplit/>
        </w:trPr>
        <w:tc>
          <w:tcPr>
            <w:tcW w:w="828" w:type="dxa"/>
            <w:vAlign w:val="top"/>
            <w:textDirection w:val="lrTb"/>
            <w:noWrap w:val="false"/>
          </w:tcPr>
          <w:p>
            <w:pPr>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1950" w:type="dxa"/>
            <w:vAlign w:val="top"/>
            <w:textDirection w:val="lrTb"/>
            <w:noWrap w:val="false"/>
          </w:tcPr>
          <w:p>
            <w:pPr>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2520" w:type="dxa"/>
            <w:vAlign w:val="top"/>
            <w:textDirection w:val="lrTb"/>
            <w:noWrap w:val="false"/>
          </w:tcPr>
          <w:p>
            <w:pPr>
              <w:ind w:firstLine="560"/>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1800" w:type="dxa"/>
            <w:vAlign w:val="center"/>
            <w:textDirection w:val="lrTb"/>
            <w:noWrap w:val="false"/>
          </w:tcPr>
          <w:p>
            <w:pPr>
              <w:ind w:firstLine="560"/>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1800" w:type="dxa"/>
            <w:vAlign w:val="center"/>
            <w:textDirection w:val="lrTb"/>
            <w:noWrap w:val="false"/>
          </w:tcPr>
          <w:p>
            <w:pPr>
              <w:ind w:firstLine="560"/>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r>
      <w:tr>
        <w:trPr>
          <w:cantSplit/>
        </w:trPr>
        <w:tc>
          <w:tcPr>
            <w:tcW w:w="828" w:type="dxa"/>
            <w:vAlign w:val="top"/>
            <w:textDirection w:val="lrTb"/>
            <w:noWrap w:val="false"/>
          </w:tcPr>
          <w:p>
            <w:pPr>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1950" w:type="dxa"/>
            <w:vAlign w:val="center"/>
            <w:textDirection w:val="lrTb"/>
            <w:noWrap w:val="false"/>
          </w:tcPr>
          <w:p>
            <w:pPr>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2520" w:type="dxa"/>
            <w:vAlign w:val="center"/>
            <w:textDirection w:val="lrTb"/>
            <w:noWrap w:val="false"/>
          </w:tcPr>
          <w:p>
            <w:pPr>
              <w:ind w:firstLine="560"/>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1800" w:type="dxa"/>
            <w:vAlign w:val="center"/>
            <w:textDirection w:val="lrTb"/>
            <w:noWrap w:val="false"/>
          </w:tcPr>
          <w:p>
            <w:pPr>
              <w:ind w:firstLine="560"/>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1800" w:type="dxa"/>
            <w:vAlign w:val="center"/>
            <w:textDirection w:val="lrTb"/>
            <w:noWrap w:val="false"/>
          </w:tcPr>
          <w:p>
            <w:pPr>
              <w:ind w:firstLine="560"/>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r>
      <w:tr>
        <w:trPr>
          <w:cantSplit/>
        </w:trPr>
        <w:tc>
          <w:tcPr>
            <w:tcW w:w="828" w:type="dxa"/>
            <w:vAlign w:val="top"/>
            <w:textDirection w:val="lrTb"/>
            <w:noWrap w:val="false"/>
          </w:tcPr>
          <w:p>
            <w:pPr>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1950" w:type="dxa"/>
            <w:vAlign w:val="center"/>
            <w:textDirection w:val="lrTb"/>
            <w:noWrap w:val="false"/>
          </w:tcPr>
          <w:p>
            <w:pPr>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2520" w:type="dxa"/>
            <w:vAlign w:val="center"/>
            <w:textDirection w:val="lrTb"/>
            <w:noWrap w:val="false"/>
          </w:tcPr>
          <w:p>
            <w:pPr>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1800" w:type="dxa"/>
            <w:vAlign w:val="center"/>
            <w:textDirection w:val="lrTb"/>
            <w:noWrap w:val="false"/>
          </w:tcPr>
          <w:p>
            <w:pPr>
              <w:ind w:firstLine="560"/>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1800" w:type="dxa"/>
            <w:vAlign w:val="center"/>
            <w:textDirection w:val="lrTb"/>
            <w:noWrap w:val="false"/>
          </w:tcPr>
          <w:p>
            <w:pPr>
              <w:ind w:firstLine="560"/>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r>
      <w:tr>
        <w:trPr>
          <w:cantSplit/>
        </w:trPr>
        <w:tc>
          <w:tcPr>
            <w:tcW w:w="828" w:type="dxa"/>
            <w:vAlign w:val="top"/>
            <w:textDirection w:val="lrTb"/>
            <w:noWrap w:val="false"/>
          </w:tcPr>
          <w:p>
            <w:pPr>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1950" w:type="dxa"/>
            <w:vAlign w:val="center"/>
            <w:textDirection w:val="lrTb"/>
            <w:noWrap w:val="false"/>
          </w:tcPr>
          <w:p>
            <w:pPr>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2520" w:type="dxa"/>
            <w:vAlign w:val="center"/>
            <w:textDirection w:val="lrTb"/>
            <w:noWrap w:val="false"/>
          </w:tcPr>
          <w:p>
            <w:pPr>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1800" w:type="dxa"/>
            <w:vAlign w:val="center"/>
            <w:textDirection w:val="lrTb"/>
            <w:noWrap w:val="false"/>
          </w:tcPr>
          <w:p>
            <w:pPr>
              <w:ind w:firstLine="560"/>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1800" w:type="dxa"/>
            <w:vAlign w:val="center"/>
            <w:textDirection w:val="lrTb"/>
            <w:noWrap w:val="false"/>
          </w:tcPr>
          <w:p>
            <w:pPr>
              <w:ind w:firstLine="560"/>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r>
      <w:tr>
        <w:trPr>
          <w:cantSplit/>
        </w:trPr>
        <w:tc>
          <w:tcPr>
            <w:tcW w:w="828" w:type="dxa"/>
            <w:vAlign w:val="top"/>
            <w:textDirection w:val="lrTb"/>
            <w:noWrap w:val="false"/>
          </w:tcPr>
          <w:p>
            <w:pPr>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1950" w:type="dxa"/>
            <w:vAlign w:val="center"/>
            <w:textDirection w:val="lrTb"/>
            <w:noWrap w:val="false"/>
          </w:tcPr>
          <w:p>
            <w:pPr>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2520" w:type="dxa"/>
            <w:vAlign w:val="center"/>
            <w:textDirection w:val="lrTb"/>
            <w:noWrap w:val="false"/>
          </w:tcPr>
          <w:p>
            <w:pPr>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1800" w:type="dxa"/>
            <w:vAlign w:val="center"/>
            <w:textDirection w:val="lrTb"/>
            <w:noWrap w:val="false"/>
          </w:tcPr>
          <w:p>
            <w:pPr>
              <w:ind w:firstLine="560"/>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1800" w:type="dxa"/>
            <w:vAlign w:val="center"/>
            <w:textDirection w:val="lrTb"/>
            <w:noWrap w:val="false"/>
          </w:tcPr>
          <w:p>
            <w:pPr>
              <w:ind w:firstLine="560"/>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r>
      <w:tr>
        <w:trPr>
          <w:cantSplit/>
        </w:trPr>
        <w:tc>
          <w:tcPr>
            <w:tcW w:w="828" w:type="dxa"/>
            <w:vAlign w:val="top"/>
            <w:textDirection w:val="lrTb"/>
            <w:noWrap w:val="false"/>
          </w:tcPr>
          <w:p>
            <w:pPr>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1950" w:type="dxa"/>
            <w:vAlign w:val="center"/>
            <w:textDirection w:val="lrTb"/>
            <w:noWrap w:val="false"/>
          </w:tcPr>
          <w:p>
            <w:pPr>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2520" w:type="dxa"/>
            <w:vAlign w:val="center"/>
            <w:textDirection w:val="lrTb"/>
            <w:noWrap w:val="false"/>
          </w:tcPr>
          <w:p>
            <w:pPr>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1800" w:type="dxa"/>
            <w:vAlign w:val="center"/>
            <w:textDirection w:val="lrTb"/>
            <w:noWrap w:val="false"/>
          </w:tcPr>
          <w:p>
            <w:pPr>
              <w:ind w:firstLine="560"/>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1800" w:type="dxa"/>
            <w:vAlign w:val="center"/>
            <w:textDirection w:val="lrTb"/>
            <w:noWrap w:val="false"/>
          </w:tcPr>
          <w:p>
            <w:pPr>
              <w:ind w:firstLine="560"/>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r>
      <w:tr>
        <w:trPr>
          <w:cantSplit/>
        </w:trPr>
        <w:tc>
          <w:tcPr>
            <w:tcW w:w="828" w:type="dxa"/>
            <w:vAlign w:val="top"/>
            <w:textDirection w:val="lrTb"/>
            <w:noWrap w:val="false"/>
          </w:tcPr>
          <w:p>
            <w:pPr>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1950" w:type="dxa"/>
            <w:vAlign w:val="center"/>
            <w:textDirection w:val="lrTb"/>
            <w:noWrap w:val="false"/>
          </w:tcPr>
          <w:p>
            <w:pPr>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2520" w:type="dxa"/>
            <w:vAlign w:val="center"/>
            <w:textDirection w:val="lrTb"/>
            <w:noWrap w:val="false"/>
          </w:tcPr>
          <w:p>
            <w:pPr>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1800" w:type="dxa"/>
            <w:vAlign w:val="center"/>
            <w:textDirection w:val="lrTb"/>
            <w:noWrap w:val="false"/>
          </w:tcPr>
          <w:p>
            <w:pPr>
              <w:ind w:firstLine="560"/>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1800" w:type="dxa"/>
            <w:vAlign w:val="center"/>
            <w:textDirection w:val="lrTb"/>
            <w:noWrap w:val="false"/>
          </w:tcPr>
          <w:p>
            <w:pPr>
              <w:ind w:firstLine="560"/>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r>
      <w:tr>
        <w:trPr>
          <w:cantSplit/>
        </w:trPr>
        <w:tc>
          <w:tcPr>
            <w:tcW w:w="828" w:type="dxa"/>
            <w:vAlign w:val="top"/>
            <w:textDirection w:val="lrTb"/>
            <w:noWrap w:val="false"/>
          </w:tcPr>
          <w:p>
            <w:pPr>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1950" w:type="dxa"/>
            <w:vAlign w:val="center"/>
            <w:textDirection w:val="lrTb"/>
            <w:noWrap w:val="false"/>
          </w:tcPr>
          <w:p>
            <w:pPr>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2520" w:type="dxa"/>
            <w:vAlign w:val="center"/>
            <w:textDirection w:val="lrTb"/>
            <w:noWrap w:val="false"/>
          </w:tcPr>
          <w:p>
            <w:pPr>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1800" w:type="dxa"/>
            <w:vAlign w:val="center"/>
            <w:textDirection w:val="lrTb"/>
            <w:noWrap w:val="false"/>
          </w:tcPr>
          <w:p>
            <w:pPr>
              <w:ind w:firstLine="560"/>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1800" w:type="dxa"/>
            <w:vAlign w:val="center"/>
            <w:textDirection w:val="lrTb"/>
            <w:noWrap w:val="false"/>
          </w:tcPr>
          <w:p>
            <w:pPr>
              <w:ind w:firstLine="560"/>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r>
      <w:tr>
        <w:trPr>
          <w:cantSplit/>
        </w:trPr>
        <w:tc>
          <w:tcPr>
            <w:tcW w:w="828" w:type="dxa"/>
            <w:vAlign w:val="top"/>
            <w:textDirection w:val="lrTb"/>
            <w:noWrap w:val="false"/>
          </w:tcPr>
          <w:p>
            <w:pPr>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1950" w:type="dxa"/>
            <w:vAlign w:val="center"/>
            <w:textDirection w:val="lrTb"/>
            <w:noWrap w:val="false"/>
          </w:tcPr>
          <w:p>
            <w:pPr>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2520" w:type="dxa"/>
            <w:vAlign w:val="center"/>
            <w:textDirection w:val="lrTb"/>
            <w:noWrap w:val="false"/>
          </w:tcPr>
          <w:p>
            <w:pPr>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1800" w:type="dxa"/>
            <w:vAlign w:val="center"/>
            <w:textDirection w:val="lrTb"/>
            <w:noWrap w:val="false"/>
          </w:tcPr>
          <w:p>
            <w:pPr>
              <w:ind w:firstLine="560"/>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1800" w:type="dxa"/>
            <w:vAlign w:val="center"/>
            <w:textDirection w:val="lrTb"/>
            <w:noWrap w:val="false"/>
          </w:tcPr>
          <w:p>
            <w:pPr>
              <w:ind w:firstLine="560"/>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r>
      <w:tr>
        <w:trPr>
          <w:cantSplit/>
        </w:trPr>
        <w:tc>
          <w:tcPr>
            <w:tcW w:w="828" w:type="dxa"/>
            <w:vAlign w:val="top"/>
            <w:textDirection w:val="lrTb"/>
            <w:noWrap w:val="false"/>
          </w:tcPr>
          <w:p>
            <w:pPr>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1950" w:type="dxa"/>
            <w:vAlign w:val="center"/>
            <w:textDirection w:val="lrTb"/>
            <w:noWrap w:val="false"/>
          </w:tcPr>
          <w:p>
            <w:pPr>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2520" w:type="dxa"/>
            <w:vAlign w:val="center"/>
            <w:textDirection w:val="lrTb"/>
            <w:noWrap w:val="false"/>
          </w:tcPr>
          <w:p>
            <w:pPr>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1800" w:type="dxa"/>
            <w:vAlign w:val="center"/>
            <w:textDirection w:val="lrTb"/>
            <w:noWrap w:val="false"/>
          </w:tcPr>
          <w:p>
            <w:pPr>
              <w:ind w:firstLine="560"/>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1800" w:type="dxa"/>
            <w:vAlign w:val="center"/>
            <w:textDirection w:val="lrTb"/>
            <w:noWrap w:val="false"/>
          </w:tcPr>
          <w:p>
            <w:pPr>
              <w:ind w:firstLine="560"/>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r>
      <w:tr>
        <w:trPr>
          <w:cantSplit/>
        </w:trPr>
        <w:tc>
          <w:tcPr>
            <w:tcW w:w="828" w:type="dxa"/>
            <w:vAlign w:val="top"/>
            <w:textDirection w:val="lrTb"/>
            <w:noWrap w:val="false"/>
          </w:tcPr>
          <w:p>
            <w:pPr>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1950" w:type="dxa"/>
            <w:vAlign w:val="center"/>
            <w:textDirection w:val="lrTb"/>
            <w:noWrap w:val="false"/>
          </w:tcPr>
          <w:p>
            <w:pPr>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2520" w:type="dxa"/>
            <w:vAlign w:val="center"/>
            <w:textDirection w:val="lrTb"/>
            <w:noWrap w:val="false"/>
          </w:tcPr>
          <w:p>
            <w:pPr>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1800" w:type="dxa"/>
            <w:vAlign w:val="center"/>
            <w:textDirection w:val="lrTb"/>
            <w:noWrap w:val="false"/>
          </w:tcPr>
          <w:p>
            <w:pPr>
              <w:ind w:firstLine="560"/>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1800" w:type="dxa"/>
            <w:vAlign w:val="center"/>
            <w:textDirection w:val="lrTb"/>
            <w:noWrap w:val="false"/>
          </w:tcPr>
          <w:p>
            <w:pPr>
              <w:ind w:firstLine="560"/>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r>
      <w:tr>
        <w:trPr>
          <w:cantSplit/>
        </w:trPr>
        <w:tc>
          <w:tcPr>
            <w:tcW w:w="828" w:type="dxa"/>
            <w:vAlign w:val="top"/>
            <w:textDirection w:val="lrTb"/>
            <w:noWrap w:val="false"/>
          </w:tcPr>
          <w:p>
            <w:pPr>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1950" w:type="dxa"/>
            <w:vAlign w:val="center"/>
            <w:textDirection w:val="lrTb"/>
            <w:noWrap w:val="false"/>
          </w:tcPr>
          <w:p>
            <w:pPr>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2520" w:type="dxa"/>
            <w:vAlign w:val="center"/>
            <w:textDirection w:val="lrTb"/>
            <w:noWrap w:val="false"/>
          </w:tcPr>
          <w:p>
            <w:pPr>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1800" w:type="dxa"/>
            <w:vAlign w:val="center"/>
            <w:textDirection w:val="lrTb"/>
            <w:noWrap w:val="false"/>
          </w:tcPr>
          <w:p>
            <w:pPr>
              <w:ind w:firstLine="560"/>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1800" w:type="dxa"/>
            <w:vAlign w:val="center"/>
            <w:textDirection w:val="lrTb"/>
            <w:noWrap w:val="false"/>
          </w:tcPr>
          <w:p>
            <w:pPr>
              <w:ind w:firstLine="560"/>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r>
      <w:tr>
        <w:trPr>
          <w:cantSplit/>
        </w:trPr>
        <w:tc>
          <w:tcPr>
            <w:tcW w:w="828" w:type="dxa"/>
            <w:vAlign w:val="top"/>
            <w:textDirection w:val="lrTb"/>
            <w:noWrap w:val="false"/>
          </w:tcPr>
          <w:p>
            <w:pPr>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1950" w:type="dxa"/>
            <w:vAlign w:val="center"/>
            <w:textDirection w:val="lrTb"/>
            <w:noWrap w:val="false"/>
          </w:tcPr>
          <w:p>
            <w:pPr>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2520" w:type="dxa"/>
            <w:vAlign w:val="center"/>
            <w:textDirection w:val="lrTb"/>
            <w:noWrap w:val="false"/>
          </w:tcPr>
          <w:p>
            <w:pPr>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1800" w:type="dxa"/>
            <w:vAlign w:val="center"/>
            <w:textDirection w:val="lrTb"/>
            <w:noWrap w:val="false"/>
          </w:tcPr>
          <w:p>
            <w:pPr>
              <w:ind w:firstLine="560"/>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1800" w:type="dxa"/>
            <w:vAlign w:val="center"/>
            <w:textDirection w:val="lrTb"/>
            <w:noWrap w:val="false"/>
          </w:tcPr>
          <w:p>
            <w:pPr>
              <w:ind w:firstLine="560"/>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r>
      <w:tr>
        <w:trPr>
          <w:cantSplit/>
        </w:trPr>
        <w:tc>
          <w:tcPr>
            <w:tcW w:w="828" w:type="dxa"/>
            <w:vAlign w:val="top"/>
            <w:textDirection w:val="lrTb"/>
            <w:noWrap w:val="false"/>
          </w:tcPr>
          <w:p>
            <w:pPr>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1950" w:type="dxa"/>
            <w:vAlign w:val="center"/>
            <w:textDirection w:val="lrTb"/>
            <w:noWrap w:val="false"/>
          </w:tcPr>
          <w:p>
            <w:pPr>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2520" w:type="dxa"/>
            <w:vAlign w:val="center"/>
            <w:textDirection w:val="lrTb"/>
            <w:noWrap w:val="false"/>
          </w:tcPr>
          <w:p>
            <w:pPr>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1800" w:type="dxa"/>
            <w:vAlign w:val="center"/>
            <w:textDirection w:val="lrTb"/>
            <w:noWrap w:val="false"/>
          </w:tcPr>
          <w:p>
            <w:pPr>
              <w:ind w:firstLine="560"/>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1800" w:type="dxa"/>
            <w:vAlign w:val="center"/>
            <w:textDirection w:val="lrTb"/>
            <w:noWrap w:val="false"/>
          </w:tcPr>
          <w:p>
            <w:pPr>
              <w:ind w:firstLine="560"/>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r>
      <w:tr>
        <w:trPr>
          <w:cantSplit/>
        </w:trPr>
        <w:tc>
          <w:tcPr>
            <w:tcW w:w="828" w:type="dxa"/>
            <w:vAlign w:val="top"/>
            <w:textDirection w:val="lrTb"/>
            <w:noWrap w:val="false"/>
          </w:tcPr>
          <w:p>
            <w:pPr>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1950" w:type="dxa"/>
            <w:vAlign w:val="center"/>
            <w:textDirection w:val="lrTb"/>
            <w:noWrap w:val="false"/>
          </w:tcPr>
          <w:p>
            <w:pPr>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2520" w:type="dxa"/>
            <w:vAlign w:val="center"/>
            <w:textDirection w:val="lrTb"/>
            <w:noWrap w:val="false"/>
          </w:tcPr>
          <w:p>
            <w:pPr>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1800" w:type="dxa"/>
            <w:vAlign w:val="center"/>
            <w:textDirection w:val="lrTb"/>
            <w:noWrap w:val="false"/>
          </w:tcPr>
          <w:p>
            <w:pPr>
              <w:ind w:firstLine="560"/>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1800" w:type="dxa"/>
            <w:vAlign w:val="center"/>
            <w:textDirection w:val="lrTb"/>
            <w:noWrap w:val="false"/>
          </w:tcPr>
          <w:p>
            <w:pPr>
              <w:ind w:firstLine="560"/>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r>
      <w:tr>
        <w:trPr>
          <w:cantSplit/>
        </w:trPr>
        <w:tc>
          <w:tcPr>
            <w:tcW w:w="828" w:type="dxa"/>
            <w:vAlign w:val="top"/>
            <w:textDirection w:val="lrTb"/>
            <w:noWrap w:val="false"/>
          </w:tcPr>
          <w:p>
            <w:pPr>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1950" w:type="dxa"/>
            <w:vAlign w:val="center"/>
            <w:textDirection w:val="lrTb"/>
            <w:noWrap w:val="false"/>
          </w:tcPr>
          <w:p>
            <w:pPr>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2520" w:type="dxa"/>
            <w:vAlign w:val="center"/>
            <w:textDirection w:val="lrTb"/>
            <w:noWrap w:val="false"/>
          </w:tcPr>
          <w:p>
            <w:pPr>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1800" w:type="dxa"/>
            <w:vAlign w:val="center"/>
            <w:textDirection w:val="lrTb"/>
            <w:noWrap w:val="false"/>
          </w:tcPr>
          <w:p>
            <w:pPr>
              <w:ind w:firstLine="560"/>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1800" w:type="dxa"/>
            <w:vAlign w:val="center"/>
            <w:textDirection w:val="lrTb"/>
            <w:noWrap w:val="false"/>
          </w:tcPr>
          <w:p>
            <w:pPr>
              <w:ind w:firstLine="560"/>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r>
      <w:tr>
        <w:trPr>
          <w:cantSplit/>
        </w:trPr>
        <w:tc>
          <w:tcPr>
            <w:tcW w:w="828" w:type="dxa"/>
            <w:vAlign w:val="top"/>
            <w:textDirection w:val="lrTb"/>
            <w:noWrap w:val="false"/>
          </w:tcPr>
          <w:p>
            <w:pPr>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1950" w:type="dxa"/>
            <w:vAlign w:val="center"/>
            <w:textDirection w:val="lrTb"/>
            <w:noWrap w:val="false"/>
          </w:tcPr>
          <w:p>
            <w:pPr>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2520" w:type="dxa"/>
            <w:vAlign w:val="center"/>
            <w:textDirection w:val="lrTb"/>
            <w:noWrap w:val="false"/>
          </w:tcPr>
          <w:p>
            <w:pPr>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1800" w:type="dxa"/>
            <w:vAlign w:val="center"/>
            <w:textDirection w:val="lrTb"/>
            <w:noWrap w:val="false"/>
          </w:tcPr>
          <w:p>
            <w:pPr>
              <w:ind w:firstLine="560"/>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1800" w:type="dxa"/>
            <w:vAlign w:val="center"/>
            <w:textDirection w:val="lrTb"/>
            <w:noWrap w:val="false"/>
          </w:tcPr>
          <w:p>
            <w:pPr>
              <w:ind w:firstLine="560"/>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r>
      <w:tr>
        <w:trPr>
          <w:cantSplit/>
        </w:trPr>
        <w:tc>
          <w:tcPr>
            <w:tcW w:w="828" w:type="dxa"/>
            <w:vAlign w:val="top"/>
            <w:textDirection w:val="lrTb"/>
            <w:noWrap w:val="false"/>
          </w:tcPr>
          <w:p>
            <w:pPr>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1950" w:type="dxa"/>
            <w:vAlign w:val="center"/>
            <w:textDirection w:val="lrTb"/>
            <w:noWrap w:val="false"/>
          </w:tcPr>
          <w:p>
            <w:pPr>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2520" w:type="dxa"/>
            <w:vAlign w:val="center"/>
            <w:textDirection w:val="lrTb"/>
            <w:noWrap w:val="false"/>
          </w:tcPr>
          <w:p>
            <w:pPr>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1800" w:type="dxa"/>
            <w:vAlign w:val="center"/>
            <w:textDirection w:val="lrTb"/>
            <w:noWrap w:val="false"/>
          </w:tcPr>
          <w:p>
            <w:pPr>
              <w:ind w:firstLine="560"/>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1800" w:type="dxa"/>
            <w:vAlign w:val="center"/>
            <w:textDirection w:val="lrTb"/>
            <w:noWrap w:val="false"/>
          </w:tcPr>
          <w:p>
            <w:pPr>
              <w:ind w:firstLine="560"/>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r>
      <w:tr>
        <w:trPr>
          <w:cantSplit/>
        </w:trPr>
        <w:tc>
          <w:tcPr>
            <w:tcW w:w="828" w:type="dxa"/>
            <w:vAlign w:val="top"/>
            <w:textDirection w:val="lrTb"/>
            <w:noWrap w:val="false"/>
          </w:tcPr>
          <w:p>
            <w:pPr>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1950" w:type="dxa"/>
            <w:vAlign w:val="center"/>
            <w:textDirection w:val="lrTb"/>
            <w:noWrap w:val="false"/>
          </w:tcPr>
          <w:p>
            <w:pPr>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2520" w:type="dxa"/>
            <w:vAlign w:val="center"/>
            <w:textDirection w:val="lrTb"/>
            <w:noWrap w:val="false"/>
          </w:tcPr>
          <w:p>
            <w:pPr>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1800" w:type="dxa"/>
            <w:vAlign w:val="center"/>
            <w:textDirection w:val="lrTb"/>
            <w:noWrap w:val="false"/>
          </w:tcPr>
          <w:p>
            <w:pPr>
              <w:ind w:firstLine="560"/>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c>
          <w:tcPr>
            <w:tcW w:w="1800" w:type="dxa"/>
            <w:vAlign w:val="center"/>
            <w:textDirection w:val="lrTb"/>
            <w:noWrap w:val="false"/>
          </w:tcPr>
          <w:p>
            <w:pPr>
              <w:ind w:firstLine="560"/>
              <w:jc w:val="center"/>
              <w:spacing w:line="400" w:lineRule="exact"/>
              <w:shd w:val="clear" w:color="auto"/>
              <w:rPr>
                <w:rFonts w:hint="eastAsia" w:ascii="宋体" w:hAnsi="宋体" w:eastAsia="宋体" w:cs="宋体"/>
                <w:color w:val="auto"/>
                <w:spacing w:val="20"/>
                <w:sz w:val="24"/>
                <w:highlight w:val="none"/>
              </w:rPr>
            </w:pPr>
            <w:r>
              <w:rPr>
                <w:rFonts w:hint="eastAsia" w:ascii="宋体" w:hAnsi="宋体" w:eastAsia="宋体" w:cs="宋体"/>
                <w:color w:val="auto"/>
                <w:spacing w:val="20"/>
                <w:sz w:val="24"/>
                <w:highlight w:val="none"/>
              </w:rPr>
            </w:r>
            <w:r/>
          </w:p>
        </w:tc>
      </w:tr>
    </w:tbl>
    <w:p>
      <w:pPr>
        <w:jc w:val="left"/>
        <w:shd w:val="clear" w:color="auto"/>
        <w:tabs>
          <w:tab w:val="left" w:pos="1401"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注：（1）本表不得删除；</w:t>
      </w:r>
      <w:r/>
    </w:p>
    <w:p>
      <w:pPr>
        <w:ind w:left="0" w:firstLine="840"/>
        <w:spacing w:line="400" w:lineRule="exact"/>
        <w:shd w:val="clear" w:color="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w:t>
      </w:r>
      <w:r>
        <w:rPr>
          <w:rFonts w:hint="eastAsia" w:ascii="宋体" w:hAnsi="宋体" w:eastAsia="宋体" w:cs="宋体"/>
          <w:color w:val="auto"/>
          <w:sz w:val="24"/>
          <w:highlight w:val="none"/>
        </w:rPr>
        <w:t xml:space="preserve">投标供应商应根据采购文件要求认真填写，如无任何偏离，在“偏离说明”中注明“无偏离”；</w:t>
      </w:r>
      <w:r/>
    </w:p>
    <w:p>
      <w:pPr>
        <w:spacing w:line="400" w:lineRule="exact"/>
        <w:shd w:val="clear" w:color="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（3）如有偏离项，请于本表中列明偏离内容，如需要可自行延长，其余无偏离内容</w:t>
      </w:r>
      <w:r>
        <w:rPr>
          <w:rFonts w:hint="eastAsia" w:ascii="宋体" w:hAnsi="宋体" w:eastAsia="宋体" w:cs="宋体"/>
          <w:bCs/>
          <w:color w:val="auto"/>
          <w:sz w:val="24"/>
          <w:highlight w:val="none"/>
          <w:lang w:eastAsia="zh-CN"/>
        </w:rPr>
        <w:t xml:space="preserve">无需</w:t>
      </w:r>
      <w:r>
        <w:rPr>
          <w:rFonts w:hint="eastAsia" w:ascii="宋体" w:hAnsi="宋体" w:eastAsia="宋体" w:cs="宋体"/>
          <w:bCs/>
          <w:color w:val="auto"/>
          <w:sz w:val="24"/>
          <w:highlight w:val="none"/>
        </w:rPr>
        <w:t xml:space="preserve">赘述。</w:t>
      </w:r>
      <w:r/>
    </w:p>
    <w:p>
      <w:pPr>
        <w:spacing w:line="400" w:lineRule="exact"/>
        <w:shd w:val="clear" w:color="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spacing w:line="400" w:lineRule="exact"/>
        <w:shd w:val="clear" w:color="auto"/>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投标供应商（盖章）：</w:t>
      </w:r>
      <w:r/>
    </w:p>
    <w:p>
      <w:pPr>
        <w:spacing w:line="400" w:lineRule="exact"/>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法定代表人或授权代表：（签字或盖章）</w:t>
      </w:r>
      <w:r/>
    </w:p>
    <w:p>
      <w:pPr>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hd w:val="clear" w:color="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    年   月   日</w:t>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jc w:val="left"/>
        <w:shd w:val="clear" w:color="auto"/>
        <w:rPr>
          <w:rFonts w:hint="eastAsia" w:ascii="宋体" w:hAnsi="宋体" w:eastAsia="宋体" w:cs="宋体"/>
          <w:b/>
          <w:bCs/>
          <w:color w:val="auto"/>
          <w:sz w:val="28"/>
          <w:szCs w:val="28"/>
          <w:highlight w:val="none"/>
        </w:rPr>
        <w:outlineLvl w:val="0"/>
      </w:pPr>
      <w:r>
        <w:rPr>
          <w:rFonts w:hint="eastAsia" w:ascii="宋体" w:hAnsi="宋体" w:eastAsia="宋体" w:cs="宋体"/>
          <w:b/>
          <w:bCs/>
          <w:color w:val="auto"/>
          <w:sz w:val="28"/>
          <w:szCs w:val="28"/>
          <w:highlight w:val="none"/>
        </w:rPr>
        <w:t xml:space="preserve">（十</w:t>
      </w:r>
      <w:r>
        <w:rPr>
          <w:rFonts w:hint="eastAsia" w:ascii="宋体" w:hAnsi="宋体" w:eastAsia="宋体" w:cs="宋体"/>
          <w:b/>
          <w:bCs/>
          <w:color w:val="auto"/>
          <w:sz w:val="28"/>
          <w:szCs w:val="28"/>
          <w:highlight w:val="none"/>
          <w:lang w:val="en-US" w:eastAsia="zh-CN"/>
        </w:rPr>
        <w:t xml:space="preserve">一</w:t>
      </w:r>
      <w:r>
        <w:rPr>
          <w:rFonts w:hint="eastAsia" w:ascii="宋体" w:hAnsi="宋体" w:eastAsia="宋体" w:cs="宋体"/>
          <w:b/>
          <w:bCs/>
          <w:color w:val="auto"/>
          <w:sz w:val="28"/>
          <w:szCs w:val="28"/>
          <w:highlight w:val="none"/>
        </w:rPr>
        <w:t xml:space="preserve">）中小企业声明函（格式）</w:t>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中小企业声明函（服务）</w:t>
      </w:r>
      <w:r/>
    </w:p>
    <w:p>
      <w:pPr>
        <w:ind w:firstLine="480"/>
        <w:spacing w:line="5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本公司（联合体）郑重声明，根据《政府采购促进中小企业发展管理办法》（财库﹝2020﹞46 号）的规定，本公司 </w:t>
      </w:r>
      <w:r>
        <w:rPr>
          <w:rFonts w:hint="eastAsia" w:ascii="宋体" w:hAnsi="宋体" w:eastAsia="宋体" w:cs="宋体"/>
          <w:bCs/>
          <w:color w:val="auto"/>
          <w:sz w:val="24"/>
          <w:highlight w:val="none"/>
          <w:u w:val="single"/>
        </w:rPr>
        <w:t xml:space="preserve">（联合体）</w:t>
      </w:r>
      <w:r>
        <w:rPr>
          <w:rFonts w:hint="eastAsia" w:ascii="宋体" w:hAnsi="宋体" w:eastAsia="宋体" w:cs="宋体"/>
          <w:bCs/>
          <w:color w:val="auto"/>
          <w:sz w:val="24"/>
          <w:highlight w:val="none"/>
        </w:rPr>
        <w:t xml:space="preserve">参加</w:t>
      </w:r>
      <w:r>
        <w:rPr>
          <w:rFonts w:hint="eastAsia" w:ascii="宋体" w:hAnsi="宋体" w:eastAsia="宋体" w:cs="宋体"/>
          <w:bCs/>
          <w:color w:val="auto"/>
          <w:sz w:val="24"/>
          <w:highlight w:val="none"/>
          <w:u w:val="single"/>
        </w:rPr>
        <w:t xml:space="preserve">（单位名称）</w:t>
      </w:r>
      <w:r>
        <w:rPr>
          <w:rFonts w:hint="eastAsia" w:ascii="宋体" w:hAnsi="宋体" w:eastAsia="宋体" w:cs="宋体"/>
          <w:bCs/>
          <w:color w:val="auto"/>
          <w:sz w:val="24"/>
          <w:highlight w:val="none"/>
        </w:rPr>
        <w:t xml:space="preserve">的</w:t>
      </w:r>
      <w:r>
        <w:rPr>
          <w:rFonts w:hint="eastAsia" w:ascii="宋体" w:hAnsi="宋体" w:eastAsia="宋体" w:cs="宋体"/>
          <w:bCs/>
          <w:color w:val="auto"/>
          <w:sz w:val="24"/>
          <w:highlight w:val="none"/>
          <w:u w:val="single"/>
        </w:rPr>
        <w:t xml:space="preserve">（项目名称）</w:t>
      </w:r>
      <w:r>
        <w:rPr>
          <w:rFonts w:hint="eastAsia" w:ascii="宋体" w:hAnsi="宋体" w:eastAsia="宋体" w:cs="宋体"/>
          <w:bCs/>
          <w:color w:val="auto"/>
          <w:sz w:val="24"/>
          <w:highlight w:val="none"/>
        </w:rPr>
        <w:t xml:space="preserve">采购活动，服务全部由符合政策要求的中小企业承接。相关企业（含联合体中的中小企业、签订分包意向协议的中小企业）的具体情况如下：</w:t>
      </w:r>
      <w:r/>
    </w:p>
    <w:p>
      <w:pPr>
        <w:ind w:firstLine="480"/>
        <w:spacing w:line="5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w:t>
      </w:r>
      <w:r>
        <w:rPr>
          <w:rFonts w:hint="eastAsia" w:ascii="宋体" w:hAnsi="宋体" w:eastAsia="宋体" w:cs="宋体"/>
          <w:bCs/>
          <w:color w:val="auto"/>
          <w:sz w:val="24"/>
          <w:highlight w:val="none"/>
          <w:u w:val="single"/>
        </w:rPr>
        <w:t xml:space="preserve"> （标的名称） </w:t>
      </w:r>
      <w:r>
        <w:rPr>
          <w:rFonts w:hint="eastAsia" w:ascii="宋体" w:hAnsi="宋体" w:eastAsia="宋体" w:cs="宋体"/>
          <w:bCs/>
          <w:color w:val="auto"/>
          <w:sz w:val="24"/>
          <w:highlight w:val="none"/>
        </w:rPr>
        <w:t xml:space="preserve">，属于</w:t>
      </w:r>
      <w:r>
        <w:rPr>
          <w:rFonts w:hint="eastAsia" w:ascii="宋体" w:hAnsi="宋体" w:eastAsia="宋体" w:cs="宋体"/>
          <w:bCs/>
          <w:color w:val="auto"/>
          <w:sz w:val="24"/>
          <w:highlight w:val="none"/>
          <w:u w:val="single"/>
        </w:rPr>
        <w:t xml:space="preserve">（招标文件中明确的所属行业）</w:t>
      </w:r>
      <w:r>
        <w:rPr>
          <w:rFonts w:hint="eastAsia" w:ascii="宋体" w:hAnsi="宋体" w:eastAsia="宋体" w:cs="宋体"/>
          <w:bCs/>
          <w:color w:val="auto"/>
          <w:sz w:val="24"/>
          <w:highlight w:val="none"/>
        </w:rPr>
        <w:t xml:space="preserve">； 承建（承接）企业为</w:t>
      </w:r>
      <w:r>
        <w:rPr>
          <w:rFonts w:hint="eastAsia" w:ascii="宋体" w:hAnsi="宋体" w:eastAsia="宋体" w:cs="宋体"/>
          <w:bCs/>
          <w:color w:val="auto"/>
          <w:sz w:val="24"/>
          <w:highlight w:val="none"/>
          <w:u w:val="single"/>
        </w:rPr>
        <w:t xml:space="preserve">（企业名称）</w:t>
      </w:r>
      <w:r>
        <w:rPr>
          <w:rFonts w:hint="eastAsia" w:ascii="宋体" w:hAnsi="宋体" w:eastAsia="宋体" w:cs="宋体"/>
          <w:bCs/>
          <w:color w:val="auto"/>
          <w:sz w:val="24"/>
          <w:highlight w:val="none"/>
        </w:rPr>
        <w:t xml:space="preserve">，从业人员</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人，营业收入为</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万元，资产总额为</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万元，属于</w:t>
      </w:r>
      <w:r>
        <w:rPr>
          <w:rFonts w:hint="eastAsia" w:ascii="宋体" w:hAnsi="宋体" w:eastAsia="宋体" w:cs="宋体"/>
          <w:bCs/>
          <w:color w:val="auto"/>
          <w:sz w:val="24"/>
          <w:highlight w:val="none"/>
          <w:u w:val="single"/>
        </w:rPr>
        <w:t xml:space="preserve">（中型企业、 小型企业、微型企业）</w:t>
      </w:r>
      <w:r>
        <w:rPr>
          <w:rFonts w:hint="eastAsia" w:ascii="宋体" w:hAnsi="宋体" w:eastAsia="宋体" w:cs="宋体"/>
          <w:bCs/>
          <w:color w:val="auto"/>
          <w:sz w:val="24"/>
          <w:highlight w:val="none"/>
        </w:rPr>
        <w:t xml:space="preserve">；</w:t>
      </w:r>
      <w:r/>
    </w:p>
    <w:p>
      <w:pPr>
        <w:ind w:firstLine="480"/>
        <w:spacing w:line="5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w:t>
      </w:r>
      <w:r>
        <w:rPr>
          <w:rFonts w:hint="eastAsia" w:ascii="宋体" w:hAnsi="宋体" w:eastAsia="宋体" w:cs="宋体"/>
          <w:bCs/>
          <w:color w:val="auto"/>
          <w:sz w:val="24"/>
          <w:highlight w:val="none"/>
          <w:u w:val="single"/>
        </w:rPr>
        <w:t xml:space="preserve"> （标的名称） </w:t>
      </w:r>
      <w:r>
        <w:rPr>
          <w:rFonts w:hint="eastAsia" w:ascii="宋体" w:hAnsi="宋体" w:eastAsia="宋体" w:cs="宋体"/>
          <w:bCs/>
          <w:color w:val="auto"/>
          <w:sz w:val="24"/>
          <w:highlight w:val="none"/>
        </w:rPr>
        <w:t xml:space="preserve">，属于</w:t>
      </w:r>
      <w:r>
        <w:rPr>
          <w:rFonts w:hint="eastAsia" w:ascii="宋体" w:hAnsi="宋体" w:eastAsia="宋体" w:cs="宋体"/>
          <w:bCs/>
          <w:color w:val="auto"/>
          <w:sz w:val="24"/>
          <w:highlight w:val="none"/>
          <w:u w:val="single"/>
        </w:rPr>
        <w:t xml:space="preserve">（招标文件中明确的所属行业）</w:t>
      </w:r>
      <w:r>
        <w:rPr>
          <w:rFonts w:hint="eastAsia" w:ascii="宋体" w:hAnsi="宋体" w:eastAsia="宋体" w:cs="宋体"/>
          <w:bCs/>
          <w:color w:val="auto"/>
          <w:sz w:val="24"/>
          <w:highlight w:val="none"/>
        </w:rPr>
        <w:t xml:space="preserve">； 承建（承接）企业为</w:t>
      </w:r>
      <w:r>
        <w:rPr>
          <w:rFonts w:hint="eastAsia" w:ascii="宋体" w:hAnsi="宋体" w:eastAsia="宋体" w:cs="宋体"/>
          <w:bCs/>
          <w:color w:val="auto"/>
          <w:sz w:val="24"/>
          <w:highlight w:val="none"/>
          <w:u w:val="single"/>
        </w:rPr>
        <w:t xml:space="preserve">（企业名称）</w:t>
      </w:r>
      <w:r>
        <w:rPr>
          <w:rFonts w:hint="eastAsia" w:ascii="宋体" w:hAnsi="宋体" w:eastAsia="宋体" w:cs="宋体"/>
          <w:bCs/>
          <w:color w:val="auto"/>
          <w:sz w:val="24"/>
          <w:highlight w:val="none"/>
        </w:rPr>
        <w:t xml:space="preserve">，从业人员</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人，营业收入为</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万元，资产总额为</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万元，属于</w:t>
      </w:r>
      <w:r>
        <w:rPr>
          <w:rFonts w:hint="eastAsia" w:ascii="宋体" w:hAnsi="宋体" w:eastAsia="宋体" w:cs="宋体"/>
          <w:bCs/>
          <w:color w:val="auto"/>
          <w:sz w:val="24"/>
          <w:highlight w:val="none"/>
          <w:u w:val="single"/>
        </w:rPr>
        <w:t xml:space="preserve">（中型企业、 小型企业、微型企业）</w:t>
      </w:r>
      <w:r>
        <w:rPr>
          <w:rFonts w:hint="eastAsia" w:ascii="宋体" w:hAnsi="宋体" w:eastAsia="宋体" w:cs="宋体"/>
          <w:bCs/>
          <w:color w:val="auto"/>
          <w:sz w:val="24"/>
          <w:highlight w:val="none"/>
        </w:rPr>
        <w:t xml:space="preserve">；</w:t>
      </w:r>
      <w:r/>
    </w:p>
    <w:p>
      <w:pPr>
        <w:ind w:firstLine="480"/>
        <w:spacing w:line="5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w:t>
      </w:r>
      <w:r/>
    </w:p>
    <w:p>
      <w:pPr>
        <w:ind w:firstLine="480"/>
        <w:spacing w:line="5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以上企业，不属于大企业的分支机构，不存在控股股东为大企业的情形，也不存在与大企业的负责人为同一人的情形。 本企业对上述声明内容的真实性负责。如有虚假，将依 法承担相应责任。</w:t>
      </w:r>
      <w:r/>
    </w:p>
    <w:p>
      <w:pPr>
        <w:ind w:firstLine="480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企业名称（盖章）：</w:t>
      </w:r>
      <w:r/>
    </w:p>
    <w:p>
      <w:pPr>
        <w:ind w:firstLine="480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480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日　　　　　　期：</w:t>
      </w:r>
      <w:r/>
    </w:p>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注：1.从业人员、营业收入、资产总额填报上一年度数据，无上一年度数据的新成立企业可不填报。</w:t>
      </w:r>
      <w:r/>
    </w:p>
    <w:p>
      <w:pPr>
        <w:ind w:firstLine="480"/>
        <w:spacing w:line="360" w:lineRule="auto"/>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t xml:space="preserve">2. 成交供应商的《中小企业声明函》将随中标公告进行公示。供应商按照本办法规定提供声明函内容不实的，属于提供虚假材料谋取中标、成交，依照《中华人民共和国政府采购法》等国家有关规定追究相应责任。</w:t>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ind w:firstLine="0"/>
        <w:shd w:val="clear" w:color="auto"/>
        <w:widowControl/>
        <w:rPr>
          <w:rFonts w:hint="eastAsia" w:ascii="宋体" w:hAnsi="宋体" w:eastAsia="宋体" w:cs="宋体"/>
          <w:b/>
          <w:bCs/>
          <w:color w:val="auto"/>
          <w:sz w:val="28"/>
          <w:szCs w:val="28"/>
          <w:highlight w:val="none"/>
        </w:rPr>
        <w:outlineLvl w:val="9"/>
      </w:pPr>
      <w:r>
        <w:rPr>
          <w:rFonts w:hint="eastAsia" w:ascii="宋体" w:hAnsi="宋体" w:eastAsia="宋体" w:cs="宋体"/>
          <w:color w:val="auto"/>
          <w:highlight w:val="none"/>
        </w:rPr>
        <w:br w:type="page" w:clear="all"/>
      </w:r>
      <w:r>
        <w:rPr>
          <w:rFonts w:hint="eastAsia" w:ascii="宋体" w:hAnsi="宋体" w:eastAsia="宋体" w:cs="宋体"/>
          <w:b/>
          <w:bCs/>
          <w:color w:val="auto"/>
          <w:sz w:val="28"/>
          <w:szCs w:val="28"/>
          <w:highlight w:val="none"/>
        </w:rPr>
        <w:t xml:space="preserve">（十</w:t>
      </w:r>
      <w:r>
        <w:rPr>
          <w:rFonts w:hint="eastAsia" w:ascii="宋体" w:hAnsi="宋体" w:eastAsia="宋体" w:cs="宋体"/>
          <w:b/>
          <w:bCs/>
          <w:color w:val="auto"/>
          <w:sz w:val="28"/>
          <w:szCs w:val="28"/>
          <w:highlight w:val="none"/>
          <w:lang w:val="en-US" w:eastAsia="zh-CN"/>
        </w:rPr>
        <w:t xml:space="preserve">二</w:t>
      </w:r>
      <w:r>
        <w:rPr>
          <w:rFonts w:hint="eastAsia" w:ascii="宋体" w:hAnsi="宋体" w:eastAsia="宋体" w:cs="宋体"/>
          <w:b/>
          <w:bCs/>
          <w:color w:val="auto"/>
          <w:sz w:val="28"/>
          <w:szCs w:val="28"/>
          <w:highlight w:val="none"/>
        </w:rPr>
        <w:t xml:space="preserve">）残疾人福利性单位声明函（格式）</w:t>
      </w:r>
      <w:r/>
    </w:p>
    <w:p>
      <w:pPr>
        <w:jc w:val="center"/>
        <w:keepLines w:val="0"/>
        <w:keepNext w:val="0"/>
        <w:pageBreakBefore w:val="0"/>
        <w:spacing w:before="164" w:after="164"/>
        <w:shd w:val="clear" w:color="auto"/>
        <w:widowControl w:val="off"/>
        <w:rPr>
          <w:rFonts w:hint="eastAsia" w:ascii="宋体" w:hAnsi="宋体" w:eastAsia="宋体" w:cs="宋体"/>
          <w:b/>
          <w:bCs/>
          <w:color w:val="auto"/>
          <w:sz w:val="28"/>
          <w:szCs w:val="28"/>
          <w:highlight w:val="none"/>
        </w:rPr>
        <w:outlineLvl w:val="0"/>
      </w:pPr>
      <w:r>
        <w:rPr>
          <w:rFonts w:hint="eastAsia" w:ascii="宋体" w:hAnsi="宋体" w:eastAsia="宋体" w:cs="宋体"/>
          <w:b/>
          <w:bCs/>
          <w:color w:val="auto"/>
          <w:sz w:val="28"/>
          <w:szCs w:val="28"/>
          <w:highlight w:val="none"/>
        </w:rPr>
      </w:r>
      <w:r/>
    </w:p>
    <w:p>
      <w:pPr>
        <w:jc w:val="center"/>
        <w:keepLines w:val="0"/>
        <w:keepNext w:val="0"/>
        <w:pageBreakBefore w:val="0"/>
        <w:spacing w:before="164" w:after="164"/>
        <w:shd w:val="clear" w:color="auto"/>
        <w:widowControl w:val="off"/>
        <w:rPr>
          <w:rFonts w:hint="eastAsia" w:ascii="宋体" w:hAnsi="宋体" w:eastAsia="宋体" w:cs="宋体"/>
          <w:b/>
          <w:bCs/>
          <w:color w:val="auto"/>
          <w:sz w:val="28"/>
          <w:szCs w:val="28"/>
          <w:highlight w:val="none"/>
        </w:rPr>
        <w:outlineLvl w:val="0"/>
      </w:pPr>
      <w:r>
        <w:rPr>
          <w:rFonts w:hint="eastAsia" w:ascii="宋体" w:hAnsi="宋体" w:eastAsia="宋体" w:cs="宋体"/>
          <w:b/>
          <w:bCs/>
          <w:color w:val="auto"/>
          <w:sz w:val="28"/>
          <w:szCs w:val="28"/>
          <w:highlight w:val="none"/>
        </w:rPr>
        <w:t xml:space="preserve">残疾人福利性单位声明函</w:t>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本公司郑重承诺，根据《财政部司法部中国残疾人联合会关于促进残疾人就业政府采购政策的通知》（财库</w:t>
      </w:r>
      <w:r>
        <w:rPr>
          <w:rFonts w:hint="eastAsia" w:ascii="宋体" w:hAnsi="宋体" w:eastAsia="宋体" w:cs="宋体"/>
          <w:color w:val="auto"/>
          <w:sz w:val="24"/>
          <w:szCs w:val="24"/>
          <w:highlight w:val="none"/>
          <w:lang w:eastAsia="zh-CN"/>
        </w:rPr>
        <w:t xml:space="preserve">〔2017〕141号</w:t>
      </w:r>
      <w:r>
        <w:rPr>
          <w:rFonts w:hint="eastAsia" w:ascii="宋体" w:hAnsi="宋体" w:eastAsia="宋体" w:cs="宋体"/>
          <w:color w:val="auto"/>
          <w:sz w:val="24"/>
          <w:szCs w:val="24"/>
          <w:highlight w:val="none"/>
        </w:rPr>
        <w:t xml:space="preserve">）的规定，本单位为符合条件的残疾人福利性单位，且本单位参加单位的项目采购活动提供本企业制造的货物，由本公司承担工程、提供服务，或者提供其他残疾人福利性单位制造的货物（不包括使用非残疾人福利性单位注册商标的货物）。</w:t>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本公司对上述声明的真实性负责。如有虚假，将依法承担相应责任。</w:t>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ab/>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企业名称（盖章）：</w:t>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ind w:firstLine="480"/>
        <w:spacing w:line="360" w:lineRule="auto"/>
        <w:shd w:val="clear" w:color="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日　　　　　　期：</w:t>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outlineLvl w:val="9"/>
      </w:pPr>
      <w:r>
        <w:rPr>
          <w:rFonts w:hint="eastAsia" w:ascii="宋体" w:hAnsi="宋体" w:eastAsia="宋体" w:cs="宋体"/>
          <w:color w:val="auto"/>
          <w:highlight w:val="none"/>
        </w:rPr>
      </w:r>
      <w:r/>
    </w:p>
    <w:p>
      <w:pPr>
        <w:shd w:val="clear" w:color="auto"/>
        <w:rPr>
          <w:rFonts w:hint="eastAsia" w:ascii="宋体" w:hAnsi="宋体" w:eastAsia="宋体" w:cs="宋体"/>
          <w:color w:val="auto"/>
          <w:highlight w:val="none"/>
        </w:rPr>
      </w:pPr>
      <w:r>
        <w:rPr>
          <w:rFonts w:hint="eastAsia" w:ascii="宋体" w:hAnsi="宋体" w:eastAsia="宋体" w:cs="宋体"/>
          <w:color w:val="auto"/>
          <w:highlight w:val="none"/>
        </w:rPr>
        <w:br w:type="page" w:clear="all"/>
      </w:r>
      <w:r/>
    </w:p>
    <w:p>
      <w:pPr>
        <w:ind w:right="17" w:firstLine="0"/>
        <w:jc w:val="both"/>
        <w:spacing w:before="151" w:line="440" w:lineRule="exact"/>
        <w:rPr>
          <w:rFonts w:hint="eastAsia" w:ascii="宋体" w:hAnsi="宋体" w:eastAsia="宋体" w:cs="宋体"/>
          <w:b/>
          <w:color w:val="auto"/>
          <w:sz w:val="28"/>
          <w:szCs w:val="28"/>
          <w:highlight w:val="none"/>
        </w:rPr>
        <w:outlineLvl w:val="1"/>
      </w:pPr>
      <w:r>
        <w:rPr>
          <w:rFonts w:hint="eastAsia" w:ascii="宋体" w:hAnsi="宋体" w:eastAsia="宋体" w:cs="宋体"/>
          <w:b/>
          <w:bCs/>
          <w:color w:val="auto"/>
          <w:sz w:val="28"/>
          <w:szCs w:val="28"/>
          <w:highlight w:val="none"/>
          <w:lang w:eastAsia="zh-CN"/>
        </w:rPr>
        <w:t xml:space="preserve">（</w:t>
      </w:r>
      <w:r>
        <w:rPr>
          <w:rFonts w:hint="eastAsia" w:ascii="宋体" w:hAnsi="宋体" w:eastAsia="宋体" w:cs="宋体"/>
          <w:b/>
          <w:bCs/>
          <w:color w:val="auto"/>
          <w:sz w:val="28"/>
          <w:szCs w:val="28"/>
          <w:highlight w:val="none"/>
          <w:lang w:val="en-US" w:eastAsia="zh-CN"/>
        </w:rPr>
        <w:t xml:space="preserve">十三</w:t>
      </w:r>
      <w:r>
        <w:rPr>
          <w:rFonts w:hint="eastAsia" w:ascii="宋体" w:hAnsi="宋体" w:eastAsia="宋体" w:cs="宋体"/>
          <w:b/>
          <w:bCs/>
          <w:color w:val="auto"/>
          <w:sz w:val="28"/>
          <w:szCs w:val="28"/>
          <w:highlight w:val="none"/>
          <w:lang w:eastAsia="zh-CN"/>
        </w:rPr>
        <w:t xml:space="preserve">）</w:t>
      </w:r>
      <w:r>
        <w:rPr>
          <w:rFonts w:hint="eastAsia" w:ascii="宋体" w:hAnsi="宋体" w:eastAsia="宋体" w:cs="宋体"/>
          <w:b/>
          <w:color w:val="auto"/>
          <w:sz w:val="28"/>
          <w:szCs w:val="28"/>
          <w:highlight w:val="none"/>
        </w:rPr>
        <w:t xml:space="preserve">同类业绩一览表</w:t>
      </w:r>
      <w:r/>
    </w:p>
    <w:tbl>
      <w:tblPr>
        <w:tblStyle w:val="704"/>
        <w:tblpPr w:horzAnchor="page" w:tblpXSpec="center" w:vertAnchor="text" w:tblpY="428" w:leftFromText="180" w:topFromText="0" w:rightFromText="180" w:bottomFromText="0"/>
        <w:tblW w:w="999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77"/>
        <w:gridCol w:w="2124"/>
        <w:gridCol w:w="1276"/>
        <w:gridCol w:w="1635"/>
        <w:gridCol w:w="2100"/>
        <w:gridCol w:w="1884"/>
      </w:tblGrid>
      <w:tr>
        <w:trPr>
          <w:jc w:val="center"/>
          <w:trHeight w:val="933"/>
        </w:trPr>
        <w:tc>
          <w:tcPr>
            <w:tcW w:w="977" w:type="dxa"/>
            <w:vAlign w:val="center"/>
            <w:textDirection w:val="lrTb"/>
            <w:noWrap w:val="false"/>
          </w:tcPr>
          <w:p>
            <w:pPr>
              <w:pStyle w:val="944"/>
              <w:ind w:right="220" w:firstLine="0"/>
              <w:jc w:val="center"/>
              <w:spacing w:line="440" w:lineRule="exact"/>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序号</w:t>
            </w:r>
            <w:r/>
          </w:p>
        </w:tc>
        <w:tc>
          <w:tcPr>
            <w:tcW w:w="2124" w:type="dxa"/>
            <w:vAlign w:val="center"/>
            <w:textDirection w:val="lrTb"/>
            <w:noWrap w:val="false"/>
          </w:tcPr>
          <w:p>
            <w:pPr>
              <w:pStyle w:val="944"/>
              <w:ind w:firstLine="0"/>
              <w:jc w:val="center"/>
              <w:spacing w:line="440" w:lineRule="exact"/>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项目名称</w:t>
            </w:r>
            <w:r/>
          </w:p>
        </w:tc>
        <w:tc>
          <w:tcPr>
            <w:tcW w:w="1276" w:type="dxa"/>
            <w:vAlign w:val="center"/>
            <w:textDirection w:val="lrTb"/>
            <w:noWrap w:val="false"/>
          </w:tcPr>
          <w:p>
            <w:pPr>
              <w:pStyle w:val="944"/>
              <w:ind w:firstLine="0"/>
              <w:jc w:val="center"/>
              <w:spacing w:before="1" w:line="440" w:lineRule="exact"/>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项目时间</w:t>
            </w:r>
            <w:r/>
          </w:p>
        </w:tc>
        <w:tc>
          <w:tcPr>
            <w:tcW w:w="1635" w:type="dxa"/>
            <w:vAlign w:val="center"/>
            <w:textDirection w:val="lrTb"/>
            <w:noWrap w:val="false"/>
          </w:tcPr>
          <w:p>
            <w:pPr>
              <w:pStyle w:val="944"/>
              <w:ind w:left="215" w:right="208" w:firstLine="0"/>
              <w:jc w:val="center"/>
              <w:spacing w:line="440" w:lineRule="exact"/>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合同金额</w:t>
            </w:r>
            <w:r/>
          </w:p>
          <w:p>
            <w:pPr>
              <w:pStyle w:val="944"/>
              <w:ind w:left="215" w:right="208" w:firstLine="0"/>
              <w:jc w:val="center"/>
              <w:spacing w:before="160" w:line="440" w:lineRule="exact"/>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（人民币）</w:t>
            </w:r>
            <w:r/>
          </w:p>
        </w:tc>
        <w:tc>
          <w:tcPr>
            <w:tcW w:w="2100" w:type="dxa"/>
            <w:vAlign w:val="center"/>
            <w:textDirection w:val="lrTb"/>
            <w:noWrap w:val="false"/>
          </w:tcPr>
          <w:p>
            <w:pPr>
              <w:pStyle w:val="944"/>
              <w:ind w:firstLine="0"/>
              <w:jc w:val="center"/>
              <w:spacing w:before="1" w:line="440" w:lineRule="exact"/>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业主单位</w:t>
            </w:r>
            <w:r/>
          </w:p>
        </w:tc>
        <w:tc>
          <w:tcPr>
            <w:tcW w:w="1884" w:type="dxa"/>
            <w:vAlign w:val="center"/>
            <w:textDirection w:val="lrTb"/>
            <w:noWrap w:val="false"/>
          </w:tcPr>
          <w:p>
            <w:pPr>
              <w:pStyle w:val="944"/>
              <w:ind w:left="454" w:right="41" w:hanging="346"/>
              <w:jc w:val="center"/>
              <w:spacing w:before="155" w:line="440" w:lineRule="exact"/>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备注</w:t>
            </w:r>
            <w:r/>
          </w:p>
        </w:tc>
      </w:tr>
      <w:tr>
        <w:trPr>
          <w:jc w:val="center"/>
          <w:trHeight w:val="794"/>
        </w:trPr>
        <w:tc>
          <w:tcPr>
            <w:tcW w:w="977" w:type="dxa"/>
            <w:vAlign w:val="top"/>
            <w:textDirection w:val="lrTb"/>
            <w:noWrap w:val="false"/>
          </w:tcPr>
          <w:p>
            <w:pPr>
              <w:pStyle w:val="944"/>
              <w:ind w:left="7" w:firstLine="0"/>
              <w:jc w:val="center"/>
              <w:spacing w:before="1" w:line="440" w:lineRule="exact"/>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1</w:t>
            </w:r>
            <w:r/>
          </w:p>
        </w:tc>
        <w:tc>
          <w:tcPr>
            <w:tcW w:w="2124" w:type="dxa"/>
            <w:vAlign w:val="top"/>
            <w:textDirection w:val="lrTb"/>
            <w:noWrap w:val="false"/>
          </w:tcPr>
          <w:p>
            <w:pPr>
              <w:pStyle w:val="944"/>
              <w:ind w:firstLine="0"/>
              <w:spacing w:line="440" w:lineRule="exact"/>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r>
            <w:r/>
          </w:p>
        </w:tc>
        <w:tc>
          <w:tcPr>
            <w:tcW w:w="1276" w:type="dxa"/>
            <w:vAlign w:val="top"/>
            <w:textDirection w:val="lrTb"/>
            <w:noWrap w:val="false"/>
          </w:tcPr>
          <w:p>
            <w:pPr>
              <w:pStyle w:val="944"/>
              <w:ind w:firstLine="0"/>
              <w:spacing w:line="440" w:lineRule="exact"/>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r>
            <w:r/>
          </w:p>
        </w:tc>
        <w:tc>
          <w:tcPr>
            <w:tcW w:w="1635" w:type="dxa"/>
            <w:vAlign w:val="top"/>
            <w:textDirection w:val="lrTb"/>
            <w:noWrap w:val="false"/>
          </w:tcPr>
          <w:p>
            <w:pPr>
              <w:pStyle w:val="944"/>
              <w:ind w:firstLine="0"/>
              <w:spacing w:line="440" w:lineRule="exact"/>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r>
            <w:r/>
          </w:p>
        </w:tc>
        <w:tc>
          <w:tcPr>
            <w:tcW w:w="2100" w:type="dxa"/>
            <w:vAlign w:val="top"/>
            <w:textDirection w:val="lrTb"/>
            <w:noWrap w:val="false"/>
          </w:tcPr>
          <w:p>
            <w:pPr>
              <w:pStyle w:val="944"/>
              <w:ind w:firstLine="0"/>
              <w:spacing w:line="440" w:lineRule="exact"/>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r>
            <w:r/>
          </w:p>
        </w:tc>
        <w:tc>
          <w:tcPr>
            <w:tcW w:w="1884" w:type="dxa"/>
            <w:vAlign w:val="top"/>
            <w:textDirection w:val="lrTb"/>
            <w:noWrap w:val="false"/>
          </w:tcPr>
          <w:p>
            <w:pPr>
              <w:pStyle w:val="944"/>
              <w:ind w:firstLine="0"/>
              <w:spacing w:line="440" w:lineRule="exact"/>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r>
            <w:r/>
          </w:p>
        </w:tc>
      </w:tr>
      <w:tr>
        <w:trPr>
          <w:jc w:val="center"/>
          <w:trHeight w:val="794"/>
        </w:trPr>
        <w:tc>
          <w:tcPr>
            <w:tcW w:w="977" w:type="dxa"/>
            <w:vAlign w:val="top"/>
            <w:textDirection w:val="lrTb"/>
            <w:noWrap w:val="false"/>
          </w:tcPr>
          <w:p>
            <w:pPr>
              <w:pStyle w:val="944"/>
              <w:ind w:left="7" w:firstLine="0"/>
              <w:jc w:val="center"/>
              <w:spacing w:before="1" w:line="440" w:lineRule="exact"/>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2</w:t>
            </w:r>
            <w:r/>
          </w:p>
        </w:tc>
        <w:tc>
          <w:tcPr>
            <w:tcW w:w="2124" w:type="dxa"/>
            <w:vAlign w:val="top"/>
            <w:textDirection w:val="lrTb"/>
            <w:noWrap w:val="false"/>
          </w:tcPr>
          <w:p>
            <w:pPr>
              <w:pStyle w:val="944"/>
              <w:ind w:firstLine="0"/>
              <w:spacing w:line="440" w:lineRule="exact"/>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r>
            <w:r/>
          </w:p>
        </w:tc>
        <w:tc>
          <w:tcPr>
            <w:tcW w:w="1276" w:type="dxa"/>
            <w:vAlign w:val="top"/>
            <w:textDirection w:val="lrTb"/>
            <w:noWrap w:val="false"/>
          </w:tcPr>
          <w:p>
            <w:pPr>
              <w:pStyle w:val="944"/>
              <w:ind w:firstLine="0"/>
              <w:spacing w:line="440" w:lineRule="exact"/>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r>
            <w:r/>
          </w:p>
        </w:tc>
        <w:tc>
          <w:tcPr>
            <w:tcW w:w="1635" w:type="dxa"/>
            <w:vAlign w:val="top"/>
            <w:textDirection w:val="lrTb"/>
            <w:noWrap w:val="false"/>
          </w:tcPr>
          <w:p>
            <w:pPr>
              <w:pStyle w:val="944"/>
              <w:ind w:firstLine="0"/>
              <w:spacing w:line="440" w:lineRule="exact"/>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r>
            <w:r/>
          </w:p>
        </w:tc>
        <w:tc>
          <w:tcPr>
            <w:tcW w:w="2100" w:type="dxa"/>
            <w:vAlign w:val="top"/>
            <w:textDirection w:val="lrTb"/>
            <w:noWrap w:val="false"/>
          </w:tcPr>
          <w:p>
            <w:pPr>
              <w:pStyle w:val="944"/>
              <w:ind w:firstLine="0"/>
              <w:spacing w:line="440" w:lineRule="exact"/>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r>
            <w:r/>
          </w:p>
        </w:tc>
        <w:tc>
          <w:tcPr>
            <w:tcW w:w="1884" w:type="dxa"/>
            <w:vAlign w:val="top"/>
            <w:textDirection w:val="lrTb"/>
            <w:noWrap w:val="false"/>
          </w:tcPr>
          <w:p>
            <w:pPr>
              <w:pStyle w:val="944"/>
              <w:ind w:firstLine="0"/>
              <w:spacing w:line="440" w:lineRule="exact"/>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r>
            <w:r/>
          </w:p>
        </w:tc>
      </w:tr>
      <w:tr>
        <w:trPr>
          <w:jc w:val="center"/>
          <w:trHeight w:val="794"/>
        </w:trPr>
        <w:tc>
          <w:tcPr>
            <w:tcW w:w="977" w:type="dxa"/>
            <w:vAlign w:val="top"/>
            <w:textDirection w:val="lrTb"/>
            <w:noWrap w:val="false"/>
          </w:tcPr>
          <w:p>
            <w:pPr>
              <w:pStyle w:val="944"/>
              <w:ind w:left="7" w:firstLine="0"/>
              <w:jc w:val="center"/>
              <w:spacing w:before="1" w:line="440" w:lineRule="exact"/>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3</w:t>
            </w:r>
            <w:r/>
          </w:p>
        </w:tc>
        <w:tc>
          <w:tcPr>
            <w:tcW w:w="2124" w:type="dxa"/>
            <w:vAlign w:val="top"/>
            <w:textDirection w:val="lrTb"/>
            <w:noWrap w:val="false"/>
          </w:tcPr>
          <w:p>
            <w:pPr>
              <w:pStyle w:val="944"/>
              <w:ind w:firstLine="0"/>
              <w:spacing w:line="440" w:lineRule="exact"/>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r>
            <w:r/>
          </w:p>
        </w:tc>
        <w:tc>
          <w:tcPr>
            <w:tcW w:w="1276" w:type="dxa"/>
            <w:vAlign w:val="top"/>
            <w:textDirection w:val="lrTb"/>
            <w:noWrap w:val="false"/>
          </w:tcPr>
          <w:p>
            <w:pPr>
              <w:pStyle w:val="944"/>
              <w:ind w:firstLine="0"/>
              <w:spacing w:line="440" w:lineRule="exact"/>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r>
            <w:r/>
          </w:p>
        </w:tc>
        <w:tc>
          <w:tcPr>
            <w:tcW w:w="1635" w:type="dxa"/>
            <w:vAlign w:val="top"/>
            <w:textDirection w:val="lrTb"/>
            <w:noWrap w:val="false"/>
          </w:tcPr>
          <w:p>
            <w:pPr>
              <w:pStyle w:val="944"/>
              <w:ind w:firstLine="0"/>
              <w:spacing w:line="440" w:lineRule="exact"/>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r>
            <w:r/>
          </w:p>
        </w:tc>
        <w:tc>
          <w:tcPr>
            <w:tcW w:w="2100" w:type="dxa"/>
            <w:vAlign w:val="top"/>
            <w:textDirection w:val="lrTb"/>
            <w:noWrap w:val="false"/>
          </w:tcPr>
          <w:p>
            <w:pPr>
              <w:pStyle w:val="944"/>
              <w:ind w:firstLine="0"/>
              <w:spacing w:line="440" w:lineRule="exact"/>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r>
            <w:r/>
          </w:p>
        </w:tc>
        <w:tc>
          <w:tcPr>
            <w:tcW w:w="1884" w:type="dxa"/>
            <w:vAlign w:val="top"/>
            <w:textDirection w:val="lrTb"/>
            <w:noWrap w:val="false"/>
          </w:tcPr>
          <w:p>
            <w:pPr>
              <w:pStyle w:val="944"/>
              <w:ind w:firstLine="0"/>
              <w:spacing w:line="440" w:lineRule="exact"/>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r>
            <w:r/>
          </w:p>
        </w:tc>
      </w:tr>
      <w:tr>
        <w:trPr>
          <w:jc w:val="center"/>
          <w:trHeight w:val="794"/>
        </w:trPr>
        <w:tc>
          <w:tcPr>
            <w:tcW w:w="977" w:type="dxa"/>
            <w:vAlign w:val="top"/>
            <w:textDirection w:val="lrTb"/>
            <w:noWrap w:val="false"/>
          </w:tcPr>
          <w:p>
            <w:pPr>
              <w:pStyle w:val="944"/>
              <w:ind w:left="7" w:firstLine="0"/>
              <w:jc w:val="center"/>
              <w:spacing w:before="1" w:line="440" w:lineRule="exact"/>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4</w:t>
            </w:r>
            <w:r/>
          </w:p>
        </w:tc>
        <w:tc>
          <w:tcPr>
            <w:tcW w:w="2124" w:type="dxa"/>
            <w:vAlign w:val="top"/>
            <w:textDirection w:val="lrTb"/>
            <w:noWrap w:val="false"/>
          </w:tcPr>
          <w:p>
            <w:pPr>
              <w:pStyle w:val="944"/>
              <w:ind w:firstLine="0"/>
              <w:spacing w:line="440" w:lineRule="exact"/>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r>
            <w:r/>
          </w:p>
        </w:tc>
        <w:tc>
          <w:tcPr>
            <w:tcW w:w="1276" w:type="dxa"/>
            <w:vAlign w:val="top"/>
            <w:textDirection w:val="lrTb"/>
            <w:noWrap w:val="false"/>
          </w:tcPr>
          <w:p>
            <w:pPr>
              <w:pStyle w:val="944"/>
              <w:ind w:firstLine="0"/>
              <w:spacing w:line="440" w:lineRule="exact"/>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r>
            <w:r/>
          </w:p>
        </w:tc>
        <w:tc>
          <w:tcPr>
            <w:tcW w:w="1635" w:type="dxa"/>
            <w:vAlign w:val="top"/>
            <w:textDirection w:val="lrTb"/>
            <w:noWrap w:val="false"/>
          </w:tcPr>
          <w:p>
            <w:pPr>
              <w:pStyle w:val="944"/>
              <w:ind w:firstLine="0"/>
              <w:spacing w:line="440" w:lineRule="exact"/>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r>
            <w:r/>
          </w:p>
        </w:tc>
        <w:tc>
          <w:tcPr>
            <w:tcW w:w="2100" w:type="dxa"/>
            <w:vAlign w:val="top"/>
            <w:textDirection w:val="lrTb"/>
            <w:noWrap w:val="false"/>
          </w:tcPr>
          <w:p>
            <w:pPr>
              <w:pStyle w:val="944"/>
              <w:ind w:firstLine="0"/>
              <w:spacing w:line="440" w:lineRule="exact"/>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r>
            <w:r/>
          </w:p>
        </w:tc>
        <w:tc>
          <w:tcPr>
            <w:tcW w:w="1884" w:type="dxa"/>
            <w:vAlign w:val="top"/>
            <w:textDirection w:val="lrTb"/>
            <w:noWrap w:val="false"/>
          </w:tcPr>
          <w:p>
            <w:pPr>
              <w:pStyle w:val="944"/>
              <w:ind w:firstLine="0"/>
              <w:spacing w:line="440" w:lineRule="exact"/>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r>
            <w:r/>
          </w:p>
        </w:tc>
      </w:tr>
      <w:tr>
        <w:trPr>
          <w:jc w:val="center"/>
          <w:trHeight w:val="794"/>
        </w:trPr>
        <w:tc>
          <w:tcPr>
            <w:tcW w:w="977" w:type="dxa"/>
            <w:vAlign w:val="top"/>
            <w:textDirection w:val="lrTb"/>
            <w:noWrap w:val="false"/>
          </w:tcPr>
          <w:p>
            <w:pPr>
              <w:pStyle w:val="944"/>
              <w:ind w:left="7" w:firstLine="0"/>
              <w:jc w:val="center"/>
              <w:spacing w:before="1" w:line="440" w:lineRule="exact"/>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5</w:t>
            </w:r>
            <w:r/>
          </w:p>
        </w:tc>
        <w:tc>
          <w:tcPr>
            <w:tcW w:w="2124" w:type="dxa"/>
            <w:vAlign w:val="top"/>
            <w:textDirection w:val="lrTb"/>
            <w:noWrap w:val="false"/>
          </w:tcPr>
          <w:p>
            <w:pPr>
              <w:pStyle w:val="944"/>
              <w:ind w:firstLine="0"/>
              <w:spacing w:line="440" w:lineRule="exact"/>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r>
            <w:r/>
          </w:p>
        </w:tc>
        <w:tc>
          <w:tcPr>
            <w:tcW w:w="1276" w:type="dxa"/>
            <w:vAlign w:val="top"/>
            <w:textDirection w:val="lrTb"/>
            <w:noWrap w:val="false"/>
          </w:tcPr>
          <w:p>
            <w:pPr>
              <w:pStyle w:val="944"/>
              <w:ind w:firstLine="0"/>
              <w:spacing w:line="440" w:lineRule="exact"/>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r>
            <w:r/>
          </w:p>
        </w:tc>
        <w:tc>
          <w:tcPr>
            <w:tcW w:w="1635" w:type="dxa"/>
            <w:vAlign w:val="top"/>
            <w:textDirection w:val="lrTb"/>
            <w:noWrap w:val="false"/>
          </w:tcPr>
          <w:p>
            <w:pPr>
              <w:pStyle w:val="944"/>
              <w:ind w:firstLine="0"/>
              <w:spacing w:line="440" w:lineRule="exact"/>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r>
            <w:r/>
          </w:p>
        </w:tc>
        <w:tc>
          <w:tcPr>
            <w:tcW w:w="2100" w:type="dxa"/>
            <w:vAlign w:val="top"/>
            <w:textDirection w:val="lrTb"/>
            <w:noWrap w:val="false"/>
          </w:tcPr>
          <w:p>
            <w:pPr>
              <w:pStyle w:val="944"/>
              <w:ind w:firstLine="0"/>
              <w:spacing w:line="440" w:lineRule="exact"/>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r>
            <w:r/>
          </w:p>
        </w:tc>
        <w:tc>
          <w:tcPr>
            <w:tcW w:w="1884" w:type="dxa"/>
            <w:vAlign w:val="top"/>
            <w:textDirection w:val="lrTb"/>
            <w:noWrap w:val="false"/>
          </w:tcPr>
          <w:p>
            <w:pPr>
              <w:pStyle w:val="944"/>
              <w:ind w:firstLine="0"/>
              <w:spacing w:line="440" w:lineRule="exact"/>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r>
            <w:r/>
          </w:p>
        </w:tc>
      </w:tr>
      <w:tr>
        <w:trPr>
          <w:jc w:val="center"/>
          <w:trHeight w:val="794"/>
        </w:trPr>
        <w:tc>
          <w:tcPr>
            <w:tcW w:w="977" w:type="dxa"/>
            <w:vAlign w:val="top"/>
            <w:textDirection w:val="lrTb"/>
            <w:noWrap w:val="false"/>
          </w:tcPr>
          <w:p>
            <w:pPr>
              <w:pStyle w:val="944"/>
              <w:ind w:left="7" w:firstLine="0"/>
              <w:jc w:val="center"/>
              <w:spacing w:before="1" w:line="440" w:lineRule="exact"/>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t xml:space="preserve">…</w:t>
            </w:r>
            <w:r/>
          </w:p>
        </w:tc>
        <w:tc>
          <w:tcPr>
            <w:tcW w:w="2124" w:type="dxa"/>
            <w:vAlign w:val="top"/>
            <w:textDirection w:val="lrTb"/>
            <w:noWrap w:val="false"/>
          </w:tcPr>
          <w:p>
            <w:pPr>
              <w:pStyle w:val="944"/>
              <w:ind w:firstLine="0"/>
              <w:spacing w:line="440" w:lineRule="exact"/>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r>
            <w:r/>
          </w:p>
        </w:tc>
        <w:tc>
          <w:tcPr>
            <w:tcW w:w="1276" w:type="dxa"/>
            <w:vAlign w:val="top"/>
            <w:textDirection w:val="lrTb"/>
            <w:noWrap w:val="false"/>
          </w:tcPr>
          <w:p>
            <w:pPr>
              <w:pStyle w:val="944"/>
              <w:ind w:firstLine="0"/>
              <w:spacing w:line="440" w:lineRule="exact"/>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r>
            <w:r/>
          </w:p>
        </w:tc>
        <w:tc>
          <w:tcPr>
            <w:tcW w:w="1635" w:type="dxa"/>
            <w:vAlign w:val="top"/>
            <w:textDirection w:val="lrTb"/>
            <w:noWrap w:val="false"/>
          </w:tcPr>
          <w:p>
            <w:pPr>
              <w:pStyle w:val="944"/>
              <w:ind w:firstLine="0"/>
              <w:spacing w:line="440" w:lineRule="exact"/>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r>
            <w:r/>
          </w:p>
        </w:tc>
        <w:tc>
          <w:tcPr>
            <w:tcW w:w="2100" w:type="dxa"/>
            <w:vAlign w:val="top"/>
            <w:textDirection w:val="lrTb"/>
            <w:noWrap w:val="false"/>
          </w:tcPr>
          <w:p>
            <w:pPr>
              <w:pStyle w:val="944"/>
              <w:ind w:firstLine="0"/>
              <w:spacing w:line="440" w:lineRule="exact"/>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r>
            <w:r/>
          </w:p>
        </w:tc>
        <w:tc>
          <w:tcPr>
            <w:tcW w:w="1884" w:type="dxa"/>
            <w:vAlign w:val="top"/>
            <w:textDirection w:val="lrTb"/>
            <w:noWrap w:val="false"/>
          </w:tcPr>
          <w:p>
            <w:pPr>
              <w:pStyle w:val="944"/>
              <w:ind w:firstLine="0"/>
              <w:spacing w:line="440" w:lineRule="exact"/>
              <w:rPr>
                <w:rFonts w:hint="eastAsia" w:ascii="宋体" w:hAnsi="宋体" w:eastAsia="宋体" w:cs="宋体"/>
                <w:color w:val="auto"/>
                <w:szCs w:val="24"/>
                <w:highlight w:val="none"/>
              </w:rPr>
              <w:outlineLvl w:val="9"/>
            </w:pPr>
            <w:r>
              <w:rPr>
                <w:rFonts w:hint="eastAsia" w:ascii="宋体" w:hAnsi="宋体" w:eastAsia="宋体" w:cs="宋体"/>
                <w:color w:val="auto"/>
                <w:szCs w:val="24"/>
                <w:highlight w:val="none"/>
              </w:rPr>
            </w:r>
            <w:r/>
          </w:p>
        </w:tc>
      </w:tr>
    </w:tbl>
    <w:p>
      <w:pPr>
        <w:ind w:right="429" w:firstLine="0"/>
        <w:jc w:val="left"/>
        <w:spacing w:before="63" w:line="480" w:lineRule="auto"/>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r>
      <w:r/>
    </w:p>
    <w:p>
      <w:pPr>
        <w:jc w:val="both"/>
        <w:spacing w:line="48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both"/>
        <w:spacing w:before="10" w:line="48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ind w:right="2263"/>
        <w:jc w:val="right"/>
        <w:spacing w:before="1" w:line="480" w:lineRule="auto"/>
        <w:widowControl w:val="off"/>
        <w:rPr>
          <w:rFonts w:hint="eastAsia" w:ascii="宋体" w:hAnsi="宋体" w:eastAsia="宋体" w:cs="宋体"/>
          <w:color w:val="auto"/>
          <w:spacing w:val="-9"/>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投标供应商（盖章</w:t>
      </w:r>
      <w:r>
        <w:rPr>
          <w:rFonts w:hint="eastAsia" w:ascii="宋体" w:hAnsi="宋体" w:eastAsia="宋体" w:cs="宋体"/>
          <w:color w:val="auto"/>
          <w:spacing w:val="-9"/>
          <w:sz w:val="24"/>
          <w:szCs w:val="24"/>
          <w:highlight w:val="none"/>
          <w:lang w:val="en-US" w:eastAsia="zh-CN" w:bidi="ar-SA"/>
        </w:rPr>
        <w:t xml:space="preserve">）： </w:t>
      </w:r>
      <w:r/>
    </w:p>
    <w:p>
      <w:pPr>
        <w:ind w:right="2263"/>
        <w:jc w:val="right"/>
        <w:spacing w:before="1" w:line="48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pacing w:val="-1"/>
          <w:sz w:val="24"/>
          <w:szCs w:val="24"/>
          <w:highlight w:val="none"/>
          <w:lang w:val="en-US" w:eastAsia="zh-CN" w:bidi="ar-SA"/>
        </w:rPr>
        <w:t xml:space="preserve">法定代表人或法定代表人授权代表签字或盖章：</w:t>
      </w:r>
      <w:r/>
    </w:p>
    <w:p>
      <w:pPr>
        <w:jc w:val="right"/>
        <w:rPr>
          <w:rFonts w:hint="eastAsia" w:ascii="宋体" w:hAnsi="宋体" w:eastAsia="宋体" w:cs="宋体"/>
          <w:b/>
          <w:bCs/>
          <w:color w:val="auto"/>
          <w:sz w:val="28"/>
          <w:szCs w:val="28"/>
          <w:highlight w:val="none"/>
          <w:lang w:eastAsia="zh-CN"/>
        </w:rPr>
      </w:pPr>
      <w:r>
        <w:rPr>
          <w:rFonts w:hint="eastAsia" w:ascii="宋体" w:hAnsi="宋体" w:eastAsia="宋体" w:cs="宋体"/>
          <w:color w:val="auto"/>
          <w:sz w:val="24"/>
          <w:szCs w:val="24"/>
          <w:highlight w:val="none"/>
        </w:rPr>
        <w:t xml:space="preserve">日期：</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日</w:t>
      </w:r>
      <w:r/>
    </w:p>
    <w:p>
      <w:pPr>
        <w:rPr>
          <w:rFonts w:hint="eastAsia" w:ascii="宋体" w:hAnsi="宋体" w:eastAsia="宋体" w:cs="宋体"/>
          <w:b/>
          <w:bCs/>
          <w:color w:val="auto"/>
          <w:sz w:val="28"/>
          <w:szCs w:val="28"/>
          <w:highlight w:val="none"/>
          <w:lang w:eastAsia="zh-CN"/>
        </w:rPr>
      </w:pPr>
      <w:r>
        <w:rPr>
          <w:rFonts w:hint="eastAsia" w:ascii="宋体" w:hAnsi="宋体" w:eastAsia="宋体" w:cs="宋体"/>
          <w:b/>
          <w:bCs/>
          <w:color w:val="auto"/>
          <w:sz w:val="28"/>
          <w:szCs w:val="28"/>
          <w:highlight w:val="none"/>
          <w:lang w:eastAsia="zh-CN"/>
        </w:rPr>
        <w:br w:type="page" w:clear="all"/>
      </w:r>
      <w:r/>
    </w:p>
    <w:p>
      <w:pPr>
        <w:ind w:left="0" w:firstLine="0"/>
        <w:jc w:val="left"/>
        <w:shd w:val="clear" w:color="auto"/>
        <w:rPr>
          <w:rFonts w:hint="eastAsia" w:ascii="宋体" w:hAnsi="宋体" w:eastAsia="宋体" w:cs="宋体"/>
          <w:b/>
          <w:bCs/>
          <w:color w:val="auto"/>
          <w:sz w:val="28"/>
          <w:szCs w:val="28"/>
          <w:highlight w:val="none"/>
        </w:rPr>
        <w:outlineLvl w:val="0"/>
      </w:pPr>
      <w:r>
        <w:rPr>
          <w:rFonts w:hint="eastAsia" w:ascii="宋体" w:hAnsi="宋体" w:eastAsia="宋体" w:cs="宋体"/>
          <w:b/>
          <w:bCs/>
          <w:color w:val="auto"/>
          <w:sz w:val="28"/>
          <w:szCs w:val="28"/>
          <w:highlight w:val="none"/>
          <w:lang w:eastAsia="zh-CN"/>
        </w:rPr>
        <w:t xml:space="preserve">（</w:t>
      </w:r>
      <w:r>
        <w:rPr>
          <w:rFonts w:hint="eastAsia" w:ascii="宋体" w:hAnsi="宋体" w:eastAsia="宋体" w:cs="宋体"/>
          <w:b/>
          <w:bCs/>
          <w:color w:val="auto"/>
          <w:sz w:val="28"/>
          <w:szCs w:val="28"/>
          <w:highlight w:val="none"/>
          <w:lang w:val="en-US" w:eastAsia="zh-CN"/>
        </w:rPr>
        <w:t xml:space="preserve">十四</w:t>
      </w:r>
      <w:r>
        <w:rPr>
          <w:rFonts w:hint="eastAsia" w:ascii="宋体" w:hAnsi="宋体" w:eastAsia="宋体" w:cs="宋体"/>
          <w:b/>
          <w:bCs/>
          <w:color w:val="auto"/>
          <w:sz w:val="28"/>
          <w:szCs w:val="28"/>
          <w:highlight w:val="none"/>
          <w:lang w:eastAsia="zh-CN"/>
        </w:rPr>
        <w:t xml:space="preserve">）</w:t>
      </w:r>
      <w:r>
        <w:rPr>
          <w:rFonts w:hint="eastAsia" w:ascii="宋体" w:hAnsi="宋体" w:eastAsia="宋体" w:cs="宋体"/>
          <w:b/>
          <w:bCs/>
          <w:color w:val="auto"/>
          <w:sz w:val="28"/>
          <w:szCs w:val="28"/>
          <w:highlight w:val="none"/>
        </w:rPr>
        <w:t xml:space="preserve">技术文件格式：</w:t>
      </w:r>
      <w:r/>
    </w:p>
    <w:p>
      <w:pPr>
        <w:jc w:val="center"/>
        <w:keepLines w:val="0"/>
        <w:keepNext w:val="0"/>
        <w:pageBreakBefore w:val="0"/>
        <w:spacing w:before="164" w:after="164"/>
        <w:shd w:val="clear" w:color="auto"/>
        <w:widowControl w:val="off"/>
        <w:rPr>
          <w:rFonts w:hint="eastAsia" w:ascii="宋体" w:hAnsi="宋体" w:eastAsia="宋体" w:cs="宋体"/>
          <w:b/>
          <w:bCs/>
          <w:color w:val="auto"/>
          <w:sz w:val="28"/>
          <w:szCs w:val="28"/>
          <w:highlight w:val="none"/>
        </w:rPr>
        <w:outlineLvl w:val="0"/>
      </w:pPr>
      <w:r>
        <w:rPr>
          <w:rFonts w:hint="eastAsia" w:ascii="宋体" w:hAnsi="宋体" w:eastAsia="宋体" w:cs="宋体"/>
          <w:b/>
          <w:bCs/>
          <w:color w:val="auto"/>
          <w:sz w:val="28"/>
          <w:szCs w:val="28"/>
          <w:highlight w:val="none"/>
        </w:rPr>
        <w:t xml:space="preserve">投标供应商应按评分点编制完整的技术方案，以便评审。</w:t>
      </w:r>
      <w:r/>
    </w:p>
    <w:p>
      <w:pPr>
        <w:shd w:val="clear" w:color="auto"/>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sectPr>
      <w:footnotePr/>
      <w:endnotePr/>
      <w:type w:val="nextPage"/>
      <w:pgSz w:w="11906" w:h="16838" w:orient="portrait"/>
      <w:pgMar w:top="1134" w:right="1134" w:bottom="1134" w:left="1134" w:header="850"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华文细黑">
    <w:panose1 w:val="02010600040101010101"/>
  </w:font>
  <w:font w:name="Cambria">
    <w:panose1 w:val="02040503050406030204"/>
  </w:font>
  <w:font w:name="Wingdings">
    <w:panose1 w:val="05000000000000000000"/>
  </w:font>
  <w:font w:name="_x000B__x000C_">
    <w:panose1 w:val="020B0503020202020204"/>
  </w:font>
  <w:font w:name="Courier New">
    <w:panose1 w:val="02070309020205020404"/>
  </w:font>
  <w:font w:name="Arial">
    <w:panose1 w:val="020B0604020202020204"/>
  </w:font>
  <w:font w:name="Calibri">
    <w:panose1 w:val="020F0502020204030204"/>
  </w:font>
  <w:font w:name="仿宋_GB2312">
    <w:panose1 w:val="02010609060101010101"/>
  </w:font>
  <w:font w:name="华文中宋">
    <w:panose1 w:val="02010600040101010101"/>
  </w:font>
  <w:font w:name="黑体">
    <w:panose1 w:val="020106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20"/>
      <w:jc w:val="left"/>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outlineLvl w:val="0"/>
    </w:pPr>
    <w:r>
      <w:rPr>
        <w:rFonts w:hint="default" w:ascii="Times New Roman" w:hAnsi="Times New Roman" w:eastAsia="宋体"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ind w:firstLine="420"/>
                            <w:jc w:val="left"/>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outlineLvl w:val="0"/>
                          </w:pPr>
                          <w:r>
                            <w:rPr>
                              <w:rFonts w:hint="default" w:ascii="Times New Roman" w:hAnsi="Times New Roman" w:eastAsia="宋体" w:cs="Times New Roman"/>
                              <w:sz w:val="18"/>
                              <w:szCs w:val="18"/>
                              <w:lang w:val="en-US" w:eastAsia="zh-CN" w:bidi="ar-SA"/>
                            </w:rPr>
                            <w:fldChar w:fldCharType="begin"/>
                          </w:r>
                          <w:r>
                            <w:rPr>
                              <w:rFonts w:hint="default" w:ascii="Times New Roman" w:hAnsi="Times New Roman" w:eastAsia="宋体" w:cs="Times New Roman"/>
                              <w:sz w:val="18"/>
                              <w:szCs w:val="18"/>
                              <w:lang w:val="en-US" w:eastAsia="zh-CN" w:bidi="ar-SA"/>
                            </w:rPr>
                            <w:instrText xml:space="preserve"> PAGE  \* MERGEFORMAT </w:instrText>
                          </w:r>
                          <w:r>
                            <w:rPr>
                              <w:rFonts w:hint="default" w:ascii="Times New Roman" w:hAnsi="Times New Roman" w:eastAsia="宋体" w:cs="Times New Roman"/>
                              <w:sz w:val="18"/>
                              <w:szCs w:val="18"/>
                              <w:lang w:val="en-US" w:eastAsia="zh-CN" w:bidi="ar-SA"/>
                            </w:rPr>
                            <w:fldChar w:fldCharType="separate"/>
                          </w:r>
                          <w:r>
                            <w:rPr>
                              <w:rFonts w:hint="default" w:ascii="Times New Roman" w:hAnsi="Times New Roman" w:eastAsia="宋体" w:cs="Times New Roman"/>
                              <w:sz w:val="18"/>
                              <w:szCs w:val="18"/>
                              <w:lang w:val="en-US" w:eastAsia="zh-CN" w:bidi="ar-SA"/>
                            </w:rPr>
                            <w:t xml:space="preserve">- 2 -</w:t>
                          </w:r>
                          <w:r>
                            <w:rPr>
                              <w:rFonts w:hint="default" w:ascii="Times New Roman" w:hAnsi="Times New Roman" w:eastAsia="宋体" w:cs="Times New Roman"/>
                              <w:sz w:val="18"/>
                              <w:szCs w:val="18"/>
                              <w:lang w:val="en-US" w:eastAsia="zh-CN" w:bidi="ar-SA"/>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ind w:firstLine="420"/>
                      <w:jc w:val="left"/>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outlineLvl w:val="0"/>
                    </w:pPr>
                    <w:r>
                      <w:rPr>
                        <w:rFonts w:hint="default" w:ascii="Times New Roman" w:hAnsi="Times New Roman" w:eastAsia="宋体" w:cs="Times New Roman"/>
                        <w:sz w:val="18"/>
                        <w:szCs w:val="18"/>
                        <w:lang w:val="en-US" w:eastAsia="zh-CN" w:bidi="ar-SA"/>
                      </w:rPr>
                      <w:fldChar w:fldCharType="begin"/>
                    </w:r>
                    <w:r>
                      <w:rPr>
                        <w:rFonts w:hint="default" w:ascii="Times New Roman" w:hAnsi="Times New Roman" w:eastAsia="宋体" w:cs="Times New Roman"/>
                        <w:sz w:val="18"/>
                        <w:szCs w:val="18"/>
                        <w:lang w:val="en-US" w:eastAsia="zh-CN" w:bidi="ar-SA"/>
                      </w:rPr>
                      <w:instrText xml:space="preserve"> PAGE  \* MERGEFORMAT </w:instrText>
                    </w:r>
                    <w:r>
                      <w:rPr>
                        <w:rFonts w:hint="default" w:ascii="Times New Roman" w:hAnsi="Times New Roman" w:eastAsia="宋体" w:cs="Times New Roman"/>
                        <w:sz w:val="18"/>
                        <w:szCs w:val="18"/>
                        <w:lang w:val="en-US" w:eastAsia="zh-CN" w:bidi="ar-SA"/>
                      </w:rPr>
                      <w:fldChar w:fldCharType="separate"/>
                    </w:r>
                    <w:r>
                      <w:rPr>
                        <w:rFonts w:hint="default" w:ascii="Times New Roman" w:hAnsi="Times New Roman" w:eastAsia="宋体" w:cs="Times New Roman"/>
                        <w:sz w:val="18"/>
                        <w:szCs w:val="18"/>
                        <w:lang w:val="en-US" w:eastAsia="zh-CN" w:bidi="ar-SA"/>
                      </w:rPr>
                      <w:t xml:space="preserve">- 2 -</w:t>
                    </w:r>
                    <w:r>
                      <w:rPr>
                        <w:rFonts w:hint="default" w:ascii="Times New Roman" w:hAnsi="Times New Roman" w:eastAsia="宋体" w:cs="Times New Roman"/>
                        <w:sz w:val="18"/>
                        <w:szCs w:val="18"/>
                        <w:lang w:val="en-US" w:eastAsia="zh-CN" w:bidi="ar-SA"/>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2"/>
      <w:ind w:firstLine="360"/>
    </w:pPr>
    <w:r/>
    <w:r/>
  </w:p>
  <w:p>
    <w:pPr>
      <w:pStyle w:val="722"/>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20"/>
      <w:jc w:val="center"/>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Bdr>
        <w:bottom w:val="none" w:color="auto" w:sz="0" w:space="0"/>
      </w:pBdr>
      <w:outlineLvl w:val="0"/>
    </w:pPr>
    <w:r>
      <w:rPr>
        <w:rFonts w:hint="default" w:ascii="Times New Roman" w:hAnsi="Times New Roman" w:eastAsia="宋体" w:cs="Times New Roman"/>
        <w:sz w:val="18"/>
        <w:szCs w:val="18"/>
        <w:lang w:val="en-US" w:eastAsia="zh-CN" w:bidi="ar-SA"/>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4"/>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910"/>
      <w:isLgl w:val="false"/>
      <w:suff w:val="tab"/>
      <w:lvlText w:val="%1．"/>
      <w:lvlJc w:val="left"/>
      <w:pPr>
        <w:ind w:left="552" w:hanging="420"/>
        <w:tabs>
          <w:tab w:val="left" w:pos="55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728"/>
      <w:isLgl w:val="false"/>
      <w:suff w:val="nothing"/>
      <w:lvlText w:val="%1．"/>
      <w:lvlJc w:val="left"/>
      <w:pPr>
        <w:ind w:firstLine="400"/>
      </w:pPr>
      <w:rPr>
        <w:rFonts w:hint="default"/>
      </w:rPr>
    </w:lvl>
    <w:lvl w:ilvl="1">
      <w:start w:val="1"/>
      <w:numFmt w:val="bullet"/>
      <w:isLgl w:val="false"/>
      <w:suff w:val="tab"/>
      <w:lvlText w:val=""/>
      <w:lvlJc w:val="left"/>
      <w:pPr>
        <w:ind w:left="3165" w:hanging="420"/>
        <w:tabs>
          <w:tab w:val="left" w:pos="3165" w:leader="none"/>
        </w:tabs>
      </w:pPr>
      <w:rPr>
        <w:rFonts w:hint="default" w:ascii="Wingdings" w:hAnsi="Wingdings"/>
      </w:rPr>
    </w:lvl>
    <w:lvl w:ilvl="2">
      <w:start w:val="1"/>
      <w:numFmt w:val="bullet"/>
      <w:isLgl w:val="false"/>
      <w:suff w:val="tab"/>
      <w:lvlText w:val=""/>
      <w:lvlJc w:val="left"/>
      <w:pPr>
        <w:ind w:left="3585" w:hanging="420"/>
        <w:tabs>
          <w:tab w:val="left" w:pos="3585" w:leader="none"/>
        </w:tabs>
      </w:pPr>
      <w:rPr>
        <w:rFonts w:hint="default" w:ascii="Wingdings" w:hAnsi="Wingdings"/>
      </w:rPr>
    </w:lvl>
    <w:lvl w:ilvl="3">
      <w:start w:val="1"/>
      <w:numFmt w:val="bullet"/>
      <w:isLgl w:val="false"/>
      <w:suff w:val="tab"/>
      <w:lvlText w:val=""/>
      <w:lvlJc w:val="left"/>
      <w:pPr>
        <w:ind w:left="4005" w:hanging="420"/>
        <w:tabs>
          <w:tab w:val="left" w:pos="4005" w:leader="none"/>
        </w:tabs>
      </w:pPr>
      <w:rPr>
        <w:rFonts w:hint="default" w:ascii="Wingdings" w:hAnsi="Wingdings"/>
      </w:rPr>
    </w:lvl>
    <w:lvl w:ilvl="4">
      <w:start w:val="1"/>
      <w:numFmt w:val="bullet"/>
      <w:isLgl w:val="false"/>
      <w:suff w:val="tab"/>
      <w:lvlText w:val=""/>
      <w:lvlJc w:val="left"/>
      <w:pPr>
        <w:ind w:left="4425" w:hanging="420"/>
        <w:tabs>
          <w:tab w:val="left" w:pos="4425" w:leader="none"/>
        </w:tabs>
      </w:pPr>
      <w:rPr>
        <w:rFonts w:hint="default" w:ascii="Wingdings" w:hAnsi="Wingdings"/>
      </w:rPr>
    </w:lvl>
    <w:lvl w:ilvl="5">
      <w:start w:val="1"/>
      <w:numFmt w:val="bullet"/>
      <w:isLgl w:val="false"/>
      <w:suff w:val="tab"/>
      <w:lvlText w:val=""/>
      <w:lvlJc w:val="left"/>
      <w:pPr>
        <w:ind w:left="4845" w:hanging="420"/>
        <w:tabs>
          <w:tab w:val="left" w:pos="4845" w:leader="none"/>
        </w:tabs>
      </w:pPr>
      <w:rPr>
        <w:rFonts w:hint="default" w:ascii="Wingdings" w:hAnsi="Wingdings"/>
      </w:rPr>
    </w:lvl>
    <w:lvl w:ilvl="6">
      <w:start w:val="1"/>
      <w:numFmt w:val="bullet"/>
      <w:isLgl w:val="false"/>
      <w:suff w:val="tab"/>
      <w:lvlText w:val=""/>
      <w:lvlJc w:val="left"/>
      <w:pPr>
        <w:ind w:left="5265" w:hanging="420"/>
        <w:tabs>
          <w:tab w:val="left" w:pos="5265" w:leader="none"/>
        </w:tabs>
      </w:pPr>
      <w:rPr>
        <w:rFonts w:hint="default" w:ascii="Wingdings" w:hAnsi="Wingdings"/>
      </w:rPr>
    </w:lvl>
    <w:lvl w:ilvl="7">
      <w:start w:val="1"/>
      <w:numFmt w:val="bullet"/>
      <w:isLgl w:val="false"/>
      <w:suff w:val="tab"/>
      <w:lvlText w:val=""/>
      <w:lvlJc w:val="left"/>
      <w:pPr>
        <w:ind w:left="5685" w:hanging="420"/>
        <w:tabs>
          <w:tab w:val="left" w:pos="5685" w:leader="none"/>
        </w:tabs>
      </w:pPr>
      <w:rPr>
        <w:rFonts w:hint="default" w:ascii="Wingdings" w:hAnsi="Wingdings"/>
      </w:rPr>
    </w:lvl>
    <w:lvl w:ilvl="8">
      <w:start w:val="1"/>
      <w:numFmt w:val="bullet"/>
      <w:isLgl w:val="false"/>
      <w:suff w:val="tab"/>
      <w:lvlText w:val=""/>
      <w:lvlJc w:val="left"/>
      <w:pPr>
        <w:ind w:left="6105" w:hanging="420"/>
        <w:tabs>
          <w:tab w:val="left" w:pos="6105" w:leader="none"/>
        </w:tabs>
      </w:pPr>
      <w:rPr>
        <w:rFonts w:hint="default" w:ascii="Wingdings" w:hAnsi="Wingdings"/>
      </w:rPr>
    </w:lvl>
  </w:abstractNum>
  <w:abstractNum w:abstractNumId="3">
    <w:multiLevelType w:val="hybridMultilevel"/>
    <w:lvl w:ilvl="0">
      <w:start w:val="1"/>
      <w:numFmt w:val="chineseCountingThousand"/>
      <w:pStyle w:val="694"/>
      <w:isLgl w:val="false"/>
      <w:suff w:val="tab"/>
      <w:lvlText w:val="第%1部分"/>
      <w:lvlJc w:val="left"/>
      <w:pPr>
        <w:ind w:left="425" w:hanging="425"/>
        <w:tabs>
          <w:tab w:val="left" w:pos="1800" w:leader="none"/>
        </w:tabs>
      </w:pPr>
      <w:rPr>
        <w:rFonts w:hint="eastAsia"/>
      </w:rPr>
    </w:lvl>
    <w:lvl w:ilvl="1">
      <w:start w:val="1"/>
      <w:numFmt w:val="decimal"/>
      <w:pStyle w:val="695"/>
      <w:isLgl w:val="false"/>
      <w:suff w:val="tab"/>
      <w:lvlText w:val="%1.%2"/>
      <w:lvlJc w:val="left"/>
      <w:pPr>
        <w:ind w:left="567" w:hanging="567"/>
        <w:tabs>
          <w:tab w:val="left" w:pos="567" w:leader="none"/>
        </w:tabs>
      </w:pPr>
      <w:rPr>
        <w:rFonts w:hint="eastAsia"/>
      </w:rPr>
    </w:lvl>
    <w:lvl w:ilvl="2">
      <w:start w:val="1"/>
      <w:numFmt w:val="decimal"/>
      <w:isLgl w:val="false"/>
      <w:suff w:val="tab"/>
      <w:lvlText w:val="%1.%2.%3"/>
      <w:lvlJc w:val="left"/>
      <w:pPr>
        <w:ind w:left="340" w:hanging="340"/>
        <w:tabs>
          <w:tab w:val="left" w:pos="1080"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1080" w:leader="none"/>
        </w:tabs>
      </w:pPr>
      <w:rPr>
        <w:rFonts w:hint="eastAsia"/>
      </w:rPr>
    </w:lvl>
    <w:lvl w:ilvl="5">
      <w:start w:val="1"/>
      <w:numFmt w:val="decimal"/>
      <w:isLgl w:val="false"/>
      <w:suff w:val="tab"/>
      <w:lvlText w:val="%1.%2.%3.%4.%5.%6"/>
      <w:lvlJc w:val="left"/>
      <w:pPr>
        <w:ind w:left="1134" w:hanging="1134"/>
        <w:tabs>
          <w:tab w:val="left" w:pos="1440"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4">
    <w:multiLevelType w:val="hybridMultilevel"/>
    <w:lvl w:ilvl="0">
      <w:start w:val="1"/>
      <w:numFmt w:val="decimal"/>
      <w:isLgl w:val="false"/>
      <w:suff w:val="nothing"/>
      <w:lvlText w:val="%1．"/>
      <w:lvlJc w:val="left"/>
      <w:pPr>
        <w:ind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1710" w:hanging="720"/>
        <w:tabs>
          <w:tab w:val="left" w:pos="1710" w:leader="none"/>
        </w:tabs>
      </w:pPr>
      <w:rPr>
        <w:rFonts w:hint="eastAsia" w:cs="Times New Roman"/>
      </w:rPr>
    </w:lvl>
    <w:lvl w:ilvl="1">
      <w:start w:val="2"/>
      <w:numFmt w:val="decimal"/>
      <w:isLgl w:val="false"/>
      <w:suff w:val="tab"/>
      <w:lvlText w:val="%2."/>
      <w:lvlJc w:val="left"/>
      <w:pPr>
        <w:ind w:left="1770" w:hanging="360"/>
        <w:tabs>
          <w:tab w:val="left" w:pos="1770" w:leader="none"/>
        </w:tabs>
      </w:pPr>
      <w:rPr>
        <w:rFonts w:hint="default" w:cs="Times New Roman"/>
      </w:rPr>
    </w:lvl>
    <w:lvl w:ilvl="2">
      <w:start w:val="1"/>
      <w:numFmt w:val="lowerRoman"/>
      <w:isLgl w:val="false"/>
      <w:suff w:val="tab"/>
      <w:lvlText w:val="%3."/>
      <w:lvlJc w:val="right"/>
      <w:pPr>
        <w:ind w:left="2250" w:hanging="420"/>
        <w:tabs>
          <w:tab w:val="left" w:pos="2250" w:leader="none"/>
        </w:tabs>
      </w:pPr>
      <w:rPr>
        <w:rFonts w:cs="Times New Roman"/>
      </w:rPr>
    </w:lvl>
    <w:lvl w:ilvl="3">
      <w:start w:val="1"/>
      <w:numFmt w:val="decimal"/>
      <w:isLgl w:val="false"/>
      <w:suff w:val="tab"/>
      <w:lvlText w:val="%4."/>
      <w:lvlJc w:val="left"/>
      <w:pPr>
        <w:ind w:left="2670" w:hanging="420"/>
        <w:tabs>
          <w:tab w:val="left" w:pos="2670" w:leader="none"/>
        </w:tabs>
      </w:pPr>
      <w:rPr>
        <w:rFonts w:cs="Times New Roman"/>
      </w:rPr>
    </w:lvl>
    <w:lvl w:ilvl="4">
      <w:start w:val="1"/>
      <w:numFmt w:val="lowerLetter"/>
      <w:isLgl w:val="false"/>
      <w:suff w:val="tab"/>
      <w:lvlText w:val="%5)"/>
      <w:lvlJc w:val="left"/>
      <w:pPr>
        <w:ind w:left="3090" w:hanging="420"/>
        <w:tabs>
          <w:tab w:val="left" w:pos="3090" w:leader="none"/>
        </w:tabs>
      </w:pPr>
      <w:rPr>
        <w:rFonts w:cs="Times New Roman"/>
      </w:rPr>
    </w:lvl>
    <w:lvl w:ilvl="5">
      <w:start w:val="1"/>
      <w:numFmt w:val="lowerRoman"/>
      <w:isLgl w:val="false"/>
      <w:suff w:val="tab"/>
      <w:lvlText w:val="%6."/>
      <w:lvlJc w:val="right"/>
      <w:pPr>
        <w:ind w:left="3510" w:hanging="420"/>
        <w:tabs>
          <w:tab w:val="left" w:pos="3510" w:leader="none"/>
        </w:tabs>
      </w:pPr>
      <w:rPr>
        <w:rFonts w:cs="Times New Roman"/>
      </w:rPr>
    </w:lvl>
    <w:lvl w:ilvl="6">
      <w:start w:val="1"/>
      <w:numFmt w:val="decimal"/>
      <w:isLgl w:val="false"/>
      <w:suff w:val="tab"/>
      <w:lvlText w:val="%7."/>
      <w:lvlJc w:val="left"/>
      <w:pPr>
        <w:ind w:left="3930" w:hanging="420"/>
        <w:tabs>
          <w:tab w:val="left" w:pos="3930" w:leader="none"/>
        </w:tabs>
      </w:pPr>
      <w:rPr>
        <w:rFonts w:cs="Times New Roman"/>
      </w:rPr>
    </w:lvl>
    <w:lvl w:ilvl="7">
      <w:start w:val="1"/>
      <w:numFmt w:val="lowerLetter"/>
      <w:isLgl w:val="false"/>
      <w:suff w:val="tab"/>
      <w:lvlText w:val="%8)"/>
      <w:lvlJc w:val="left"/>
      <w:pPr>
        <w:ind w:left="4350" w:hanging="420"/>
        <w:tabs>
          <w:tab w:val="left" w:pos="4350" w:leader="none"/>
        </w:tabs>
      </w:pPr>
      <w:rPr>
        <w:rFonts w:cs="Times New Roman"/>
      </w:rPr>
    </w:lvl>
    <w:lvl w:ilvl="8">
      <w:start w:val="1"/>
      <w:numFmt w:val="lowerRoman"/>
      <w:isLgl w:val="false"/>
      <w:suff w:val="tab"/>
      <w:lvlText w:val="%9."/>
      <w:lvlJc w:val="right"/>
      <w:pPr>
        <w:ind w:left="4770" w:hanging="420"/>
        <w:tabs>
          <w:tab w:val="left" w:pos="4770" w:leader="none"/>
        </w:tabs>
      </w:pPr>
      <w:rPr>
        <w:rFonts w:cs="Times New Roman"/>
      </w:rPr>
    </w:lvl>
  </w:abstractNum>
  <w:abstractNum w:abstractNumId="6">
    <w:multiLevelType w:val="hybridMultilevel"/>
    <w:lvl w:ilvl="0">
      <w:start w:val="1"/>
      <w:numFmt w:val="bullet"/>
      <w:pStyle w:val="900"/>
      <w:isLgl w:val="false"/>
      <w:suff w:val="tab"/>
      <w:lvlText w:val=""/>
      <w:lvlJc w:val="left"/>
      <w:pPr>
        <w:ind w:left="420" w:hanging="420"/>
        <w:tabs>
          <w:tab w:val="left" w:pos="420" w:leader="none"/>
        </w:tabs>
      </w:pPr>
      <w:rPr>
        <w:rFonts w:ascii="Wingdings" w:hAnsi="Wingdings"/>
      </w:rPr>
    </w:lvl>
    <w:lvl w:ilvl="1">
      <w:start w:val="1"/>
      <w:numFmt w:val="bullet"/>
      <w:isLgl w:val="false"/>
      <w:suff w:val="tab"/>
      <w:lvlText w:val=""/>
      <w:lvlJc w:val="left"/>
      <w:pPr>
        <w:ind w:left="3165" w:hanging="420"/>
        <w:tabs>
          <w:tab w:val="left" w:pos="3165" w:leader="none"/>
        </w:tabs>
      </w:pPr>
      <w:rPr>
        <w:rFonts w:ascii="Wingdings" w:hAnsi="Wingdings"/>
      </w:rPr>
    </w:lvl>
    <w:lvl w:ilvl="2">
      <w:start w:val="1"/>
      <w:numFmt w:val="bullet"/>
      <w:isLgl w:val="false"/>
      <w:suff w:val="tab"/>
      <w:lvlText w:val=""/>
      <w:lvlJc w:val="left"/>
      <w:pPr>
        <w:ind w:left="3585" w:hanging="420"/>
        <w:tabs>
          <w:tab w:val="left" w:pos="3585" w:leader="none"/>
        </w:tabs>
      </w:pPr>
      <w:rPr>
        <w:rFonts w:ascii="Wingdings" w:hAnsi="Wingdings"/>
      </w:rPr>
    </w:lvl>
    <w:lvl w:ilvl="3">
      <w:start w:val="1"/>
      <w:numFmt w:val="bullet"/>
      <w:isLgl w:val="false"/>
      <w:suff w:val="tab"/>
      <w:lvlText w:val=""/>
      <w:lvlJc w:val="left"/>
      <w:pPr>
        <w:ind w:left="4005" w:hanging="420"/>
        <w:tabs>
          <w:tab w:val="left" w:pos="4005" w:leader="none"/>
        </w:tabs>
      </w:pPr>
      <w:rPr>
        <w:rFonts w:ascii="Wingdings" w:hAnsi="Wingdings"/>
      </w:rPr>
    </w:lvl>
    <w:lvl w:ilvl="4">
      <w:start w:val="1"/>
      <w:numFmt w:val="bullet"/>
      <w:isLgl w:val="false"/>
      <w:suff w:val="tab"/>
      <w:lvlText w:val=""/>
      <w:lvlJc w:val="left"/>
      <w:pPr>
        <w:ind w:left="4425" w:hanging="420"/>
        <w:tabs>
          <w:tab w:val="left" w:pos="4425" w:leader="none"/>
        </w:tabs>
      </w:pPr>
      <w:rPr>
        <w:rFonts w:ascii="Wingdings" w:hAnsi="Wingdings"/>
      </w:rPr>
    </w:lvl>
    <w:lvl w:ilvl="5">
      <w:start w:val="1"/>
      <w:numFmt w:val="bullet"/>
      <w:isLgl w:val="false"/>
      <w:suff w:val="tab"/>
      <w:lvlText w:val=""/>
      <w:lvlJc w:val="left"/>
      <w:pPr>
        <w:ind w:left="4845" w:hanging="420"/>
        <w:tabs>
          <w:tab w:val="left" w:pos="4845" w:leader="none"/>
        </w:tabs>
      </w:pPr>
      <w:rPr>
        <w:rFonts w:ascii="Wingdings" w:hAnsi="Wingdings"/>
      </w:rPr>
    </w:lvl>
    <w:lvl w:ilvl="6">
      <w:start w:val="1"/>
      <w:numFmt w:val="bullet"/>
      <w:isLgl w:val="false"/>
      <w:suff w:val="tab"/>
      <w:lvlText w:val=""/>
      <w:lvlJc w:val="left"/>
      <w:pPr>
        <w:ind w:left="5265" w:hanging="420"/>
        <w:tabs>
          <w:tab w:val="left" w:pos="5265" w:leader="none"/>
        </w:tabs>
      </w:pPr>
      <w:rPr>
        <w:rFonts w:ascii="Wingdings" w:hAnsi="Wingdings"/>
      </w:rPr>
    </w:lvl>
    <w:lvl w:ilvl="7">
      <w:start w:val="1"/>
      <w:numFmt w:val="bullet"/>
      <w:isLgl w:val="false"/>
      <w:suff w:val="tab"/>
      <w:lvlText w:val=""/>
      <w:lvlJc w:val="left"/>
      <w:pPr>
        <w:ind w:left="5685" w:hanging="420"/>
        <w:tabs>
          <w:tab w:val="left" w:pos="5685" w:leader="none"/>
        </w:tabs>
      </w:pPr>
      <w:rPr>
        <w:rFonts w:ascii="Wingdings" w:hAnsi="Wingdings"/>
      </w:rPr>
    </w:lvl>
    <w:lvl w:ilvl="8">
      <w:start w:val="1"/>
      <w:numFmt w:val="bullet"/>
      <w:isLgl w:val="false"/>
      <w:suff w:val="tab"/>
      <w:lvlText w:val=""/>
      <w:lvlJc w:val="left"/>
      <w:pPr>
        <w:ind w:left="6105" w:hanging="420"/>
        <w:tabs>
          <w:tab w:val="left" w:pos="6105" w:leader="none"/>
        </w:tabs>
      </w:pPr>
      <w:rPr>
        <w:rFonts w:ascii="Wingdings" w:hAnsi="Wingdings"/>
      </w:rPr>
    </w:lvl>
  </w:abstractNum>
  <w:abstractNum w:abstractNumId="7">
    <w:multiLevelType w:val="hybridMultilevel"/>
    <w:lvl w:ilvl="0">
      <w:start w:val="1"/>
      <w:numFmt w:val="decimal"/>
      <w:isLgl w:val="false"/>
      <w:suff w:val="tab"/>
      <w:lvlText w:val="%1."/>
      <w:lvlJc w:val="left"/>
      <w:pPr>
        <w:ind w:left="510" w:hanging="360"/>
        <w:tabs>
          <w:tab w:val="left" w:pos="510" w:leader="none"/>
        </w:tabs>
      </w:pPr>
      <w:rPr>
        <w:rFonts w:hint="eastAsia" w:cs="Times New Roman"/>
      </w:rPr>
    </w:lvl>
    <w:lvl w:ilvl="1">
      <w:start w:val="1"/>
      <w:numFmt w:val="decimal"/>
      <w:isLgl w:val="false"/>
      <w:suff w:val="tab"/>
      <w:lvlText w:val="%2．"/>
      <w:lvlJc w:val="left"/>
      <w:pPr>
        <w:ind w:left="1290" w:hanging="720"/>
        <w:tabs>
          <w:tab w:val="left" w:pos="1290" w:leader="none"/>
        </w:tabs>
      </w:pPr>
      <w:rPr>
        <w:rFonts w:hint="eastAsia" w:cs="Times New Roman"/>
      </w:rPr>
    </w:lvl>
    <w:lvl w:ilvl="2">
      <w:start w:val="3"/>
      <w:numFmt w:val="decimal"/>
      <w:isLgl w:val="false"/>
      <w:suff w:val="tab"/>
      <w:lvlText w:val="（%3）"/>
      <w:lvlJc w:val="left"/>
      <w:pPr>
        <w:ind w:left="1140" w:hanging="720"/>
        <w:tabs>
          <w:tab w:val="left" w:pos="1140" w:leader="none"/>
        </w:tabs>
      </w:pPr>
      <w:rPr>
        <w:rFonts w:hint="eastAsia" w:cs="Times New Roman"/>
      </w:rPr>
    </w:lvl>
    <w:lvl w:ilvl="3">
      <w:start w:val="1"/>
      <w:numFmt w:val="decimal"/>
      <w:isLgl w:val="false"/>
      <w:suff w:val="tab"/>
      <w:lvlText w:val="（%4）"/>
      <w:lvlJc w:val="left"/>
      <w:pPr>
        <w:ind w:left="1830" w:hanging="420"/>
        <w:tabs>
          <w:tab w:val="left" w:pos="1830" w:leader="none"/>
        </w:tabs>
      </w:pPr>
      <w:rPr>
        <w:rFonts w:ascii="宋体" w:hAnsi="宋体" w:eastAsia="宋体" w:cs="Times New Roman"/>
      </w:rPr>
    </w:lvl>
    <w:lvl w:ilvl="4">
      <w:start w:val="1"/>
      <w:numFmt w:val="decimal"/>
      <w:isLgl w:val="false"/>
      <w:suff w:val="tab"/>
      <w:lvlText w:val="（%5）"/>
      <w:lvlJc w:val="left"/>
      <w:pPr>
        <w:ind w:left="846" w:hanging="420"/>
        <w:tabs>
          <w:tab w:val="left" w:pos="846" w:leader="none"/>
        </w:tabs>
      </w:pPr>
      <w:rPr>
        <w:rFonts w:hint="eastAsia" w:cs="Times New Roman"/>
      </w:rPr>
    </w:lvl>
    <w:lvl w:ilvl="5">
      <w:start w:val="10"/>
      <w:numFmt w:val="japaneseCounting"/>
      <w:isLgl w:val="false"/>
      <w:suff w:val="tab"/>
      <w:lvlText w:val="（%6）"/>
      <w:lvlJc w:val="left"/>
      <w:pPr>
        <w:ind w:left="2970" w:hanging="720"/>
      </w:pPr>
      <w:rPr>
        <w:rFonts w:hint="default" w:cs="Times New Roman"/>
      </w:rPr>
    </w:lvl>
    <w:lvl w:ilvl="6">
      <w:start w:val="1"/>
      <w:numFmt w:val="decimal"/>
      <w:isLgl w:val="false"/>
      <w:suff w:val="tab"/>
      <w:lvlText w:val="%7."/>
      <w:lvlJc w:val="left"/>
      <w:pPr>
        <w:ind w:left="3090" w:hanging="420"/>
        <w:tabs>
          <w:tab w:val="left" w:pos="3090" w:leader="none"/>
        </w:tabs>
      </w:pPr>
      <w:rPr>
        <w:rFonts w:cs="Times New Roman"/>
      </w:rPr>
    </w:lvl>
    <w:lvl w:ilvl="7">
      <w:start w:val="1"/>
      <w:numFmt w:val="lowerLetter"/>
      <w:isLgl w:val="false"/>
      <w:suff w:val="tab"/>
      <w:lvlText w:val="%8)"/>
      <w:lvlJc w:val="left"/>
      <w:pPr>
        <w:ind w:left="3510" w:hanging="420"/>
        <w:tabs>
          <w:tab w:val="left" w:pos="3510" w:leader="none"/>
        </w:tabs>
      </w:pPr>
      <w:rPr>
        <w:rFonts w:cs="Times New Roman"/>
      </w:rPr>
    </w:lvl>
    <w:lvl w:ilvl="8">
      <w:start w:val="1"/>
      <w:numFmt w:val="lowerRoman"/>
      <w:isLgl w:val="false"/>
      <w:suff w:val="tab"/>
      <w:lvlText w:val="%9."/>
      <w:lvlJc w:val="right"/>
      <w:pPr>
        <w:ind w:left="3930" w:hanging="420"/>
        <w:tabs>
          <w:tab w:val="left" w:pos="3930" w:leader="none"/>
        </w:tabs>
      </w:pPr>
      <w:rPr>
        <w:rFonts w:cs="Times New Roman"/>
      </w:r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3" w:default="1">
    <w:name w:val="Normal"/>
    <w:next w:val="705"/>
    <w:uiPriority w:val="0"/>
    <w:qFormat/>
    <w:pPr>
      <w:ind w:firstLine="420"/>
      <w:widowControl w:val="off"/>
      <w:outlineLvl w:val="0"/>
    </w:pPr>
    <w:rPr>
      <w:rFonts w:hint="default" w:ascii="Times New Roman" w:hAnsi="Times New Roman" w:eastAsia="宋体" w:cs="Times New Roman"/>
      <w:sz w:val="21"/>
      <w:szCs w:val="21"/>
      <w:lang w:val="en-US" w:eastAsia="zh-CN" w:bidi="ar-SA"/>
    </w:rPr>
  </w:style>
  <w:style w:type="paragraph" w:styleId="694">
    <w:name w:val="Heading 1"/>
    <w:basedOn w:val="693"/>
    <w:next w:val="693"/>
    <w:uiPriority w:val="99"/>
    <w:qFormat/>
    <w:pPr>
      <w:numPr>
        <w:ilvl w:val="0"/>
        <w:numId w:val="1"/>
      </w:numPr>
      <w:jc w:val="center"/>
      <w:keepLines/>
      <w:keepNext/>
      <w:spacing w:line="578" w:lineRule="auto"/>
      <w:tabs>
        <w:tab w:val="clear" w:pos="1800" w:leader="none"/>
      </w:tabs>
    </w:pPr>
    <w:rPr>
      <w:rFonts w:ascii="黑体" w:hAnsi="Calibri" w:eastAsia="黑体" w:cs="黑体"/>
      <w:b/>
      <w:bCs/>
      <w:sz w:val="44"/>
      <w:szCs w:val="44"/>
    </w:rPr>
  </w:style>
  <w:style w:type="paragraph" w:styleId="695">
    <w:name w:val="Heading 2"/>
    <w:basedOn w:val="693"/>
    <w:next w:val="693"/>
    <w:uiPriority w:val="99"/>
    <w:qFormat/>
    <w:pPr>
      <w:numPr>
        <w:ilvl w:val="1"/>
        <w:numId w:val="1"/>
      </w:numPr>
      <w:keepLines/>
      <w:keepNext/>
      <w:spacing w:line="415" w:lineRule="auto"/>
      <w:tabs>
        <w:tab w:val="clear" w:pos="567" w:leader="none"/>
      </w:tabs>
      <w:outlineLvl w:val="1"/>
    </w:pPr>
    <w:rPr>
      <w:rFonts w:ascii="Arial" w:hAnsi="Arial" w:eastAsia="黑体" w:cs="Arial"/>
      <w:sz w:val="32"/>
      <w:szCs w:val="32"/>
    </w:rPr>
  </w:style>
  <w:style w:type="paragraph" w:styleId="696">
    <w:name w:val="Heading 3"/>
    <w:basedOn w:val="693"/>
    <w:next w:val="693"/>
    <w:uiPriority w:val="99"/>
    <w:qFormat/>
    <w:pPr>
      <w:ind w:firstLine="640"/>
      <w:jc w:val="center"/>
      <w:keepLines/>
      <w:keepNext/>
      <w:spacing w:line="415" w:lineRule="auto"/>
      <w:outlineLvl w:val="2"/>
    </w:pPr>
    <w:rPr>
      <w:rFonts w:ascii="黑体" w:eastAsia="黑体" w:cs="黑体"/>
      <w:sz w:val="32"/>
      <w:szCs w:val="32"/>
    </w:rPr>
  </w:style>
  <w:style w:type="paragraph" w:styleId="697">
    <w:name w:val="Heading 4"/>
    <w:basedOn w:val="693"/>
    <w:next w:val="693"/>
    <w:uiPriority w:val="99"/>
    <w:qFormat/>
    <w:pPr>
      <w:ind w:firstLine="0"/>
      <w:keepLines/>
      <w:keepNext/>
      <w:spacing w:line="377" w:lineRule="auto"/>
      <w:tabs>
        <w:tab w:val="left" w:pos="1080" w:leader="none"/>
        <w:tab w:val="left" w:pos="1800" w:leader="none"/>
      </w:tabs>
      <w:outlineLvl w:val="3"/>
    </w:pPr>
    <w:rPr>
      <w:rFonts w:ascii="Arial" w:hAnsi="Arial" w:eastAsia="黑体" w:cs="Arial"/>
      <w:b/>
      <w:bCs/>
      <w:sz w:val="28"/>
      <w:szCs w:val="28"/>
    </w:rPr>
  </w:style>
  <w:style w:type="paragraph" w:styleId="698">
    <w:name w:val="Heading 5"/>
    <w:basedOn w:val="693"/>
    <w:next w:val="693"/>
    <w:link w:val="755"/>
    <w:uiPriority w:val="9"/>
    <w:unhideWhenUsed/>
    <w:qFormat/>
    <w:pPr>
      <w:keepLines/>
      <w:keepNext/>
      <w:spacing w:before="320" w:after="200"/>
      <w:outlineLvl w:val="4"/>
    </w:pPr>
    <w:rPr>
      <w:rFonts w:ascii="Arial" w:hAnsi="Arial" w:eastAsia="Arial" w:cs="Arial"/>
      <w:b/>
      <w:bCs/>
      <w:sz w:val="24"/>
      <w:szCs w:val="24"/>
    </w:rPr>
  </w:style>
  <w:style w:type="paragraph" w:styleId="699">
    <w:name w:val="Heading 6"/>
    <w:basedOn w:val="693"/>
    <w:next w:val="693"/>
    <w:link w:val="756"/>
    <w:uiPriority w:val="9"/>
    <w:unhideWhenUsed/>
    <w:qFormat/>
    <w:pPr>
      <w:keepLines/>
      <w:keepNext/>
      <w:spacing w:before="320" w:after="200"/>
      <w:outlineLvl w:val="5"/>
    </w:pPr>
    <w:rPr>
      <w:rFonts w:ascii="Arial" w:hAnsi="Arial" w:eastAsia="Arial" w:cs="Arial"/>
      <w:b/>
      <w:bCs/>
      <w:sz w:val="22"/>
      <w:szCs w:val="22"/>
    </w:rPr>
  </w:style>
  <w:style w:type="paragraph" w:styleId="700">
    <w:name w:val="Heading 7"/>
    <w:basedOn w:val="693"/>
    <w:next w:val="693"/>
    <w:link w:val="757"/>
    <w:uiPriority w:val="9"/>
    <w:unhideWhenUsed/>
    <w:qFormat/>
    <w:pPr>
      <w:keepLines/>
      <w:keepNext/>
      <w:spacing w:before="320" w:after="200"/>
      <w:outlineLvl w:val="6"/>
    </w:pPr>
    <w:rPr>
      <w:rFonts w:ascii="Arial" w:hAnsi="Arial" w:eastAsia="Arial" w:cs="Arial"/>
      <w:b/>
      <w:bCs/>
      <w:i/>
      <w:iCs/>
      <w:sz w:val="22"/>
      <w:szCs w:val="22"/>
    </w:rPr>
  </w:style>
  <w:style w:type="paragraph" w:styleId="701">
    <w:name w:val="Heading 8"/>
    <w:basedOn w:val="693"/>
    <w:next w:val="693"/>
    <w:link w:val="758"/>
    <w:uiPriority w:val="9"/>
    <w:unhideWhenUsed/>
    <w:qFormat/>
    <w:pPr>
      <w:keepLines/>
      <w:keepNext/>
      <w:spacing w:before="320" w:after="200"/>
      <w:outlineLvl w:val="7"/>
    </w:pPr>
    <w:rPr>
      <w:rFonts w:ascii="Arial" w:hAnsi="Arial" w:eastAsia="Arial" w:cs="Arial"/>
      <w:i/>
      <w:iCs/>
      <w:sz w:val="22"/>
      <w:szCs w:val="22"/>
    </w:rPr>
  </w:style>
  <w:style w:type="paragraph" w:styleId="702">
    <w:name w:val="Heading 9"/>
    <w:basedOn w:val="693"/>
    <w:next w:val="693"/>
    <w:link w:val="759"/>
    <w:uiPriority w:val="9"/>
    <w:unhideWhenUsed/>
    <w:qFormat/>
    <w:pPr>
      <w:keepLines/>
      <w:keepNext/>
      <w:spacing w:before="320" w:after="200"/>
      <w:outlineLvl w:val="8"/>
    </w:pPr>
    <w:rPr>
      <w:rFonts w:ascii="Arial" w:hAnsi="Arial" w:eastAsia="Arial" w:cs="Arial"/>
      <w:i/>
      <w:iCs/>
      <w:sz w:val="21"/>
      <w:szCs w:val="21"/>
    </w:rPr>
  </w:style>
  <w:style w:type="character" w:styleId="703" w:default="1">
    <w:name w:val="Default Paragraph Font"/>
    <w:uiPriority w:val="1"/>
    <w:semiHidden/>
    <w:unhideWhenUsed/>
    <w:qFormat/>
  </w:style>
  <w:style w:type="table" w:styleId="704" w:default="1">
    <w:name w:val="Normal Table"/>
    <w:uiPriority w:val="99"/>
    <w:semiHidden/>
    <w:unhideWhenUsed/>
    <w:qFormat/>
    <w:tblPr>
      <w:tblCellMar>
        <w:left w:w="108" w:type="dxa"/>
        <w:top w:w="0" w:type="dxa"/>
        <w:right w:w="108" w:type="dxa"/>
        <w:bottom w:w="0" w:type="dxa"/>
      </w:tblCellMar>
    </w:tblPr>
  </w:style>
  <w:style w:type="paragraph" w:styleId="705" w:customStyle="1">
    <w:name w:val="正文文本11"/>
    <w:uiPriority w:val="99"/>
    <w:qFormat/>
    <w:pPr>
      <w:jc w:val="both"/>
      <w:widowControl w:val="off"/>
    </w:pPr>
    <w:rPr>
      <w:rFonts w:hint="default" w:ascii="华文中宋" w:hAnsi="Calibri" w:eastAsia="华文中宋" w:cs="Times New Roman"/>
      <w:bCs/>
      <w:sz w:val="28"/>
      <w:lang w:val="en-US" w:eastAsia="zh-CN" w:bidi="ar-SA"/>
    </w:rPr>
  </w:style>
  <w:style w:type="paragraph" w:styleId="706">
    <w:name w:val="toc 7"/>
    <w:basedOn w:val="693"/>
    <w:next w:val="693"/>
    <w:uiPriority w:val="39"/>
    <w:unhideWhenUsed/>
    <w:qFormat/>
    <w:pPr>
      <w:ind w:left="1701" w:right="0" w:firstLine="0"/>
      <w:spacing w:after="57"/>
    </w:pPr>
  </w:style>
  <w:style w:type="paragraph" w:styleId="707">
    <w:name w:val="Normal Indent"/>
    <w:basedOn w:val="693"/>
    <w:uiPriority w:val="99"/>
    <w:qFormat/>
    <w:pPr>
      <w:widowControl/>
    </w:pPr>
    <w:rPr>
      <w:sz w:val="20"/>
      <w:szCs w:val="20"/>
    </w:rPr>
  </w:style>
  <w:style w:type="paragraph" w:styleId="708">
    <w:name w:val="Caption"/>
    <w:basedOn w:val="693"/>
    <w:next w:val="693"/>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709">
    <w:name w:val="Document Map"/>
    <w:basedOn w:val="693"/>
    <w:uiPriority w:val="0"/>
    <w:qFormat/>
    <w:pPr>
      <w:shd w:val="clear" w:color="auto" w:fill="000080"/>
    </w:pPr>
  </w:style>
  <w:style w:type="paragraph" w:styleId="710">
    <w:name w:val="annotation text"/>
    <w:basedOn w:val="693"/>
    <w:link w:val="915"/>
    <w:uiPriority w:val="99"/>
    <w:semiHidden/>
    <w:qFormat/>
  </w:style>
  <w:style w:type="paragraph" w:styleId="711">
    <w:name w:val="Body Text"/>
    <w:basedOn w:val="693"/>
    <w:next w:val="712"/>
    <w:uiPriority w:val="99"/>
    <w:qFormat/>
    <w:pPr>
      <w:ind w:firstLine="560"/>
      <w:jc w:val="center"/>
    </w:pPr>
    <w:rPr>
      <w:rFonts w:ascii="仿宋_GB2312" w:eastAsia="仿宋_GB2312" w:cs="仿宋_GB2312"/>
      <w:sz w:val="28"/>
      <w:szCs w:val="28"/>
    </w:rPr>
  </w:style>
  <w:style w:type="paragraph" w:styleId="712">
    <w:name w:val="toc 2"/>
    <w:basedOn w:val="693"/>
    <w:next w:val="693"/>
    <w:uiPriority w:val="0"/>
    <w:qFormat/>
    <w:pPr>
      <w:ind w:left="210"/>
      <w:spacing w:line="288" w:lineRule="auto"/>
    </w:pPr>
    <w:rPr>
      <w:sz w:val="20"/>
      <w:szCs w:val="20"/>
    </w:rPr>
  </w:style>
  <w:style w:type="paragraph" w:styleId="713">
    <w:name w:val="Body Text Indent"/>
    <w:basedOn w:val="693"/>
    <w:uiPriority w:val="0"/>
    <w:qFormat/>
    <w:pPr>
      <w:ind w:left="156"/>
      <w:spacing w:line="300" w:lineRule="auto"/>
      <w:widowControl/>
    </w:pPr>
    <w:rPr>
      <w:rFonts w:ascii="仿宋_GB2312" w:eastAsia="仿宋_GB2312"/>
      <w:sz w:val="28"/>
    </w:rPr>
  </w:style>
  <w:style w:type="paragraph" w:styleId="714">
    <w:name w:val="Block Text"/>
    <w:basedOn w:val="693"/>
    <w:uiPriority w:val="99"/>
    <w:qFormat/>
    <w:pPr>
      <w:ind w:left="420" w:right="33"/>
    </w:pPr>
    <w:rPr>
      <w:sz w:val="24"/>
      <w:szCs w:val="24"/>
    </w:rPr>
  </w:style>
  <w:style w:type="paragraph" w:styleId="715">
    <w:name w:val="index 4"/>
    <w:basedOn w:val="693"/>
    <w:next w:val="693"/>
    <w:uiPriority w:val="99"/>
    <w:qFormat/>
    <w:pPr>
      <w:ind w:left="600"/>
    </w:pPr>
    <w:rPr>
      <w:szCs w:val="24"/>
    </w:rPr>
  </w:style>
  <w:style w:type="paragraph" w:styleId="716">
    <w:name w:val="toc 5"/>
    <w:basedOn w:val="693"/>
    <w:next w:val="693"/>
    <w:uiPriority w:val="39"/>
    <w:unhideWhenUsed/>
    <w:qFormat/>
    <w:pPr>
      <w:ind w:left="1134" w:right="0" w:firstLine="0"/>
      <w:spacing w:after="57"/>
    </w:pPr>
  </w:style>
  <w:style w:type="paragraph" w:styleId="717">
    <w:name w:val="toc 3"/>
    <w:basedOn w:val="693"/>
    <w:next w:val="693"/>
    <w:uiPriority w:val="39"/>
    <w:unhideWhenUsed/>
    <w:qFormat/>
    <w:pPr>
      <w:ind w:left="567" w:right="0" w:firstLine="0"/>
      <w:spacing w:after="57"/>
    </w:pPr>
  </w:style>
  <w:style w:type="paragraph" w:styleId="718">
    <w:name w:val="Plain Text"/>
    <w:basedOn w:val="693"/>
    <w:uiPriority w:val="99"/>
    <w:qFormat/>
    <w:rPr>
      <w:rFonts w:ascii="宋体" w:cs="宋体"/>
    </w:rPr>
  </w:style>
  <w:style w:type="paragraph" w:styleId="719">
    <w:name w:val="toc 8"/>
    <w:basedOn w:val="693"/>
    <w:next w:val="693"/>
    <w:uiPriority w:val="39"/>
    <w:unhideWhenUsed/>
    <w:qFormat/>
    <w:pPr>
      <w:ind w:left="1984" w:right="0" w:firstLine="0"/>
      <w:spacing w:after="57"/>
    </w:pPr>
  </w:style>
  <w:style w:type="paragraph" w:styleId="720">
    <w:name w:val="endnote text"/>
    <w:basedOn w:val="693"/>
    <w:link w:val="896"/>
    <w:uiPriority w:val="99"/>
    <w:semiHidden/>
    <w:unhideWhenUsed/>
    <w:qFormat/>
    <w:pPr>
      <w:spacing w:after="0" w:line="240" w:lineRule="auto"/>
    </w:pPr>
    <w:rPr>
      <w:sz w:val="20"/>
    </w:rPr>
  </w:style>
  <w:style w:type="paragraph" w:styleId="721">
    <w:name w:val="Balloon Text"/>
    <w:basedOn w:val="693"/>
    <w:link w:val="917"/>
    <w:uiPriority w:val="0"/>
    <w:qFormat/>
    <w:rPr>
      <w:sz w:val="18"/>
      <w:szCs w:val="18"/>
    </w:rPr>
  </w:style>
  <w:style w:type="paragraph" w:styleId="722">
    <w:name w:val="Footer"/>
    <w:basedOn w:val="693"/>
    <w:uiPriority w:val="99"/>
    <w:qFormat/>
    <w:pPr>
      <w:tabs>
        <w:tab w:val="center" w:pos="4153" w:leader="none"/>
        <w:tab w:val="right" w:pos="8306" w:leader="none"/>
      </w:tabs>
    </w:pPr>
    <w:rPr>
      <w:sz w:val="18"/>
      <w:szCs w:val="18"/>
    </w:rPr>
  </w:style>
  <w:style w:type="paragraph" w:styleId="723">
    <w:name w:val="envelope return"/>
    <w:basedOn w:val="693"/>
    <w:uiPriority w:val="0"/>
    <w:qFormat/>
    <w:rPr>
      <w:rFonts w:ascii="Arial" w:hAnsi="Arial"/>
    </w:rPr>
  </w:style>
  <w:style w:type="paragraph" w:styleId="724">
    <w:name w:val="Header"/>
    <w:basedOn w:val="693"/>
    <w:link w:val="931"/>
    <w:uiPriority w:val="0"/>
    <w:qFormat/>
    <w:pPr>
      <w:jc w:val="center"/>
      <w:tabs>
        <w:tab w:val="center" w:pos="4153" w:leader="none"/>
        <w:tab w:val="right" w:pos="8306" w:leader="none"/>
      </w:tabs>
      <w:pBdr>
        <w:bottom w:val="single" w:color="auto" w:sz="6" w:space="1"/>
      </w:pBdr>
    </w:pPr>
    <w:rPr>
      <w:sz w:val="18"/>
      <w:szCs w:val="18"/>
    </w:rPr>
  </w:style>
  <w:style w:type="paragraph" w:styleId="725">
    <w:name w:val="toc 1"/>
    <w:basedOn w:val="693"/>
    <w:next w:val="693"/>
    <w:uiPriority w:val="39"/>
    <w:unhideWhenUsed/>
    <w:qFormat/>
    <w:pPr>
      <w:ind w:left="0" w:right="0" w:firstLine="0"/>
      <w:spacing w:after="57"/>
    </w:pPr>
  </w:style>
  <w:style w:type="paragraph" w:styleId="726">
    <w:name w:val="toc 4"/>
    <w:basedOn w:val="693"/>
    <w:next w:val="693"/>
    <w:uiPriority w:val="39"/>
    <w:unhideWhenUsed/>
    <w:qFormat/>
    <w:pPr>
      <w:ind w:left="850" w:right="0" w:firstLine="0"/>
      <w:spacing w:after="57"/>
    </w:pPr>
  </w:style>
  <w:style w:type="paragraph" w:styleId="727">
    <w:name w:val="Subtitle"/>
    <w:basedOn w:val="693"/>
    <w:link w:val="762"/>
    <w:uiPriority w:val="11"/>
    <w:qFormat/>
    <w:pPr>
      <w:spacing w:before="200" w:after="200"/>
    </w:pPr>
    <w:rPr>
      <w:sz w:val="24"/>
      <w:szCs w:val="24"/>
    </w:rPr>
  </w:style>
  <w:style w:type="paragraph" w:styleId="728">
    <w:name w:val="List"/>
    <w:basedOn w:val="693"/>
    <w:uiPriority w:val="0"/>
    <w:qFormat/>
    <w:pPr>
      <w:numPr>
        <w:ilvl w:val="0"/>
        <w:numId w:val="2"/>
      </w:numPr>
      <w:spacing w:after="20" w:line="288" w:lineRule="auto"/>
    </w:pPr>
    <w:rPr>
      <w:szCs w:val="20"/>
      <w:lang w:val="en-GB"/>
    </w:rPr>
  </w:style>
  <w:style w:type="paragraph" w:styleId="729">
    <w:name w:val="footnote text"/>
    <w:basedOn w:val="693"/>
    <w:link w:val="895"/>
    <w:uiPriority w:val="99"/>
    <w:semiHidden/>
    <w:unhideWhenUsed/>
    <w:qFormat/>
    <w:pPr>
      <w:spacing w:after="40" w:line="240" w:lineRule="auto"/>
    </w:pPr>
    <w:rPr>
      <w:sz w:val="18"/>
    </w:rPr>
  </w:style>
  <w:style w:type="paragraph" w:styleId="730">
    <w:name w:val="toc 6"/>
    <w:basedOn w:val="693"/>
    <w:next w:val="693"/>
    <w:uiPriority w:val="39"/>
    <w:unhideWhenUsed/>
    <w:qFormat/>
    <w:pPr>
      <w:ind w:left="1417" w:right="0" w:firstLine="0"/>
      <w:spacing w:after="57"/>
    </w:pPr>
  </w:style>
  <w:style w:type="paragraph" w:styleId="731">
    <w:name w:val="table of figures"/>
    <w:basedOn w:val="693"/>
    <w:next w:val="693"/>
    <w:uiPriority w:val="99"/>
    <w:unhideWhenUsed/>
    <w:qFormat/>
    <w:pPr>
      <w:spacing w:after="0" w:afterAutospacing="0"/>
    </w:pPr>
  </w:style>
  <w:style w:type="paragraph" w:styleId="732">
    <w:name w:val="toc 9"/>
    <w:basedOn w:val="693"/>
    <w:next w:val="693"/>
    <w:uiPriority w:val="39"/>
    <w:unhideWhenUsed/>
    <w:qFormat/>
    <w:pPr>
      <w:ind w:left="2268" w:right="0" w:firstLine="0"/>
      <w:spacing w:after="57"/>
    </w:pPr>
  </w:style>
  <w:style w:type="paragraph" w:styleId="733">
    <w:name w:val="Body Text 2"/>
    <w:basedOn w:val="693"/>
    <w:uiPriority w:val="0"/>
    <w:qFormat/>
    <w:pPr>
      <w:spacing w:after="120" w:line="480" w:lineRule="auto"/>
    </w:pPr>
    <w:rPr>
      <w:rFonts w:ascii="Calibri" w:hAnsi="Calibri"/>
    </w:rPr>
  </w:style>
  <w:style w:type="paragraph" w:styleId="734">
    <w:name w:val="HTML Preformatted"/>
    <w:basedOn w:val="693"/>
    <w:uiPriority w:val="0"/>
    <w:qFormat/>
    <w:pPr>
      <w:spacing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735">
    <w:name w:val="Normal (Web)"/>
    <w:basedOn w:val="693"/>
    <w:link w:val="930"/>
    <w:uiPriority w:val="0"/>
    <w:qFormat/>
    <w:pPr>
      <w:ind w:firstLine="480"/>
      <w:spacing w:before="100" w:beforeAutospacing="1" w:after="100" w:afterAutospacing="1" w:line="288" w:lineRule="auto"/>
      <w:widowControl/>
      <w:outlineLvl w:val="1"/>
    </w:pPr>
    <w:rPr>
      <w:rFonts w:hAnsi="宋体"/>
      <w:sz w:val="24"/>
      <w:szCs w:val="24"/>
    </w:rPr>
  </w:style>
  <w:style w:type="paragraph" w:styleId="736">
    <w:name w:val="Title"/>
    <w:basedOn w:val="693"/>
    <w:uiPriority w:val="99"/>
    <w:qFormat/>
    <w:pPr>
      <w:jc w:val="center"/>
      <w:spacing w:line="288" w:lineRule="auto"/>
    </w:pPr>
    <w:rPr>
      <w:rFonts w:ascii="Arial" w:hAnsi="Arial" w:cs="Arial"/>
      <w:b/>
      <w:bCs/>
      <w:sz w:val="32"/>
      <w:szCs w:val="32"/>
    </w:rPr>
  </w:style>
  <w:style w:type="paragraph" w:styleId="737">
    <w:name w:val="annotation subject"/>
    <w:basedOn w:val="710"/>
    <w:next w:val="710"/>
    <w:link w:val="916"/>
    <w:uiPriority w:val="0"/>
    <w:qFormat/>
    <w:rPr>
      <w:b/>
      <w:bCs/>
    </w:rPr>
  </w:style>
  <w:style w:type="paragraph" w:styleId="738">
    <w:name w:val="Body Text First Indent"/>
    <w:basedOn w:val="711"/>
    <w:uiPriority w:val="0"/>
    <w:qFormat/>
    <w:pPr>
      <w:ind w:firstLine="420"/>
      <w:spacing w:after="120" w:line="440" w:lineRule="exact"/>
    </w:pPr>
    <w:rPr>
      <w:rFonts w:ascii="宋体"/>
      <w:sz w:val="24"/>
    </w:rPr>
  </w:style>
  <w:style w:type="paragraph" w:styleId="739">
    <w:name w:val="Body Text First Indent 2"/>
    <w:basedOn w:val="713"/>
    <w:uiPriority w:val="0"/>
    <w:qFormat/>
    <w:pPr>
      <w:ind w:left="0" w:firstLine="210"/>
      <w:spacing w:line="240" w:lineRule="auto"/>
      <w:widowControl w:val="off"/>
    </w:pPr>
    <w:rPr>
      <w:rFonts w:ascii="Times New Roman" w:hAnsi="宋体" w:eastAsia="宋体"/>
      <w:color w:val="000000"/>
      <w:spacing w:val="-8"/>
      <w:sz w:val="21"/>
      <w:szCs w:val="24"/>
    </w:rPr>
  </w:style>
  <w:style w:type="table" w:styleId="740">
    <w:name w:val="Table Grid"/>
    <w:basedOn w:val="704"/>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41">
    <w:name w:val="Strong"/>
    <w:basedOn w:val="703"/>
    <w:uiPriority w:val="0"/>
    <w:qFormat/>
    <w:rPr>
      <w:b/>
      <w:sz w:val="24"/>
      <w:szCs w:val="24"/>
    </w:rPr>
  </w:style>
  <w:style w:type="character" w:styleId="742">
    <w:name w:val="endnote reference"/>
    <w:basedOn w:val="703"/>
    <w:uiPriority w:val="99"/>
    <w:semiHidden/>
    <w:unhideWhenUsed/>
    <w:qFormat/>
    <w:rPr>
      <w:vertAlign w:val="superscript"/>
    </w:rPr>
  </w:style>
  <w:style w:type="character" w:styleId="743">
    <w:name w:val="page number"/>
    <w:basedOn w:val="703"/>
    <w:uiPriority w:val="0"/>
    <w:qFormat/>
  </w:style>
  <w:style w:type="character" w:styleId="744">
    <w:name w:val="FollowedHyperlink"/>
    <w:basedOn w:val="703"/>
    <w:uiPriority w:val="0"/>
    <w:qFormat/>
    <w:rPr>
      <w:color w:val="551a8b"/>
      <w:u w:val="single"/>
    </w:rPr>
  </w:style>
  <w:style w:type="character" w:styleId="745">
    <w:name w:val="Emphasis"/>
    <w:basedOn w:val="703"/>
    <w:uiPriority w:val="0"/>
    <w:qFormat/>
    <w:rPr>
      <w:color w:val="d73130"/>
      <w:sz w:val="24"/>
      <w:szCs w:val="24"/>
    </w:rPr>
  </w:style>
  <w:style w:type="character" w:styleId="746">
    <w:name w:val="HTML Typewriter"/>
    <w:basedOn w:val="703"/>
    <w:uiPriority w:val="99"/>
    <w:qFormat/>
    <w:rPr>
      <w:rFonts w:ascii="宋体" w:hAnsi="宋体" w:eastAsia="宋体" w:cs="宋体"/>
      <w:sz w:val="24"/>
      <w:szCs w:val="24"/>
    </w:rPr>
  </w:style>
  <w:style w:type="character" w:styleId="747">
    <w:name w:val="Hyperlink"/>
    <w:basedOn w:val="703"/>
    <w:uiPriority w:val="0"/>
    <w:qFormat/>
    <w:rPr>
      <w:color w:val="2438cf"/>
      <w:u w:val="single"/>
    </w:rPr>
  </w:style>
  <w:style w:type="character" w:styleId="748">
    <w:name w:val="annotation reference"/>
    <w:uiPriority w:val="0"/>
    <w:semiHidden/>
    <w:qFormat/>
    <w:rPr>
      <w:sz w:val="21"/>
      <w:szCs w:val="21"/>
    </w:rPr>
  </w:style>
  <w:style w:type="character" w:styleId="749">
    <w:name w:val="HTML Cite"/>
    <w:basedOn w:val="703"/>
    <w:uiPriority w:val="0"/>
    <w:qFormat/>
    <w:rPr>
      <w:sz w:val="24"/>
      <w:szCs w:val="24"/>
    </w:rPr>
  </w:style>
  <w:style w:type="character" w:styleId="750">
    <w:name w:val="footnote reference"/>
    <w:basedOn w:val="703"/>
    <w:uiPriority w:val="99"/>
    <w:unhideWhenUsed/>
    <w:qFormat/>
    <w:rPr>
      <w:vertAlign w:val="superscript"/>
    </w:rPr>
  </w:style>
  <w:style w:type="character" w:styleId="751" w:customStyle="1">
    <w:name w:val="Heading 1 Char"/>
    <w:basedOn w:val="703"/>
    <w:uiPriority w:val="9"/>
    <w:qFormat/>
    <w:rPr>
      <w:rFonts w:ascii="Arial" w:hAnsi="Arial" w:eastAsia="Arial" w:cs="Arial"/>
      <w:sz w:val="40"/>
      <w:szCs w:val="40"/>
    </w:rPr>
  </w:style>
  <w:style w:type="character" w:styleId="752" w:customStyle="1">
    <w:name w:val="Heading 2 Char"/>
    <w:basedOn w:val="703"/>
    <w:uiPriority w:val="9"/>
    <w:qFormat/>
    <w:rPr>
      <w:rFonts w:ascii="Arial" w:hAnsi="Arial" w:eastAsia="Arial" w:cs="Arial"/>
      <w:sz w:val="34"/>
    </w:rPr>
  </w:style>
  <w:style w:type="character" w:styleId="753" w:customStyle="1">
    <w:name w:val="Heading 3 Char"/>
    <w:basedOn w:val="703"/>
    <w:uiPriority w:val="9"/>
    <w:qFormat/>
    <w:rPr>
      <w:rFonts w:ascii="Arial" w:hAnsi="Arial" w:eastAsia="Arial" w:cs="Arial"/>
      <w:sz w:val="30"/>
      <w:szCs w:val="30"/>
    </w:rPr>
  </w:style>
  <w:style w:type="character" w:styleId="754" w:customStyle="1">
    <w:name w:val="Heading 4 Char"/>
    <w:basedOn w:val="703"/>
    <w:uiPriority w:val="9"/>
    <w:qFormat/>
    <w:rPr>
      <w:rFonts w:ascii="Arial" w:hAnsi="Arial" w:eastAsia="Arial" w:cs="Arial"/>
      <w:b/>
      <w:bCs/>
      <w:sz w:val="26"/>
      <w:szCs w:val="26"/>
    </w:rPr>
  </w:style>
  <w:style w:type="character" w:styleId="755" w:customStyle="1">
    <w:name w:val="Heading 5 Char"/>
    <w:basedOn w:val="703"/>
    <w:link w:val="698"/>
    <w:uiPriority w:val="9"/>
    <w:qFormat/>
    <w:rPr>
      <w:rFonts w:ascii="Arial" w:hAnsi="Arial" w:eastAsia="Arial" w:cs="Arial"/>
      <w:b/>
      <w:bCs/>
      <w:sz w:val="24"/>
      <w:szCs w:val="24"/>
    </w:rPr>
  </w:style>
  <w:style w:type="character" w:styleId="756" w:customStyle="1">
    <w:name w:val="Heading 6 Char"/>
    <w:basedOn w:val="703"/>
    <w:link w:val="699"/>
    <w:uiPriority w:val="9"/>
    <w:qFormat/>
    <w:rPr>
      <w:rFonts w:ascii="Arial" w:hAnsi="Arial" w:eastAsia="Arial" w:cs="Arial"/>
      <w:b/>
      <w:bCs/>
      <w:sz w:val="22"/>
      <w:szCs w:val="22"/>
    </w:rPr>
  </w:style>
  <w:style w:type="character" w:styleId="757" w:customStyle="1">
    <w:name w:val="Heading 7 Char"/>
    <w:basedOn w:val="703"/>
    <w:link w:val="700"/>
    <w:uiPriority w:val="9"/>
    <w:qFormat/>
    <w:rPr>
      <w:rFonts w:ascii="Arial" w:hAnsi="Arial" w:eastAsia="Arial" w:cs="Arial"/>
      <w:b/>
      <w:bCs/>
      <w:i/>
      <w:iCs/>
      <w:sz w:val="22"/>
      <w:szCs w:val="22"/>
    </w:rPr>
  </w:style>
  <w:style w:type="character" w:styleId="758" w:customStyle="1">
    <w:name w:val="Heading 8 Char"/>
    <w:basedOn w:val="703"/>
    <w:link w:val="701"/>
    <w:uiPriority w:val="9"/>
    <w:qFormat/>
    <w:rPr>
      <w:rFonts w:ascii="Arial" w:hAnsi="Arial" w:eastAsia="Arial" w:cs="Arial"/>
      <w:i/>
      <w:iCs/>
      <w:sz w:val="22"/>
      <w:szCs w:val="22"/>
    </w:rPr>
  </w:style>
  <w:style w:type="character" w:styleId="759" w:customStyle="1">
    <w:name w:val="Heading 9 Char"/>
    <w:basedOn w:val="703"/>
    <w:link w:val="702"/>
    <w:uiPriority w:val="9"/>
    <w:qFormat/>
    <w:rPr>
      <w:rFonts w:ascii="Arial" w:hAnsi="Arial" w:eastAsia="Arial" w:cs="Arial"/>
      <w:i/>
      <w:iCs/>
      <w:sz w:val="21"/>
      <w:szCs w:val="21"/>
    </w:rPr>
  </w:style>
  <w:style w:type="paragraph" w:styleId="760">
    <w:name w:val="No Spacing"/>
    <w:uiPriority w:val="1"/>
    <w:qFormat/>
    <w:pPr>
      <w:spacing w:before="0" w:after="0" w:line="240" w:lineRule="auto"/>
    </w:pPr>
    <w:rPr>
      <w:rFonts w:hint="default" w:ascii="Times New Roman" w:hAnsi="Times New Roman" w:eastAsia="宋体" w:cs="Times New Roman"/>
    </w:rPr>
  </w:style>
  <w:style w:type="character" w:styleId="761" w:customStyle="1">
    <w:name w:val="Title Char"/>
    <w:basedOn w:val="703"/>
    <w:uiPriority w:val="10"/>
    <w:qFormat/>
    <w:rPr>
      <w:sz w:val="48"/>
      <w:szCs w:val="48"/>
    </w:rPr>
  </w:style>
  <w:style w:type="character" w:styleId="762" w:customStyle="1">
    <w:name w:val="Subtitle Char"/>
    <w:basedOn w:val="703"/>
    <w:link w:val="727"/>
    <w:uiPriority w:val="11"/>
    <w:qFormat/>
    <w:rPr>
      <w:sz w:val="24"/>
      <w:szCs w:val="24"/>
    </w:rPr>
  </w:style>
  <w:style w:type="paragraph" w:styleId="763">
    <w:name w:val="Quote"/>
    <w:basedOn w:val="693"/>
    <w:link w:val="764"/>
    <w:uiPriority w:val="29"/>
    <w:qFormat/>
    <w:pPr>
      <w:ind w:left="720" w:right="720"/>
    </w:pPr>
    <w:rPr>
      <w:i/>
    </w:rPr>
  </w:style>
  <w:style w:type="character" w:styleId="764" w:customStyle="1">
    <w:name w:val="Quote Char"/>
    <w:link w:val="763"/>
    <w:uiPriority w:val="29"/>
    <w:qFormat/>
    <w:rPr>
      <w:i/>
    </w:rPr>
  </w:style>
  <w:style w:type="paragraph" w:styleId="765">
    <w:name w:val="Intense Quote"/>
    <w:basedOn w:val="693"/>
    <w:link w:val="76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6" w:customStyle="1">
    <w:name w:val="Intense Quote Char"/>
    <w:link w:val="765"/>
    <w:uiPriority w:val="30"/>
    <w:qFormat/>
    <w:rPr>
      <w:i/>
    </w:rPr>
  </w:style>
  <w:style w:type="character" w:styleId="767" w:customStyle="1">
    <w:name w:val="Header Char"/>
    <w:basedOn w:val="703"/>
    <w:uiPriority w:val="99"/>
    <w:qFormat/>
  </w:style>
  <w:style w:type="character" w:styleId="768" w:customStyle="1">
    <w:name w:val="Footer Char"/>
    <w:basedOn w:val="703"/>
    <w:uiPriority w:val="99"/>
    <w:qFormat/>
  </w:style>
  <w:style w:type="character" w:styleId="769" w:customStyle="1">
    <w:name w:val="Caption Char"/>
    <w:uiPriority w:val="99"/>
    <w:qFormat/>
  </w:style>
  <w:style w:type="table" w:styleId="770" w:customStyle="1">
    <w:name w:val="Table Grid Light"/>
    <w:basedOn w:val="70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71" w:customStyle="1">
    <w:name w:val="Plain Table 1"/>
    <w:basedOn w:val="70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2" w:customStyle="1">
    <w:name w:val="Plain Table 2"/>
    <w:basedOn w:val="704"/>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3" w:customStyle="1">
    <w:name w:val="Plain Table 3"/>
    <w:basedOn w:val="70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4" w:customStyle="1">
    <w:name w:val="Plain Table 4"/>
    <w:basedOn w:val="70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5" w:customStyle="1">
    <w:name w:val="Plain Table 5"/>
    <w:basedOn w:val="70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6" w:customStyle="1">
    <w:name w:val="Grid Table 1 Light"/>
    <w:basedOn w:val="704"/>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7" w:customStyle="1">
    <w:name w:val="Grid Table 1 Light - Accent 1"/>
    <w:basedOn w:val="704"/>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78" w:customStyle="1">
    <w:name w:val="Grid Table 1 Light - Accent 2"/>
    <w:basedOn w:val="704"/>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79" w:customStyle="1">
    <w:name w:val="Grid Table 1 Light - Accent 3"/>
    <w:basedOn w:val="704"/>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80" w:customStyle="1">
    <w:name w:val="Grid Table 1 Light - Accent 4"/>
    <w:basedOn w:val="704"/>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81" w:customStyle="1">
    <w:name w:val="Grid Table 1 Light - Accent 5"/>
    <w:basedOn w:val="704"/>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82" w:customStyle="1">
    <w:name w:val="Grid Table 1 Light - Accent 6"/>
    <w:basedOn w:val="704"/>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83" w:customStyle="1">
    <w:name w:val="Grid Table 2"/>
    <w:basedOn w:val="70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4" w:customStyle="1">
    <w:name w:val="Grid Table 2 - Accent 1"/>
    <w:basedOn w:val="704"/>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85" w:customStyle="1">
    <w:name w:val="Grid Table 2 - Accent 2"/>
    <w:basedOn w:val="704"/>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86" w:customStyle="1">
    <w:name w:val="Grid Table 2 - Accent 3"/>
    <w:basedOn w:val="704"/>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87" w:customStyle="1">
    <w:name w:val="Grid Table 2 - Accent 4"/>
    <w:basedOn w:val="704"/>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88" w:customStyle="1">
    <w:name w:val="Grid Table 2 - Accent 5"/>
    <w:basedOn w:val="704"/>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89" w:customStyle="1">
    <w:name w:val="Grid Table 2 - Accent 6"/>
    <w:basedOn w:val="704"/>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90" w:customStyle="1">
    <w:name w:val="Grid Table 3"/>
    <w:basedOn w:val="70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1" w:customStyle="1">
    <w:name w:val="Grid Table 3 - Accent 1"/>
    <w:basedOn w:val="704"/>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2" w:customStyle="1">
    <w:name w:val="Grid Table 3 - Accent 2"/>
    <w:basedOn w:val="704"/>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3" w:customStyle="1">
    <w:name w:val="Grid Table 3 - Accent 3"/>
    <w:basedOn w:val="704"/>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4" w:customStyle="1">
    <w:name w:val="Grid Table 3 - Accent 4"/>
    <w:basedOn w:val="704"/>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5" w:customStyle="1">
    <w:name w:val="Grid Table 3 - Accent 5"/>
    <w:basedOn w:val="704"/>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6" w:customStyle="1">
    <w:name w:val="Grid Table 3 - Accent 6"/>
    <w:basedOn w:val="704"/>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7" w:customStyle="1">
    <w:name w:val="Grid Table 4"/>
    <w:basedOn w:val="70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8" w:customStyle="1">
    <w:name w:val="Grid Table 4 - Accent 1"/>
    <w:basedOn w:val="704"/>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799" w:customStyle="1">
    <w:name w:val="Grid Table 4 - Accent 2"/>
    <w:basedOn w:val="704"/>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00" w:customStyle="1">
    <w:name w:val="Grid Table 4 - Accent 3"/>
    <w:basedOn w:val="704"/>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01" w:customStyle="1">
    <w:name w:val="Grid Table 4 - Accent 4"/>
    <w:basedOn w:val="704"/>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02" w:customStyle="1">
    <w:name w:val="Grid Table 4 - Accent 5"/>
    <w:basedOn w:val="704"/>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03" w:customStyle="1">
    <w:name w:val="Grid Table 4 - Accent 6"/>
    <w:basedOn w:val="704"/>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04" w:customStyle="1">
    <w:name w:val="Grid Table 5 Dark"/>
    <w:basedOn w:val="70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5" w:customStyle="1">
    <w:name w:val="Grid Table 5 Dark- Accent 1"/>
    <w:basedOn w:val="70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06" w:customStyle="1">
    <w:name w:val="Grid Table 5 Dark - Accent 2"/>
    <w:basedOn w:val="70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07" w:customStyle="1">
    <w:name w:val="Grid Table 5 Dark - Accent 3"/>
    <w:basedOn w:val="70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08" w:customStyle="1">
    <w:name w:val="Grid Table 5 Dark- Accent 4"/>
    <w:basedOn w:val="70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09" w:customStyle="1">
    <w:name w:val="Grid Table 5 Dark - Accent 5"/>
    <w:basedOn w:val="70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10" w:customStyle="1">
    <w:name w:val="Grid Table 5 Dark - Accent 6"/>
    <w:basedOn w:val="70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11" w:customStyle="1">
    <w:name w:val="Grid Table 6 Colorful"/>
    <w:basedOn w:val="704"/>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2" w:customStyle="1">
    <w:name w:val="Grid Table 6 Colorful - Accent 1"/>
    <w:basedOn w:val="704"/>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13" w:customStyle="1">
    <w:name w:val="Grid Table 6 Colorful - Accent 2"/>
    <w:basedOn w:val="704"/>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14" w:customStyle="1">
    <w:name w:val="Grid Table 6 Colorful - Accent 3"/>
    <w:basedOn w:val="704"/>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815" w:customStyle="1">
    <w:name w:val="Grid Table 6 Colorful - Accent 4"/>
    <w:basedOn w:val="704"/>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16" w:customStyle="1">
    <w:name w:val="Grid Table 6 Colorful - Accent 5"/>
    <w:basedOn w:val="704"/>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17" w:customStyle="1">
    <w:name w:val="Grid Table 6 Colorful - Accent 6"/>
    <w:basedOn w:val="704"/>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18" w:customStyle="1">
    <w:name w:val="Grid Table 7 Colorful"/>
    <w:basedOn w:val="704"/>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9" w:customStyle="1">
    <w:name w:val="Grid Table 7 Colorful - Accent 1"/>
    <w:basedOn w:val="704"/>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20" w:customStyle="1">
    <w:name w:val="Grid Table 7 Colorful - Accent 2"/>
    <w:basedOn w:val="704"/>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21" w:customStyle="1">
    <w:name w:val="Grid Table 7 Colorful - Accent 3"/>
    <w:basedOn w:val="704"/>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22" w:customStyle="1">
    <w:name w:val="Grid Table 7 Colorful - Accent 4"/>
    <w:basedOn w:val="704"/>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23" w:customStyle="1">
    <w:name w:val="Grid Table 7 Colorful - Accent 5"/>
    <w:basedOn w:val="704"/>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24" w:customStyle="1">
    <w:name w:val="Grid Table 7 Colorful - Accent 6"/>
    <w:basedOn w:val="704"/>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25" w:customStyle="1">
    <w:name w:val="List Table 1 Light"/>
    <w:basedOn w:val="704"/>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6" w:customStyle="1">
    <w:name w:val="List Table 1 Light - Accent 1"/>
    <w:basedOn w:val="704"/>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27" w:customStyle="1">
    <w:name w:val="List Table 1 Light - Accent 2"/>
    <w:basedOn w:val="704"/>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28" w:customStyle="1">
    <w:name w:val="List Table 1 Light - Accent 3"/>
    <w:basedOn w:val="704"/>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29" w:customStyle="1">
    <w:name w:val="List Table 1 Light - Accent 4"/>
    <w:basedOn w:val="704"/>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30" w:customStyle="1">
    <w:name w:val="List Table 1 Light - Accent 5"/>
    <w:basedOn w:val="704"/>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31" w:customStyle="1">
    <w:name w:val="List Table 1 Light - Accent 6"/>
    <w:basedOn w:val="704"/>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32" w:customStyle="1">
    <w:name w:val="List Table 2"/>
    <w:basedOn w:val="704"/>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3" w:customStyle="1">
    <w:name w:val="List Table 2 - Accent 1"/>
    <w:basedOn w:val="704"/>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34" w:customStyle="1">
    <w:name w:val="List Table 2 - Accent 2"/>
    <w:basedOn w:val="704"/>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35" w:customStyle="1">
    <w:name w:val="List Table 2 - Accent 3"/>
    <w:basedOn w:val="704"/>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36" w:customStyle="1">
    <w:name w:val="List Table 2 - Accent 4"/>
    <w:basedOn w:val="704"/>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37" w:customStyle="1">
    <w:name w:val="List Table 2 - Accent 5"/>
    <w:basedOn w:val="704"/>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38" w:customStyle="1">
    <w:name w:val="List Table 2 - Accent 6"/>
    <w:basedOn w:val="704"/>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39" w:customStyle="1">
    <w:name w:val="List Table 3"/>
    <w:basedOn w:val="70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0" w:customStyle="1">
    <w:name w:val="List Table 3 - Accent 1"/>
    <w:basedOn w:val="704"/>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41" w:customStyle="1">
    <w:name w:val="List Table 3 - Accent 2"/>
    <w:basedOn w:val="704"/>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42" w:customStyle="1">
    <w:name w:val="List Table 3 - Accent 3"/>
    <w:basedOn w:val="704"/>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43" w:customStyle="1">
    <w:name w:val="List Table 3 - Accent 4"/>
    <w:basedOn w:val="704"/>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44" w:customStyle="1">
    <w:name w:val="List Table 3 - Accent 5"/>
    <w:basedOn w:val="704"/>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45" w:customStyle="1">
    <w:name w:val="List Table 3 - Accent 6"/>
    <w:basedOn w:val="704"/>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46" w:customStyle="1">
    <w:name w:val="List Table 4"/>
    <w:basedOn w:val="70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7" w:customStyle="1">
    <w:name w:val="List Table 4 - Accent 1"/>
    <w:basedOn w:val="704"/>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48" w:customStyle="1">
    <w:name w:val="List Table 4 - Accent 2"/>
    <w:basedOn w:val="704"/>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49" w:customStyle="1">
    <w:name w:val="List Table 4 - Accent 3"/>
    <w:basedOn w:val="704"/>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50" w:customStyle="1">
    <w:name w:val="List Table 4 - Accent 4"/>
    <w:basedOn w:val="704"/>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51" w:customStyle="1">
    <w:name w:val="List Table 4 - Accent 5"/>
    <w:basedOn w:val="704"/>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52" w:customStyle="1">
    <w:name w:val="List Table 4 - Accent 6"/>
    <w:basedOn w:val="704"/>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53" w:customStyle="1">
    <w:name w:val="List Table 5 Dark"/>
    <w:basedOn w:val="704"/>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4" w:customStyle="1">
    <w:name w:val="List Table 5 Dark - Accent 1"/>
    <w:basedOn w:val="704"/>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5" w:customStyle="1">
    <w:name w:val="List Table 5 Dark - Accent 2"/>
    <w:basedOn w:val="704"/>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6" w:customStyle="1">
    <w:name w:val="List Table 5 Dark - Accent 3"/>
    <w:basedOn w:val="704"/>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7" w:customStyle="1">
    <w:name w:val="List Table 5 Dark - Accent 4"/>
    <w:basedOn w:val="704"/>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8" w:customStyle="1">
    <w:name w:val="List Table 5 Dark - Accent 5"/>
    <w:basedOn w:val="704"/>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9" w:customStyle="1">
    <w:name w:val="List Table 5 Dark - Accent 6"/>
    <w:basedOn w:val="704"/>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0" w:customStyle="1">
    <w:name w:val="List Table 6 Colorful"/>
    <w:basedOn w:val="704"/>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1" w:customStyle="1">
    <w:name w:val="List Table 6 Colorful - Accent 1"/>
    <w:basedOn w:val="704"/>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62" w:customStyle="1">
    <w:name w:val="List Table 6 Colorful - Accent 2"/>
    <w:basedOn w:val="704"/>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63" w:customStyle="1">
    <w:name w:val="List Table 6 Colorful - Accent 3"/>
    <w:basedOn w:val="704"/>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64" w:customStyle="1">
    <w:name w:val="List Table 6 Colorful - Accent 4"/>
    <w:basedOn w:val="704"/>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65" w:customStyle="1">
    <w:name w:val="List Table 6 Colorful - Accent 5"/>
    <w:basedOn w:val="704"/>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66" w:customStyle="1">
    <w:name w:val="List Table 6 Colorful - Accent 6"/>
    <w:basedOn w:val="704"/>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67" w:customStyle="1">
    <w:name w:val="List Table 7 Colorful"/>
    <w:basedOn w:val="704"/>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8" w:customStyle="1">
    <w:name w:val="List Table 7 Colorful - Accent 1"/>
    <w:basedOn w:val="704"/>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69" w:customStyle="1">
    <w:name w:val="List Table 7 Colorful - Accent 2"/>
    <w:basedOn w:val="704"/>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70" w:customStyle="1">
    <w:name w:val="List Table 7 Colorful - Accent 3"/>
    <w:basedOn w:val="704"/>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71" w:customStyle="1">
    <w:name w:val="List Table 7 Colorful - Accent 4"/>
    <w:basedOn w:val="704"/>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72" w:customStyle="1">
    <w:name w:val="List Table 7 Colorful - Accent 5"/>
    <w:basedOn w:val="704"/>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73" w:customStyle="1">
    <w:name w:val="List Table 7 Colorful - Accent 6"/>
    <w:basedOn w:val="704"/>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74" w:customStyle="1">
    <w:name w:val="Lined - Accent"/>
    <w:basedOn w:val="70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5" w:customStyle="1">
    <w:name w:val="Lined - Accent 1"/>
    <w:basedOn w:val="70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76" w:customStyle="1">
    <w:name w:val="Lined - Accent 2"/>
    <w:basedOn w:val="70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77" w:customStyle="1">
    <w:name w:val="Lined - Accent 3"/>
    <w:basedOn w:val="70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78" w:customStyle="1">
    <w:name w:val="Lined - Accent 4"/>
    <w:basedOn w:val="70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79" w:customStyle="1">
    <w:name w:val="Lined - Accent 5"/>
    <w:basedOn w:val="70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80" w:customStyle="1">
    <w:name w:val="Lined - Accent 6"/>
    <w:basedOn w:val="70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81" w:customStyle="1">
    <w:name w:val="Bordered &amp; Lined - Accent"/>
    <w:basedOn w:val="704"/>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2" w:customStyle="1">
    <w:name w:val="Bordered &amp; Lined - Accent 1"/>
    <w:basedOn w:val="704"/>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83" w:customStyle="1">
    <w:name w:val="Bordered &amp; Lined - Accent 2"/>
    <w:basedOn w:val="704"/>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84" w:customStyle="1">
    <w:name w:val="Bordered &amp; Lined - Accent 3"/>
    <w:basedOn w:val="704"/>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85" w:customStyle="1">
    <w:name w:val="Bordered &amp; Lined - Accent 4"/>
    <w:basedOn w:val="704"/>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86" w:customStyle="1">
    <w:name w:val="Bordered &amp; Lined - Accent 5"/>
    <w:basedOn w:val="704"/>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87" w:customStyle="1">
    <w:name w:val="Bordered &amp; Lined - Accent 6"/>
    <w:basedOn w:val="704"/>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88" w:customStyle="1">
    <w:name w:val="Bordered"/>
    <w:basedOn w:val="704"/>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9" w:customStyle="1">
    <w:name w:val="Bordered - Accent 1"/>
    <w:basedOn w:val="704"/>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90" w:customStyle="1">
    <w:name w:val="Bordered - Accent 2"/>
    <w:basedOn w:val="704"/>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91" w:customStyle="1">
    <w:name w:val="Bordered - Accent 3"/>
    <w:basedOn w:val="704"/>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92" w:customStyle="1">
    <w:name w:val="Bordered - Accent 4"/>
    <w:basedOn w:val="704"/>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93" w:customStyle="1">
    <w:name w:val="Bordered - Accent 5"/>
    <w:basedOn w:val="704"/>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894" w:customStyle="1">
    <w:name w:val="Bordered - Accent 6"/>
    <w:basedOn w:val="704"/>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95" w:customStyle="1">
    <w:name w:val="Footnote Text Char"/>
    <w:link w:val="729"/>
    <w:uiPriority w:val="99"/>
    <w:qFormat/>
    <w:rPr>
      <w:sz w:val="18"/>
    </w:rPr>
  </w:style>
  <w:style w:type="character" w:styleId="896" w:customStyle="1">
    <w:name w:val="Endnote Text Char"/>
    <w:link w:val="720"/>
    <w:uiPriority w:val="99"/>
    <w:qFormat/>
    <w:rPr>
      <w:sz w:val="20"/>
    </w:rPr>
  </w:style>
  <w:style w:type="paragraph" w:styleId="897" w:customStyle="1">
    <w:name w:val="TOC Heading"/>
    <w:uiPriority w:val="39"/>
    <w:unhideWhenUsed/>
    <w:qFormat/>
    <w:rPr>
      <w:rFonts w:hint="default" w:ascii="Times New Roman" w:hAnsi="Times New Roman" w:eastAsia="宋体" w:cs="Times New Roman"/>
    </w:rPr>
  </w:style>
  <w:style w:type="paragraph" w:styleId="898" w:customStyle="1">
    <w:name w:val="正文文本1"/>
    <w:basedOn w:val="693"/>
    <w:next w:val="899"/>
    <w:uiPriority w:val="0"/>
    <w:qFormat/>
    <w:rPr>
      <w:rFonts w:ascii="仿宋_GB2312" w:eastAsia="仿宋_GB2312"/>
      <w:sz w:val="28"/>
      <w:szCs w:val="20"/>
    </w:rPr>
  </w:style>
  <w:style w:type="paragraph" w:styleId="899" w:customStyle="1">
    <w:name w:val="正文首行缩进1"/>
    <w:uiPriority w:val="99"/>
    <w:unhideWhenUsed/>
    <w:qFormat/>
    <w:pPr>
      <w:ind w:firstLine="420"/>
      <w:jc w:val="both"/>
      <w:spacing w:after="120"/>
      <w:widowControl w:val="off"/>
    </w:pPr>
    <w:rPr>
      <w:rFonts w:hint="default" w:ascii="Times New Roman" w:hAnsi="Calibri" w:eastAsia="华文中宋" w:cs="Times New Roman"/>
      <w:sz w:val="21"/>
      <w:lang w:val="en-US" w:eastAsia="zh-CN" w:bidi="ar-SA"/>
    </w:rPr>
  </w:style>
  <w:style w:type="paragraph" w:styleId="900" w:customStyle="1">
    <w:name w:val="列表1"/>
    <w:basedOn w:val="693"/>
    <w:uiPriority w:val="0"/>
    <w:qFormat/>
    <w:pPr>
      <w:numPr>
        <w:ilvl w:val="0"/>
        <w:numId w:val="3"/>
      </w:numPr>
      <w:spacing w:after="20" w:line="288" w:lineRule="auto"/>
    </w:pPr>
    <w:rPr>
      <w:szCs w:val="20"/>
      <w:lang w:val="en-GB"/>
    </w:rPr>
  </w:style>
  <w:style w:type="paragraph" w:styleId="901" w:customStyle="1">
    <w:name w:val="段"/>
    <w:uiPriority w:val="99"/>
    <w:qFormat/>
    <w:pPr>
      <w:ind w:firstLine="200"/>
      <w:jc w:val="both"/>
    </w:pPr>
    <w:rPr>
      <w:rFonts w:hint="default" w:ascii="宋体" w:hAnsi="Times New Roman" w:eastAsia="Times New Roman" w:cs="Times New Roman"/>
      <w:sz w:val="21"/>
      <w:lang w:val="en-US" w:eastAsia="zh-CN" w:bidi="ar-SA"/>
    </w:rPr>
  </w:style>
  <w:style w:type="paragraph" w:styleId="902" w:customStyle="1">
    <w:name w:val="_Style 1"/>
    <w:basedOn w:val="693"/>
    <w:uiPriority w:val="99"/>
    <w:qFormat/>
    <w:rPr>
      <w:rFonts w:ascii="Calibri" w:hAnsi="Calibri" w:cs="Calibri"/>
      <w:sz w:val="34"/>
      <w:szCs w:val="34"/>
    </w:rPr>
  </w:style>
  <w:style w:type="paragraph" w:styleId="903" w:customStyle="1">
    <w:name w:val="样式 表格正文 + 两端对齐"/>
    <w:basedOn w:val="693"/>
    <w:uiPriority w:val="99"/>
    <w:qFormat/>
    <w:pPr>
      <w:spacing w:line="300" w:lineRule="auto"/>
    </w:pPr>
  </w:style>
  <w:style w:type="paragraph" w:styleId="904" w:customStyle="1">
    <w:name w:val="正文1"/>
    <w:basedOn w:val="709"/>
    <w:uiPriority w:val="99"/>
    <w:qFormat/>
    <w:pPr>
      <w:ind w:right="1"/>
      <w:spacing w:line="360" w:lineRule="auto"/>
    </w:pPr>
    <w:rPr>
      <w:rFonts w:ascii="宋体" w:hAnsi="宋体" w:cs="宋体"/>
      <w:color w:val="000000"/>
      <w:sz w:val="24"/>
      <w:szCs w:val="24"/>
    </w:rPr>
  </w:style>
  <w:style w:type="paragraph" w:styleId="905" w:customStyle="1">
    <w:name w:val="目录"/>
    <w:basedOn w:val="693"/>
    <w:uiPriority w:val="99"/>
    <w:qFormat/>
    <w:pPr>
      <w:jc w:val="center"/>
      <w:spacing w:line="360" w:lineRule="auto"/>
    </w:pPr>
    <w:rPr>
      <w:b/>
      <w:bCs/>
      <w:spacing w:val="200"/>
      <w:sz w:val="36"/>
      <w:szCs w:val="36"/>
    </w:rPr>
  </w:style>
  <w:style w:type="paragraph" w:styleId="906">
    <w:name w:val="List Paragraph"/>
    <w:basedOn w:val="693"/>
    <w:uiPriority w:val="99"/>
    <w:qFormat/>
    <w:pPr>
      <w:ind w:firstLine="200"/>
    </w:pPr>
    <w:rPr>
      <w:rFonts w:ascii="Calibri" w:hAnsi="Calibri" w:cs="Calibri"/>
    </w:rPr>
  </w:style>
  <w:style w:type="character" w:styleId="907" w:customStyle="1">
    <w:name w:val="NormalCharacter"/>
    <w:link w:val="908"/>
    <w:uiPriority w:val="0"/>
    <w:qFormat/>
  </w:style>
  <w:style w:type="paragraph" w:styleId="908" w:customStyle="1">
    <w:name w:val="UserStyle_4"/>
    <w:basedOn w:val="693"/>
    <w:link w:val="907"/>
    <w:uiPriority w:val="99"/>
    <w:qFormat/>
  </w:style>
  <w:style w:type="paragraph" w:styleId="909" w:customStyle="1">
    <w:name w:val="正文2"/>
    <w:basedOn w:val="693"/>
    <w:uiPriority w:val="0"/>
    <w:qFormat/>
    <w:pPr>
      <w:ind w:firstLine="510"/>
      <w:spacing w:line="360" w:lineRule="auto"/>
    </w:pPr>
    <w:rPr>
      <w:rFonts w:hAnsi="宋体"/>
      <w:sz w:val="24"/>
    </w:rPr>
  </w:style>
  <w:style w:type="paragraph" w:styleId="910" w:customStyle="1">
    <w:name w:val="Char"/>
    <w:basedOn w:val="693"/>
    <w:uiPriority w:val="0"/>
    <w:qFormat/>
    <w:pPr>
      <w:numPr>
        <w:ilvl w:val="0"/>
        <w:numId w:val="4"/>
      </w:numPr>
      <w:tabs>
        <w:tab w:val="clear" w:pos="552" w:leader="none"/>
        <w:tab w:val="left" w:pos="1080" w:leader="none"/>
      </w:tabs>
    </w:pPr>
    <w:rPr>
      <w:sz w:val="24"/>
      <w:szCs w:val="24"/>
    </w:rPr>
  </w:style>
  <w:style w:type="paragraph" w:styleId="911" w:customStyle="1">
    <w:name w:val="首行缩进"/>
    <w:uiPriority w:val="0"/>
    <w:qFormat/>
    <w:pPr>
      <w:ind w:firstLine="480"/>
      <w:jc w:val="both"/>
      <w:widowControl w:val="off"/>
    </w:pPr>
    <w:rPr>
      <w:rFonts w:hint="default" w:ascii="Calibri" w:hAnsi="Calibri" w:eastAsia="宋体" w:cs="Times New Roman"/>
      <w:sz w:val="21"/>
      <w:lang w:val="zh-CN" w:eastAsia="zh-CN" w:bidi="ar-SA"/>
    </w:rPr>
  </w:style>
  <w:style w:type="paragraph" w:styleId="912" w:customStyle="1">
    <w:name w:val="样式 小四 段前: 5 磅 段后: 5 磅 首行缩进:  2 字符"/>
    <w:basedOn w:val="693"/>
    <w:uiPriority w:val="0"/>
    <w:qFormat/>
    <w:pPr>
      <w:spacing w:line="360" w:lineRule="auto"/>
    </w:pPr>
    <w:rPr>
      <w:rFonts w:ascii="宋体" w:hAnsi="宋体"/>
    </w:rPr>
  </w:style>
  <w:style w:type="character" w:styleId="913" w:customStyle="1">
    <w:name w:val="font01"/>
    <w:basedOn w:val="703"/>
    <w:uiPriority w:val="0"/>
    <w:qFormat/>
    <w:rPr>
      <w:rFonts w:hint="eastAsia" w:ascii="宋体" w:hAnsi="宋体" w:eastAsia="宋体" w:cs="宋体"/>
      <w:color w:val="000000"/>
      <w:sz w:val="22"/>
      <w:szCs w:val="22"/>
      <w:u w:val="none"/>
    </w:rPr>
  </w:style>
  <w:style w:type="character" w:styleId="914" w:customStyle="1">
    <w:name w:val="font31"/>
    <w:basedOn w:val="703"/>
    <w:uiPriority w:val="0"/>
    <w:qFormat/>
    <w:rPr>
      <w:rFonts w:hint="eastAsia" w:ascii="宋体" w:hAnsi="宋体" w:eastAsia="宋体" w:cs="宋体"/>
      <w:b/>
      <w:bCs/>
      <w:color w:val="000000"/>
      <w:sz w:val="21"/>
      <w:szCs w:val="21"/>
      <w:u w:val="none"/>
    </w:rPr>
  </w:style>
  <w:style w:type="character" w:styleId="915" w:customStyle="1">
    <w:name w:val="批注文字 字符"/>
    <w:basedOn w:val="703"/>
    <w:link w:val="710"/>
    <w:uiPriority w:val="99"/>
    <w:semiHidden/>
    <w:qFormat/>
    <w:rPr>
      <w:sz w:val="21"/>
      <w:szCs w:val="21"/>
    </w:rPr>
  </w:style>
  <w:style w:type="character" w:styleId="916" w:customStyle="1">
    <w:name w:val="批注主题 字符"/>
    <w:basedOn w:val="915"/>
    <w:link w:val="737"/>
    <w:uiPriority w:val="0"/>
    <w:qFormat/>
    <w:rPr>
      <w:sz w:val="21"/>
      <w:szCs w:val="21"/>
    </w:rPr>
  </w:style>
  <w:style w:type="character" w:styleId="917" w:customStyle="1">
    <w:name w:val="批注框文本 字符"/>
    <w:basedOn w:val="703"/>
    <w:link w:val="721"/>
    <w:uiPriority w:val="0"/>
    <w:qFormat/>
    <w:rPr>
      <w:sz w:val="18"/>
      <w:szCs w:val="18"/>
    </w:rPr>
  </w:style>
  <w:style w:type="paragraph" w:styleId="918" w:customStyle="1">
    <w:name w:val="l15"/>
    <w:basedOn w:val="693"/>
    <w:uiPriority w:val="0"/>
    <w:qFormat/>
    <w:pPr>
      <w:spacing w:before="100" w:beforeAutospacing="1" w:after="100" w:afterAutospacing="1" w:line="300" w:lineRule="atLeast"/>
      <w:widowControl/>
    </w:pPr>
    <w:rPr>
      <w:rFonts w:ascii="_x000B__x000C_" w:hAnsi="_x000B__x000C_"/>
      <w:color w:val="000000"/>
      <w:sz w:val="23"/>
      <w:szCs w:val="23"/>
    </w:rPr>
  </w:style>
  <w:style w:type="paragraph" w:styleId="919" w:customStyle="1">
    <w:name w:val="p0"/>
    <w:basedOn w:val="693"/>
    <w:uiPriority w:val="0"/>
    <w:qFormat/>
    <w:pPr>
      <w:widowControl/>
    </w:pPr>
    <w:rPr>
      <w:rFonts w:ascii="宋体" w:hAnsi="宋体" w:cs="宋体"/>
      <w:sz w:val="24"/>
    </w:rPr>
  </w:style>
  <w:style w:type="character" w:styleId="920" w:customStyle="1">
    <w:name w:val="p121"/>
    <w:uiPriority w:val="0"/>
    <w:qFormat/>
    <w:rPr>
      <w:rFonts w:hint="default" w:ascii="_x000B__x000C_" w:hAnsi="_x000B__x000C_"/>
      <w:sz w:val="24"/>
      <w:szCs w:val="24"/>
    </w:rPr>
  </w:style>
  <w:style w:type="paragraph" w:styleId="921" w:customStyle="1">
    <w:name w:val="UserStyle_11"/>
    <w:basedOn w:val="693"/>
    <w:uiPriority w:val="99"/>
    <w:qFormat/>
  </w:style>
  <w:style w:type="character" w:styleId="922" w:customStyle="1">
    <w:name w:val="10"/>
    <w:basedOn w:val="703"/>
    <w:uiPriority w:val="0"/>
    <w:qFormat/>
    <w:rPr>
      <w:rFonts w:hint="default" w:ascii="Times New Roman" w:hAnsi="Times New Roman" w:cs="Times New Roman"/>
    </w:rPr>
  </w:style>
  <w:style w:type="character" w:styleId="923" w:customStyle="1">
    <w:name w:val="15"/>
    <w:basedOn w:val="703"/>
    <w:uiPriority w:val="0"/>
    <w:qFormat/>
    <w:rPr>
      <w:rFonts w:hint="default" w:ascii="Times New Roman" w:hAnsi="Times New Roman" w:cs="Times New Roman"/>
    </w:rPr>
  </w:style>
  <w:style w:type="character" w:styleId="924" w:customStyle="1">
    <w:name w:val="16"/>
    <w:basedOn w:val="703"/>
    <w:uiPriority w:val="0"/>
    <w:qFormat/>
    <w:rPr>
      <w:rFonts w:hint="default" w:ascii="Times New Roman" w:hAnsi="Times New Roman" w:cs="Times New Roman"/>
    </w:rPr>
  </w:style>
  <w:style w:type="paragraph" w:styleId="925" w:customStyle="1">
    <w:name w:val="普通文字"/>
    <w:basedOn w:val="693"/>
    <w:uiPriority w:val="0"/>
    <w:qFormat/>
    <w:rPr>
      <w:rFonts w:ascii="宋体"/>
      <w:sz w:val="24"/>
      <w:szCs w:val="20"/>
    </w:rPr>
  </w:style>
  <w:style w:type="table" w:styleId="926" w:customStyle="1">
    <w:name w:val="Table Normal"/>
    <w:uiPriority w:val="0"/>
    <w:qFormat/>
    <w:tblPr>
      <w:tblCellMar>
        <w:left w:w="0" w:type="dxa"/>
        <w:top w:w="0" w:type="dxa"/>
        <w:right w:w="0" w:type="dxa"/>
        <w:bottom w:w="0" w:type="dxa"/>
      </w:tblCellMar>
    </w:tblPr>
  </w:style>
  <w:style w:type="paragraph" w:styleId="927" w:customStyle="1">
    <w:name w:val="Table Text"/>
    <w:basedOn w:val="693"/>
    <w:uiPriority w:val="0"/>
    <w:qFormat/>
    <w:rPr>
      <w:rFonts w:ascii="宋体" w:hAnsi="宋体" w:cs="宋体"/>
    </w:rPr>
  </w:style>
  <w:style w:type="paragraph" w:styleId="928" w:customStyle="1">
    <w:name w:val="BodyText1I21"/>
    <w:basedOn w:val="929"/>
    <w:uiPriority w:val="99"/>
    <w:qFormat/>
    <w:pPr>
      <w:ind w:left="0"/>
    </w:pPr>
  </w:style>
  <w:style w:type="paragraph" w:styleId="929" w:customStyle="1">
    <w:name w:val="BodyTextIndent1"/>
    <w:basedOn w:val="693"/>
    <w:uiPriority w:val="99"/>
    <w:qFormat/>
    <w:pPr>
      <w:ind w:left="257"/>
      <w:spacing w:line="360" w:lineRule="auto"/>
    </w:pPr>
    <w:rPr>
      <w:rFonts w:ascii="宋体" w:hAnsi="宋体" w:eastAsia="仿宋_GB2312"/>
      <w:b/>
      <w:sz w:val="24"/>
      <w:szCs w:val="20"/>
    </w:rPr>
  </w:style>
  <w:style w:type="character" w:styleId="930" w:customStyle="1">
    <w:name w:val="普通(网站) 字符"/>
    <w:link w:val="735"/>
    <w:uiPriority w:val="0"/>
    <w:qFormat/>
    <w:rPr>
      <w:rFonts w:hAnsi="宋体"/>
      <w:sz w:val="24"/>
      <w:szCs w:val="24"/>
    </w:rPr>
  </w:style>
  <w:style w:type="character" w:styleId="931" w:customStyle="1">
    <w:name w:val="页眉 字符"/>
    <w:link w:val="724"/>
    <w:uiPriority w:val="0"/>
    <w:qFormat/>
    <w:rPr>
      <w:sz w:val="18"/>
      <w:szCs w:val="18"/>
    </w:rPr>
  </w:style>
  <w:style w:type="paragraph" w:styleId="932" w:customStyle="1">
    <w:name w:val="正文首行缩进 21"/>
    <w:basedOn w:val="933"/>
    <w:uiPriority w:val="0"/>
    <w:qFormat/>
    <w:pPr>
      <w:ind w:left="420" w:firstLine="420"/>
      <w:spacing w:after="120" w:line="240" w:lineRule="auto"/>
      <w:widowControl w:val="off"/>
    </w:pPr>
    <w:rPr>
      <w:rFonts w:ascii="Cambria" w:hAnsi="Cambria" w:eastAsia="华文细黑"/>
      <w:sz w:val="21"/>
    </w:rPr>
  </w:style>
  <w:style w:type="paragraph" w:styleId="933" w:customStyle="1">
    <w:name w:val="正文文本缩进1"/>
    <w:basedOn w:val="693"/>
    <w:uiPriority w:val="0"/>
    <w:qFormat/>
    <w:pPr>
      <w:ind w:left="156"/>
      <w:spacing w:line="300" w:lineRule="auto"/>
      <w:widowControl/>
    </w:pPr>
    <w:rPr>
      <w:rFonts w:ascii="仿宋_GB2312" w:eastAsia="仿宋_GB2312"/>
      <w:sz w:val="28"/>
      <w:szCs w:val="20"/>
    </w:rPr>
  </w:style>
  <w:style w:type="character" w:styleId="934" w:customStyle="1">
    <w:name w:val="无"/>
    <w:uiPriority w:val="0"/>
    <w:qFormat/>
  </w:style>
  <w:style w:type="character" w:styleId="935" w:customStyle="1">
    <w:name w:val="Hyperlink.0"/>
    <w:basedOn w:val="934"/>
    <w:uiPriority w:val="0"/>
    <w:qFormat/>
    <w:rPr>
      <w:rFonts w:ascii="宋体" w:hAnsi="宋体" w:eastAsia="宋体" w:cs="宋体"/>
      <w:sz w:val="24"/>
      <w:szCs w:val="24"/>
      <w:lang w:val="en-US"/>
    </w:rPr>
  </w:style>
  <w:style w:type="paragraph" w:styleId="936" w:customStyle="1">
    <w:name w:val="列出段落1"/>
    <w:uiPriority w:val="0"/>
    <w:qFormat/>
    <w:pPr>
      <w:ind w:firstLine="420"/>
    </w:pPr>
    <w:rPr>
      <w:rFonts w:hint="default" w:ascii="Times New Roman" w:hAnsi="Times New Roman" w:eastAsia="宋体" w:cs="Times New Roman"/>
      <w:lang w:val="en-US" w:eastAsia="zh-CN" w:bidi="ar-SA"/>
    </w:rPr>
  </w:style>
  <w:style w:type="character" w:styleId="937" w:customStyle="1">
    <w:name w:val="font61"/>
    <w:basedOn w:val="703"/>
    <w:uiPriority w:val="0"/>
    <w:qFormat/>
    <w:rPr>
      <w:rFonts w:ascii="宋体" w:hAnsi="宋体" w:eastAsia="宋体" w:cs="宋体"/>
      <w:b/>
      <w:bCs/>
      <w:color w:val="000000"/>
      <w:sz w:val="64"/>
      <w:szCs w:val="64"/>
      <w:u w:val="none"/>
    </w:rPr>
  </w:style>
  <w:style w:type="character" w:styleId="938" w:customStyle="1">
    <w:name w:val="font41"/>
    <w:basedOn w:val="703"/>
    <w:uiPriority w:val="0"/>
    <w:qFormat/>
    <w:rPr>
      <w:rFonts w:hint="eastAsia" w:ascii="宋体" w:hAnsi="宋体" w:eastAsia="宋体" w:cs="宋体"/>
      <w:b/>
      <w:bCs/>
      <w:color w:val="000000"/>
      <w:sz w:val="64"/>
      <w:szCs w:val="64"/>
      <w:u w:val="none"/>
    </w:rPr>
  </w:style>
  <w:style w:type="character" w:styleId="939" w:customStyle="1">
    <w:name w:val="font51"/>
    <w:basedOn w:val="703"/>
    <w:uiPriority w:val="0"/>
    <w:qFormat/>
    <w:rPr>
      <w:rFonts w:ascii="Arial" w:hAnsi="Arial" w:cs="Arial"/>
      <w:b/>
      <w:bCs/>
      <w:color w:val="000000"/>
      <w:sz w:val="64"/>
      <w:szCs w:val="64"/>
      <w:u w:val="none"/>
    </w:rPr>
  </w:style>
  <w:style w:type="character" w:styleId="940" w:customStyle="1">
    <w:name w:val="font81"/>
    <w:basedOn w:val="703"/>
    <w:uiPriority w:val="0"/>
    <w:qFormat/>
    <w:rPr>
      <w:rFonts w:hint="default" w:ascii="Arial" w:hAnsi="Arial" w:cs="Arial"/>
      <w:color w:val="000000"/>
      <w:sz w:val="18"/>
      <w:szCs w:val="18"/>
      <w:u w:val="none"/>
    </w:rPr>
  </w:style>
  <w:style w:type="character" w:styleId="941" w:customStyle="1">
    <w:name w:val="font91"/>
    <w:basedOn w:val="703"/>
    <w:uiPriority w:val="0"/>
    <w:qFormat/>
    <w:rPr>
      <w:rFonts w:hint="default" w:ascii="Arial" w:hAnsi="Arial" w:cs="Arial"/>
      <w:color w:val="000000"/>
      <w:sz w:val="7"/>
      <w:szCs w:val="7"/>
      <w:u w:val="none"/>
    </w:rPr>
  </w:style>
  <w:style w:type="character" w:styleId="942" w:customStyle="1">
    <w:name w:val="font11"/>
    <w:basedOn w:val="703"/>
    <w:uiPriority w:val="0"/>
    <w:qFormat/>
    <w:rPr>
      <w:rFonts w:hint="eastAsia" w:ascii="宋体" w:hAnsi="宋体" w:eastAsia="宋体" w:cs="宋体"/>
      <w:color w:val="000000"/>
      <w:sz w:val="36"/>
      <w:szCs w:val="36"/>
      <w:u w:val="single"/>
    </w:rPr>
  </w:style>
  <w:style w:type="character" w:styleId="943" w:customStyle="1">
    <w:name w:val="font21"/>
    <w:basedOn w:val="703"/>
    <w:uiPriority w:val="0"/>
    <w:qFormat/>
    <w:rPr>
      <w:rFonts w:hint="eastAsia" w:ascii="宋体" w:hAnsi="宋体" w:eastAsia="宋体" w:cs="宋体"/>
      <w:color w:val="000000"/>
      <w:sz w:val="36"/>
      <w:szCs w:val="36"/>
      <w:u w:val="none"/>
    </w:rPr>
  </w:style>
  <w:style w:type="paragraph" w:styleId="944" w:customStyle="1">
    <w:name w:val="Table Paragraph"/>
    <w:uiPriority w:val="1"/>
    <w:qFormat/>
    <w:pPr>
      <w:jc w:val="left"/>
      <w:widowControl w:val="off"/>
    </w:pPr>
    <w:rPr>
      <w:rFonts w:hint="default" w:ascii="宋体" w:hAnsi="Times New Roman" w:eastAsia="宋体" w:cs="Times New Roman"/>
      <w:sz w:val="24"/>
      <w:lang w:val="en-US" w:eastAsia="zh-CN" w:bidi="ar-SA"/>
    </w:rPr>
  </w:style>
  <w:style w:type="character" w:styleId="945" w:customStyle="1">
    <w:name w:val="font71"/>
    <w:basedOn w:val="703"/>
    <w:uiPriority w:val="0"/>
    <w:qFormat/>
    <w:rPr>
      <w:rFonts w:hint="eastAsia" w:ascii="宋体" w:hAnsi="宋体" w:eastAsia="宋体" w:cs="宋体"/>
      <w:b/>
      <w:bCs/>
      <w:color w:val="000000"/>
      <w:sz w:val="20"/>
      <w:szCs w:val="20"/>
      <w:u w:val="none"/>
      <w:vertAlign w:val="superscript"/>
    </w:rPr>
  </w:style>
  <w:style w:type="paragraph" w:styleId="946" w:customStyle="1">
    <w:name w:val="页眉11"/>
    <w:uiPriority w:val="0"/>
    <w:qFormat/>
    <w:pPr>
      <w:jc w:val="center"/>
      <w:widowControl w:val="off"/>
      <w:tabs>
        <w:tab w:val="center" w:pos="4153" w:leader="none"/>
        <w:tab w:val="right" w:pos="8306" w:leader="none"/>
      </w:tabs>
      <w:pBdr>
        <w:bottom w:val="single" w:color="000000" w:sz="6" w:space="1"/>
      </w:pBdr>
    </w:pPr>
    <w:rPr>
      <w:rFonts w:hint="default" w:ascii="Times New Roman" w:hAnsi="Times New Roman" w:eastAsia="宋体" w:cs="Times New Roman"/>
      <w:sz w:val="18"/>
      <w:szCs w:val="18"/>
      <w:lang w:val="en-US" w:eastAsia="zh-CN" w:bidi="ar-SA"/>
    </w:rPr>
  </w:style>
  <w:style w:type="numbering" w:styleId="2346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rotWithShape="0">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0">
          <a:gsLst>
            <a:gs pos="0">
              <a:schemeClr val="phClr">
                <a:lumMod val="102000"/>
                <a:satMod val="103000"/>
                <a:tint val="94000"/>
              </a:schemeClr>
            </a:gs>
            <a:gs pos="50000">
              <a:schemeClr val="phClr">
                <a:lumMod val="100000"/>
                <a:satMod val="11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satMod val="170000"/>
            <a:tint val="95000"/>
          </a:schemeClr>
        </a:solidFill>
        <a:gradFill rotWithShape="0">
          <a:gsLst>
            <a:gs pos="0">
              <a:schemeClr val="phClr">
                <a:lumMod val="102000"/>
                <a:satMod val="150000"/>
                <a:shade val="98000"/>
                <a:tint val="93000"/>
              </a:schemeClr>
            </a:gs>
            <a:gs pos="50000">
              <a:schemeClr val="phClr">
                <a:lumMod val="103000"/>
                <a:satMod val="130000"/>
                <a:shade val="90000"/>
                <a:tint val="98000"/>
              </a:schemeClr>
            </a:gs>
            <a:gs pos="100000">
              <a:schemeClr val="phClr">
                <a:satMod val="120000"/>
                <a:shade val="63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ad828c11-c3cb-4a18-a8a6-99595671b93a</errorID>
      <errorWord>1500万元</errorWord>
      <group>L1_Other</group>
      <groupName>其他问题</groupName>
      <ability>L2_Consistency</ability>
      <abilityName>一致性检查</abilityName>
      <candidateList>
        <item>13995683.93元</item>
      </candidateList>
      <explain>数字一致性：文本中提到本项目采购预算和最高限价，其中采购预算表述为1500万元，最高限价表述为13995683.93元，通常采购预算应不低于最高限价，此处存在数字不一致问题，建议统一为最高限价13995683.93元</explain>
      <paraID>2CEE177E</paraID>
      <start>10</start>
      <end>16</end>
      <status>ignored</status>
      <modifiedWord/>
      <trackRevisions>false</trackRevisions>
    </reviewItem>
    <reviewItem>
      <errorID>28677a66-7da0-4309-96b5-9dc0528d09e7</errorID>
      <errorWord>政府采购法实施条例</errorWord>
      <group>L1_Knowledge</group>
      <groupName>知识性问题</groupName>
      <ability>L2_Knowledge</ability>
      <abilityName>其他知识</abilityName>
      <candidateList>
        <item>中华人民共和国政府采购法实施条例</item>
      </candidateList>
      <explain>当前法律法规名称使用简称，请注意是否应当使用全称。</explain>
      <paraID>18254B6E</paraID>
      <start>5</start>
      <end>21</end>
      <status>modified</status>
      <modifiedWord>中华人民共和国政府采购法实施条例</modifiedWord>
      <trackRevisions>false</trackRevisions>
    </reviewItem>
    <reviewItem>
      <errorID>23c0138b-6d61-47dd-b9d3-24b365f92308</errorID>
      <errorWord>释义</errorWord>
      <group>L1_Word</group>
      <groupName>字词问题</groupName>
      <ability>L2_Typo</ability>
      <abilityName>字词错误</abilityName>
      <candidateList>
        <item>的释义</item>
      </candidateList>
      <explain/>
      <paraID>18254B6E</paraID>
      <start>22</start>
      <end>25</end>
      <status>modified</status>
      <modifiedWord>的释义</modifiedWord>
      <trackRevisions>false</trackRevisions>
    </reviewItem>
    <reviewItem>
      <errorID>3cf8ed41-7d39-44ef-8ca0-6bf2da5be1d3</errorID>
      <errorWord>应均</errorWord>
      <group>L1_Word</group>
      <groupName>字词问题</groupName>
      <ability>L2_Typo</ability>
      <abilityName>字词错误</abilityName>
      <candidateList>
        <item>应</item>
      </candidateList>
      <explain/>
      <paraID> 2B71AB5</paraID>
      <start>32</start>
      <end>33</end>
      <status>modified</status>
      <modifiedWord>应</modifiedWord>
      <trackRevisions>false</trackRevisions>
    </reviewItem>
    <reviewItem>
      <errorID>b82fc05f-d3e3-44c0-b215-adf5bf3ca21e</errorID>
      <errorWord>由此而</errorWord>
      <group>L1_Word</group>
      <groupName>字词问题</groupName>
      <ability>L2_Typo</ability>
      <abilityName>字词错误</abilityName>
      <candidateList>
        <item>由此</item>
      </candidateList>
      <explain/>
      <paraID> 2B71AB5</paraID>
      <start>54</start>
      <end>56</end>
      <status>modified</status>
      <modifiedWord>由此</modifiedWord>
      <trackRevisions>false</trackRevisions>
    </reviewItem>
    <reviewItem>
      <errorID>7801013c-0b72-479b-abab-210a2ffdb2ac</errorID>
      <errorWord>或</errorWord>
      <group>L1_Punc</group>
      <groupName>标点问题</groupName>
      <ability>L2_Punc</ability>
      <abilityName>标点符号检查</abilityName>
      <candidateList>
        <item>，或</item>
      </candidateList>
      <explain/>
      <paraID>7D8DE43A</paraID>
      <start>81</start>
      <end>83</end>
      <status>modified</status>
      <modifiedWord>，或</modifiedWord>
      <trackRevisions>false</trackRevisions>
    </reviewItem>
    <reviewItem>
      <errorID>d7b5df4d-173c-4e02-812d-c7d9cef7a72d</errorID>
      <errorWord>开启解密</errorWord>
      <group>L1_Grammar</group>
      <groupName>语法问题</groupName>
      <ability>L2_Grammar</ability>
      <abilityName>语法错误</abilityName>
      <candidateList>
        <item>解密</item>
      </candidateList>
      <explain/>
      <paraID>2500E718</paraID>
      <start>20</start>
      <end>22</end>
      <status>modified</status>
      <modifiedWord>解密</modifiedWord>
      <trackRevisions>false</trackRevisions>
    </reviewItem>
    <reviewItem>
      <errorID>900f1f7e-af30-41f4-bcd3-a88388d32603</errorID>
      <errorWord>）</errorWord>
      <group>L1_Punc</group>
      <groupName>标点问题</groupName>
      <ability>L2_Punc</ability>
      <abilityName>标点符号检查</abilityName>
      <candidateList>
        <item>）。</item>
      </candidateList>
      <explain/>
      <paraID>260AC762</paraID>
      <start>17</start>
      <end>18</end>
      <status>ignored</status>
      <modifiedWord/>
      <trackRevisions>false</trackRevisions>
    </reviewItem>
    <reviewItem>
      <errorID>d2d7c6ff-2558-4130-9304-332ca2fe02c0</errorID>
      <errorWord>；</errorWord>
      <group>L1_Punc</group>
      <groupName>标点问题</groupName>
      <ability>L2_Punc</ability>
      <abilityName>标点符号检查</abilityName>
      <candidateList>
        <item>。</item>
      </candidateList>
      <explain/>
      <paraID>76791A47</paraID>
      <start>81</start>
      <end>82</end>
      <status>modified</status>
      <modifiedWord>。</modifiedWord>
      <trackRevisions>false</trackRevisions>
    </reviewItem>
    <reviewItem>
      <errorID>7a1e5070-4a87-48b0-aa28-3b1ea57f7cdf</errorID>
      <errorWord>。</errorWord>
      <group>L1_Punc</group>
      <groupName>标点问题</groupName>
      <ability>L2_Punc</ability>
      <abilityName>标点符号检查</abilityName>
      <candidateList>
        <item/>
      </candidateList>
      <explain/>
      <paraID>5CE61EC5</paraID>
      <start>23</start>
      <end>23</end>
      <status>modified</status>
      <modifiedWord/>
      <trackRevisions>false</trackRevisions>
    </reviewItem>
    <reviewItem>
      <errorID>c4058975-8d48-4ecf-b369-675ebb983973</errorID>
      <errorWord>。</errorWord>
      <group>L1_Punc</group>
      <groupName>标点问题</groupName>
      <ability>L2_Punc</ability>
      <abilityName>标点符号检查</abilityName>
      <candidateList>
        <item>；</item>
      </candidateList>
      <explain/>
      <paraID>6F85AB45</paraID>
      <start>32</start>
      <end>33</end>
      <status>modified</status>
      <modifiedWord>；</modifiedWord>
      <trackRevisions>false</trackRevisions>
    </reviewItem>
    <reviewItem>
      <errorID>ae30887b-0c28-4a0b-b04e-8493fc28721e</errorID>
      <errorWord>，</errorWord>
      <group>L1_Punc</group>
      <groupName>标点问题</groupName>
      <ability>L2_Punc</ability>
      <abilityName>标点符号检查</abilityName>
      <candidateList>
        <item>。</item>
      </candidateList>
      <explain/>
      <paraID>623CCEA1</paraID>
      <start>60</start>
      <end>61</end>
      <status>modified</status>
      <modifiedWord>。</modifiedWord>
      <trackRevisions>false</trackRevisions>
    </reviewItem>
    <reviewItem>
      <errorID>3b2d3bad-d9ed-4aee-8280-28ab9bccde38</errorID>
      <errorWord>。</errorWord>
      <group>L1_Punc</group>
      <groupName>标点问题</groupName>
      <ability>L2_Punc</ability>
      <abilityName>标点符号检查</abilityName>
      <candidateList>
        <item>；</item>
      </candidateList>
      <explain/>
      <paraID>3B1A4D1D</paraID>
      <start>36</start>
      <end>37</end>
      <status>modified</status>
      <modifiedWord>；</modifiedWord>
      <trackRevisions>false</trackRevisions>
    </reviewItem>
    <reviewItem>
      <errorID>e01ba956-6828-42b1-a4db-35cd3405ff1e</errorID>
      <errorWord>。</errorWord>
      <group>L1_Punc</group>
      <groupName>标点问题</groupName>
      <ability>L2_Punc</ability>
      <abilityName>标点符号检查</abilityName>
      <candidateList>
        <item>；</item>
      </candidateList>
      <explain/>
      <paraID>6842DE8F</paraID>
      <start>8</start>
      <end>9</end>
      <status>modified</status>
      <modifiedWord>；</modifiedWord>
      <trackRevisions>false</trackRevisions>
    </reviewItem>
    <reviewItem>
      <errorID>a8b257a0-2d6b-4d22-834f-41fda6e92fb2</errorID>
      <errorWord>。</errorWord>
      <group>L1_Punc</group>
      <groupName>标点问题</groupName>
      <ability>L2_Punc</ability>
      <abilityName>标点符号检查</abilityName>
      <candidateList>
        <item>；</item>
      </candidateList>
      <explain/>
      <paraID>64F4A41E</paraID>
      <start>93</start>
      <end>94</end>
      <status>modified</status>
      <modifiedWord>；</modifiedWord>
      <trackRevisions>false</trackRevisions>
    </reviewItem>
    <reviewItem>
      <errorID>39894f12-3a8b-44e4-8bb8-d491e7b6c7e0</errorID>
      <errorWord>。</errorWord>
      <group>L1_Punc</group>
      <groupName>标点问题</groupName>
      <ability>L2_Punc</ability>
      <abilityName>标点符号检查</abilityName>
      <candidateList>
        <item>；</item>
      </candidateList>
      <explain/>
      <paraID>2E3F75A3</paraID>
      <start>35</start>
      <end>36</end>
      <status>modified</status>
      <modifiedWord>；</modifiedWord>
      <trackRevisions>false</trackRevisions>
    </reviewItem>
    <reviewItem>
      <errorID>24c12e24-cdbd-4cfa-bd80-ae52bffd6fd9</errorID>
      <errorWord>。</errorWord>
      <group>L1_Punc</group>
      <groupName>标点问题</groupName>
      <ability>L2_Punc</ability>
      <abilityName>标点符号检查</abilityName>
      <candidateList>
        <item>；</item>
      </candidateList>
      <explain/>
      <paraID>4641F999</paraID>
      <start>38</start>
      <end>39</end>
      <status>modified</status>
      <modifiedWord>；</modifiedWord>
      <trackRevisions>false</trackRevisions>
    </reviewItem>
    <reviewItem>
      <errorID>16344083-48d2-446a-a63c-054f8da0e0d5</errorID>
      <errorWord>。</errorWord>
      <group>L1_Punc</group>
      <groupName>标点问题</groupName>
      <ability>L2_Punc</ability>
      <abilityName>标点符号检查</abilityName>
      <candidateList>
        <item>；</item>
      </candidateList>
      <explain/>
      <paraID>5288989F</paraID>
      <start>43</start>
      <end>44</end>
      <status>modified</status>
      <modifiedWord>；</modifiedWord>
      <trackRevisions>false</trackRevisions>
    </reviewItem>
    <reviewItem>
      <errorID>db5b655d-e97b-4af3-b7d6-f87332140a92</errorID>
      <errorWord>。</errorWord>
      <group>L1_Punc</group>
      <groupName>标点问题</groupName>
      <ability>L2_Punc</ability>
      <abilityName>标点符号检查</abilityName>
      <candidateList>
        <item>；</item>
      </candidateList>
      <explain/>
      <paraID>6B11FBF3</paraID>
      <start>66</start>
      <end>67</end>
      <status>modified</status>
      <modifiedWord>；</modifiedWord>
      <trackRevisions>false</trackRevisions>
    </reviewItem>
    <reviewItem>
      <errorID>ee8b0d3b-c947-40fa-bb50-ccaf8da8de91</errorID>
      <errorWord>。</errorWord>
      <group>L1_Punc</group>
      <groupName>标点问题</groupName>
      <ability>L2_Punc</ability>
      <abilityName>标点符号检查</abilityName>
      <candidateList>
        <item>；</item>
      </candidateList>
      <explain/>
      <paraID> C5BD6A2</paraID>
      <start>40</start>
      <end>41</end>
      <status>modified</status>
      <modifiedWord>；</modifiedWord>
      <trackRevisions>false</trackRevisions>
    </reviewItem>
    <reviewItem>
      <errorID>a62ded14-4e14-4d02-bf62-5c4bcc6f2054</errorID>
      <errorWord>。</errorWord>
      <group>L1_Punc</group>
      <groupName>标点问题</groupName>
      <ability>L2_Punc</ability>
      <abilityName>标点符号检查</abilityName>
      <candidateList>
        <item>；</item>
      </candidateList>
      <explain/>
      <paraID>76C31850</paraID>
      <start>58</start>
      <end>59</end>
      <status>modified</status>
      <modifiedWord>；</modifiedWord>
      <trackRevisions>false</trackRevisions>
    </reviewItem>
    <reviewItem>
      <errorID>ffb53130-386c-4fc9-bd87-17e7cdbb91ba</errorID>
      <errorWord>：</errorWord>
      <group>L1_Punc</group>
      <groupName>标点问题</groupName>
      <ability>L2_Punc</ability>
      <abilityName>标点符号检查</abilityName>
      <candidateList>
        <item>：；</item>
      </candidateList>
      <explain/>
      <paraID>42809890</paraID>
      <start>14</start>
      <end>16</end>
      <status>modified</status>
      <modifiedWord>：；</modifiedWord>
      <trackRevisions>false</trackRevisions>
    </reviewItem>
    <reviewItem>
      <errorID>c56d180d-4c8c-4c5f-bebf-0020d90ab034</errorID>
      <errorWord>。</errorWord>
      <group>L1_Punc</group>
      <groupName>标点问题</groupName>
      <ability>L2_Punc</ability>
      <abilityName>标点符号检查</abilityName>
      <candidateList>
        <item>。；</item>
      </candidateList>
      <explain/>
      <paraID>7BFD5C5D</paraID>
      <start>23</start>
      <end>25</end>
      <status>modified</status>
      <modifiedWord>。；</modifiedWord>
      <trackRevisions>false</trackRevisions>
    </reviewItem>
    <reviewItem>
      <errorID>125845ff-20b1-4cb4-b04b-5891be971fc9</errorID>
      <errorWord>；</errorWord>
      <group>L1_Punc</group>
      <groupName>标点问题</groupName>
      <ability>L2_Punc</ability>
      <abilityName>标点符号检查</abilityName>
      <candidateList>
        <item>；；</item>
      </candidateList>
      <explain/>
      <paraID>60C9359A</paraID>
      <start>82</start>
      <end>83</end>
      <status>ignored</status>
      <modifiedWord/>
      <trackRevisions>false</trackRevisions>
    </reviewItem>
    <reviewItem>
      <errorID>30d92107-a45c-431f-970d-6a0c45becee0</errorID>
      <errorWord>街</errorWord>
      <group>L1_Punc</group>
      <groupName>标点问题</groupName>
      <ability>L2_Punc</ability>
      <abilityName>标点符号检查</abilityName>
      <candidateList>
        <item>，街</item>
      </candidateList>
      <explain/>
      <paraID>4ECF710E</paraID>
      <start>9</start>
      <end>11</end>
      <status>modified</status>
      <modifiedWord>，街</modifiedWord>
      <trackRevisions>false</trackRevisions>
    </reviewItem>
    <reviewItem>
      <errorID>5b5e0dd7-17e2-469c-b4c7-09f5013ea8a6</errorID>
      <errorWord>；</errorWord>
      <group>L1_Word</group>
      <groupName>字词问题</groupName>
      <ability>L2_Typo</ability>
      <abilityName>字词错误</abilityName>
      <candidateList>
        <item>的；</item>
      </candidateList>
      <explain/>
      <paraID>69852827</paraID>
      <start>28</start>
      <end>30</end>
      <status>modified</status>
      <modifiedWord>的；</modifiedWord>
      <trackRevisions>false</trackRevisions>
    </reviewItem>
    <reviewItem>
      <errorID>6d97888f-57d2-4623-848d-91c5e46312bf</errorID>
      <errorWord>而</errorWord>
      <group>L1_Punc</group>
      <groupName>标点问题</groupName>
      <ability>L2_Punc</ability>
      <abilityName>标点符号检查</abilityName>
      <candidateList>
        <item>，而</item>
      </candidateList>
      <explain/>
      <paraID>38103D9B</paraID>
      <start>18</start>
      <end>20</end>
      <status>modified</status>
      <modifiedWord>，而</modifiedWord>
      <trackRevisions>false</trackRevisions>
    </reviewItem>
    <reviewItem>
      <errorID>029278cb-6f12-44ca-a970-a02b7ff7050c</errorID>
      <errorWord>；</errorWord>
      <group>L1_Punc</group>
      <groupName>标点问题</groupName>
      <ability>L2_Punc</ability>
      <abilityName>标点符号检查</abilityName>
      <candidateList>
        <item>。</item>
      </candidateList>
      <explain/>
      <paraID>38103D9B</paraID>
      <start>31</start>
      <end>32</end>
      <status>modified</status>
      <modifiedWord>。</modifiedWord>
      <trackRevisions>false</trackRevisions>
    </reviewItem>
    <reviewItem>
      <errorID>cc994654-af87-40d4-8116-72d534c6681f</errorID>
      <errorWord>进行</errorWord>
      <group>L1_Grammar</group>
      <groupName>语法问题</groupName>
      <ability>L2_Grammar</ability>
      <abilityName>语法错误</abilityName>
      <candidateList>
        <item>等方面进行</item>
      </candidateList>
      <explain/>
      <paraID>2E791402</paraID>
      <start>46</start>
      <end>51</end>
      <status>modified</status>
      <modifiedWord>等方面进行</modifiedWord>
      <trackRevisions>false</trackRevisions>
    </reviewItem>
    <reviewItem>
      <errorID>b4bcbd45-c444-49fe-927e-e4a7057d62ea</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2BC29619</paraID>
      <start>49</start>
      <end>50</end>
      <status>ignored</status>
      <modifiedWord/>
      <trackRevisions>false</trackRevisions>
    </reviewItem>
    <reviewItem>
      <errorID>3d38c3d4-8fb9-4c11-956d-414334b84c83</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296A2810</paraID>
      <start>49</start>
      <end>50</end>
      <status>ignored</status>
      <modifiedWord/>
      <trackRevisions>false</trackRevisions>
    </reviewItem>
    <reviewItem>
      <errorID>2b17c02e-8544-4a43-9840-7ec32e104e0a</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244F4EE9</paraID>
      <start>34</start>
      <end>35</end>
      <status>ignored</status>
      <modifiedWord/>
      <trackRevisions>false</trackRevisions>
    </reviewItem>
    <reviewItem>
      <errorID>397b59c6-8c3f-4a8d-b212-8c1e48d4126c</errorID>
      <errorWord>，投标供应商并列。</errorWord>
      <group>L1_Grammar</group>
      <groupName>语法问题</groupName>
      <ability>L2_Grammar</ability>
      <abilityName>语法错误</abilityName>
      <candidateList>
        <item>，</item>
      </candidateList>
      <explain/>
      <paraID> 21AF1A9</paraID>
      <start>104</start>
      <end>105</end>
      <status>modified</status>
      <modifiedWord>，</modifiedWord>
      <trackRevisions>false</trackRevisions>
    </reviewItem>
    <reviewItem>
      <errorID>5a028ccf-caa7-4d99-be5e-2e17536a91a1</errorID>
      <errorWord>面积</errorWord>
      <group>L1_Punc</group>
      <groupName>标点问题</groupName>
      <ability>L2_Punc</ability>
      <abilityName>标点符号检查</abilityName>
      <candidateList>
        <item>，面积</item>
      </candidateList>
      <explain/>
      <paraID>27570937</paraID>
      <start>50</start>
      <end>53</end>
      <status>modified</status>
      <modifiedWord>，面积</modifiedWord>
      <trackRevisions>false</trackRevisions>
    </reviewItem>
    <reviewItem>
      <errorID>10806316-c68b-41b8-a70f-7a378777a48e</errorID>
      <errorWord>）</errorWord>
      <group>L1_Punc</group>
      <groupName>标点问题</groupName>
      <ability>L2_Punc</ability>
      <abilityName>标点符号检查</abilityName>
      <candidateList>
        <item/>
      </candidateList>
      <explain/>
      <paraID>27570937</paraID>
      <start>82</start>
      <end>82</end>
      <status>modified</status>
      <modifiedWord/>
      <trackRevisions>false</trackRevisions>
    </reviewItem>
    <reviewItem>
      <errorID>36e7837a-7748-4541-8a7f-9d5c01ae2a27</errorID>
      <errorWord>外</errorWord>
      <group>L1_Grammar</group>
      <groupName>语法问题</groupName>
      <ability>L2_Grammar</ability>
      <abilityName>语法错误</abilityName>
      <candidateList>
        <item>情况外</item>
      </candidateList>
      <explain/>
      <paraID>6491A420</paraID>
      <start>56</start>
      <end>59</end>
      <status>modified</status>
      <modifiedWord>情况外</modifiedWord>
      <trackRevisions>false</trackRevisions>
    </reviewItem>
    <reviewItem>
      <errorID>24f99347-bbc4-4da5-a6af-01e07b75a60a</errorID>
      <errorWord>的则</errorWord>
      <group>L1_Word</group>
      <groupName>字词问题</groupName>
      <ability>L2_Typo</ability>
      <abilityName>字词错误</abilityName>
      <candidateList>
        <item>时，</item>
      </candidateList>
      <explain/>
      <paraID>6491A420</paraID>
      <start>75</start>
      <end>77</end>
      <status>modified</status>
      <modifiedWord>时，</modifiedWord>
      <trackRevisions>false</trackRevisions>
    </reviewItem>
    <reviewItem>
      <errorID>a2dcefe4-184b-4f07-955c-9d9d8126d48e</errorID>
      <errorWord>。</errorWord>
      <group>L1_Punc</group>
      <groupName>标点问题</groupName>
      <ability>L2_Punc</ability>
      <abilityName>标点符号检查</abilityName>
      <candidateList>
        <item/>
      </candidateList>
      <explain/>
      <paraID>6491A420</paraID>
      <start>82</start>
      <end>82</end>
      <status>modified</status>
      <modifiedWord/>
      <trackRevisions>false</trackRevisions>
    </reviewItem>
    <reviewItem>
      <errorID>a1f7193d-179d-48f8-a1d8-3249a490c2e7</errorID>
      <errorWord>十一</errorWord>
      <group>L1_Word</group>
      <groupName>字词问题</groupName>
      <ability>L2_Typo</ability>
      <abilityName>字词错误</abilityName>
      <candidateList>
        <item>十</item>
      </candidateList>
      <explain/>
      <paraID>6E2B7682</paraID>
      <start>0</start>
      <end>1</end>
      <status>modified</status>
      <modifiedWord>十</modifiedWord>
      <trackRevisions>false</trackRevisions>
    </reviewItem>
    <reviewItem>
      <errorID>59230da0-1e82-456f-a51e-6638d33a5b2c</errorID>
      <errorWord>，</errorWord>
      <group>L1_Punc</group>
      <groupName>标点问题</groupName>
      <ability>L2_Punc</ability>
      <abilityName>标点符号检查</abilityName>
      <candidateList>
        <item>。</item>
      </candidateList>
      <explain/>
      <paraID>69F6C203</paraID>
      <start>36</start>
      <end>37</end>
      <status>modified</status>
      <modifiedWord>。</modifiedWord>
      <trackRevisions>false</trackRevisions>
    </reviewItem>
    <reviewItem>
      <errorID>2fc71489-1c57-4e12-b0bf-2a8560b7daee</errorID>
      <errorWord> 树种</errorWord>
      <group>L1_Grammar</group>
      <groupName>语法问题</groupName>
      <ability>L2_Grammar</ability>
      <abilityName>语法错误</abilityName>
      <candidateList>
        <item> </item>
      </candidateList>
      <explain/>
      <paraID>7F63D3A8</paraID>
      <start>8</start>
      <end>9</end>
      <status>modified</status>
      <modifiedWord> </modifiedWord>
      <trackRevisions>false</trackRevisions>
    </reviewItem>
    <reviewItem>
      <errorID>90851486-817a-47fe-abff-2cc778a2f506</errorID>
      <errorWord>早</errorWord>
      <group>L1_Word</group>
      <groupName>字词问题</groupName>
      <ability>L2_Typo</ability>
      <abilityName>字词错误</abilityName>
      <candidateList>
        <item>在早</item>
      </candidateList>
      <explain/>
      <paraID>3874DE45</paraID>
      <start>14</start>
      <end>16</end>
      <status>modified</status>
      <modifiedWord>在早</modifiedWord>
      <trackRevisions>false</trackRevisions>
    </reviewItem>
    <reviewItem>
      <errorID>dcf9b5c5-2151-43eb-a1e9-bc1d26183c3f</errorID>
      <errorWord>中午</errorWord>
      <group>L1_Word</group>
      <groupName>字词问题</groupName>
      <ability>L2_Typo</ability>
      <abilityName>字词错误</abilityName>
      <candidateList>
        <item>在中午</item>
      </candidateList>
      <explain/>
      <paraID>3874DE45</paraID>
      <start>53</start>
      <end>56</end>
      <status>modified</status>
      <modifiedWord>在中午</modifiedWord>
      <trackRevisions>false</trackRevisions>
    </reviewItem>
    <reviewItem>
      <errorID>ce1d8d19-592d-40ad-811f-c1b14c7e4d97</errorID>
      <errorWord>。</errorWord>
      <group>L1_Grammar</group>
      <groupName>语法问题</groupName>
      <ability>L2_Grammar</ability>
      <abilityName>语法错误</abilityName>
      <candidateList>
        <item>。此句无错误。</item>
      </candidateList>
      <explain/>
      <paraID>709C4D9F</paraID>
      <start>44</start>
      <end>51</end>
      <status>modified</status>
      <modifiedWord>。此句无错误。</modifiedWord>
      <trackRevisions>false</trackRevisions>
    </reviewItem>
    <reviewItem>
      <errorID>a2f0c699-0cf2-411f-8d08-1c9d37463eba</errorID>
      <errorWord>冲洗蒙尘</errorWord>
      <group>L1_Grammar</group>
      <groupName>语法问题</groupName>
      <ability>L2_Grammar</ability>
      <abilityName>语法错误</abilityName>
      <candidateList>
        <item>冲洗</item>
      </candidateList>
      <explain/>
      <paraID>1B4DDEE8</paraID>
      <start>21</start>
      <end>23</end>
      <status>modified</status>
      <modifiedWord>冲洗</modifiedWord>
      <trackRevisions>false</trackRevisions>
    </reviewItem>
    <reviewItem>
      <errorID>ed61e969-d400-4897-86bf-4c3c41c40c80</errorID>
      <errorWord>。</errorWord>
      <group>L1_Grammar</group>
      <groupName>语法问题</groupName>
      <ability>L2_Grammar</ability>
      <abilityName>语法错误</abilityName>
      <candidateList>
        <item>。此句无错误。</item>
      </candidateList>
      <explain/>
      <paraID>483849E8</paraID>
      <start>50</start>
      <end>57</end>
      <status>modified</status>
      <modifiedWord>。此句无错误。</modifiedWord>
      <trackRevisions>false</trackRevisions>
    </reviewItem>
    <reviewItem>
      <errorID>6fb40cc7-6000-49fc-a62d-5c5335f63c1f</errorID>
      <errorWord>。</errorWord>
      <group>L1_Grammar</group>
      <groupName>语法问题</groupName>
      <ability>L2_Grammar</ability>
      <abilityName>语法错误</abilityName>
      <candidateList>
        <item>。此句无错误。</item>
      </candidateList>
      <explain/>
      <paraID>579951EB</paraID>
      <start>22</start>
      <end>29</end>
      <status>modified</status>
      <modifiedWord>。此句无错误。</modifiedWord>
      <trackRevisions>false</trackRevisions>
    </reviewItem>
    <reviewItem>
      <errorID>50e8337b-be15-43ab-a0dd-8ea1d07d2087</errorID>
      <errorWord>范围以上</errorWord>
      <group>L1_Grammar</group>
      <groupName>语法问题</groupName>
      <ability>L2_Grammar</ability>
      <abilityName>语法错误</abilityName>
      <candidateList>
        <item>范围</item>
      </candidateList>
      <explain/>
      <paraID> D3BD914</paraID>
      <start>125</start>
      <end>127</end>
      <status>modified</status>
      <modifiedWord>范围</modifiedWord>
      <trackRevisions>false</trackRevisions>
    </reviewItem>
    <reviewItem>
      <errorID>fb60c81a-6855-4f0a-a113-4b84467b7bf8</errorID>
      <errorWord>％</errorWord>
      <group>L1_Word</group>
      <groupName>字词问题</groupName>
      <ability>L2_Typo</ability>
      <abilityName>字词错误</abilityName>
      <candidateList>
        <item>%</item>
      </candidateList>
      <explain/>
      <paraID>702EB2D7</paraID>
      <start>42</start>
      <end>43</end>
      <status>modified</status>
      <modifiedWord>%</modifiedWord>
      <trackRevisions>false</trackRevisions>
    </reviewItem>
    <reviewItem>
      <errorID>35f7408e-5333-4b2e-b5c5-6da629b172a0</errorID>
      <errorWord>不</errorWord>
      <group>L1_Grammar</group>
      <groupName>语法问题</groupName>
      <ability>L2_Grammar</ability>
      <abilityName>语法错误</abilityName>
      <candidateList>
        <item>面积不</item>
      </candidateList>
      <explain/>
      <paraID>702EB2D7</paraID>
      <start>48</start>
      <end>51</end>
      <status>modified</status>
      <modifiedWord>面积不</modifiedWord>
      <trackRevisions>false</trackRevisions>
    </reviewItem>
    <reviewItem>
      <errorID>c4ccd96c-6828-4f6f-a165-fa219253a5f5</errorID>
      <errorWord>2</errorWord>
      <group>L1_Grammar</group>
      <groupName>语法问题</groupName>
      <ability>L2_Grammar</ability>
      <abilityName>语法错误</abilityName>
      <candidateList>
        <item>进行2</item>
      </candidateList>
      <explain/>
      <paraID>53471C91</paraID>
      <start>33</start>
      <end>36</end>
      <status>modified</status>
      <modifiedWord>进行2</modifiedWord>
      <trackRevisions>false</trackRevisions>
    </reviewItem>
    <reviewItem>
      <errorID>ae0b49e4-2cfa-4bbe-970b-3c653575e9de</errorID>
      <errorWord>。</errorWord>
      <group>L1_Grammar</group>
      <groupName>语法问题</groupName>
      <ability>L2_Grammar</ability>
      <abilityName>语法错误</abilityName>
      <candidateList>
        <item>。此句无错误。</item>
      </candidateList>
      <explain/>
      <paraID>5CAE15A8</paraID>
      <start>38</start>
      <end>45</end>
      <status>modified</status>
      <modifiedWord>。此句无错误。</modifiedWord>
      <trackRevisions>false</trackRevisions>
    </reviewItem>
    <reviewItem>
      <errorID>dc799451-2300-4df9-987e-6d51cea2163b</errorID>
      <errorWord>。</errorWord>
      <group>L1_Grammar</group>
      <groupName>语法问题</groupName>
      <ability>L2_Grammar</ability>
      <abilityName>语法错误</abilityName>
      <candidateList>
        <item>。此句无错误。</item>
      </candidateList>
      <explain/>
      <paraID>69BF3ED0</paraID>
      <start>30</start>
      <end>37</end>
      <status>modified</status>
      <modifiedWord>。此句无错误。</modifiedWord>
      <trackRevisions>false</trackRevisions>
    </reviewItem>
    <reviewItem>
      <errorID>48366daa-4df5-4edb-b674-e07f3d06129f</errorID>
      <errorWord>而定</errorWord>
      <group>L1_Word</group>
      <groupName>字词问题</groupName>
      <ability>L2_Typo</ability>
      <abilityName>字词错误</abilityName>
      <candidateList>
        <item>来确定</item>
      </candidateList>
      <explain/>
      <paraID>30B8D286</paraID>
      <start>33</start>
      <end>36</end>
      <status>modified</status>
      <modifiedWord>来确定</modifiedWord>
      <trackRevisions>false</trackRevisions>
    </reviewItem>
    <reviewItem>
      <errorID>a7d701a4-ede6-4cdd-8f4c-2d0c2f20e2f7</errorID>
      <errorWord>后进行</errorWord>
      <group>L1_Grammar</group>
      <groupName>语法问题</groupName>
      <ability>L2_Grammar</ability>
      <abilityName>语法错误</abilityName>
      <candidateList>
        <item>后</item>
      </candidateList>
      <explain/>
      <paraID>61206E21</paraID>
      <start>48</start>
      <end>49</end>
      <status>modified</status>
      <modifiedWord>后</modifiedWord>
      <trackRevisions>false</trackRevisions>
    </reviewItem>
    <reviewItem>
      <errorID>f1be6702-86f0-48cd-bc00-10bbc225917a</errorID>
      <errorWord>。</errorWord>
      <group>L1_Grammar</group>
      <groupName>语法问题</groupName>
      <ability>L2_Grammar</ability>
      <abilityName>语法错误</abilityName>
      <candidateList>
        <item>。此句无错误。</item>
      </candidateList>
      <explain/>
      <paraID>678009DF</paraID>
      <start>53</start>
      <end>60</end>
      <status>modified</status>
      <modifiedWord>。此句无错误。</modifiedWord>
      <trackRevisions>false</trackRevisions>
    </reviewItem>
    <reviewItem>
      <errorID>33b5a2c8-f921-4ebe-8624-7c1207fa82ed</errorID>
      <errorWord>。</errorWord>
      <group>L1_Grammar</group>
      <groupName>语法问题</groupName>
      <ability>L2_Grammar</ability>
      <abilityName>语法错误</abilityName>
      <candidateList>
        <item>。此句无错误。</item>
      </candidateList>
      <explain/>
      <paraID>1F2F9F69</paraID>
      <start>56</start>
      <end>63</end>
      <status>modified</status>
      <modifiedWord>。此句无错误。</modifiedWord>
      <trackRevisions>false</trackRevisions>
    </reviewItem>
    <reviewItem>
      <errorID>27505d89-a0e5-4fb5-8516-eba5e64d6c4d</errorID>
      <errorWord>平方</errorWord>
      <group>L1_Word</group>
      <groupName>字词问题</groupName>
      <ability>L2_Typo</ability>
      <abilityName>字词错误</abilityName>
      <candidateList>
        <item>㎡</item>
      </candidateList>
      <explain/>
      <paraID>285F94E2</paraID>
      <start>30</start>
      <end>31</end>
      <status>modified</status>
      <modifiedWord>㎡</modifiedWord>
      <trackRevisions>false</trackRevisions>
    </reviewItem>
    <reviewItem>
      <errorID>76b196ff-887e-4c5e-9d72-49e5f54def7f</errorID>
      <errorWord>平方</errorWord>
      <group>L1_Word</group>
      <groupName>字词问题</groupName>
      <ability>L2_Typo</ability>
      <abilityName>字词错误</abilityName>
      <candidateList>
        <item>㎡</item>
      </candidateList>
      <explain/>
      <paraID>285F94E2</paraID>
      <start>45</start>
      <end>46</end>
      <status>modified</status>
      <modifiedWord>㎡</modifiedWord>
      <trackRevisions>false</trackRevisions>
    </reviewItem>
    <reviewItem>
      <errorID>9f0b249e-bc5d-4800-9953-1dafcaac46d7</errorID>
      <errorWord>在</errorWord>
      <group>L1_Grammar</group>
      <groupName>语法问题</groupName>
      <ability>L2_Grammar</ability>
      <abilityName>语法错误</abilityName>
      <candidateList>
        <item>的方式在</item>
      </candidateList>
      <explain/>
      <paraID>5125A90E</paraID>
      <start>20</start>
      <end>24</end>
      <status>modified</status>
      <modifiedWord>的方式在</modifiedWord>
      <trackRevisions>false</trackRevisions>
    </reviewItem>
    <reviewItem>
      <errorID>2413fc98-b89e-45b4-9b16-9c0d2eb9cc61</errorID>
      <errorWord>.</errorWord>
      <group>L1_Format</group>
      <groupName>格式问题</groupName>
      <ability>L2_HalfPunc</ability>
      <abilityName>全半角检查</abilityName>
      <candidateList>
        <item>。</item>
      </candidateList>
      <explain>文本全半角错误。</explain>
      <paraID>14D356E3</paraID>
      <start>4</start>
      <end>5</end>
      <status>ignored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DD4A1C9-AC27-43AE-80C7-8CF4AA45F936}"/>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殷铭</cp:lastModifiedBy>
  <cp:revision>21</cp:revision>
  <dcterms:created xsi:type="dcterms:W3CDTF">2024-04-18T09:13:00Z</dcterms:created>
  <dcterms:modified xsi:type="dcterms:W3CDTF">2026-05-21T02:30:48Z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A3DF45EE3F1E4BFB9624BC7999B0FA98_13</vt:lpwstr>
  </property>
  <property fmtid="{D5CDD505-2E9C-101B-9397-08002B2CF9AE}" pid="4" name="commondata">
    <vt:lpwstr>eyJoZGlkIjoiMTI5OTQ5ZTkyOTZlMjBlYzJmZGMzNDNjMWMyNGU2ZTYifQ==</vt:lpwstr>
  </property>
  <property fmtid="{D5CDD505-2E9C-101B-9397-08002B2CF9AE}" pid="5" name="KSOTemplateDocerSaveRecord">
    <vt:lpwstr>eyJoZGlkIjoiNmFhMjJhNGRhNjdkZjNkYWVlOWJiMWQzYTVhZTZmM2UiLCJ1c2VySWQiOiI0MTA4Njc5MTkifQ==</vt:lpwstr>
  </property>
</Properties>
</file>