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宋体"/>
          <w:b/>
          <w:bCs/>
          <w:sz w:val="24"/>
          <w:szCs w:val="24"/>
        </w:rPr>
      </w:pPr>
      <w:r>
        <w:rPr>
          <w:rFonts w:ascii="宋体" w:hAnsi="宋体" w:cs="宋体"/>
          <w:b/>
          <w:bCs/>
          <w:sz w:val="24"/>
          <w:szCs w:val="24"/>
        </w:rPr>
      </w:r>
      <w:r/>
    </w:p>
    <w:p>
      <w:pPr>
        <w:jc w:val="left"/>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sz w:val="52"/>
          <w:szCs w:val="52"/>
        </w:rPr>
      </w:pPr>
      <w:r>
        <w:rPr>
          <w:rFonts w:hint="eastAsia" w:ascii="宋体" w:hAnsi="宋体" w:cs="宋体"/>
          <w:b/>
          <w:sz w:val="52"/>
          <w:szCs w:val="52"/>
        </w:rPr>
        <w:t xml:space="preserve">苏 州 市 政 府 采 购</w:t>
      </w:r>
      <w:r/>
    </w:p>
    <w:p>
      <w:pPr>
        <w:jc w:val="center"/>
        <w:spacing w:line="360" w:lineRule="auto"/>
        <w:rPr>
          <w:rFonts w:ascii="宋体" w:hAnsi="宋体" w:cs="宋体"/>
          <w:b/>
          <w:sz w:val="52"/>
          <w:szCs w:val="52"/>
        </w:rPr>
      </w:pPr>
      <w:r>
        <w:rPr>
          <w:rFonts w:hint="eastAsia" w:ascii="宋体" w:hAnsi="宋体" w:cs="宋体"/>
          <w:b/>
          <w:sz w:val="52"/>
          <w:szCs w:val="52"/>
        </w:rPr>
        <w:t xml:space="preserve">竞争性磋商文件</w:t>
      </w:r>
      <w:r/>
    </w:p>
    <w:p>
      <w:pPr>
        <w:jc w:val="cente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sz w:val="32"/>
          <w:szCs w:val="32"/>
        </w:rPr>
      </w:pPr>
      <w:r>
        <w:rPr>
          <w:rFonts w:hint="eastAsia" w:ascii="宋体" w:hAnsi="宋体" w:cs="宋体"/>
          <w:b/>
          <w:sz w:val="32"/>
          <w:szCs w:val="32"/>
        </w:rPr>
        <w:t xml:space="preserve">        采购编号：JSZC-320506-XDSZ-C2026-0001</w:t>
      </w:r>
      <w:r/>
    </w:p>
    <w:p>
      <w:pPr>
        <w:spacing w:line="360" w:lineRule="auto"/>
        <w:rPr>
          <w:rFonts w:ascii="宋体" w:hAnsi="宋体" w:cs="宋体"/>
          <w:b/>
          <w:sz w:val="32"/>
          <w:szCs w:val="32"/>
        </w:rPr>
      </w:pPr>
      <w:r>
        <w:rPr>
          <w:rFonts w:hint="eastAsia" w:ascii="宋体" w:hAnsi="宋体" w:cs="宋体"/>
          <w:b/>
          <w:sz w:val="32"/>
          <w:szCs w:val="32"/>
        </w:rPr>
        <w:t xml:space="preserve">        采购单位：苏州市吴中区人民政府郭巷街道办事处</w:t>
      </w:r>
      <w:r/>
    </w:p>
    <w:p>
      <w:pPr>
        <w:spacing w:line="360" w:lineRule="auto"/>
        <w:rPr>
          <w:rFonts w:ascii="宋体" w:hAnsi="宋体" w:cs="宋体"/>
          <w:b/>
          <w:sz w:val="32"/>
          <w:szCs w:val="32"/>
        </w:rPr>
      </w:pPr>
      <w:r>
        <w:rPr>
          <w:rFonts w:hint="eastAsia" w:ascii="宋体" w:hAnsi="宋体" w:cs="宋体"/>
          <w:b/>
          <w:sz w:val="32"/>
          <w:szCs w:val="32"/>
        </w:rPr>
        <w:t xml:space="preserve">        采购内容：郭巷环卫所尹帆路中转站服务外包项目</w:t>
      </w:r>
      <w:r/>
    </w:p>
    <w:p>
      <w:pPr>
        <w:spacing w:line="360" w:lineRule="auto"/>
        <w:rPr>
          <w:rFonts w:ascii="宋体" w:hAnsi="宋体" w:cs="宋体"/>
          <w:b/>
          <w:sz w:val="32"/>
          <w:szCs w:val="32"/>
        </w:rPr>
      </w:pPr>
      <w:r>
        <w:rPr>
          <w:rFonts w:hint="eastAsia" w:ascii="宋体" w:hAnsi="宋体" w:cs="宋体"/>
          <w:b/>
          <w:sz w:val="32"/>
          <w:szCs w:val="32"/>
        </w:rPr>
        <w:t xml:space="preserve">        项目类别：服务类</w:t>
      </w:r>
      <w:r/>
    </w:p>
    <w:p>
      <w:pPr>
        <w:pStyle w:val="729"/>
        <w:spacing w:line="360" w:lineRule="auto"/>
        <w:rPr>
          <w:rFonts w:ascii="宋体" w:hAnsi="宋体" w:cs="宋体"/>
          <w:sz w:val="24"/>
        </w:rPr>
      </w:pPr>
      <w:r>
        <w:rPr>
          <w:rFonts w:ascii="宋体" w:hAnsi="宋体" w:cs="宋体"/>
          <w:sz w:val="24"/>
        </w:rPr>
      </w:r>
      <w:r/>
    </w:p>
    <w:p>
      <w:pPr>
        <w:ind w:right="-506"/>
        <w:jc w:val="center"/>
        <w:spacing w:line="360" w:lineRule="auto"/>
        <w:rPr>
          <w:rFonts w:ascii="宋体" w:hAnsi="宋体" w:cs="宋体"/>
          <w:b/>
          <w:spacing w:val="-26"/>
          <w:sz w:val="24"/>
          <w:szCs w:val="24"/>
        </w:rPr>
      </w:pPr>
      <w:r>
        <w:rPr>
          <w:rFonts w:hint="eastAsia" w:ascii="宋体" w:hAnsi="宋体" w:cs="宋体"/>
          <w:b/>
          <w:sz w:val="24"/>
          <w:szCs w:val="24"/>
        </w:rPr>
        <mc:AlternateContent>
          <mc:Choice Requires="wpg">
            <w:drawing>
              <wp:inline xmlns:wp="http://schemas.openxmlformats.org/drawingml/2006/wordprocessingDrawing" distT="0" distB="0" distL="0" distR="0">
                <wp:extent cx="3019425" cy="2689860"/>
                <wp:effectExtent l="0" t="0" r="9525" b="15240"/>
                <wp:docPr id="1"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1"/>
                        <a:stretch/>
                      </pic:blipFill>
                      <pic:spPr bwMode="auto">
                        <a:xfrm>
                          <a:off x="0" y="0"/>
                          <a:ext cx="3019425" cy="2689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7.8pt;height:211.8pt;mso-wrap-distance-left:0.0pt;mso-wrap-distance-top:0.0pt;mso-wrap-distance-right:0.0pt;mso-wrap-distance-bottom:0.0pt;" stroked="f">
                <v:path textboxrect="0,0,0,0"/>
                <v:imagedata r:id="rId11" o:title=""/>
              </v:shape>
            </w:pict>
          </mc:Fallback>
        </mc:AlternateContent>
      </w:r>
      <w:r/>
    </w:p>
    <w:p>
      <w:pPr>
        <w:ind w:right="-506"/>
        <w:jc w:val="center"/>
        <w:spacing w:line="360" w:lineRule="auto"/>
        <w:rPr>
          <w:rFonts w:ascii="宋体" w:hAnsi="宋体" w:cs="宋体"/>
          <w:b/>
          <w:sz w:val="28"/>
          <w:szCs w:val="28"/>
        </w:rPr>
      </w:pPr>
      <w:r>
        <w:rPr>
          <w:rFonts w:hint="eastAsia" w:ascii="宋体" w:hAnsi="宋体" w:cs="宋体"/>
          <w:b/>
          <w:sz w:val="28"/>
          <w:szCs w:val="28"/>
        </w:rPr>
        <w:t xml:space="preserve">信达项目管理咨询（苏州）有限公司</w:t>
      </w:r>
      <w:r/>
    </w:p>
    <w:p>
      <w:pPr>
        <w:ind w:right="-506"/>
        <w:jc w:val="center"/>
        <w:spacing w:line="360" w:lineRule="auto"/>
        <w:rPr>
          <w:rFonts w:ascii="宋体" w:hAnsi="宋体" w:cs="宋体"/>
          <w:b/>
          <w:sz w:val="28"/>
          <w:szCs w:val="28"/>
        </w:rPr>
      </w:pPr>
      <w:r>
        <w:rPr>
          <w:rFonts w:hint="eastAsia" w:ascii="宋体" w:hAnsi="宋体" w:cs="宋体"/>
          <w:b/>
          <w:sz w:val="28"/>
          <w:szCs w:val="28"/>
        </w:rPr>
        <w:t xml:space="preserve">二零二六年五月</w:t>
      </w:r>
      <w:r/>
    </w:p>
    <w:p>
      <w:pPr>
        <w:jc w:val="center"/>
        <w:spacing w:line="360" w:lineRule="auto"/>
        <w:rPr>
          <w:rFonts w:ascii="宋体" w:hAnsi="宋体" w:cs="宋体"/>
          <w:b/>
          <w:sz w:val="28"/>
          <w:szCs w:val="28"/>
        </w:rPr>
      </w:pPr>
      <w:r>
        <w:rPr>
          <w:rFonts w:hint="eastAsia" w:ascii="宋体" w:hAnsi="宋体" w:cs="宋体"/>
          <w:b/>
          <w:bCs/>
          <w:sz w:val="24"/>
          <w:szCs w:val="24"/>
        </w:rPr>
        <w:br w:type="page" w:clear="all"/>
      </w:r>
      <w:r>
        <w:rPr>
          <w:rFonts w:hint="eastAsia" w:ascii="宋体" w:hAnsi="宋体" w:cs="宋体"/>
          <w:b/>
          <w:sz w:val="32"/>
          <w:szCs w:val="32"/>
        </w:rPr>
        <w:t xml:space="preserve">目 录</w:t>
      </w:r>
      <w:r/>
    </w:p>
    <w:p>
      <w:pPr>
        <w:jc w:val="left"/>
        <w:spacing w:line="360" w:lineRule="auto"/>
        <w:tabs>
          <w:tab w:val="left" w:pos="315" w:leader="none"/>
          <w:tab w:val="center" w:pos="4153" w:leader="none"/>
        </w:tabs>
        <w:rPr>
          <w:rFonts w:ascii="宋体" w:hAnsi="宋体" w:cs="宋体"/>
          <w:b/>
          <w:sz w:val="28"/>
          <w:szCs w:val="28"/>
        </w:rPr>
      </w:pPr>
      <w:r>
        <w:rPr>
          <w:rFonts w:ascii="宋体" w:hAnsi="宋体" w:cs="宋体"/>
          <w:b/>
          <w:sz w:val="28"/>
          <w:szCs w:val="28"/>
        </w:rPr>
      </w:r>
      <w:r/>
    </w:p>
    <w:p>
      <w:pPr>
        <w:jc w:val="left"/>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第一章 磋商公告</w:t>
      </w:r>
      <w:r/>
    </w:p>
    <w:p>
      <w:pPr>
        <w:jc w:val="left"/>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第二章 竞争性磋商文件</w:t>
      </w:r>
      <w:r/>
    </w:p>
    <w:p>
      <w:pPr>
        <w:jc w:val="left"/>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第三章 评审方法及评分标准</w:t>
      </w:r>
      <w:r/>
    </w:p>
    <w:p>
      <w:pPr>
        <w:jc w:val="left"/>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第四章 合同主要条款</w:t>
      </w:r>
      <w:r/>
    </w:p>
    <w:p>
      <w:pPr>
        <w:jc w:val="left"/>
        <w:spacing w:line="360" w:lineRule="auto"/>
        <w:rPr>
          <w:rFonts w:ascii="宋体" w:hAnsi="宋体" w:cs="宋体"/>
          <w:sz w:val="28"/>
          <w:szCs w:val="28"/>
        </w:rPr>
      </w:pPr>
      <w:r>
        <w:rPr>
          <w:rFonts w:hint="eastAsia" w:ascii="宋体" w:hAnsi="宋体" w:cs="宋体"/>
          <w:b/>
          <w:sz w:val="28"/>
          <w:szCs w:val="28"/>
        </w:rPr>
        <w:t xml:space="preserve">第五章 响应文件格式（部分）</w:t>
      </w:r>
      <w:r/>
    </w:p>
    <w:p>
      <w:pPr>
        <w:jc w:val="center"/>
        <w:spacing w:line="360" w:lineRule="auto"/>
        <w:rPr>
          <w:rStyle w:val="731"/>
          <w:rFonts w:ascii="宋体" w:hAnsi="宋体" w:cs="宋体"/>
          <w:sz w:val="24"/>
          <w:szCs w:val="24"/>
        </w:rPr>
      </w:pPr>
      <w:r>
        <w:rPr>
          <w:rStyle w:val="731"/>
          <w:rFonts w:hint="eastAsia" w:ascii="宋体" w:hAnsi="宋体" w:cs="宋体"/>
          <w:sz w:val="24"/>
          <w:szCs w:val="24"/>
        </w:rPr>
        <w:br w:type="page" w:clear="all"/>
      </w:r>
      <w:r>
        <w:rPr>
          <w:rStyle w:val="731"/>
          <w:rFonts w:hint="eastAsia" w:ascii="宋体" w:hAnsi="宋体" w:cs="宋体"/>
          <w:sz w:val="24"/>
          <w:szCs w:val="24"/>
        </w:rPr>
        <w:t xml:space="preserve">第一章 磋商公告</w:t>
      </w:r>
      <w:r/>
    </w:p>
    <w:p>
      <w:pPr>
        <w:spacing w:line="360" w:lineRule="auto"/>
        <w:rPr>
          <w:rFonts w:ascii="宋体" w:hAnsi="宋体" w:cs="宋体"/>
          <w:b/>
          <w:sz w:val="24"/>
          <w:szCs w:val="24"/>
        </w:rPr>
      </w:pPr>
      <w:r>
        <w:rPr>
          <w:rFonts w:hint="eastAsia" w:ascii="宋体" w:hAnsi="宋体" w:cs="宋体"/>
          <w:b/>
          <w:sz w:val="24"/>
          <w:szCs w:val="24"/>
          <w:lang w:val="zh-CN"/>
        </w:rPr>
        <w:t xml:space="preserve">项目概况</w:t>
      </w:r>
      <w:r/>
    </w:p>
    <w:p>
      <w:pPr>
        <w:jc w:val="left"/>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b/>
          <w:bCs/>
          <w:sz w:val="24"/>
          <w:szCs w:val="24"/>
          <w:u w:val="single"/>
          <w:lang w:val="zh-CN"/>
        </w:rPr>
        <w:t xml:space="preserve">郭巷环卫所尹帆路中转站服务外包项目</w:t>
      </w:r>
      <w:r>
        <w:rPr>
          <w:rFonts w:hint="eastAsia" w:ascii="宋体" w:hAnsi="宋体" w:cs="宋体"/>
          <w:bCs/>
          <w:sz w:val="24"/>
          <w:szCs w:val="24"/>
          <w:lang w:val="zh-CN"/>
        </w:rPr>
        <w:t xml:space="preserve">采购</w:t>
      </w:r>
      <w:r>
        <w:rPr>
          <w:rFonts w:hint="eastAsia" w:ascii="宋体" w:hAnsi="宋体" w:cs="宋体"/>
          <w:sz w:val="24"/>
          <w:szCs w:val="24"/>
          <w:lang w:val="zh-CN"/>
        </w:rPr>
        <w:t xml:space="preserve">项目的潜在供应商应在</w:t>
      </w:r>
      <w:r>
        <w:rPr>
          <w:rFonts w:hint="eastAsia" w:ascii="宋体" w:hAnsi="宋体" w:cs="宋体"/>
          <w:sz w:val="24"/>
          <w:szCs w:val="24"/>
          <w:u w:val="single"/>
        </w:rPr>
        <w:t xml:space="preserve">“苏采云”政府采购交易系统</w:t>
      </w:r>
      <w:r>
        <w:rPr>
          <w:rFonts w:hint="eastAsia" w:ascii="宋体" w:hAnsi="宋体" w:cs="宋体"/>
          <w:sz w:val="24"/>
          <w:szCs w:val="24"/>
          <w:lang w:val="zh-CN"/>
        </w:rPr>
        <w:t xml:space="preserve">获取采购文件，并于</w:t>
      </w:r>
      <w:r>
        <w:rPr>
          <w:rFonts w:hint="eastAsia" w:ascii="宋体" w:hAnsi="宋体" w:cs="宋体"/>
          <w:b/>
          <w:bCs/>
          <w:sz w:val="24"/>
          <w:szCs w:val="24"/>
          <w:u w:val="single"/>
          <w:lang w:val="zh-CN"/>
        </w:rPr>
        <w:t xml:space="preserve">2026年05月21日13:30（北京时间）</w:t>
      </w:r>
      <w:r>
        <w:rPr>
          <w:rFonts w:hint="eastAsia" w:ascii="宋体" w:hAnsi="宋体" w:cs="宋体"/>
          <w:sz w:val="24"/>
          <w:szCs w:val="24"/>
          <w:lang w:val="zh-CN"/>
        </w:rPr>
        <w:t xml:space="preserve">前提交响应文件。</w:t>
      </w:r>
      <w:r/>
    </w:p>
    <w:p>
      <w:pPr>
        <w:spacing w:line="360" w:lineRule="auto"/>
        <w:rPr>
          <w:rFonts w:ascii="宋体" w:hAnsi="宋体" w:cs="宋体"/>
          <w:b/>
          <w:sz w:val="24"/>
          <w:szCs w:val="24"/>
        </w:rPr>
      </w:pPr>
      <w:r>
        <w:rPr>
          <w:rFonts w:hint="eastAsia" w:ascii="宋体" w:hAnsi="宋体" w:cs="宋体"/>
          <w:b/>
          <w:sz w:val="24"/>
          <w:szCs w:val="24"/>
          <w:lang w:val="zh-CN"/>
        </w:rPr>
        <w:t xml:space="preserve">一、项目基本情况</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rPr>
          <w:rFonts w:hint="eastAsia" w:ascii="宋体" w:hAnsi="宋体" w:cs="宋体"/>
          <w:sz w:val="24"/>
          <w:szCs w:val="24"/>
          <w:lang w:val="zh-CN"/>
        </w:rPr>
        <w:t xml:space="preserve">JSZC-320506-XDSZ-C2026-0001</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rPr>
          <w:rFonts w:hint="eastAsia" w:ascii="宋体" w:hAnsi="宋体" w:cs="宋体"/>
          <w:sz w:val="24"/>
          <w:szCs w:val="24"/>
          <w:lang w:val="zh-CN"/>
        </w:rPr>
        <w:t xml:space="preserve">郭巷环卫所尹帆路中转站服务外包项目</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采购方式：竞争性磋商</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0" w:name="OLE_LINK10"/>
      <w:r/>
      <w:bookmarkStart w:id="1" w:name="OLE_LINK23"/>
      <w:r/>
      <w:bookmarkStart w:id="2" w:name="OLE_LINK33"/>
      <w:r/>
      <w:bookmarkStart w:id="3" w:name="OLE_LINK11"/>
      <w:r>
        <w:rPr>
          <w:rFonts w:hint="eastAsia" w:ascii="宋体" w:hAnsi="宋体" w:cs="宋体"/>
          <w:sz w:val="24"/>
          <w:szCs w:val="24"/>
        </w:rPr>
        <w:t xml:space="preserve">预算金额：人民币壹佰陆拾万元整（¥1600000.00元）</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最高限价：人民币壹佰伍拾捌万玖仟叁佰玖拾柒元陆角玖分（¥1589397.69元）</w:t>
      </w:r>
      <w:bookmarkEnd w:id="0"/>
      <w:r/>
      <w:bookmarkEnd w:id="1"/>
      <w:r/>
      <w:bookmarkEnd w:id="2"/>
      <w:r/>
      <w:bookmarkEnd w:id="3"/>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采购需求：</w:t>
      </w:r>
      <w:r>
        <w:rPr>
          <w:rFonts w:hint="eastAsia" w:ascii="宋体" w:hAnsi="宋体" w:cs="宋体"/>
          <w:sz w:val="24"/>
          <w:szCs w:val="24"/>
          <w:lang w:val="zh-CN"/>
        </w:rPr>
        <w:t xml:space="preserve">郭巷环卫所尹帆路中转站服务外包项目，详见采购文件</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合同履行期限：一年（具体进场时间以采购单位通知为准）</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本项目不接受联合体投标</w:t>
      </w:r>
      <w:r/>
    </w:p>
    <w:p>
      <w:pPr>
        <w:spacing w:line="360" w:lineRule="auto"/>
        <w:rPr>
          <w:rFonts w:ascii="宋体" w:hAnsi="宋体" w:cs="宋体"/>
          <w:b/>
          <w:sz w:val="24"/>
          <w:szCs w:val="24"/>
        </w:rPr>
      </w:pPr>
      <w:r>
        <w:rPr>
          <w:rFonts w:hint="eastAsia" w:ascii="宋体" w:hAnsi="宋体" w:cs="宋体"/>
          <w:b/>
          <w:sz w:val="24"/>
          <w:szCs w:val="24"/>
          <w:lang w:val="zh-CN"/>
        </w:rPr>
        <w:t xml:space="preserve">二、申请人的资格要求：</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1、</w:t>
      </w:r>
      <w:bookmarkStart w:id="4" w:name="OLE_LINK12"/>
      <w:r/>
      <w:bookmarkStart w:id="5" w:name="OLE_LINK28"/>
      <w:r/>
      <w:bookmarkStart w:id="6" w:name="OLE_LINK36"/>
      <w:r>
        <w:rPr>
          <w:rFonts w:hint="eastAsia" w:ascii="宋体" w:hAnsi="宋体" w:cs="宋体"/>
          <w:sz w:val="24"/>
          <w:szCs w:val="24"/>
          <w:lang w:val="zh-CN"/>
        </w:rPr>
        <w:t xml:space="preserve">满足《中华人民共和国政府采购法》第二十二条规定</w:t>
      </w:r>
      <w:bookmarkEnd w:id="4"/>
      <w:r/>
      <w:bookmarkEnd w:id="5"/>
      <w:r/>
      <w:bookmarkEnd w:id="6"/>
      <w:r>
        <w:rPr>
          <w:rFonts w:hint="eastAsia" w:ascii="宋体" w:hAnsi="宋体" w:cs="宋体"/>
          <w:sz w:val="24"/>
          <w:szCs w:val="24"/>
          <w:lang w:val="zh-CN"/>
        </w:rPr>
        <w:t xml:space="preserve">：</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（3）具有履行合同所必须的设备和专业技术能力；</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（6）法律、行政法规规定的其他条件；</w:t>
      </w:r>
      <w:r/>
    </w:p>
    <w:p>
      <w:pPr>
        <w:ind w:firstLine="480"/>
        <w:spacing w:line="360" w:lineRule="auto"/>
        <w:rPr>
          <w:rFonts w:ascii="宋体" w:hAnsi="宋体" w:cs="宋体"/>
          <w:b/>
          <w:sz w:val="24"/>
          <w:szCs w:val="24"/>
        </w:rPr>
      </w:pPr>
      <w:r>
        <w:rPr>
          <w:rFonts w:hint="eastAsia" w:ascii="宋体" w:hAnsi="宋体" w:cs="宋体"/>
          <w:b/>
          <w:sz w:val="24"/>
          <w:szCs w:val="24"/>
          <w:lang w:val="zh-CN"/>
        </w:rPr>
        <w:t xml:space="preserve">2、落实政府采购政策需满足的资格要求：</w:t>
      </w:r>
      <w:r/>
    </w:p>
    <w:p>
      <w:pPr>
        <w:ind w:firstLine="480"/>
        <w:spacing w:line="360" w:lineRule="auto"/>
        <w:rPr>
          <w:rFonts w:ascii="宋体" w:hAnsi="宋体" w:cs="宋体"/>
          <w:sz w:val="24"/>
          <w:szCs w:val="24"/>
        </w:rPr>
      </w:pPr>
      <w:r/>
      <w:bookmarkStart w:id="7" w:name="OLE_LINK17"/>
      <w:r>
        <w:rPr>
          <w:rFonts w:hint="eastAsia" w:ascii="宋体" w:hAnsi="宋体" w:cs="宋体"/>
          <w:sz w:val="24"/>
          <w:szCs w:val="24"/>
          <w:lang w:val="zh-CN"/>
        </w:rPr>
        <w:t xml:space="preserve">本项目专门面向中小企业采购，所属行业为</w:t>
      </w:r>
      <w:bookmarkStart w:id="8" w:name="OLE_LINK25"/>
      <w:r>
        <w:rPr>
          <w:rFonts w:hint="eastAsia" w:ascii="宋体" w:hAnsi="宋体" w:cs="宋体"/>
          <w:b/>
          <w:bCs/>
          <w:sz w:val="24"/>
          <w:szCs w:val="24"/>
        </w:rPr>
        <w:t xml:space="preserve">其他未列明行业</w:t>
      </w:r>
      <w:r>
        <w:rPr>
          <w:rFonts w:hint="eastAsia" w:ascii="宋体" w:hAnsi="宋体" w:cs="宋体"/>
          <w:sz w:val="24"/>
          <w:szCs w:val="24"/>
          <w:lang w:val="zh-CN"/>
        </w:rPr>
        <w:t xml:space="preserve">。</w:t>
      </w:r>
      <w:bookmarkEnd w:id="8"/>
      <w:r/>
      <w:bookmarkStart w:id="9" w:name="OLE_LINK39"/>
      <w:r/>
      <w:bookmarkStart w:id="10" w:name="OLE_LINK38"/>
      <w:r>
        <w:rPr>
          <w:rFonts w:hint="eastAsia" w:ascii="宋体" w:hAnsi="宋体" w:cs="宋体"/>
          <w:sz w:val="24"/>
          <w:szCs w:val="24"/>
          <w:lang w:val="zh-CN"/>
        </w:rPr>
        <w:t xml:space="preserve">供应商须提供</w:t>
      </w:r>
      <w:bookmarkStart w:id="11" w:name="OLE_LINK16"/>
      <w:r>
        <w:rPr>
          <w:rFonts w:hint="eastAsia" w:ascii="宋体" w:hAnsi="宋体" w:cs="宋体"/>
          <w:sz w:val="24"/>
          <w:szCs w:val="24"/>
          <w:lang w:val="zh-CN"/>
        </w:rPr>
        <w:t xml:space="preserve">《中小企业声明函》或《残疾人福利性单位声明函》或由省级</w:t>
      </w:r>
      <w:r>
        <w:rPr>
          <w:rFonts w:hint="eastAsia" w:ascii="宋体" w:hAnsi="宋体" w:cs="宋体"/>
          <w:sz w:val="24"/>
          <w:szCs w:val="24"/>
        </w:rPr>
        <w:t xml:space="preserve">以上监狱管理局、戒毒管理局（含新疆生产建设兵团）出具的属于监狱企业的证明文件。</w:t>
      </w:r>
      <w:bookmarkEnd w:id="9"/>
      <w:r/>
      <w:bookmarkEnd w:id="10"/>
      <w:r/>
      <w:bookmarkEnd w:id="11"/>
      <w:r/>
      <w:bookmarkEnd w:id="7"/>
      <w:r/>
      <w:r/>
    </w:p>
    <w:p>
      <w:pPr>
        <w:ind w:firstLine="480"/>
        <w:spacing w:line="360" w:lineRule="auto"/>
        <w:rPr>
          <w:rFonts w:ascii="宋体" w:hAnsi="宋体" w:cs="宋体"/>
          <w:b/>
          <w:sz w:val="24"/>
          <w:szCs w:val="24"/>
        </w:rPr>
      </w:pPr>
      <w:r>
        <w:rPr>
          <w:rFonts w:hint="eastAsia" w:ascii="宋体" w:hAnsi="宋体" w:cs="宋体"/>
          <w:b/>
          <w:sz w:val="24"/>
          <w:szCs w:val="24"/>
          <w:lang w:val="zh-CN"/>
        </w:rPr>
        <w:t xml:space="preserve">3、本项目的特定资格要求：</w:t>
      </w:r>
      <w:r/>
    </w:p>
    <w:p>
      <w:pPr>
        <w:ind w:firstLine="480"/>
        <w:spacing w:line="360" w:lineRule="auto"/>
        <w:rPr>
          <w:rFonts w:ascii="宋体" w:hAnsi="宋体" w:cs="宋体"/>
          <w:sz w:val="24"/>
          <w:szCs w:val="24"/>
        </w:rPr>
      </w:pPr>
      <w:r/>
      <w:bookmarkStart w:id="12" w:name="OLE_LINK7"/>
      <w:r>
        <w:rPr>
          <w:rFonts w:hint="eastAsia" w:ascii="宋体" w:hAnsi="宋体" w:cs="宋体"/>
          <w:sz w:val="24"/>
          <w:szCs w:val="24"/>
          <w:lang w:val="zh-CN"/>
        </w:rPr>
        <w:t xml:space="preserve">（1）</w:t>
      </w:r>
      <w:bookmarkStart w:id="13" w:name="OLE_LINK43"/>
      <w:r/>
      <w:bookmarkStart w:id="14" w:name="OLE_LINK29"/>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3"/>
      <w:r>
        <w:rPr>
          <w:rFonts w:hint="eastAsia" w:ascii="宋体" w:hAnsi="宋体" w:cs="宋体"/>
          <w:sz w:val="24"/>
          <w:szCs w:val="24"/>
          <w:lang w:val="zh-CN"/>
        </w:rPr>
        <w:t xml:space="preserve">；</w:t>
      </w:r>
      <w:bookmarkEnd w:id="14"/>
      <w:r/>
      <w:r/>
    </w:p>
    <w:p>
      <w:pPr>
        <w:ind w:firstLine="480"/>
        <w:spacing w:line="360" w:lineRule="auto"/>
        <w:rPr>
          <w:rFonts w:ascii="宋体" w:hAnsi="宋体" w:cs="宋体"/>
          <w:sz w:val="24"/>
          <w:szCs w:val="24"/>
        </w:rPr>
      </w:pPr>
      <w:r>
        <w:rPr>
          <w:rFonts w:hint="eastAsia" w:ascii="宋体" w:hAnsi="宋体" w:cs="宋体"/>
          <w:sz w:val="24"/>
          <w:szCs w:val="24"/>
        </w:rPr>
        <w:t xml:space="preserve">（2）</w:t>
      </w:r>
      <w:bookmarkStart w:id="15" w:name="OLE_LINK18"/>
      <w:r/>
      <w:bookmarkStart w:id="16" w:name="OLE_LINK19"/>
      <w:r/>
      <w:bookmarkStart w:id="17" w:name="OLE_LINK44"/>
      <w:r/>
      <w:bookmarkStart w:id="18" w:name="OLE_LINK30"/>
      <w:r/>
      <w:bookmarkStart w:id="19" w:name="OLE_LINK31"/>
      <w:r>
        <w:rPr>
          <w:rFonts w:hint="eastAsia" w:ascii="宋体" w:hAnsi="宋体" w:cs="宋体"/>
          <w:sz w:val="24"/>
          <w:szCs w:val="24"/>
          <w:lang w:val="zh-CN"/>
        </w:rPr>
        <w:t xml:space="preserve">未被</w:t>
      </w:r>
      <w:r>
        <w:rPr>
          <w:rFonts w:hint="eastAsia" w:ascii="宋体" w:hAnsi="宋体" w:cs="宋体"/>
          <w:sz w:val="24"/>
          <w:szCs w:val="24"/>
        </w:rPr>
        <w:t xml:space="preserve">“</w:t>
      </w:r>
      <w:r>
        <w:rPr>
          <w:rFonts w:hint="eastAsia" w:ascii="宋体" w:hAnsi="宋体" w:cs="宋体"/>
          <w:sz w:val="24"/>
          <w:szCs w:val="24"/>
          <w:lang w:val="zh-CN"/>
        </w:rPr>
        <w:t xml:space="preserve">信用中国</w:t>
      </w:r>
      <w:r>
        <w:rPr>
          <w:rFonts w:hint="eastAsia" w:ascii="宋体" w:hAnsi="宋体" w:cs="宋体"/>
          <w:sz w:val="24"/>
          <w:szCs w:val="24"/>
        </w:rPr>
        <w:t xml:space="preserve">”</w:t>
      </w:r>
      <w:r>
        <w:rPr>
          <w:rFonts w:hint="eastAsia" w:ascii="宋体" w:hAnsi="宋体" w:cs="宋体"/>
          <w:sz w:val="24"/>
          <w:szCs w:val="24"/>
          <w:lang w:val="zh-CN"/>
        </w:rPr>
        <w:t xml:space="preserve">网站</w:t>
      </w:r>
      <w:r>
        <w:rPr>
          <w:rFonts w:hint="eastAsia" w:ascii="宋体" w:hAnsi="宋体" w:cs="宋体"/>
          <w:sz w:val="24"/>
          <w:szCs w:val="24"/>
        </w:rPr>
        <w:t xml:space="preserve">（www.creditchina.gov.cn）</w:t>
      </w:r>
      <w:r>
        <w:rPr>
          <w:rFonts w:hint="eastAsia" w:ascii="宋体" w:hAnsi="宋体" w:cs="宋体"/>
          <w:sz w:val="24"/>
          <w:szCs w:val="24"/>
          <w:lang w:val="zh-CN"/>
        </w:rPr>
        <w:t xml:space="preserve">或</w:t>
      </w:r>
      <w:r>
        <w:rPr>
          <w:rFonts w:hint="eastAsia" w:ascii="宋体" w:hAnsi="宋体" w:cs="宋体"/>
          <w:sz w:val="24"/>
          <w:szCs w:val="24"/>
        </w:rPr>
        <w:t xml:space="preserve">“</w:t>
      </w:r>
      <w:r>
        <w:rPr>
          <w:rFonts w:hint="eastAsia" w:ascii="宋体" w:hAnsi="宋体" w:cs="宋体"/>
          <w:sz w:val="24"/>
          <w:szCs w:val="24"/>
          <w:lang w:val="zh-CN"/>
        </w:rPr>
        <w:t xml:space="preserve">中国政府采购网</w:t>
      </w:r>
      <w:r>
        <w:rPr>
          <w:rFonts w:hint="eastAsia" w:ascii="宋体" w:hAnsi="宋体" w:cs="宋体"/>
          <w:sz w:val="24"/>
          <w:szCs w:val="24"/>
        </w:rPr>
        <w:t xml:space="preserve">”</w:t>
      </w:r>
      <w:r>
        <w:rPr>
          <w:rFonts w:hint="eastAsia" w:ascii="宋体" w:hAnsi="宋体" w:cs="宋体"/>
          <w:sz w:val="24"/>
          <w:szCs w:val="24"/>
          <w:lang w:val="zh-CN"/>
        </w:rPr>
        <w:t xml:space="preserve">网站</w:t>
      </w:r>
      <w:r>
        <w:rPr>
          <w:rFonts w:hint="eastAsia" w:ascii="宋体" w:hAnsi="宋体" w:cs="宋体"/>
          <w:sz w:val="24"/>
          <w:szCs w:val="24"/>
        </w:rPr>
        <w:t xml:space="preserve">（www.ccgp.gov.cn）</w:t>
      </w:r>
      <w:r>
        <w:rPr>
          <w:rFonts w:hint="eastAsia" w:ascii="宋体" w:hAnsi="宋体" w:cs="宋体"/>
          <w:sz w:val="24"/>
          <w:szCs w:val="24"/>
          <w:lang w:val="zh-CN"/>
        </w:rPr>
        <w:t xml:space="preserve">列入失信被执行人、重大税收违法案件当事人名单、政府采购严重失信行为记录名单</w:t>
      </w:r>
      <w:bookmarkEnd w:id="15"/>
      <w:r/>
      <w:bookmarkEnd w:id="16"/>
      <w:r/>
      <w:bookmarkEnd w:id="17"/>
      <w:r>
        <w:rPr>
          <w:rFonts w:hint="eastAsia" w:ascii="宋体" w:hAnsi="宋体" w:cs="宋体"/>
          <w:sz w:val="24"/>
          <w:szCs w:val="24"/>
          <w:lang w:val="zh-CN"/>
        </w:rPr>
        <w:t xml:space="preserve">。</w:t>
      </w:r>
      <w:bookmarkEnd w:id="18"/>
      <w:r/>
      <w:bookmarkEnd w:id="19"/>
      <w:r/>
      <w:bookmarkEnd w:id="12"/>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lang w:val="zh-CN"/>
        </w:rPr>
        <w:t xml:space="preserve">三、</w:t>
      </w:r>
      <w:r>
        <w:rPr>
          <w:rFonts w:hint="eastAsia" w:ascii="宋体" w:hAnsi="宋体" w:cs="宋体"/>
          <w:b/>
          <w:sz w:val="24"/>
          <w:szCs w:val="24"/>
        </w:rPr>
        <w:t xml:space="preserve">获取采购文件 </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时间：自磋商公告发布之日起5个工作日。</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地点：“苏采云”系统</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方式：线上获取</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四、响应文件提交：</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截止时间：2026年05月21日13:30（北京时间）</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地点：苏采云</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五、开启：</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2026年05月21日13:30（北京时间）</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地点：苏采云</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六、公告期限：</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自本公告发布之日起3个工作日。</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七、其他补充事宜：</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1、CA证书办理：</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p>
    <w:p>
      <w:pPr>
        <w:ind w:firstLine="480"/>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“苏采云”系统目前仅支持“苏采云”系统下的政务CA证书，江苏省内各地区办理的“苏采云”系统下的政务CA证书全省通用。</w:t>
      </w:r>
      <w:r>
        <w:rPr>
          <w:rFonts w:hint="eastAsia" w:ascii="宋体" w:hAnsi="宋体" w:cs="宋体"/>
          <w:b/>
          <w:sz w:val="24"/>
          <w:szCs w:val="24"/>
        </w:rPr>
        <w:t xml:space="preserve">苏州现场办理地址：苏州市高新区邓尉路105号狮山科技馆1楼服务大厅，联系电话：0512-65737699。</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2、参与采购活动：</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3、电子投标准备：</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sz w:val="24"/>
          <w:szCs w:val="24"/>
        </w:rPr>
        <w:t xml:space="preserve">（具体详见《苏采云系统供应商操作手册》，网址链接https://czju.suzhou.gov.cn/zfcg/html/content/20231220161910031.shtml）</w:t>
      </w:r>
      <w:r>
        <w:rPr>
          <w:rFonts w:hint="eastAsia" w:ascii="宋体" w:hAnsi="宋体" w:cs="宋体"/>
          <w:sz w:val="24"/>
          <w:szCs w:val="24"/>
        </w:rPr>
        <w:t xml:space="preserve">。</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在系统操作过程中如有疑问，请按以下方式联系：</w:t>
      </w:r>
      <w:r/>
    </w:p>
    <w:p>
      <w:pPr>
        <w:ind w:firstLine="480"/>
        <w:spacing w:line="360" w:lineRule="auto"/>
        <w:rPr>
          <w:rFonts w:ascii="宋体" w:hAnsi="宋体" w:cs="宋体"/>
          <w:sz w:val="24"/>
          <w:szCs w:val="24"/>
        </w:rPr>
      </w:pPr>
      <w:r>
        <w:rPr>
          <w:rFonts w:hint="eastAsia" w:ascii="宋体" w:hAnsi="宋体" w:cs="宋体"/>
          <w:sz w:val="24"/>
          <w:szCs w:val="24"/>
        </w:rPr>
        <w:t xml:space="preserve">注册咨询：18261002950；CA技术咨询电话：400-608-6099；</w:t>
      </w:r>
      <w:r/>
    </w:p>
    <w:p>
      <w:pPr>
        <w:ind w:firstLine="480"/>
        <w:spacing w:line="360" w:lineRule="auto"/>
        <w:rPr>
          <w:rFonts w:ascii="宋体" w:hAnsi="宋体" w:cs="宋体"/>
          <w:sz w:val="24"/>
          <w:szCs w:val="24"/>
        </w:rPr>
      </w:pPr>
      <w:r>
        <w:rPr>
          <w:rFonts w:hint="eastAsia" w:ascii="宋体" w:hAnsi="宋体" w:cs="宋体"/>
          <w:sz w:val="24"/>
          <w:szCs w:val="24"/>
        </w:rPr>
        <w:t xml:space="preserve">签章使用问题：025-83633811、025-83633812、15380932027、15371015030；</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系统使用指导与咨询：联系电话：18261002950；</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QQ：3048755361、1315179389、895706745。</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智能客服：登录苏采云系统后，联系系统右下方智能客服图标进行咨询。</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4、</w:t>
      </w:r>
      <w:r>
        <w:rPr>
          <w:rFonts w:hint="eastAsia" w:ascii="宋体" w:hAnsi="宋体" w:cs="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sz w:val="24"/>
          <w:szCs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6、政府采购监管电话：</w:t>
      </w:r>
      <w:r>
        <w:rPr>
          <w:rFonts w:hint="eastAsia" w:ascii="宋体" w:hAnsi="宋体" w:cs="宋体"/>
          <w:sz w:val="24"/>
          <w:szCs w:val="24"/>
        </w:rPr>
        <w:t xml:space="preserve">0512-65283947</w:t>
      </w:r>
      <w:r>
        <w:rPr>
          <w:rFonts w:hint="eastAsia" w:ascii="宋体" w:hAnsi="宋体" w:cs="宋体"/>
          <w:sz w:val="24"/>
          <w:szCs w:val="24"/>
        </w:rPr>
      </w:r>
      <w:r/>
    </w:p>
    <w:p>
      <w:pPr>
        <w:ind w:firstLine="420"/>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7、本项目为不见面磋商项目，开启阶段供应商在【供应商解密】环节必须使用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8、根据苏州市财政局《关于深入开展苏州市政府采购合同信用融资业务的通知》相关要求，本项目支持政府采购合同信用融资。</w:t>
      </w:r>
      <w:r/>
    </w:p>
    <w:p>
      <w:pPr>
        <w:spacing w:line="360" w:lineRule="auto"/>
        <w:rPr>
          <w:rFonts w:ascii="宋体" w:hAnsi="宋体" w:cs="宋体"/>
          <w:b/>
          <w:sz w:val="24"/>
          <w:szCs w:val="24"/>
        </w:rPr>
      </w:pPr>
      <w:r>
        <w:rPr>
          <w:rFonts w:hint="eastAsia" w:ascii="宋体" w:hAnsi="宋体" w:cs="宋体"/>
          <w:b/>
          <w:sz w:val="24"/>
          <w:szCs w:val="24"/>
          <w:lang w:val="zh-CN"/>
        </w:rPr>
        <w:t xml:space="preserve">八、对本次采购提出询问，请按以下方式联系。</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1、采购人信息：</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单位名称：苏州市吴中区人民政府郭巷街道办事处</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地址： 苏州市吴中区郭巷街道郭新东路97号 </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联系人：徐祺 </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联系方式：0512-65871653 </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2、采购代理机构信息：</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单位名称：信达项目管理咨询（苏州）有限公司</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联系地址：</w:t>
      </w:r>
      <w:r>
        <w:rPr>
          <w:rFonts w:hint="eastAsia" w:ascii="宋体" w:hAnsi="宋体" w:cs="宋体"/>
          <w:sz w:val="24"/>
          <w:szCs w:val="24"/>
        </w:rPr>
        <w:t xml:space="preserve">苏州市吴中区经济开发区枫津南路18号南都广场5楼555室</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联系人：向多</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联系电话：0512-66981889</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lang w:val="zh-CN"/>
        </w:rPr>
        <w:t xml:space="preserve">向多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lang w:val="zh-CN"/>
        </w:rPr>
        <w:t xml:space="preserve">0512-66981889</w:t>
      </w:r>
      <w:r/>
    </w:p>
    <w:p>
      <w:pPr>
        <w:jc w:val="center"/>
        <w:spacing w:line="360" w:lineRule="auto"/>
        <w:rPr>
          <w:rFonts w:ascii="宋体" w:hAnsi="宋体" w:cs="宋体"/>
          <w:sz w:val="24"/>
          <w:szCs w:val="24"/>
        </w:rPr>
      </w:pPr>
      <w:r>
        <w:rPr>
          <w:rFonts w:hint="eastAsia" w:ascii="宋体" w:hAnsi="宋体" w:cs="宋体"/>
          <w:b/>
          <w:sz w:val="24"/>
          <w:szCs w:val="24"/>
        </w:rPr>
        <w:br w:type="page" w:clear="all"/>
      </w:r>
      <w:r>
        <w:rPr>
          <w:rFonts w:hint="eastAsia" w:ascii="宋体" w:hAnsi="宋体" w:cs="宋体"/>
          <w:b/>
          <w:sz w:val="24"/>
          <w:szCs w:val="24"/>
        </w:rPr>
        <w:t xml:space="preserve">第二章 </w:t>
      </w:r>
      <w:bookmarkStart w:id="20" w:name="OLE_LINK21"/>
      <w:r/>
      <w:bookmarkStart w:id="21" w:name="OLE_LINK20"/>
      <w:r>
        <w:rPr>
          <w:rFonts w:hint="eastAsia" w:ascii="宋体" w:hAnsi="宋体" w:cs="宋体"/>
          <w:b/>
          <w:sz w:val="24"/>
          <w:szCs w:val="24"/>
        </w:rPr>
        <w:t xml:space="preserve">竞争性磋商文件</w:t>
      </w:r>
      <w:bookmarkEnd w:id="20"/>
      <w:r/>
      <w:bookmarkEnd w:id="21"/>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采购编号：JSZC-320506-XDSZ-C2026-0001</w:t>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项目类别：服务类</w:t>
      </w:r>
      <w:r/>
    </w:p>
    <w:p>
      <w:pPr>
        <w:jc w:val="lef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540"/>
        <w:jc w:val="lef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15"/>
          <w:sz w:val="24"/>
          <w:szCs w:val="24"/>
        </w:rPr>
        <w:t xml:space="preserve">受</w:t>
      </w:r>
      <w:r>
        <w:rPr>
          <w:rFonts w:hint="eastAsia" w:ascii="宋体" w:hAnsi="宋体" w:cs="宋体"/>
          <w:b/>
          <w:sz w:val="24"/>
          <w:szCs w:val="24"/>
        </w:rPr>
        <w:t xml:space="preserve">苏州市吴中区人民政府郭巷街道办事处</w:t>
      </w:r>
      <w:r>
        <w:rPr>
          <w:rFonts w:hint="eastAsia" w:ascii="宋体" w:hAnsi="宋体" w:cs="宋体"/>
          <w:spacing w:val="15"/>
          <w:sz w:val="24"/>
          <w:szCs w:val="24"/>
        </w:rPr>
        <w:t xml:space="preserve">委托，对其要求采购的</w:t>
      </w:r>
      <w:r>
        <w:rPr>
          <w:rFonts w:hint="eastAsia" w:ascii="宋体" w:hAnsi="宋体" w:cs="宋体"/>
          <w:b/>
          <w:sz w:val="24"/>
          <w:szCs w:val="24"/>
        </w:rPr>
        <w:t xml:space="preserve">郭巷环卫所尹帆路中转站服务外包项目</w:t>
      </w:r>
      <w:r>
        <w:rPr>
          <w:rFonts w:hint="eastAsia" w:ascii="宋体" w:hAnsi="宋体" w:cs="宋体"/>
          <w:spacing w:val="15"/>
          <w:sz w:val="24"/>
          <w:szCs w:val="24"/>
        </w:rPr>
        <w:t xml:space="preserve">进行竞争性磋商采购，欢迎具有独立承担民事责任能力及履约能力的供应商参与竞争，以期采购到合格的服务。</w:t>
      </w:r>
      <w:r/>
    </w:p>
    <w:p>
      <w:pPr>
        <w:jc w:val="lef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一、采购编号：JSZC-320506-XDSZ-C2026-0001</w:t>
      </w:r>
      <w:r/>
    </w:p>
    <w:p>
      <w:pPr>
        <w:jc w:val="lef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二、项目名称：郭巷环卫所尹帆路中转站服务外包项目</w:t>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三、预算金额：人民币壹佰陆拾万元整（¥1600000.00元）</w:t>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四、最高限价：人民币壹佰伍拾捌万玖仟叁佰玖拾柒元陆角玖分（¥1589397.69元）</w:t>
      </w:r>
      <w:r/>
    </w:p>
    <w:p>
      <w:pPr>
        <w:spacing w:line="360" w:lineRule="auto"/>
        <w:rPr>
          <w:rFonts w:ascii="宋体" w:hAnsi="宋体" w:cs="宋体"/>
          <w:b/>
          <w:sz w:val="24"/>
          <w:szCs w:val="24"/>
        </w:rPr>
      </w:pPr>
      <w:r>
        <w:rPr>
          <w:rFonts w:hint="eastAsia" w:ascii="宋体" w:hAnsi="宋体" w:cs="宋体"/>
          <w:b/>
          <w:sz w:val="24"/>
          <w:szCs w:val="24"/>
        </w:rPr>
        <w:t xml:space="preserve">五、服务期限：</w:t>
      </w:r>
      <w:bookmarkStart w:id="22" w:name="OLE_LINK1"/>
      <w:r>
        <w:rPr>
          <w:rFonts w:hint="eastAsia" w:ascii="宋体" w:hAnsi="宋体" w:cs="宋体"/>
          <w:b/>
          <w:sz w:val="24"/>
          <w:szCs w:val="24"/>
        </w:rPr>
        <w:t xml:space="preserve">一年（具体进场时间以采购单位通知为准）。</w:t>
      </w:r>
      <w:bookmarkEnd w:id="22"/>
      <w:r/>
      <w:r/>
    </w:p>
    <w:p>
      <w:pPr>
        <w:jc w:val="lef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六、采购内容：</w:t>
      </w:r>
      <w:r/>
    </w:p>
    <w:p>
      <w:pPr>
        <w:spacing w:line="360" w:lineRule="auto"/>
        <w:rPr>
          <w:rFonts w:ascii="宋体" w:hAnsi="宋体" w:cs="宋体"/>
          <w:b/>
          <w:bCs/>
          <w:sz w:val="24"/>
          <w:szCs w:val="24"/>
        </w:rPr>
      </w:pPr>
      <w:r/>
      <w:bookmarkStart w:id="23" w:name="OLE_LINK161"/>
      <w:r>
        <w:rPr>
          <w:rFonts w:hint="eastAsia" w:ascii="宋体" w:hAnsi="宋体" w:cs="宋体"/>
          <w:b/>
          <w:bCs/>
          <w:sz w:val="24"/>
          <w:szCs w:val="24"/>
        </w:rPr>
        <w:t xml:space="preserve">（一）项目概况：</w:t>
      </w:r>
      <w:bookmarkEnd w:id="23"/>
      <w:r/>
      <w:r/>
    </w:p>
    <w:p>
      <w:pPr>
        <w:pStyle w:val="701"/>
        <w:ind w:firstLine="480"/>
        <w:spacing w:after="0" w:line="360" w:lineRule="auto"/>
        <w:rPr>
          <w:rFonts w:ascii="宋体" w:hAnsi="宋体" w:cs="宋体"/>
          <w:sz w:val="24"/>
          <w:lang w:val="zh-CN" w:eastAsia="zh-CN"/>
        </w:rPr>
      </w:pPr>
      <w:r>
        <w:rPr>
          <w:rFonts w:hint="eastAsia" w:ascii="宋体" w:hAnsi="宋体" w:cs="宋体"/>
          <w:sz w:val="24"/>
          <w:lang w:eastAsia="zh-CN"/>
        </w:rPr>
        <w:t xml:space="preserve">本</w:t>
      </w:r>
      <w:r>
        <w:rPr>
          <w:rFonts w:hint="eastAsia" w:ascii="宋体" w:hAnsi="宋体" w:cs="宋体"/>
          <w:sz w:val="24"/>
          <w:lang w:val="zh-CN" w:eastAsia="zh-CN"/>
        </w:rPr>
        <w:t xml:space="preserve">项目为郭巷环卫所尹帆路中转站服务外包项目，包括：进出车辆管理、垃圾登记管理、生活垃圾压缩处理、中转站卫生管理、垃圾转运至七子山、门岗管理等。由采购人提供压缩机维修、保养、车辆及车辆保险、维修、保养、油费、公共能源费。</w:t>
      </w:r>
      <w:r/>
    </w:p>
    <w:p>
      <w:pPr>
        <w:pStyle w:val="701"/>
        <w:spacing w:after="0" w:line="360" w:lineRule="auto"/>
        <w:rPr>
          <w:rFonts w:ascii="宋体" w:hAnsi="宋体" w:cs="宋体"/>
          <w:b/>
          <w:bCs/>
          <w:sz w:val="24"/>
          <w:lang w:eastAsia="zh-CN"/>
        </w:rPr>
      </w:pPr>
      <w:r>
        <w:rPr>
          <w:rFonts w:hint="eastAsia" w:ascii="宋体" w:hAnsi="宋体" w:cs="宋体"/>
          <w:b/>
          <w:bCs/>
          <w:sz w:val="24"/>
          <w:lang w:eastAsia="zh-CN"/>
        </w:rPr>
        <w:t xml:space="preserve">（二）中转站日常运营人员配置</w:t>
      </w:r>
      <w:r/>
    </w:p>
    <w:tbl>
      <w:tblPr>
        <w:tblStyle w:val="700"/>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8"/>
        <w:gridCol w:w="1028"/>
        <w:gridCol w:w="7441"/>
      </w:tblGrid>
      <w:tr>
        <w:trPr>
          <w:trHeight w:val="728"/>
        </w:trPr>
        <w:tc>
          <w:tcPr>
            <w:tcW w:w="1585" w:type="dxa"/>
            <w:vAlign w:val="center"/>
            <w:textDirection w:val="lrTb"/>
            <w:noWrap w:val="false"/>
          </w:tcPr>
          <w:p>
            <w:pPr>
              <w:pStyle w:val="701"/>
              <w:jc w:val="center"/>
              <w:spacing w:after="0"/>
              <w:rPr>
                <w:rFonts w:ascii="宋体" w:hAnsi="宋体" w:cs="宋体"/>
                <w:sz w:val="24"/>
                <w:lang w:eastAsia="zh-CN"/>
              </w:rPr>
            </w:pPr>
            <w:r>
              <w:rPr>
                <w:rFonts w:hint="eastAsia" w:ascii="宋体" w:hAnsi="宋体" w:cs="宋体"/>
                <w:sz w:val="24"/>
                <w:lang w:val="zh-CN" w:eastAsia="zh-CN"/>
              </w:rPr>
              <w:t xml:space="preserve">岗位名称</w:t>
            </w:r>
            <w:r/>
          </w:p>
        </w:tc>
        <w:tc>
          <w:tcPr>
            <w:tcW w:w="1024" w:type="dxa"/>
            <w:vAlign w:val="center"/>
            <w:textDirection w:val="lrTb"/>
            <w:noWrap w:val="false"/>
          </w:tcPr>
          <w:p>
            <w:pPr>
              <w:pStyle w:val="701"/>
              <w:jc w:val="center"/>
              <w:spacing w:after="0"/>
              <w:rPr>
                <w:rFonts w:ascii="宋体" w:hAnsi="宋体" w:cs="宋体"/>
                <w:sz w:val="24"/>
                <w:lang w:eastAsia="zh-CN"/>
              </w:rPr>
            </w:pPr>
            <w:r>
              <w:rPr>
                <w:rFonts w:hint="eastAsia" w:ascii="宋体" w:hAnsi="宋体" w:cs="宋体"/>
                <w:sz w:val="24"/>
                <w:lang w:val="zh-CN" w:eastAsia="zh-CN"/>
              </w:rPr>
              <w:t xml:space="preserve">数量（人）</w:t>
            </w:r>
            <w:r/>
          </w:p>
        </w:tc>
        <w:tc>
          <w:tcPr>
            <w:tcW w:w="7449" w:type="dxa"/>
            <w:vAlign w:val="center"/>
            <w:textDirection w:val="lrTb"/>
            <w:noWrap w:val="false"/>
          </w:tcPr>
          <w:p>
            <w:pPr>
              <w:pStyle w:val="701"/>
              <w:jc w:val="center"/>
              <w:spacing w:after="0"/>
              <w:rPr>
                <w:rFonts w:ascii="宋体" w:hAnsi="宋体" w:cs="宋体"/>
                <w:sz w:val="24"/>
                <w:lang w:eastAsia="zh-CN"/>
              </w:rPr>
            </w:pPr>
            <w:r>
              <w:rPr>
                <w:rFonts w:hint="eastAsia" w:ascii="宋体" w:hAnsi="宋体" w:cs="宋体"/>
                <w:sz w:val="24"/>
                <w:lang w:val="zh-CN" w:eastAsia="zh-CN"/>
              </w:rPr>
              <w:t xml:space="preserve">要求</w:t>
            </w:r>
            <w:r/>
          </w:p>
        </w:tc>
      </w:tr>
      <w:tr>
        <w:trPr>
          <w:trHeight w:val="728"/>
        </w:trPr>
        <w:tc>
          <w:tcPr>
            <w:tcW w:w="1585" w:type="dxa"/>
            <w:vAlign w:val="center"/>
            <w:textDirection w:val="lrTb"/>
            <w:noWrap w:val="false"/>
          </w:tcPr>
          <w:p>
            <w:pPr>
              <w:pStyle w:val="701"/>
              <w:jc w:val="center"/>
              <w:spacing w:after="0"/>
              <w:rPr>
                <w:rFonts w:ascii="宋体" w:hAnsi="宋体" w:cs="宋体"/>
                <w:sz w:val="24"/>
                <w:lang w:val="zh-CN" w:eastAsia="zh-CN"/>
              </w:rPr>
            </w:pPr>
            <w:r>
              <w:rPr>
                <w:rFonts w:hint="eastAsia" w:ascii="宋体" w:hAnsi="宋体" w:cs="宋体"/>
                <w:sz w:val="24"/>
                <w:lang w:val="zh-CN" w:eastAsia="zh-CN"/>
              </w:rPr>
              <w:t xml:space="preserve">项目经理兼安全员</w:t>
            </w:r>
            <w:r/>
          </w:p>
        </w:tc>
        <w:tc>
          <w:tcPr>
            <w:tcW w:w="1024" w:type="dxa"/>
            <w:vAlign w:val="center"/>
            <w:textDirection w:val="lrTb"/>
            <w:noWrap w:val="false"/>
          </w:tcPr>
          <w:p>
            <w:pPr>
              <w:pStyle w:val="701"/>
              <w:jc w:val="center"/>
              <w:spacing w:after="0"/>
              <w:rPr>
                <w:rFonts w:ascii="宋体" w:hAnsi="宋体" w:cs="宋体"/>
                <w:sz w:val="24"/>
                <w:lang w:val="zh-CN" w:eastAsia="zh-CN"/>
              </w:rPr>
            </w:pPr>
            <w:r>
              <w:rPr>
                <w:rFonts w:hint="eastAsia" w:ascii="宋体" w:hAnsi="宋体" w:cs="宋体"/>
                <w:sz w:val="24"/>
                <w:lang w:val="zh-CN" w:eastAsia="zh-CN"/>
              </w:rPr>
              <w:t xml:space="preserve">1</w:t>
            </w:r>
            <w:r/>
          </w:p>
        </w:tc>
        <w:tc>
          <w:tcPr>
            <w:tcW w:w="7449" w:type="dxa"/>
            <w:vAlign w:val="center"/>
            <w:textDirection w:val="lrTb"/>
            <w:noWrap w:val="false"/>
          </w:tcPr>
          <w:p>
            <w:pPr>
              <w:pStyle w:val="701"/>
              <w:spacing w:after="0"/>
              <w:rPr>
                <w:rFonts w:ascii="宋体" w:hAnsi="宋体" w:cs="宋体"/>
                <w:sz w:val="24"/>
                <w:lang w:val="zh-CN" w:eastAsia="zh-CN"/>
              </w:rPr>
            </w:pPr>
            <w:r>
              <w:rPr>
                <w:rFonts w:hint="eastAsia" w:ascii="宋体" w:hAnsi="宋体" w:cs="宋体"/>
                <w:sz w:val="24"/>
                <w:lang w:val="zh-CN" w:eastAsia="zh-CN"/>
              </w:rPr>
              <w:t xml:space="preserve">男45周岁以下，负责中转站管理日常事物兼安全员。</w:t>
            </w:r>
            <w:r/>
          </w:p>
        </w:tc>
      </w:tr>
      <w:tr>
        <w:trPr>
          <w:trHeight w:val="556"/>
        </w:trPr>
        <w:tc>
          <w:tcPr>
            <w:tcW w:w="1585" w:type="dxa"/>
            <w:vAlign w:val="center"/>
            <w:textDirection w:val="lrTb"/>
            <w:noWrap w:val="false"/>
          </w:tcPr>
          <w:p>
            <w:pPr>
              <w:pStyle w:val="701"/>
              <w:jc w:val="center"/>
              <w:spacing w:after="0"/>
              <w:rPr>
                <w:rFonts w:ascii="宋体" w:hAnsi="宋体" w:cs="宋体"/>
                <w:sz w:val="24"/>
                <w:lang w:val="zh-CN" w:eastAsia="zh-CN"/>
              </w:rPr>
            </w:pPr>
            <w:r>
              <w:rPr>
                <w:rFonts w:hint="eastAsia" w:ascii="宋体" w:hAnsi="宋体" w:cs="宋体"/>
                <w:sz w:val="24"/>
                <w:lang w:val="zh-CN" w:eastAsia="zh-CN"/>
              </w:rPr>
              <w:t xml:space="preserve">压机操作员</w:t>
            </w:r>
            <w:r/>
          </w:p>
        </w:tc>
        <w:tc>
          <w:tcPr>
            <w:tcW w:w="1024" w:type="dxa"/>
            <w:vAlign w:val="center"/>
            <w:textDirection w:val="lrTb"/>
            <w:noWrap w:val="false"/>
          </w:tcPr>
          <w:p>
            <w:pPr>
              <w:pStyle w:val="701"/>
              <w:jc w:val="center"/>
              <w:spacing w:after="0"/>
              <w:rPr>
                <w:rFonts w:ascii="宋体" w:hAnsi="宋体" w:cs="宋体"/>
                <w:sz w:val="24"/>
                <w:lang w:val="zh-CN" w:eastAsia="zh-CN"/>
              </w:rPr>
            </w:pPr>
            <w:r>
              <w:rPr>
                <w:rFonts w:hint="eastAsia" w:ascii="宋体" w:hAnsi="宋体" w:cs="宋体"/>
                <w:sz w:val="24"/>
                <w:lang w:val="zh-CN" w:eastAsia="zh-CN"/>
              </w:rPr>
              <w:t xml:space="preserve">8</w:t>
            </w:r>
            <w:r/>
          </w:p>
        </w:tc>
        <w:tc>
          <w:tcPr>
            <w:tcW w:w="7449" w:type="dxa"/>
            <w:vAlign w:val="center"/>
            <w:textDirection w:val="lrTb"/>
            <w:noWrap w:val="false"/>
          </w:tcPr>
          <w:p>
            <w:pPr>
              <w:pStyle w:val="701"/>
              <w:spacing w:after="0"/>
              <w:rPr>
                <w:rFonts w:ascii="宋体" w:hAnsi="宋体" w:cs="宋体"/>
                <w:sz w:val="24"/>
                <w:lang w:val="zh-CN" w:eastAsia="zh-CN"/>
              </w:rPr>
            </w:pPr>
            <w:r>
              <w:rPr>
                <w:rFonts w:hint="eastAsia" w:ascii="宋体" w:hAnsi="宋体" w:cs="宋体"/>
                <w:sz w:val="24"/>
                <w:lang w:val="zh-CN" w:eastAsia="zh-CN"/>
              </w:rPr>
              <w:t xml:space="preserve">男60周岁以下，负责垃圾中转站垃圾罐装、压缩设备的操作运行。</w:t>
            </w:r>
            <w:r/>
          </w:p>
        </w:tc>
      </w:tr>
      <w:tr>
        <w:trPr>
          <w:trHeight w:val="556"/>
        </w:trPr>
        <w:tc>
          <w:tcPr>
            <w:tcW w:w="1585" w:type="dxa"/>
            <w:vAlign w:val="center"/>
            <w:textDirection w:val="lrTb"/>
            <w:noWrap w:val="false"/>
          </w:tcPr>
          <w:p>
            <w:pPr>
              <w:pStyle w:val="701"/>
              <w:jc w:val="center"/>
              <w:spacing w:after="0"/>
              <w:rPr>
                <w:rFonts w:ascii="宋体" w:hAnsi="宋体" w:cs="宋体"/>
                <w:sz w:val="24"/>
                <w:lang w:val="zh-CN" w:eastAsia="zh-CN"/>
              </w:rPr>
            </w:pPr>
            <w:r>
              <w:rPr>
                <w:rFonts w:hint="eastAsia" w:ascii="宋体" w:hAnsi="宋体" w:cs="宋体"/>
                <w:sz w:val="24"/>
                <w:lang w:val="zh-CN" w:eastAsia="zh-CN"/>
              </w:rPr>
              <w:t xml:space="preserve">门卫</w:t>
            </w:r>
            <w:r/>
          </w:p>
        </w:tc>
        <w:tc>
          <w:tcPr>
            <w:tcW w:w="1024" w:type="dxa"/>
            <w:vAlign w:val="center"/>
            <w:textDirection w:val="lrTb"/>
            <w:noWrap w:val="false"/>
          </w:tcPr>
          <w:p>
            <w:pPr>
              <w:pStyle w:val="701"/>
              <w:jc w:val="center"/>
              <w:spacing w:after="0"/>
              <w:rPr>
                <w:rFonts w:ascii="宋体" w:hAnsi="宋体" w:cs="宋体"/>
                <w:sz w:val="24"/>
                <w:lang w:val="zh-CN" w:eastAsia="zh-CN"/>
              </w:rPr>
            </w:pPr>
            <w:r>
              <w:rPr>
                <w:rFonts w:hint="eastAsia" w:ascii="宋体" w:hAnsi="宋体" w:cs="宋体"/>
                <w:sz w:val="24"/>
                <w:lang w:val="zh-CN" w:eastAsia="zh-CN"/>
              </w:rPr>
              <w:t xml:space="preserve">3</w:t>
            </w:r>
            <w:r/>
          </w:p>
        </w:tc>
        <w:tc>
          <w:tcPr>
            <w:tcW w:w="7449" w:type="dxa"/>
            <w:vAlign w:val="center"/>
            <w:textDirection w:val="lrTb"/>
            <w:noWrap w:val="false"/>
          </w:tcPr>
          <w:p>
            <w:pPr>
              <w:pStyle w:val="701"/>
              <w:spacing w:after="0"/>
              <w:rPr>
                <w:rFonts w:ascii="宋体" w:hAnsi="宋体" w:cs="宋体"/>
                <w:sz w:val="24"/>
                <w:lang w:val="zh-CN" w:eastAsia="zh-CN"/>
              </w:rPr>
            </w:pPr>
            <w:r>
              <w:rPr>
                <w:rFonts w:hint="eastAsia" w:ascii="宋体" w:hAnsi="宋体" w:cs="宋体"/>
                <w:sz w:val="24"/>
                <w:lang w:val="zh-CN" w:eastAsia="zh-CN"/>
              </w:rPr>
              <w:t xml:space="preserve">男</w:t>
            </w:r>
            <w:r>
              <w:rPr>
                <w:rFonts w:hint="eastAsia" w:ascii="宋体" w:hAnsi="宋体" w:cs="宋体"/>
                <w:sz w:val="24"/>
                <w:lang w:eastAsia="zh-CN"/>
              </w:rPr>
              <w:t xml:space="preserve">55</w:t>
            </w:r>
            <w:r>
              <w:rPr>
                <w:rFonts w:hint="eastAsia" w:ascii="宋体" w:hAnsi="宋体" w:cs="宋体"/>
                <w:sz w:val="24"/>
                <w:lang w:val="zh-CN" w:eastAsia="zh-CN"/>
              </w:rPr>
              <w:t xml:space="preserve">周岁以下，负责</w:t>
            </w:r>
            <w:r>
              <w:rPr>
                <w:rFonts w:hint="eastAsia" w:ascii="宋体" w:hAnsi="宋体" w:cs="宋体"/>
                <w:sz w:val="24"/>
                <w:lang w:eastAsia="zh-CN"/>
              </w:rPr>
              <w:t xml:space="preserve">中转站进出车辆、人员登记工作</w:t>
            </w:r>
            <w:r>
              <w:rPr>
                <w:rFonts w:hint="eastAsia" w:ascii="宋体" w:hAnsi="宋体" w:cs="宋体"/>
                <w:sz w:val="24"/>
                <w:lang w:val="zh-CN" w:eastAsia="zh-CN"/>
              </w:rPr>
              <w:t xml:space="preserve">。</w:t>
            </w:r>
            <w:r/>
          </w:p>
        </w:tc>
      </w:tr>
      <w:tr>
        <w:trPr>
          <w:trHeight w:val="376"/>
        </w:trPr>
        <w:tc>
          <w:tcPr>
            <w:gridSpan w:val="3"/>
            <w:tcW w:w="10058" w:type="dxa"/>
            <w:vAlign w:val="center"/>
            <w:textDirection w:val="lrTb"/>
            <w:noWrap w:val="false"/>
          </w:tcPr>
          <w:p>
            <w:pPr>
              <w:pStyle w:val="701"/>
              <w:jc w:val="center"/>
              <w:spacing w:after="0"/>
              <w:rPr>
                <w:rFonts w:ascii="宋体" w:hAnsi="宋体" w:cs="宋体"/>
                <w:sz w:val="24"/>
                <w:lang w:eastAsia="zh-CN"/>
              </w:rPr>
            </w:pPr>
            <w:r>
              <w:rPr>
                <w:rFonts w:hint="eastAsia" w:ascii="宋体" w:hAnsi="宋体" w:cs="宋体"/>
                <w:b/>
                <w:bCs/>
                <w:sz w:val="24"/>
                <w:lang w:val="zh-CN" w:eastAsia="zh-CN"/>
              </w:rPr>
              <w:t xml:space="preserve">（该项最高限价</w:t>
            </w:r>
            <w:r>
              <w:rPr>
                <w:rFonts w:hint="eastAsia" w:ascii="宋体" w:hAnsi="宋体" w:cs="宋体"/>
                <w:b/>
                <w:bCs/>
                <w:sz w:val="24"/>
                <w:lang w:eastAsia="zh-CN"/>
              </w:rPr>
              <w:t xml:space="preserve">906300.19</w:t>
            </w:r>
            <w:r>
              <w:rPr>
                <w:rFonts w:hint="eastAsia" w:ascii="宋体" w:hAnsi="宋体" w:cs="宋体"/>
                <w:b/>
                <w:bCs/>
                <w:sz w:val="24"/>
                <w:lang w:val="zh-CN" w:eastAsia="zh-CN"/>
              </w:rPr>
              <w:t xml:space="preserve">元，该项投标价超过此限价的为无效标）</w:t>
            </w:r>
            <w:r/>
          </w:p>
        </w:tc>
      </w:tr>
    </w:tbl>
    <w:p>
      <w:pPr>
        <w:pStyle w:val="701"/>
        <w:jc w:val="left"/>
        <w:spacing w:after="0" w:line="360" w:lineRule="auto"/>
        <w:rPr>
          <w:rFonts w:ascii="宋体" w:hAnsi="宋体" w:cs="宋体"/>
          <w:b/>
          <w:bCs/>
          <w:sz w:val="24"/>
          <w:lang w:eastAsia="zh-CN"/>
        </w:rPr>
      </w:pPr>
      <w:r>
        <w:rPr>
          <w:rFonts w:hint="eastAsia" w:ascii="宋体" w:hAnsi="宋体" w:cs="宋体"/>
          <w:b/>
          <w:bCs/>
          <w:sz w:val="24"/>
          <w:lang w:eastAsia="zh-CN"/>
        </w:rPr>
        <w:t xml:space="preserve">（三）垃圾转运运输部分</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1、垃圾转运运输部分以响应单位所报综合单价（元/吨）×实际运输量按实结算。</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2、综合单价为包干价，包括但不限于垃圾转运、驾驶员等所有费用。</w:t>
      </w:r>
      <w:r/>
    </w:p>
    <w:tbl>
      <w:tblPr>
        <w:tblStyle w:val="730"/>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2"/>
        <w:gridCol w:w="1256"/>
        <w:gridCol w:w="1965"/>
        <w:gridCol w:w="1377"/>
        <w:gridCol w:w="1709"/>
        <w:gridCol w:w="1978"/>
      </w:tblGrid>
      <w:tr>
        <w:trPr>
          <w:jc w:val="center"/>
          <w:trHeight w:val="611"/>
        </w:trPr>
        <w:tc>
          <w:tcPr>
            <w:tcW w:w="1852"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站点</w:t>
            </w:r>
            <w:r/>
          </w:p>
        </w:tc>
        <w:tc>
          <w:tcPr>
            <w:tcW w:w="1256"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计量单位</w:t>
            </w:r>
            <w:r/>
          </w:p>
        </w:tc>
        <w:tc>
          <w:tcPr>
            <w:tcW w:w="1965"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数量（暂估）（日运输量）</w:t>
            </w:r>
            <w:r/>
          </w:p>
        </w:tc>
        <w:tc>
          <w:tcPr>
            <w:tcW w:w="1377"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服务期限（日）</w:t>
            </w:r>
            <w:r/>
          </w:p>
        </w:tc>
        <w:tc>
          <w:tcPr>
            <w:tcW w:w="1709"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单价</w:t>
            </w:r>
            <w:r/>
          </w:p>
          <w:p>
            <w:pPr>
              <w:jc w:val="center"/>
              <w:rPr>
                <w:rFonts w:ascii="宋体" w:hAnsi="宋体" w:cs="宋体"/>
                <w:sz w:val="24"/>
                <w:szCs w:val="24"/>
                <w:lang w:val="zh-CN"/>
              </w:rPr>
            </w:pPr>
            <w:r>
              <w:rPr>
                <w:rFonts w:hint="eastAsia" w:ascii="宋体" w:hAnsi="宋体" w:cs="宋体"/>
                <w:sz w:val="24"/>
                <w:szCs w:val="24"/>
                <w:lang w:val="zh-CN"/>
              </w:rPr>
              <w:t xml:space="preserve">（元/吨）</w:t>
            </w:r>
            <w:r/>
          </w:p>
        </w:tc>
        <w:tc>
          <w:tcPr>
            <w:tcW w:w="1978"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备注</w:t>
            </w:r>
            <w:r/>
          </w:p>
        </w:tc>
      </w:tr>
      <w:tr>
        <w:trPr>
          <w:jc w:val="center"/>
          <w:trHeight w:val="611"/>
        </w:trPr>
        <w:tc>
          <w:tcPr>
            <w:tcW w:w="1852"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尹帆路中转站</w:t>
            </w:r>
            <w:r/>
          </w:p>
        </w:tc>
        <w:tc>
          <w:tcPr>
            <w:tcW w:w="1256"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吨</w:t>
            </w:r>
            <w:r/>
          </w:p>
        </w:tc>
        <w:tc>
          <w:tcPr>
            <w:tcW w:w="1965"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190.00</w:t>
            </w:r>
            <w:r/>
          </w:p>
        </w:tc>
        <w:tc>
          <w:tcPr>
            <w:tcW w:w="1377"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365</w:t>
            </w:r>
            <w:r/>
          </w:p>
        </w:tc>
        <w:tc>
          <w:tcPr>
            <w:tcW w:w="170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9.85</w:t>
            </w:r>
            <w:r/>
          </w:p>
        </w:tc>
        <w:tc>
          <w:tcPr>
            <w:tcW w:w="1978"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lang w:val="zh-CN"/>
              </w:rPr>
              <w:t xml:space="preserve">结算以七子山终端称重量计算。</w:t>
            </w:r>
            <w:r/>
          </w:p>
        </w:tc>
      </w:tr>
      <w:tr>
        <w:trPr>
          <w:jc w:val="center"/>
          <w:trHeight w:val="470"/>
        </w:trPr>
        <w:tc>
          <w:tcPr>
            <w:gridSpan w:val="6"/>
            <w:tcW w:w="10137" w:type="dxa"/>
            <w:vAlign w:val="center"/>
            <w:textDirection w:val="lrTb"/>
            <w:noWrap w:val="false"/>
          </w:tcPr>
          <w:p>
            <w:pPr>
              <w:ind w:firstLine="482"/>
              <w:jc w:val="center"/>
              <w:spacing w:line="360" w:lineRule="auto"/>
              <w:rPr>
                <w:rFonts w:ascii="宋体" w:hAnsi="宋体" w:cs="宋体"/>
                <w:b/>
                <w:bCs/>
                <w:sz w:val="24"/>
                <w:szCs w:val="24"/>
                <w:lang w:val="zh-CN"/>
              </w:rPr>
            </w:pPr>
            <w:r>
              <w:rPr>
                <w:rFonts w:hint="eastAsia" w:ascii="宋体" w:hAnsi="宋体" w:cs="宋体"/>
                <w:b/>
                <w:bCs/>
                <w:sz w:val="24"/>
                <w:szCs w:val="24"/>
                <w:lang w:val="zh-CN"/>
              </w:rPr>
              <w:t xml:space="preserve">（该项设最高限价</w:t>
            </w:r>
            <w:r>
              <w:rPr>
                <w:rFonts w:hint="eastAsia" w:ascii="宋体" w:hAnsi="宋体" w:cs="宋体"/>
                <w:b/>
                <w:bCs/>
                <w:sz w:val="24"/>
                <w:szCs w:val="24"/>
              </w:rPr>
              <w:t xml:space="preserve">9.85元/吨</w:t>
            </w:r>
            <w:r>
              <w:rPr>
                <w:rFonts w:hint="eastAsia" w:ascii="宋体" w:hAnsi="宋体" w:cs="宋体"/>
                <w:b/>
                <w:bCs/>
                <w:sz w:val="24"/>
                <w:szCs w:val="24"/>
                <w:lang w:val="zh-CN"/>
              </w:rPr>
              <w:t xml:space="preserve">，该项投标单价超过此限价的为无效标）</w:t>
            </w:r>
            <w:r/>
          </w:p>
        </w:tc>
      </w:tr>
    </w:tbl>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3、垃圾转运运输的单价最高限价为</w:t>
      </w:r>
      <w:r>
        <w:rPr>
          <w:rFonts w:hint="eastAsia" w:ascii="宋体" w:hAnsi="宋体" w:cs="宋体"/>
          <w:b/>
          <w:bCs/>
          <w:sz w:val="24"/>
          <w:szCs w:val="24"/>
        </w:rPr>
        <w:t xml:space="preserve">9.85</w:t>
      </w:r>
      <w:r>
        <w:rPr>
          <w:rFonts w:hint="eastAsia" w:ascii="宋体" w:hAnsi="宋体" w:cs="宋体"/>
          <w:b/>
          <w:bCs/>
          <w:sz w:val="24"/>
          <w:szCs w:val="24"/>
          <w:lang w:val="zh-CN"/>
        </w:rPr>
        <w:t xml:space="preserve">元/吨，该项投标单价超过此单价限价的为无效标。</w:t>
      </w:r>
      <w:r/>
    </w:p>
    <w:p>
      <w:pPr>
        <w:ind w:firstLine="482"/>
        <w:spacing w:line="360" w:lineRule="auto"/>
        <w:rPr>
          <w:rFonts w:ascii="宋体" w:hAnsi="宋体" w:cs="宋体"/>
          <w:b/>
          <w:bCs/>
          <w:sz w:val="24"/>
          <w:szCs w:val="24"/>
          <w:lang w:val="zh-CN"/>
        </w:rPr>
      </w:pPr>
      <w:r>
        <w:rPr>
          <w:rFonts w:ascii="宋体" w:hAnsi="宋体" w:cs="宋体"/>
          <w:b/>
          <w:bCs/>
          <w:sz w:val="24"/>
          <w:szCs w:val="24"/>
          <w:lang w:val="zh-CN"/>
        </w:rPr>
        <w:t xml:space="preserve">4、</w:t>
      </w:r>
      <w:r>
        <w:rPr>
          <w:rFonts w:hint="eastAsia" w:ascii="宋体" w:hAnsi="宋体" w:cs="宋体"/>
          <w:b/>
          <w:bCs/>
          <w:sz w:val="24"/>
          <w:szCs w:val="24"/>
          <w:lang w:val="zh-CN"/>
        </w:rPr>
        <w:t xml:space="preserve">驾驶员需按采购单位要求配置。</w:t>
      </w:r>
      <w:r/>
    </w:p>
    <w:p>
      <w:pPr>
        <w:ind w:firstLine="482"/>
        <w:spacing w:line="360" w:lineRule="auto"/>
        <w:rPr>
          <w:rFonts w:ascii="宋体" w:hAnsi="宋体" w:cs="宋体"/>
          <w:b/>
          <w:bCs/>
          <w:sz w:val="24"/>
          <w:szCs w:val="24"/>
          <w:lang w:val="zh-CN"/>
        </w:rPr>
      </w:pPr>
      <w:r>
        <w:rPr>
          <w:rFonts w:hint="eastAsia" w:ascii="宋体" w:hAnsi="宋体" w:cs="宋体"/>
          <w:b/>
          <w:bCs/>
          <w:sz w:val="24"/>
          <w:szCs w:val="24"/>
        </w:rPr>
        <w:t xml:space="preserve">5</w:t>
      </w:r>
      <w:r>
        <w:rPr>
          <w:rFonts w:hint="eastAsia" w:ascii="宋体" w:hAnsi="宋体" w:cs="宋体"/>
          <w:b/>
          <w:bCs/>
          <w:sz w:val="24"/>
          <w:szCs w:val="24"/>
          <w:lang w:val="zh-CN"/>
        </w:rPr>
        <w:t xml:space="preserve">、投标总价超过采购预算的为无效标。</w:t>
      </w:r>
      <w:r/>
    </w:p>
    <w:p>
      <w:pPr>
        <w:spacing w:line="360" w:lineRule="auto"/>
        <w:rPr>
          <w:rFonts w:ascii="宋体" w:hAnsi="宋体" w:cs="宋体"/>
          <w:b/>
          <w:bCs/>
          <w:sz w:val="24"/>
          <w:szCs w:val="24"/>
          <w:lang w:val="zh-CN"/>
        </w:rPr>
      </w:pPr>
      <w:r>
        <w:rPr>
          <w:rFonts w:hint="eastAsia" w:ascii="宋体" w:hAnsi="宋体" w:cs="宋体"/>
          <w:b/>
          <w:bCs/>
          <w:sz w:val="24"/>
          <w:szCs w:val="24"/>
          <w:lang w:val="zh-CN"/>
        </w:rPr>
        <w:t xml:space="preserve">（</w:t>
      </w:r>
      <w:r>
        <w:rPr>
          <w:rFonts w:hint="eastAsia" w:ascii="宋体" w:hAnsi="宋体" w:cs="宋体"/>
          <w:b/>
          <w:bCs/>
          <w:sz w:val="24"/>
          <w:szCs w:val="24"/>
        </w:rPr>
        <w:t xml:space="preserve">四</w:t>
      </w:r>
      <w:r>
        <w:rPr>
          <w:rFonts w:hint="eastAsia" w:ascii="宋体" w:hAnsi="宋体" w:cs="宋体"/>
          <w:b/>
          <w:bCs/>
          <w:sz w:val="24"/>
          <w:szCs w:val="24"/>
          <w:lang w:val="zh-CN"/>
        </w:rPr>
        <w:t xml:space="preserve">）服务要求及标准</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上班期间必须穿工作服，禁止穿拖鞋作业，通讯工具保持畅通，按时上下班。</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服务人员负责垃圾中转站垃圾罐装、压缩设备的操作运行，确保进中转站的垃圾及时清运，做到日产日清。</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服务人员每天做好操作间内及站内的环境卫生和安全检查；保持站内通风良好，周围环境卫生整洁，无撒落垃圾和堆积物，无积留污水，做好消杀工作，每日下班前打扫好站内卫生，地面、墙面及压缩设备冲洗干净，底坑内垃圾清理干净；根据气候变化和蚊蝇密度，适当调整消杀次数。</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4、服务人员根据处理量及时做好统计台帐资料，严格做好中转站生活垃圾进站明细登记，做好清运车辆进出登记表以及消杀登记表。</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5、服务人员抽查检验，严禁工业垃圾、装修垃圾及有害垃圾进场。</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6、车辆倾倒时发现有毒有害、工业垃圾或装修垃圾的，需立即制止其倾倒并令其出站，同时向上级部门报告。</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7、清运车辆倒车装载垃圾过程中，需对车辆周围安全监督，避免事故发生。</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8、工作时间内，站内必须有人在场，确保站内设备设施安全。</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9、严格按照设备操作手册操作设备，定期进行机械基础保养，保持机械、电器设备整洁完好无损坏，严禁非工作人员操作机械，杜绝事故发生。</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10、服务人员下班时，需认真检查设备，切断电源，关闭窗户，采取防范措施，做好防火、防盗工作。</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11、工作期间如发生停电，机械、汽车发生故障及其他特殊原因导致不能正常运转的时候，及时上报上级部门领导，同时对运来的垃圾必须服从管理人员统一指挥运往其他中转站，不得擅自将垃圾倒入中转站场地内。</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12、维护监控设备正常运作，不人为破坏网线、电线以及监控设备，不得自行调整监控方向。</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13、按规定使用水电，不得私自搭电，严禁外单位车辆在中转站内充电。</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14、引导垃圾收集车按指定位置倾倒垃圾，严禁随意倾倒。</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15、站区内严禁烟火，加强安全管理，对站区内重点部位设置醒目警示标志，发生事故时，管理人员应立即上报主管部门及有关领导。</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16、外来单位或其他私人车辆拖运的垃圾未经许可不得倒入中转站内，如发现及时汇报。</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17、严禁非工作人员进入操作工作间、有限空间区域内。</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18、有限空间作业时，项目专职安全员须按照作业流程、作业人数、作业人员佩戴安全装备等后方可安排人员作业。</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19、服务人员禁止在中转站内寄宿、搭床。</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20、劳保用品、保洁工具配备齐全，全部费用由响应单位承担。</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21、转运生活垃圾时，驾驶员必须严格遵守交通法，严禁酒驾、闯红灯等现象，必须保持车身整洁、无滴漏。</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22、做好尹帆路中转站24小时门岗执勤工作，做好中转站进出车辆、人员登记工作。</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23、做好安全生产工作，做好新职工岗前培训，开展班前、班后五分钟工作小会。</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24、督促进站车辆的车容车貌干净整洁，发现抛洒滴漏现象及时上报。</w:t>
      </w:r>
      <w:r/>
    </w:p>
    <w:p>
      <w:pPr>
        <w:spacing w:line="360" w:lineRule="auto"/>
        <w:rPr>
          <w:rFonts w:ascii="宋体" w:hAnsi="宋体" w:cs="宋体"/>
          <w:b/>
          <w:bCs/>
          <w:sz w:val="24"/>
        </w:rPr>
      </w:pPr>
      <w:r>
        <w:rPr>
          <w:rFonts w:hint="eastAsia" w:ascii="宋体" w:hAnsi="宋体" w:cs="宋体"/>
          <w:b/>
          <w:bCs/>
          <w:sz w:val="24"/>
          <w:lang w:val="zh-CN"/>
        </w:rPr>
        <w:t xml:space="preserve">（</w:t>
      </w:r>
      <w:r>
        <w:rPr>
          <w:rFonts w:hint="eastAsia" w:ascii="宋体" w:hAnsi="宋体" w:cs="宋体"/>
          <w:b/>
          <w:bCs/>
          <w:sz w:val="24"/>
        </w:rPr>
        <w:t xml:space="preserve">五</w:t>
      </w:r>
      <w:r>
        <w:rPr>
          <w:rFonts w:hint="eastAsia" w:ascii="宋体" w:hAnsi="宋体" w:cs="宋体"/>
          <w:b/>
          <w:bCs/>
          <w:sz w:val="24"/>
          <w:lang w:val="zh-CN"/>
        </w:rPr>
        <w:t xml:space="preserve">）</w:t>
      </w:r>
      <w:r>
        <w:rPr>
          <w:rFonts w:hint="eastAsia" w:ascii="宋体" w:hAnsi="宋体" w:cs="宋体"/>
          <w:b/>
          <w:bCs/>
          <w:sz w:val="24"/>
        </w:rPr>
        <w:t xml:space="preserve">服务标准</w:t>
      </w:r>
      <w:r/>
    </w:p>
    <w:p>
      <w:pPr>
        <w:pStyle w:val="702"/>
        <w:spacing w:line="360" w:lineRule="auto"/>
        <w:rPr>
          <w:rFonts w:ascii="宋体" w:hAnsi="宋体" w:cs="宋体"/>
          <w:sz w:val="24"/>
          <w:szCs w:val="24"/>
          <w:lang w:eastAsia="zh-CN"/>
        </w:rPr>
      </w:pPr>
      <w:r/>
      <w:bookmarkStart w:id="24" w:name="_Toc448156296"/>
      <w:r/>
      <w:bookmarkStart w:id="25" w:name="_Toc446334651"/>
      <w:r/>
      <w:bookmarkStart w:id="26" w:name="_Toc483423603"/>
      <w:r/>
      <w:bookmarkStart w:id="27" w:name="_Toc448401252"/>
      <w:r/>
      <w:bookmarkStart w:id="28" w:name="_Toc448347814"/>
      <w:r/>
      <w:bookmarkStart w:id="29" w:name="_Toc483603094"/>
      <w:r/>
      <w:bookmarkStart w:id="30" w:name="_Toc448158684"/>
      <w:r>
        <w:rPr>
          <w:rFonts w:hint="eastAsia" w:ascii="宋体" w:hAnsi="宋体" w:cs="宋体"/>
          <w:sz w:val="24"/>
          <w:szCs w:val="24"/>
          <w:lang w:eastAsia="zh-CN"/>
        </w:rPr>
        <w:t xml:space="preserve">1、中转站清洁标准</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1.1目视中转站内无杂物、污水、污垢。</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1.2 垃圾日产日清。</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1.3中转站周围整洁卫生。</w:t>
      </w:r>
      <w:bookmarkEnd w:id="24"/>
      <w:r/>
      <w:bookmarkEnd w:id="25"/>
      <w:r/>
      <w:bookmarkEnd w:id="26"/>
      <w:r/>
      <w:bookmarkEnd w:id="27"/>
      <w:r/>
      <w:bookmarkEnd w:id="28"/>
      <w:r/>
      <w:bookmarkEnd w:id="29"/>
      <w:r/>
      <w:bookmarkEnd w:id="30"/>
      <w:r/>
      <w:r/>
    </w:p>
    <w:p>
      <w:pPr>
        <w:pStyle w:val="702"/>
        <w:spacing w:line="360" w:lineRule="auto"/>
        <w:rPr>
          <w:rFonts w:ascii="宋体" w:hAnsi="宋体" w:cs="宋体"/>
          <w:sz w:val="24"/>
          <w:szCs w:val="24"/>
          <w:lang w:eastAsia="zh-CN"/>
        </w:rPr>
      </w:pPr>
      <w:r/>
      <w:bookmarkStart w:id="31" w:name="_Toc448158679"/>
      <w:r/>
      <w:bookmarkStart w:id="32" w:name="_Toc448401250"/>
      <w:r/>
      <w:bookmarkStart w:id="33" w:name="_Toc446334648"/>
      <w:r/>
      <w:bookmarkStart w:id="34" w:name="_Toc448347812"/>
      <w:r/>
      <w:bookmarkStart w:id="35" w:name="_Toc483423601"/>
      <w:r/>
      <w:bookmarkStart w:id="36" w:name="_Toc483603092"/>
      <w:r/>
      <w:bookmarkStart w:id="37" w:name="_Toc448156291"/>
      <w:r>
        <w:rPr>
          <w:rFonts w:hint="eastAsia" w:ascii="宋体" w:hAnsi="宋体" w:cs="宋体"/>
          <w:sz w:val="24"/>
          <w:szCs w:val="24"/>
          <w:lang w:eastAsia="zh-CN"/>
        </w:rPr>
        <w:t xml:space="preserve">2、中转站作业时间</w:t>
      </w:r>
      <w:bookmarkEnd w:id="31"/>
      <w:r/>
      <w:bookmarkEnd w:id="32"/>
      <w:r/>
      <w:bookmarkEnd w:id="33"/>
      <w:r/>
      <w:bookmarkEnd w:id="34"/>
      <w:r/>
      <w:bookmarkEnd w:id="35"/>
      <w:r/>
      <w:bookmarkEnd w:id="36"/>
      <w:r/>
      <w:bookmarkEnd w:id="37"/>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2.1作业时间为4:00-12:00,13:00-21:00，期间不间断循环保洁，确保无异味。</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2.2做好消杀工作，另视垃圾产量及季节等具体情况应适当增加消杀次数，尽量减少苍蝇密度。</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2.3门岗看护时间为24小时。</w:t>
      </w:r>
      <w:r/>
    </w:p>
    <w:p>
      <w:pPr>
        <w:pStyle w:val="702"/>
        <w:spacing w:line="360" w:lineRule="auto"/>
        <w:rPr>
          <w:rFonts w:ascii="宋体" w:hAnsi="宋体" w:cs="宋体"/>
          <w:sz w:val="24"/>
          <w:szCs w:val="24"/>
          <w:lang w:eastAsia="zh-CN"/>
        </w:rPr>
      </w:pPr>
      <w:r/>
      <w:bookmarkStart w:id="38" w:name="_Toc448158683"/>
      <w:r/>
      <w:bookmarkStart w:id="39" w:name="_Toc448156295"/>
      <w:r/>
      <w:bookmarkStart w:id="40" w:name="_Toc448158680"/>
      <w:r/>
      <w:bookmarkStart w:id="41" w:name="_Toc483603093"/>
      <w:r/>
      <w:bookmarkStart w:id="42" w:name="_Toc448347813"/>
      <w:r/>
      <w:bookmarkStart w:id="43" w:name="_Toc448156292"/>
      <w:r/>
      <w:bookmarkStart w:id="44" w:name="_Toc446334650"/>
      <w:r/>
      <w:bookmarkStart w:id="45" w:name="_Toc483423602"/>
      <w:r/>
      <w:bookmarkStart w:id="46" w:name="_Toc448401251"/>
      <w:r>
        <w:rPr>
          <w:rFonts w:hint="eastAsia" w:ascii="宋体" w:hAnsi="宋体" w:cs="宋体"/>
          <w:sz w:val="24"/>
          <w:szCs w:val="24"/>
          <w:lang w:eastAsia="zh-CN"/>
        </w:rPr>
        <w:t xml:space="preserve">3、中转站管理</w:t>
      </w:r>
      <w:bookmarkEnd w:id="38"/>
      <w:r/>
      <w:bookmarkEnd w:id="39"/>
      <w:r>
        <w:rPr>
          <w:rFonts w:hint="eastAsia" w:ascii="宋体" w:hAnsi="宋体" w:cs="宋体"/>
          <w:sz w:val="24"/>
          <w:szCs w:val="24"/>
          <w:lang w:eastAsia="zh-CN"/>
        </w:rPr>
        <w:t xml:space="preserve">要求</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3.1中转站内要做到随脏随打扫，垃圾清场后要认真冲洗。</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3.2外单位物件未经许可不得在中转站内存放。</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3.3废品不得堆放在中转站内外。</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3.4拾荒人员不得进入中转站捡拾废品。</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3.5外单位垃圾进入中转站必须办理相关手续。</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3.6工作结束后搞好室内外环境卫生，切断电源，关闭水龙头，关锁好门窗。</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3.7对进出中转站运输车辆进行统一指挥管理，保持站内停车有序、整齐、规范。</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3.8安排专人做好垃圾中转站的日常运行台账记录和月度报表，每月定期上报招标人。</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4、中转站作业人员工作职责</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4.1服从管理，严格遵守上下班、轮休、着装、请销假等制度。</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4.2积极配合倾倒垃圾人员倾倒垃圾，工作期间严禁有干私活等违规现象发生。</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4.3认真做好中转站内部卫生，物品堆放整洁，严禁外来人员清掏泔脚，严禁工作人员捡拾废品现象发生。</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4.4做好压缩设备保养工作，认真按照操作流程进行操作，杜绝人为事故，发现设备存在问题应及时汇报，严禁无关人员操作设备。</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4.5严控倾倒垃圾车辆的垃圾量，杜绝超高、超量的垃圾运输车辆进站倾倒垃圾。</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4.6严格规范垃圾运输车辆，符合环卫所要求的车辆才能进站倾倒垃圾。</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5、中转站作业人员</w:t>
      </w:r>
      <w:bookmarkEnd w:id="40"/>
      <w:r/>
      <w:bookmarkEnd w:id="41"/>
      <w:r/>
      <w:bookmarkEnd w:id="42"/>
      <w:r/>
      <w:bookmarkEnd w:id="43"/>
      <w:r/>
      <w:bookmarkEnd w:id="44"/>
      <w:r/>
      <w:bookmarkEnd w:id="45"/>
      <w:r/>
      <w:bookmarkEnd w:id="46"/>
      <w:r/>
      <w:bookmarkStart w:id="47" w:name="_Toc448156293"/>
      <w:r/>
      <w:bookmarkStart w:id="48" w:name="_Toc448158681"/>
      <w:r/>
      <w:bookmarkStart w:id="49" w:name="_Toc448156294"/>
      <w:r/>
      <w:bookmarkStart w:id="50" w:name="_Toc448158682"/>
      <w:r>
        <w:rPr>
          <w:rFonts w:hint="eastAsia" w:ascii="宋体" w:hAnsi="宋体" w:cs="宋体"/>
          <w:sz w:val="24"/>
          <w:szCs w:val="24"/>
          <w:lang w:eastAsia="zh-CN"/>
        </w:rPr>
        <w:t xml:space="preserve">工作</w:t>
      </w:r>
      <w:bookmarkEnd w:id="47"/>
      <w:r/>
      <w:bookmarkEnd w:id="48"/>
      <w:r>
        <w:rPr>
          <w:rFonts w:hint="eastAsia" w:ascii="宋体" w:hAnsi="宋体" w:cs="宋体"/>
          <w:sz w:val="24"/>
          <w:szCs w:val="24"/>
          <w:lang w:eastAsia="zh-CN"/>
        </w:rPr>
        <w:t xml:space="preserve">要求</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5.1上班期间工作人员须统一着装。</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5.2进站垃圾及时处理，做到日产日清。严禁大件垃圾、建筑装修垃圾、有毒有害垃圾进入中转站。</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5.3作业区内做到每车一清理，压缩作业完成后对卸料槽每车清洗一次；每天压缩结束后，对压缩箱体和坑体进行冲洗，清理设备，并对润滑部位和滚动部位加油。</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5.4定期进行机械保养，保持机械、电器设备整洁完好，无损坏，严禁非工作人员操作机械，杜绝事故发生。</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5.5中转站工作间非工作人员严禁入内，工作期间严禁设备操作人员擅离职守或做与工作无关的事情。</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5.6及时做好场站消杀、除臭工作</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5.6.1中转站内外始终保持干净整洁，蚊蝇滋生季节，坚持消杀、冲洗，可视范围内，做到无臭味，无蚊蝇。</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5.6.2定期清理污水收集池的沉淀物。定期清理排水沟，避免发生堵塞、积水、泄漏等问题，并加强站内雨污分流和生活污水的管理。</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5.7垃圾运输车外无垃圾粘附物，垃圾车停用时应保持整洁。</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5.8 做好中转内外保洁工作</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5.8.1做好中转站内各区域的保洁工作，包括屋顶屋面、沟槽雨篷及边角，做好没有卫生死角，保证无灰尘、蛛网、污迹，地面、地坑无积水，地面无污物，箱体干净无异味。</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5.8.2做好中转站内的保洁工作，及时清扫散落在地面的垃圾，并装回垃圾压缩箱里，保证垃圾中转站的垃圾存放齐整，地面无散落的垃圾。每天一次用水清洗中转站周围地面和墙面，用铲刀铲除墙壁粘附物。每天用高效低毒药品对垃圾中转站周围10米消杀一次。</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5.8.3中转站内外无乱张贴、刻画，无杂物堆放，工具摆放整齐。</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5.8.4每日用消毒药水洗净所有垃圾桶及工具。</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5.8.5保洁过程若发现异常现象，如设备设施损坏、故障等，及时上报。</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5.8.6保洁时应注意避让车辆，确保自身安全，避让生产岗位的正常作业。</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5.8.7做好招标人安排的临时保洁工作。</w:t>
      </w:r>
      <w:bookmarkEnd w:id="49"/>
      <w:r/>
      <w:bookmarkEnd w:id="50"/>
      <w:r/>
      <w:r/>
    </w:p>
    <w:p>
      <w:pPr>
        <w:pStyle w:val="702"/>
        <w:spacing w:line="360" w:lineRule="auto"/>
        <w:rPr>
          <w:rFonts w:ascii="宋体" w:hAnsi="宋体" w:cs="宋体"/>
          <w:sz w:val="24"/>
          <w:szCs w:val="24"/>
          <w:lang w:eastAsia="zh-CN"/>
        </w:rPr>
      </w:pPr>
      <w:r/>
      <w:bookmarkStart w:id="51" w:name="_Toc483423606"/>
      <w:r/>
      <w:bookmarkStart w:id="52" w:name="_Toc483603097"/>
      <w:r>
        <w:rPr>
          <w:rFonts w:hint="eastAsia" w:ascii="宋体" w:hAnsi="宋体" w:cs="宋体"/>
          <w:sz w:val="24"/>
          <w:szCs w:val="24"/>
          <w:lang w:eastAsia="zh-CN"/>
        </w:rPr>
        <w:t xml:space="preserve">6、中转站垃圾压缩设备操作规程</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6.1响应单位必须承诺设备操作人员需受过相关培训，熟知设备性能、原理，按有关要求正确操作。</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6.2操作前准备工作</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6.2.1操作前应检查电源是否接通。</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6.2.3检查油位（应位于刻度线中间）。</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6.2.4冬季操作时，温度低于零度应进行油箱预热15分钟后开机。</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6.3操作中注意事项</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6.3.1垃圾在压缩过程中，严禁启动上升装置（如果误按了上升装置，则必须将箱体举升推出垃圾）。</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6.3.2箱子举起来后，要将挡板挡住前段地口，以便减少零星垃圾掉入坑中，减轻清坑工作。</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6.3.3垃圾快装车时，先将箱体举升至设定高度，然后将汽车倒至设定位置，然后将垃圾块推入汽车内。</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6.3.4垃圾压实过程中，严禁闲杂人员接近，保证人身及设备安全。</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6.3.5每天工作完毕要用高压枪清洗场地、设备及地坑，保持工作环境整洁，便于检查和维修。</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6.3.6操作人员下坑作业时，必须将保险销子插入，确保安全，作业结束将保险销子拔出，切记销子必须全部拔出。</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6.3.7严禁压缩工业垃圾、建筑垃圾、有毒有害垃圾，一旦发现，应在做好安全措施情况下，及时清除或采取紧急措施，做好记录并及时上报。</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6.4结束工作</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6.4.1将运动部件回归至初始状态，切断电源。</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6.4.2清扫场地、保持工作环境整洁。</w:t>
      </w:r>
      <w:bookmarkEnd w:id="51"/>
      <w:r/>
      <w:bookmarkEnd w:id="52"/>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7、安全生产职责</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7.1压缩设备必须由经过培训的专职人员操作，严禁非专职人员操作设备。</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7.2严格按垃圾压缩机等设备的标准操作规范及流程进行作业，不得擅自更改操作工艺及流程，杜绝各类事故的发生。</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7.3认真执行各项规章制度，熟练掌握压缩设备的使用要求和操作技能，做好设备的保养维护工作。</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7.4严格遵守垃圾进出车辆的装卸运行流程，防止损坏设备，严禁非专用车辆进入中转站。</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7.5中转站指定专人定期对所属的机器设备进行例行检查，防止出现部件损耗、线路老化、油路漏溢、堵塞等现象。发生运行故障应及时报招标人，必要时与生产商联系，排除故障，在得到解决后方可运行。</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7.6中转站应有专人负责管理，确保消防器材完好有效；并定期开展检查应设置禁烟防火标识，严防火灾、偷盗。</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7.7协助环卫所安全生产领导小组做好隐患、事故的处理。</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7.8指定负责人员要随时负责好所属区域的垃圾中转站工作，严格要求自己，履行工作职责，勤打扫、严管理，无杂物堆放、无蜘蛛网、无异味，定期消杀灭蚊。</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7.9妥善管理好各种设施设备，保证设备正常运转，做好防火、防盗、防毒、防爆、防突发事件，未经批准，不得随意接线、接水，严禁室内乱拉、乱挂、乱贴。</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7.10中转站内必须安放安全生产和严禁捡拾垃圾公示牌，相关人员维护好站内秩序，严禁捡垃圾人员围车抢垃圾，确保人身车辆安全。</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7.11作业人员必须执行安全作业标准，作业时按规定穿戴防护装备，确保人身安全。</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7.12加强员工安全教育，定期培训操作技能，做到警钟长鸣。</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8、保障、应急服务要求</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8.1制定在迎接检查、恶劣天气、自然灾害、停水停电、突发事故、设备维护、定期保养等各类情况下的保障方案、应急预案或备用方案，并提供紧急预案组成人员及响应时间表，积极配合招标人认真做好运行保障服务和站内秩序维护，确保按照合理程序组织好外来参观人员或应对突发事件（事故）。</w:t>
      </w:r>
      <w:r/>
    </w:p>
    <w:p>
      <w:pPr>
        <w:pStyle w:val="702"/>
        <w:spacing w:line="360" w:lineRule="auto"/>
        <w:rPr>
          <w:rFonts w:ascii="宋体" w:hAnsi="宋体" w:cs="宋体"/>
          <w:sz w:val="24"/>
          <w:szCs w:val="24"/>
          <w:lang w:eastAsia="zh-CN"/>
        </w:rPr>
      </w:pPr>
      <w:r>
        <w:rPr>
          <w:rFonts w:hint="eastAsia" w:ascii="宋体" w:hAnsi="宋体" w:cs="宋体"/>
          <w:sz w:val="24"/>
          <w:szCs w:val="24"/>
          <w:lang w:eastAsia="zh-CN"/>
        </w:rPr>
        <w:t xml:space="preserve">8.2服务人员须服从采购单位工作调度，严格执行采购单位提出的临时管理要求。</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七、综合说明：</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1、响应单位必须说明其是否响应采购文件中提出的全部服务内容与要求，如果对其中某些条款不响应时，应在文件中逐条列出，未列出的视同响应。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2、本次采购活动不接受联合报价及分包、转包。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报价包括完成该项目的服务管理内容、耗材（扫帚、塘耙、铁锹、拖把、清洁用品、毛巾）、通讯、服装、胸卡、办公设备、各种税费、人工、保险、劳保、维护、利润、代理服务费、政策性文件规定及合同包含的所有风险、责任等各项应有费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hint="eastAsia" w:ascii="宋体" w:hAnsi="宋体" w:cs="宋体"/>
          <w:sz w:val="24"/>
          <w:lang w:val="zh-CN"/>
        </w:rPr>
        <w:t xml:space="preserve">、服务期限：一年（具体进场时间以采购单位通知为准）。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5、服务地点：采购单位指定地点。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6、响应单位</w:t>
      </w:r>
      <w:r>
        <w:rPr>
          <w:rFonts w:hint="eastAsia" w:ascii="宋体" w:hAnsi="宋体" w:cs="宋体"/>
          <w:sz w:val="24"/>
          <w:lang w:val="zh-TW" w:eastAsia="zh-TW"/>
        </w:rPr>
        <w:t xml:space="preserve">若工作人员在服务期间内出现的工伤及其他意外事故，均由</w:t>
      </w:r>
      <w:r>
        <w:rPr>
          <w:rFonts w:hint="eastAsia" w:ascii="宋体" w:hAnsi="宋体" w:cs="宋体"/>
          <w:sz w:val="24"/>
          <w:lang w:val="zh-TW"/>
        </w:rPr>
        <w:t xml:space="preserve">响应</w:t>
      </w:r>
      <w:r>
        <w:rPr>
          <w:rFonts w:hint="eastAsia" w:ascii="宋体" w:hAnsi="宋体" w:cs="宋体"/>
          <w:sz w:val="24"/>
          <w:lang w:val="zh-TW" w:eastAsia="zh-TW"/>
        </w:rPr>
        <w:t xml:space="preserve">单位自行负责，采购单位不承担任何责任。</w:t>
      </w:r>
      <w:r/>
    </w:p>
    <w:p>
      <w:pPr>
        <w:ind w:firstLine="480"/>
        <w:spacing w:line="360" w:lineRule="auto"/>
        <w:rPr>
          <w:rFonts w:ascii="宋体" w:hAnsi="宋体" w:cs="宋体"/>
          <w:sz w:val="24"/>
          <w:lang w:val="zh-TW"/>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hint="eastAsia" w:ascii="宋体" w:hAnsi="宋体" w:cs="宋体"/>
          <w:sz w:val="24"/>
          <w:lang w:val="zh-TW" w:eastAsia="zh-TW"/>
        </w:rPr>
        <w:t xml:space="preserve">若</w:t>
      </w:r>
      <w:r>
        <w:rPr>
          <w:rFonts w:hint="eastAsia" w:ascii="宋体" w:hAnsi="宋体" w:cs="宋体"/>
          <w:sz w:val="24"/>
        </w:rPr>
        <w:t xml:space="preserve">响应</w:t>
      </w:r>
      <w:r>
        <w:rPr>
          <w:rFonts w:hint="eastAsia" w:ascii="宋体" w:hAnsi="宋体" w:cs="宋体"/>
          <w:sz w:val="24"/>
          <w:lang w:val="zh-TW" w:eastAsia="zh-TW"/>
        </w:rPr>
        <w:t xml:space="preserve">单位在管理服务期间，违反下列规定将被解除管理服务合同</w:t>
      </w:r>
      <w:r>
        <w:rPr>
          <w:rFonts w:hint="eastAsia" w:ascii="宋体" w:hAnsi="宋体" w:cs="宋体"/>
          <w:sz w:val="24"/>
          <w:lang w:val="zh-TW"/>
        </w:rPr>
        <w:t xml:space="preserve">：</w:t>
      </w:r>
      <w:r/>
    </w:p>
    <w:p>
      <w:pPr>
        <w:ind w:firstLine="480"/>
        <w:spacing w:line="360" w:lineRule="auto"/>
        <w:rPr>
          <w:rFonts w:ascii="宋体" w:hAnsi="宋体" w:cs="宋体"/>
          <w:sz w:val="24"/>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hint="eastAsia" w:ascii="宋体" w:hAnsi="宋体" w:cs="宋体"/>
          <w:sz w:val="24"/>
          <w:lang w:val="zh-TW"/>
        </w:rPr>
        <w:t xml:space="preserve">.1</w:t>
      </w:r>
      <w:r>
        <w:rPr>
          <w:rFonts w:hint="eastAsia" w:ascii="宋体" w:hAnsi="宋体" w:cs="宋体"/>
          <w:sz w:val="24"/>
          <w:lang w:val="zh-TW" w:eastAsia="zh-TW"/>
        </w:rPr>
        <w:t xml:space="preserve">严禁将承包的管理服务</w:t>
      </w:r>
      <w:r>
        <w:rPr>
          <w:rFonts w:hint="eastAsia" w:ascii="宋体" w:hAnsi="宋体" w:cs="宋体"/>
          <w:sz w:val="24"/>
          <w:lang w:val="zh-TW"/>
        </w:rPr>
        <w:t xml:space="preserve">项目</w:t>
      </w:r>
      <w:r>
        <w:rPr>
          <w:rFonts w:hint="eastAsia" w:ascii="宋体" w:hAnsi="宋体" w:cs="宋体"/>
          <w:sz w:val="24"/>
          <w:lang w:val="zh-TW" w:eastAsia="zh-TW"/>
        </w:rPr>
        <w:t xml:space="preserve">转包他人</w:t>
      </w:r>
      <w:r>
        <w:rPr>
          <w:rFonts w:hint="eastAsia" w:ascii="宋体" w:hAnsi="宋体" w:cs="宋体"/>
          <w:sz w:val="24"/>
          <w:lang w:val="zh-TW"/>
        </w:rPr>
        <w:t xml:space="preserve">。</w:t>
      </w:r>
      <w:r/>
    </w:p>
    <w:p>
      <w:pPr>
        <w:ind w:firstLine="480"/>
        <w:spacing w:line="360" w:lineRule="auto"/>
        <w:rPr>
          <w:rFonts w:ascii="宋体" w:hAnsi="宋体" w:cs="宋体"/>
          <w:sz w:val="24"/>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hint="eastAsia" w:ascii="宋体" w:hAnsi="宋体" w:cs="宋体"/>
          <w:sz w:val="24"/>
          <w:lang w:val="zh-TW"/>
        </w:rPr>
        <w:t xml:space="preserve">.</w:t>
      </w:r>
      <w:r>
        <w:rPr>
          <w:rFonts w:hint="eastAsia" w:ascii="宋体" w:hAnsi="宋体" w:cs="宋体"/>
          <w:sz w:val="24"/>
        </w:rPr>
        <w:t xml:space="preserve">2响应</w:t>
      </w:r>
      <w:r>
        <w:rPr>
          <w:rFonts w:hint="eastAsia" w:ascii="宋体" w:hAnsi="宋体" w:cs="宋体"/>
          <w:sz w:val="24"/>
          <w:lang w:val="zh-TW"/>
        </w:rPr>
        <w:t xml:space="preserve">单位</w:t>
      </w:r>
      <w:r>
        <w:rPr>
          <w:rFonts w:hint="eastAsia" w:ascii="宋体" w:hAnsi="宋体" w:cs="宋体"/>
          <w:sz w:val="24"/>
          <w:lang w:val="zh-TW" w:eastAsia="zh-TW"/>
        </w:rPr>
        <w:t xml:space="preserve">必须依法用工，拖欠员工工资引起讨薪事件或对项目正常运行造成严重影响</w:t>
      </w:r>
      <w:r>
        <w:rPr>
          <w:rFonts w:hint="eastAsia" w:ascii="宋体" w:hAnsi="宋体" w:cs="宋体"/>
          <w:sz w:val="24"/>
          <w:lang w:val="zh-TW"/>
        </w:rPr>
        <w:t xml:space="preserve">。</w:t>
      </w:r>
      <w:r/>
    </w:p>
    <w:p>
      <w:pPr>
        <w:ind w:firstLine="480"/>
        <w:spacing w:line="360" w:lineRule="auto"/>
        <w:rPr>
          <w:rFonts w:ascii="宋体" w:hAnsi="宋体" w:cs="宋体"/>
          <w:sz w:val="24"/>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hint="eastAsia" w:ascii="宋体" w:hAnsi="宋体" w:cs="宋体"/>
          <w:sz w:val="24"/>
          <w:lang w:val="zh-TW"/>
        </w:rPr>
        <w:t xml:space="preserve">.</w:t>
      </w:r>
      <w:r>
        <w:rPr>
          <w:rFonts w:hint="eastAsia" w:ascii="宋体" w:hAnsi="宋体" w:cs="宋体"/>
          <w:sz w:val="24"/>
        </w:rPr>
        <w:t xml:space="preserve">3</w:t>
      </w:r>
      <w:r>
        <w:rPr>
          <w:rFonts w:hint="eastAsia" w:ascii="宋体" w:hAnsi="宋体" w:cs="宋体"/>
          <w:sz w:val="24"/>
          <w:lang w:val="zh-TW" w:eastAsia="zh-TW"/>
        </w:rPr>
        <w:t xml:space="preserve">未经采购单位批准擅自调动、调整关键性岗位工作人员的；发现配置本项目人员在其他项目兼职的；上述</w:t>
      </w:r>
      <w:r>
        <w:rPr>
          <w:rFonts w:hint="eastAsia" w:ascii="宋体" w:hAnsi="宋体" w:cs="宋体"/>
          <w:sz w:val="24"/>
          <w:lang w:eastAsia="zh-TW"/>
        </w:rPr>
        <w:t xml:space="preserve">1</w:t>
      </w:r>
      <w:r>
        <w:rPr>
          <w:rFonts w:hint="eastAsia" w:ascii="宋体" w:hAnsi="宋体" w:cs="宋体"/>
          <w:sz w:val="24"/>
          <w:lang w:val="zh-TW" w:eastAsia="zh-TW"/>
        </w:rPr>
        <w:t xml:space="preserve">种情况出现</w:t>
      </w:r>
      <w:r>
        <w:rPr>
          <w:rFonts w:hint="eastAsia" w:ascii="宋体" w:hAnsi="宋体" w:cs="宋体"/>
          <w:sz w:val="24"/>
          <w:lang w:eastAsia="zh-TW"/>
        </w:rPr>
        <w:t xml:space="preserve">3</w:t>
      </w:r>
      <w:r>
        <w:rPr>
          <w:rFonts w:hint="eastAsia" w:ascii="宋体" w:hAnsi="宋体" w:cs="宋体"/>
          <w:sz w:val="24"/>
          <w:lang w:val="zh-TW" w:eastAsia="zh-TW"/>
        </w:rPr>
        <w:t xml:space="preserve">次以上的</w:t>
      </w:r>
      <w:r>
        <w:rPr>
          <w:rFonts w:hint="eastAsia" w:ascii="宋体" w:hAnsi="宋体" w:cs="宋体"/>
          <w:sz w:val="24"/>
          <w:lang w:val="zh-TW"/>
        </w:rPr>
        <w:t xml:space="preserve">。</w:t>
      </w:r>
      <w:r/>
    </w:p>
    <w:p>
      <w:pPr>
        <w:ind w:firstLine="480"/>
        <w:spacing w:line="360" w:lineRule="auto"/>
        <w:rPr>
          <w:rFonts w:ascii="宋体" w:hAnsi="宋体" w:cs="宋体"/>
          <w:sz w:val="24"/>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hint="eastAsia" w:ascii="宋体" w:hAnsi="宋体" w:cs="宋体"/>
          <w:sz w:val="24"/>
          <w:lang w:val="zh-TW"/>
        </w:rPr>
        <w:t xml:space="preserve">.</w:t>
      </w:r>
      <w:r>
        <w:rPr>
          <w:rFonts w:hint="eastAsia" w:ascii="宋体" w:hAnsi="宋体" w:cs="宋体"/>
          <w:sz w:val="24"/>
        </w:rPr>
        <w:t xml:space="preserve">4</w:t>
      </w:r>
      <w:r>
        <w:rPr>
          <w:rFonts w:hint="eastAsia" w:ascii="宋体" w:hAnsi="宋体" w:cs="宋体"/>
          <w:sz w:val="24"/>
          <w:lang w:val="zh-TW" w:eastAsia="zh-TW"/>
        </w:rPr>
        <w:t xml:space="preserve">其他</w:t>
      </w:r>
      <w:r>
        <w:rPr>
          <w:rFonts w:hint="eastAsia" w:ascii="宋体" w:hAnsi="宋体" w:cs="宋体"/>
          <w:sz w:val="24"/>
          <w:lang w:val="zh-TW"/>
        </w:rPr>
        <w:t xml:space="preserve">采购</w:t>
      </w:r>
      <w:r>
        <w:rPr>
          <w:rFonts w:hint="eastAsia" w:ascii="宋体" w:hAnsi="宋体" w:cs="宋体"/>
          <w:sz w:val="24"/>
          <w:lang w:val="zh-TW" w:eastAsia="zh-TW"/>
        </w:rPr>
        <w:t xml:space="preserve">文件中约定的可解除合同的情况</w:t>
      </w:r>
      <w:r>
        <w:rPr>
          <w:rFonts w:hint="eastAsia" w:ascii="宋体" w:hAnsi="宋体" w:cs="宋体"/>
          <w:sz w:val="24"/>
          <w:lang w:val="zh-TW"/>
        </w:rPr>
        <w:t xml:space="preserve">。</w:t>
      </w:r>
      <w:r/>
    </w:p>
    <w:p>
      <w:pPr>
        <w:ind w:firstLine="480"/>
        <w:spacing w:line="360" w:lineRule="auto"/>
        <w:rPr>
          <w:rFonts w:ascii="宋体" w:hAnsi="宋体" w:cs="宋体"/>
          <w:sz w:val="24"/>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hint="eastAsia" w:ascii="宋体" w:hAnsi="宋体" w:cs="宋体"/>
          <w:sz w:val="24"/>
          <w:lang w:val="zh-TW" w:eastAsia="zh-TW"/>
        </w:rPr>
        <w:t xml:space="preserve">因</w:t>
      </w:r>
      <w:r>
        <w:rPr>
          <w:rFonts w:hint="eastAsia" w:ascii="宋体" w:hAnsi="宋体" w:cs="宋体"/>
          <w:sz w:val="24"/>
        </w:rPr>
        <w:t xml:space="preserve">响应</w:t>
      </w:r>
      <w:r>
        <w:rPr>
          <w:rFonts w:hint="eastAsia" w:ascii="宋体" w:hAnsi="宋体" w:cs="宋体"/>
          <w:sz w:val="24"/>
          <w:lang w:val="zh-TW" w:eastAsia="zh-TW"/>
        </w:rPr>
        <w:t xml:space="preserve">单位管理不善，造成</w:t>
      </w:r>
      <w:r>
        <w:rPr>
          <w:rFonts w:hint="eastAsia" w:ascii="宋体" w:hAnsi="宋体" w:cs="宋体"/>
          <w:sz w:val="24"/>
        </w:rPr>
        <w:t xml:space="preserve">服务</w:t>
      </w:r>
      <w:r>
        <w:rPr>
          <w:rFonts w:hint="eastAsia" w:ascii="宋体" w:hAnsi="宋体" w:cs="宋体"/>
          <w:sz w:val="24"/>
          <w:lang w:val="zh-TW" w:eastAsia="zh-TW"/>
        </w:rPr>
        <w:t xml:space="preserve">工作范围内的设施、设备等损坏的，由直接责任人赔偿，若直接责任人因故无法赔偿的，采购单位有权要求</w:t>
      </w:r>
      <w:r>
        <w:rPr>
          <w:rFonts w:hint="eastAsia" w:ascii="宋体" w:hAnsi="宋体" w:cs="宋体"/>
          <w:sz w:val="24"/>
        </w:rPr>
        <w:t xml:space="preserve">响应</w:t>
      </w:r>
      <w:r>
        <w:rPr>
          <w:rFonts w:hint="eastAsia" w:ascii="宋体" w:hAnsi="宋体" w:cs="宋体"/>
          <w:sz w:val="24"/>
          <w:lang w:val="zh-TW"/>
        </w:rPr>
        <w:t xml:space="preserve">单位</w:t>
      </w:r>
      <w:r>
        <w:rPr>
          <w:rFonts w:hint="eastAsia" w:ascii="宋体" w:hAnsi="宋体" w:cs="宋体"/>
          <w:sz w:val="24"/>
          <w:lang w:val="zh-TW" w:eastAsia="zh-TW"/>
        </w:rPr>
        <w:t xml:space="preserve">负责赔偿损失，情节严重的可终止合同甚至诉诸法律。如遇采购单位办公场所调整或迁移等重大情况，采购单位将提前一个月告知乙方，合同内容经双方协商调整直至终止</w:t>
      </w:r>
      <w:r>
        <w:rPr>
          <w:rFonts w:hint="eastAsia" w:ascii="宋体" w:hAnsi="宋体" w:cs="宋体"/>
          <w:sz w:val="24"/>
          <w:lang w:val="zh-TW"/>
        </w:rPr>
        <w:t xml:space="preserve">。</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hint="eastAsia" w:ascii="宋体" w:hAnsi="宋体" w:cs="宋体"/>
          <w:sz w:val="24"/>
          <w:lang w:val="zh-TW" w:eastAsia="zh-TW"/>
        </w:rPr>
        <w:t xml:space="preserve">采购单位有权检查监督</w:t>
      </w:r>
      <w:r>
        <w:rPr>
          <w:rFonts w:hint="eastAsia" w:ascii="宋体" w:hAnsi="宋体" w:cs="宋体"/>
          <w:sz w:val="24"/>
          <w:lang w:val="zh-TW"/>
        </w:rPr>
        <w:t xml:space="preserve">成交</w:t>
      </w:r>
      <w:r>
        <w:rPr>
          <w:rFonts w:hint="eastAsia" w:ascii="宋体" w:hAnsi="宋体" w:cs="宋体"/>
          <w:sz w:val="24"/>
          <w:lang w:val="zh-TW" w:eastAsia="zh-TW"/>
        </w:rPr>
        <w:t xml:space="preserve">单位管理服务质量，对不称职的工作人员有权要求</w:t>
      </w:r>
      <w:r>
        <w:rPr>
          <w:rFonts w:hint="eastAsia" w:ascii="宋体" w:hAnsi="宋体" w:cs="宋体"/>
          <w:sz w:val="24"/>
          <w:lang w:val="zh-TW"/>
        </w:rPr>
        <w:t xml:space="preserve">响应</w:t>
      </w:r>
      <w:r>
        <w:rPr>
          <w:rFonts w:hint="eastAsia" w:ascii="宋体" w:hAnsi="宋体" w:cs="宋体"/>
          <w:sz w:val="24"/>
          <w:lang w:val="zh-TW" w:eastAsia="zh-TW"/>
        </w:rPr>
        <w:t xml:space="preserve">单位在一周内更换，直至人选合格为止</w:t>
      </w:r>
      <w:r>
        <w:rPr>
          <w:rFonts w:hint="eastAsia" w:ascii="宋体" w:hAnsi="宋体" w:cs="宋体"/>
          <w:sz w:val="24"/>
          <w:lang w:val="zh-TW"/>
        </w:rPr>
        <w:t xml:space="preserve">。</w:t>
      </w:r>
      <w:r/>
    </w:p>
    <w:p>
      <w:pPr>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八、</w:t>
      </w:r>
      <w:r>
        <w:rPr>
          <w:rFonts w:hint="eastAsia" w:ascii="宋体" w:hAnsi="宋体" w:cs="宋体"/>
          <w:b/>
          <w:bCs/>
          <w:sz w:val="24"/>
          <w:szCs w:val="24"/>
        </w:rPr>
        <w:t xml:space="preserve">政府采购政策：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1、中小微企业：</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szCs w:val="24"/>
        </w:rPr>
        <w:t xml:space="preserve">服务类项目中供应商若使用退休人员，将不享受相关扶持政策。</w:t>
      </w:r>
      <w:r/>
    </w:p>
    <w:p>
      <w:pPr>
        <w:ind w:firstLine="480"/>
        <w:spacing w:line="360" w:lineRule="auto"/>
        <w:tabs>
          <w:tab w:val="left" w:pos="851" w:leader="none"/>
        </w:tabs>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hint="eastAsia" w:ascii="宋体" w:hAnsi="宋体" w:cs="宋体"/>
          <w:b/>
          <w:bCs/>
          <w:sz w:val="24"/>
          <w:szCs w:val="24"/>
        </w:rPr>
        <w:t xml:space="preserve">其他未列明行业</w:t>
      </w:r>
      <w:r>
        <w:rPr>
          <w:rFonts w:hint="eastAsia" w:ascii="宋体" w:hAnsi="宋体" w:cs="宋体"/>
          <w:sz w:val="24"/>
          <w:szCs w:val="24"/>
          <w:lang w:val="zh-CN"/>
        </w:rPr>
        <w:t xml:space="preserve">。</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2、残疾人福利性单位：</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3、监狱企业：</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4、绿色采购：</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（1）根据《关于调整优化节能产品、环境标志产品政府采购执行机制的通知》（财库〔2019〕9号）等相关文件的规定，</w:t>
      </w:r>
      <w:r>
        <w:rPr>
          <w:rFonts w:hint="eastAsia" w:ascii="宋体" w:hAnsi="宋体" w:cs="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tabs>
          <w:tab w:val="left" w:pos="851" w:leader="none"/>
        </w:tabs>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0"/>
        <w:spacing w:line="360" w:lineRule="auto"/>
        <w:rPr>
          <w:rFonts w:ascii="宋体" w:hAnsi="宋体" w:cs="宋体"/>
          <w:b/>
          <w:sz w:val="24"/>
          <w:szCs w:val="24"/>
          <w:u w:val="single"/>
        </w:rPr>
      </w:pPr>
      <w:r>
        <w:rPr>
          <w:rFonts w:hint="eastAsia" w:ascii="宋体" w:hAnsi="宋体" w:cs="宋体"/>
          <w:b/>
          <w:sz w:val="24"/>
          <w:szCs w:val="24"/>
        </w:rPr>
        <w:t xml:space="preserve">5、</w:t>
      </w:r>
      <w:r>
        <w:rPr>
          <w:rFonts w:hint="eastAsia" w:ascii="宋体" w:hAnsi="宋体" w:cs="宋体"/>
          <w:b/>
          <w:sz w:val="24"/>
          <w:szCs w:val="24"/>
          <w:u w:val="single"/>
        </w:rPr>
        <w:t xml:space="preserve">根据《关于推动解决政府采购异常低价问题相关工作的通知》：</w:t>
      </w:r>
      <w:r/>
    </w:p>
    <w:p>
      <w:pPr>
        <w:pStyle w:val="944"/>
        <w:ind w:firstLine="482"/>
        <w:jc w:val="left"/>
        <w:spacing w:line="360" w:lineRule="auto"/>
        <w:rPr>
          <w:rFonts w:ascii="宋体" w:hAnsi="宋体" w:cs="宋体"/>
          <w:b/>
          <w:sz w:val="24"/>
          <w:lang w:val="en-US"/>
        </w:rPr>
      </w:pPr>
      <w:r>
        <w:rPr>
          <w:rFonts w:hint="eastAsia" w:ascii="宋体" w:hAnsi="宋体" w:cs="宋体"/>
          <w:b/>
          <w:sz w:val="24"/>
          <w:lang w:val="en-US"/>
        </w:rPr>
        <w:t xml:space="preserve">5.1评标过程中出现下列情形之一的，评标委员会应当启动异常低价投标审查程序：</w:t>
      </w:r>
      <w:r/>
    </w:p>
    <w:p>
      <w:pPr>
        <w:pStyle w:val="944"/>
        <w:jc w:val="left"/>
        <w:spacing w:line="360" w:lineRule="auto"/>
        <w:rPr>
          <w:rFonts w:ascii="宋体" w:hAnsi="宋体" w:cs="宋体"/>
          <w:sz w:val="24"/>
          <w:lang w:val="en-US"/>
        </w:rPr>
      </w:pPr>
      <w:r>
        <w:rPr>
          <w:rFonts w:hint="eastAsia" w:ascii="宋体" w:hAnsi="宋体" w:cs="宋体"/>
          <w:sz w:val="24"/>
          <w:lang w:val="en-US"/>
        </w:rPr>
        <w:t xml:space="preserve">1）投标报价低于全部通过符合性审查供应商投标报价平均值50%的，即投标报价&lt;全部通过符合性审查供应商投标报价平均值×50%；</w:t>
      </w:r>
      <w:r/>
    </w:p>
    <w:p>
      <w:pPr>
        <w:pStyle w:val="944"/>
        <w:jc w:val="left"/>
        <w:spacing w:line="360" w:lineRule="auto"/>
        <w:rPr>
          <w:rFonts w:ascii="宋体" w:hAnsi="宋体" w:cs="宋体"/>
          <w:sz w:val="24"/>
          <w:lang w:val="en-US"/>
        </w:rPr>
      </w:pPr>
      <w:r>
        <w:rPr>
          <w:rFonts w:hint="eastAsia" w:ascii="宋体" w:hAnsi="宋体" w:cs="宋体"/>
          <w:sz w:val="24"/>
          <w:lang w:val="en-US"/>
        </w:rPr>
        <w:t xml:space="preserve">2）投标报价低于通过符合性审查的次低报价供应商投标报价50%的，即投标报价&lt;通过符合性审查的次低报价供应商投标报价×50%；</w:t>
      </w:r>
      <w:r/>
    </w:p>
    <w:p>
      <w:pPr>
        <w:pStyle w:val="944"/>
        <w:jc w:val="left"/>
        <w:spacing w:line="360" w:lineRule="auto"/>
        <w:rPr>
          <w:rFonts w:ascii="宋体" w:hAnsi="宋体" w:cs="宋体"/>
          <w:sz w:val="24"/>
          <w:lang w:val="en-US"/>
        </w:rPr>
      </w:pPr>
      <w:r>
        <w:rPr>
          <w:rFonts w:hint="eastAsia" w:ascii="宋体" w:hAnsi="宋体" w:cs="宋体"/>
          <w:sz w:val="24"/>
          <w:lang w:val="en-US"/>
        </w:rPr>
        <w:t xml:space="preserve">3）投标报价低于采购项目最高限价45%的，即投标报价&lt;采购项目最高限价×45%；</w:t>
      </w:r>
      <w:r/>
    </w:p>
    <w:p>
      <w:pPr>
        <w:pStyle w:val="944"/>
        <w:ind w:firstLine="420"/>
        <w:jc w:val="left"/>
        <w:spacing w:line="360" w:lineRule="auto"/>
        <w:rPr>
          <w:rFonts w:ascii="宋体" w:hAnsi="宋体" w:cs="宋体"/>
          <w:sz w:val="24"/>
          <w:lang w:val="en-US"/>
        </w:rPr>
      </w:pPr>
      <w:r>
        <w:rPr>
          <w:rFonts w:hint="eastAsia" w:ascii="宋体" w:hAnsi="宋体" w:cs="宋体"/>
          <w:sz w:val="24"/>
          <w:lang w:val="en-US"/>
        </w:rPr>
        <w:t xml:space="preserve">4）评标委员会基于专业判断，认为供应商报价过低，有可能影响产品质量或者不能诚信履约的其他情形。</w:t>
      </w:r>
      <w:r/>
    </w:p>
    <w:p>
      <w:pPr>
        <w:pStyle w:val="944"/>
        <w:ind w:firstLine="420"/>
        <w:jc w:val="left"/>
        <w:spacing w:line="360" w:lineRule="auto"/>
        <w:rPr>
          <w:rFonts w:ascii="宋体" w:hAnsi="宋体" w:cs="宋体"/>
          <w:sz w:val="24"/>
          <w:lang w:val="en-US"/>
        </w:rPr>
      </w:pPr>
      <w:r>
        <w:rPr>
          <w:rFonts w:hint="eastAsia" w:ascii="宋体" w:hAnsi="宋体" w:cs="宋体"/>
          <w:sz w:val="24"/>
          <w:lang w:val="en-US"/>
        </w:rPr>
        <w:t xml:space="preserve">5.2启动异常低价投标审查后，评标委员会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p>
    <w:p>
      <w:pPr>
        <w:pStyle w:val="944"/>
        <w:ind w:firstLine="420"/>
        <w:jc w:val="left"/>
        <w:spacing w:line="360" w:lineRule="auto"/>
        <w:rPr>
          <w:rFonts w:ascii="宋体" w:hAnsi="宋体" w:cs="宋体"/>
          <w:sz w:val="24"/>
          <w:lang w:val="en-US"/>
        </w:rPr>
      </w:pPr>
      <w:r>
        <w:rPr>
          <w:rFonts w:hint="eastAsia" w:ascii="宋体" w:hAnsi="宋体" w:cs="宋体"/>
          <w:sz w:val="24"/>
          <w:lang w:val="en-US"/>
        </w:rPr>
        <w:t xml:space="preserve">5.3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4"/>
        <w:ind w:firstLine="420"/>
        <w:jc w:val="left"/>
        <w:spacing w:line="360" w:lineRule="auto"/>
        <w:rPr>
          <w:rFonts w:ascii="宋体" w:hAnsi="宋体" w:cs="宋体"/>
          <w:sz w:val="24"/>
          <w:lang w:val="en-US"/>
        </w:rPr>
      </w:pPr>
      <w:r>
        <w:rPr>
          <w:rFonts w:hint="eastAsia" w:ascii="宋体" w:hAnsi="宋体" w:cs="宋体"/>
          <w:sz w:val="24"/>
          <w:lang w:val="en-US"/>
        </w:rPr>
        <w:t xml:space="preserve">5.4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44"/>
        <w:ind w:firstLine="420"/>
        <w:jc w:val="left"/>
        <w:spacing w:line="360" w:lineRule="auto"/>
        <w:rPr>
          <w:rFonts w:ascii="宋体" w:hAnsi="宋体" w:cs="宋体"/>
          <w:sz w:val="24"/>
          <w:lang w:val="en-US"/>
        </w:rPr>
      </w:pPr>
      <w:r>
        <w:rPr>
          <w:rFonts w:hint="eastAsia" w:ascii="宋体" w:hAnsi="宋体" w:cs="宋体"/>
          <w:sz w:val="24"/>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2"/>
        <w:spacing w:line="360" w:lineRule="auto"/>
        <w:tabs>
          <w:tab w:val="left" w:pos="567" w:leader="none"/>
        </w:tabs>
        <w:rPr>
          <w:rFonts w:ascii="宋体" w:hAnsi="宋体" w:cs="宋体"/>
          <w:b/>
          <w:bCs/>
          <w:sz w:val="24"/>
          <w:szCs w:val="24"/>
        </w:rPr>
      </w:pPr>
      <w:r>
        <w:rPr>
          <w:rFonts w:hint="eastAsia" w:ascii="宋体" w:hAnsi="宋体" w:cs="宋体"/>
          <w:b/>
          <w:sz w:val="24"/>
          <w:szCs w:val="24"/>
        </w:rPr>
        <w:t xml:space="preserve">6、</w:t>
      </w:r>
      <w:r>
        <w:rPr>
          <w:rFonts w:hint="eastAsia" w:ascii="宋体" w:hAnsi="宋体" w:cs="宋体"/>
          <w:b/>
          <w:bCs/>
          <w:sz w:val="24"/>
          <w:szCs w:val="24"/>
        </w:rPr>
        <w:t xml:space="preserve">政府采购中实施本国产品标准及相关政策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6.1本项目对采购本国产品给予政策支持：</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4"/>
        <w:ind w:firstLine="420"/>
        <w:jc w:val="left"/>
        <w:spacing w:line="360" w:lineRule="auto"/>
        <w:rPr>
          <w:rFonts w:ascii="宋体" w:hAnsi="宋体" w:cs="宋体"/>
          <w:sz w:val="24"/>
          <w:lang w:val="en-US"/>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九、磋商须知：</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（一）响应文件组成及要求</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1、封面</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2、开标一览表</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3、分项报价明细表</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4、资格审查响应文件</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4.1关于资格文件的声明函；</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2</w:t>
      </w:r>
      <w:r>
        <w:rPr>
          <w:rFonts w:hint="eastAsia" w:ascii="宋体" w:hAnsi="宋体" w:cs="宋体"/>
          <w:sz w:val="24"/>
          <w:szCs w:val="24"/>
        </w:rPr>
        <w:t xml:space="preserve">响应单位法定代表人身份证扫描件；</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3</w:t>
      </w:r>
      <w:r>
        <w:rPr>
          <w:rFonts w:hint="eastAsia" w:ascii="宋体" w:hAnsi="宋体" w:cs="宋体"/>
          <w:sz w:val="24"/>
          <w:szCs w:val="24"/>
        </w:rPr>
        <w:t xml:space="preserve">响应单位法定代表人授权委托书及响应单位授权代理人身份证扫描件（如有授权）；</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4</w:t>
      </w:r>
      <w:r>
        <w:rPr>
          <w:rFonts w:hint="eastAsia" w:ascii="宋体" w:hAnsi="宋体" w:cs="宋体"/>
          <w:sz w:val="24"/>
          <w:szCs w:val="24"/>
        </w:rPr>
        <w:t xml:space="preserve">合格供应商的基本条件：</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4</w:t>
      </w:r>
      <w:r>
        <w:rPr>
          <w:rFonts w:hint="eastAsia" w:ascii="宋体" w:hAnsi="宋体" w:cs="宋体"/>
          <w:sz w:val="24"/>
          <w:szCs w:val="24"/>
        </w:rPr>
        <w:t xml:space="preserve">.1具有独立承担民事责任的能力证明。包括法人或者其他组织的营业执照等证明文件，自然人的身份证明；</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4</w:t>
      </w:r>
      <w:r>
        <w:rPr>
          <w:rFonts w:hint="eastAsia" w:ascii="宋体" w:hAnsi="宋体" w:cs="宋体"/>
          <w:sz w:val="24"/>
          <w:szCs w:val="24"/>
        </w:rPr>
        <w:t xml:space="preserve">.2具有良好的商业信誉和健全的财务会计制度证明</w:t>
      </w:r>
      <w:r>
        <w:rPr>
          <w:rFonts w:hint="eastAsia" w:ascii="宋体" w:hAnsi="宋体" w:cs="宋体"/>
          <w:b/>
          <w:sz w:val="24"/>
          <w:szCs w:val="24"/>
        </w:rPr>
        <w:t xml:space="preserve">（法人应提供最近一期财务审计报告或最近一期财务报表，其他组织、自然人及成立未满一年的法人应提供银行出具的资信证明）</w:t>
      </w:r>
      <w:r>
        <w:rPr>
          <w:rFonts w:hint="eastAsia" w:ascii="宋体" w:hAnsi="宋体" w:cs="宋体"/>
          <w:sz w:val="24"/>
          <w:szCs w:val="24"/>
        </w:rPr>
        <w:t xml:space="preserve">；</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4</w:t>
      </w:r>
      <w:r>
        <w:rPr>
          <w:rFonts w:hint="eastAsia" w:ascii="宋体" w:hAnsi="宋体" w:cs="宋体"/>
          <w:sz w:val="24"/>
          <w:szCs w:val="24"/>
        </w:rPr>
        <w:t xml:space="preserve">.3履行合同所必需的设备和专业技术能力的证明材料或承诺；</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4</w:t>
      </w:r>
      <w:r>
        <w:rPr>
          <w:rFonts w:hint="eastAsia" w:ascii="宋体" w:hAnsi="宋体" w:cs="宋体"/>
          <w:sz w:val="24"/>
          <w:szCs w:val="24"/>
        </w:rPr>
        <w:t xml:space="preserve">.4有依法缴纳税收和社会保障资金的良好记录</w:t>
      </w:r>
      <w:r>
        <w:rPr>
          <w:rFonts w:hint="eastAsia" w:ascii="宋体" w:hAnsi="宋体" w:cs="宋体"/>
          <w:b/>
          <w:sz w:val="24"/>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sz w:val="24"/>
          <w:szCs w:val="24"/>
        </w:rPr>
        <w:t xml:space="preserve">；</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4</w:t>
      </w:r>
      <w:r>
        <w:rPr>
          <w:rFonts w:hint="eastAsia" w:ascii="宋体" w:hAnsi="宋体" w:cs="宋体"/>
          <w:sz w:val="24"/>
          <w:szCs w:val="24"/>
        </w:rPr>
        <w:t xml:space="preserve">.5参加政府采购活动前三年内在经营活动中没有重大违法记录的书面声明函；</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5</w:t>
      </w:r>
      <w:r>
        <w:rPr>
          <w:rFonts w:hint="eastAsia" w:ascii="宋体" w:hAnsi="宋体" w:cs="宋体"/>
          <w:sz w:val="24"/>
          <w:szCs w:val="24"/>
        </w:rPr>
        <w:t xml:space="preserve">《中小企业声明函》或《残疾人福利性单位声明函》或由省级以上监狱管理局、戒毒管理局（含新疆生产建设兵团）出具的属于监狱企业的证明文件（上传至“企业报价折扣证明”模块）；</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6</w:t>
      </w:r>
      <w:r>
        <w:rPr>
          <w:rFonts w:hint="eastAsia" w:ascii="宋体" w:hAnsi="宋体" w:cs="宋体"/>
          <w:sz w:val="24"/>
          <w:szCs w:val="24"/>
        </w:rPr>
        <w:t xml:space="preserve">供应商与其他单位存在控股、管理关系情况表；</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ascii="宋体" w:hAnsi="宋体" w:cs="宋体"/>
          <w:sz w:val="24"/>
          <w:szCs w:val="24"/>
          <w:lang w:val="en-US" w:eastAsia="zh-CN"/>
        </w:rPr>
        <w:t xml:space="preserve">7其他</w:t>
      </w:r>
      <w:r>
        <w:rPr>
          <w:rFonts w:hint="eastAsia" w:ascii="宋体" w:hAnsi="宋体" w:cs="宋体"/>
          <w:sz w:val="24"/>
          <w:szCs w:val="24"/>
        </w:rPr>
        <w:t xml:space="preserve">有关资格证明的文件（如有）。</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5、符合性审查响应文件</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5.1磋商响应函；</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5.2偏离表；</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5.3拟投入本项目人员配置承诺函；</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5.4响应保证承诺书；</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5.5 响应单位情况表；</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5.6其他有关符合性证明的文件（如有）；</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6、综合评审响应文件（具体模块以系统生成为准）</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6.1项目服务方案；</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6.2类似项目业绩；</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6.3项目服务人员配置表；</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6.4评分标准中所涉及到的其他材料；</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7、</w:t>
      </w:r>
      <w:r>
        <w:rPr>
          <w:rFonts w:hint="eastAsia" w:ascii="宋体" w:hAnsi="宋体" w:cs="宋体"/>
          <w:sz w:val="24"/>
          <w:szCs w:val="24"/>
        </w:rPr>
        <w:t xml:space="preserve">对属于《节能产品政府采购品目清单》政府强制采购产品的，需提供该产品有效期内的认证等相关证明材料</w:t>
      </w:r>
      <w:bookmarkStart w:id="53" w:name="OLE_LINK9"/>
      <w:r/>
      <w:bookmarkStart w:id="54" w:name="OLE_LINK26"/>
      <w:r>
        <w:rPr>
          <w:rFonts w:hint="eastAsia" w:ascii="宋体" w:hAnsi="宋体" w:cs="宋体"/>
          <w:sz w:val="24"/>
          <w:szCs w:val="24"/>
        </w:rPr>
        <w:t xml:space="preserve">（如有）</w:t>
      </w:r>
      <w:bookmarkEnd w:id="53"/>
      <w:r/>
      <w:bookmarkEnd w:id="54"/>
      <w:r>
        <w:rPr>
          <w:rFonts w:hint="eastAsia" w:ascii="宋体" w:hAnsi="宋体" w:cs="宋体"/>
          <w:sz w:val="24"/>
          <w:szCs w:val="24"/>
        </w:rPr>
        <w:t xml:space="preserve">。</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8、</w:t>
      </w:r>
      <w:r>
        <w:rPr>
          <w:rFonts w:hint="eastAsia" w:ascii="宋体" w:hAnsi="宋体" w:cs="宋体"/>
          <w:sz w:val="24"/>
          <w:szCs w:val="24"/>
        </w:rPr>
        <w:t xml:space="preserve">响应单位对其提供的产品出具《关于符合本国产品标准的声明函》（以下简称《声明函》）或财政部会同有关部门规定的有关证明文件。如不提供将不享受本国产品价格评审优惠（如有）。</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注：</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（1）以上4.1-4.</w:t>
      </w:r>
      <w:r>
        <w:rPr>
          <w:rFonts w:hint="eastAsia" w:ascii="宋体" w:hAnsi="宋体" w:cs="宋体"/>
          <w:b/>
          <w:sz w:val="24"/>
          <w:szCs w:val="24"/>
          <w:lang w:val="en-US" w:eastAsia="zh-CN"/>
        </w:rPr>
        <w:t xml:space="preserve">7</w:t>
      </w:r>
      <w:r>
        <w:rPr>
          <w:rFonts w:hint="eastAsia" w:ascii="宋体" w:hAnsi="宋体" w:cs="宋体"/>
          <w:b/>
          <w:sz w:val="24"/>
          <w:szCs w:val="24"/>
        </w:rPr>
        <w:t xml:space="preserve">为资格审查要求提供的材料，是作为对供应商资格审查、质疑身份认定的依据，响应单位必须提供并加盖电子公章。否则，响应文件将被认定为不符合资格审查要求。</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（2）以上5.1-5.6为符合性审查须提供的资料，响应单位必须提供并加盖电子公章。否则，磋商响应文件将被认定为未实质性响应。</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w:t>
      </w:r>
      <w:r>
        <w:rPr>
          <w:rFonts w:hint="eastAsia" w:ascii="宋体" w:hAnsi="宋体" w:cs="宋体"/>
          <w:b/>
          <w:bCs/>
          <w:sz w:val="24"/>
          <w:szCs w:val="24"/>
        </w:rPr>
        <w:t xml:space="preserve">制作电子响应文件时必须与投标文件制作软件目录一一对应，将相关资料上传至相应模块。</w:t>
      </w:r>
      <w:r>
        <w:rPr>
          <w:rFonts w:hint="eastAsia" w:ascii="宋体" w:hAnsi="宋体" w:cs="宋体"/>
          <w:sz w:val="24"/>
          <w:szCs w:val="24"/>
        </w:rPr>
        <w:t xml:space="preserve">注意不要漏项。如有不确定上传的位置的，可以上传至“响应文件中要求提供的其他证明材料”</w:t>
      </w:r>
      <w:r>
        <w:rPr>
          <w:rFonts w:hint="eastAsia" w:ascii="宋体" w:hAnsi="宋体" w:cs="宋体"/>
          <w:bCs/>
          <w:sz w:val="24"/>
          <w:szCs w:val="24"/>
          <w:lang w:val="zh-CN"/>
        </w:rPr>
        <w:t xml:space="preserve">。</w:t>
      </w:r>
      <w:r/>
    </w:p>
    <w:p>
      <w:pPr>
        <w:spacing w:line="360" w:lineRule="auto"/>
        <w:tabs>
          <w:tab w:val="left" w:pos="993" w:leader="none"/>
        </w:tabs>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（二）供应商信用记录：</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（三）成交服务费：</w:t>
      </w:r>
      <w:r/>
    </w:p>
    <w:p>
      <w:pPr>
        <w:ind w:firstLine="480"/>
        <w:spacing w:line="360" w:lineRule="auto"/>
        <w:tabs>
          <w:tab w:val="left" w:pos="993" w:leader="none"/>
          <w:tab w:val="left" w:pos="7371" w:leader="none"/>
        </w:tabs>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55" w:name="OLE_LINK67"/>
      <w:r>
        <w:rPr>
          <w:rFonts w:hint="eastAsia" w:ascii="宋体" w:hAnsi="宋体" w:cs="宋体"/>
          <w:sz w:val="24"/>
          <w:szCs w:val="24"/>
        </w:rPr>
        <w:t xml:space="preserve">成交单位在领取成交通知书时向采购代理机构一次性付清。</w:t>
      </w:r>
      <w:bookmarkStart w:id="56" w:name="OLE_LINK158"/>
      <w:r>
        <w:rPr>
          <w:rFonts w:hint="eastAsia" w:ascii="宋体" w:hAnsi="宋体" w:cs="宋体"/>
          <w:sz w:val="24"/>
          <w:szCs w:val="24"/>
        </w:rPr>
        <w:t xml:space="preserve">按照预算金额的如下比例进行计算：即100万元以内1.5%、100～500万元以1.1%、500~1000万元以0.8%，差额定率累进法计算并支付成交服务费。本项目代理服务费：21600.00元。</w:t>
      </w:r>
      <w:bookmarkEnd w:id="55"/>
      <w:r/>
      <w:bookmarkEnd w:id="56"/>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（四）电子响应文件制作要求：</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制作电子响应文件时与响应文件制作软件目录一一对应，将相关资料上传至相应模块。</w:t>
      </w:r>
      <w:r>
        <w:rPr>
          <w:rFonts w:hint="eastAsia" w:ascii="宋体" w:hAnsi="宋体" w:cs="宋体"/>
          <w:b/>
          <w:sz w:val="24"/>
          <w:szCs w:val="24"/>
        </w:rPr>
        <w:t xml:space="preserve">磋商过程中如有问题采购代理机构工作人员会及时通知《投标供应商确认函》留存的手机号与响应单位联系。请各响应单位确保该手机号磋商当日通讯畅通，否则导致的对响应单位不利的后果由各响应单位自行承担。</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（五）响应文件要求：</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2、电子响应文件中的资料应按要求加盖电子印章或加盖响应供应商公章上传。</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3、磋商截止时间：</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3.1响应供应商应当在采购文件要求提交响应文件的截止时间前，将响应文件上传系统。</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（六）磋商采购程序</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1、采购代理机构按本须知规定的时间、地点主持磋商采购活动。</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3、在磋商响应文件网上递交截止时间止成功解密的磋商供应商少于三家，则本次采购失败。</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4、由磋商小组审查供应商解密的响应文件。</w:t>
      </w:r>
      <w:r/>
    </w:p>
    <w:p>
      <w:pPr>
        <w:ind w:firstLine="0"/>
        <w:spacing w:line="360" w:lineRule="auto"/>
        <w:rPr>
          <w:rFonts w:ascii="宋体" w:hAnsi="宋体" w:cs="宋体"/>
          <w:sz w:val="24"/>
          <w:szCs w:val="24"/>
        </w:rPr>
      </w:pPr>
      <w:r>
        <w:rPr>
          <w:rFonts w:hint="eastAsia" w:ascii="宋体" w:hAnsi="宋体" w:cs="宋体"/>
          <w:sz w:val="24"/>
          <w:szCs w:val="24"/>
        </w:rPr>
        <w:t xml:space="preserve">    5、由磋商小组对各响应单位的资格进行审查。资格审查内容包括：</w:t>
      </w:r>
      <w:r/>
    </w:p>
    <w:p>
      <w:pPr>
        <w:ind w:firstLine="420"/>
        <w:spacing w:line="360" w:lineRule="auto"/>
        <w:rPr>
          <w:rFonts w:ascii="宋体" w:hAnsi="宋体" w:cs="宋体"/>
          <w:sz w:val="24"/>
          <w:szCs w:val="24"/>
        </w:rPr>
      </w:pPr>
      <w:r>
        <w:rPr>
          <w:rFonts w:hint="eastAsia" w:ascii="宋体" w:hAnsi="宋体" w:cs="宋体"/>
          <w:sz w:val="24"/>
          <w:szCs w:val="24"/>
        </w:rPr>
        <w:t xml:space="preserve">（1）供应商是否满足《中华人民共和国政府采购法》第二十二条规定的基本条件；</w:t>
      </w:r>
      <w:r/>
    </w:p>
    <w:p>
      <w:pPr>
        <w:ind w:firstLine="420"/>
        <w:spacing w:line="360" w:lineRule="auto"/>
        <w:rPr>
          <w:rFonts w:ascii="宋体" w:hAnsi="宋体" w:cs="宋体"/>
          <w:sz w:val="24"/>
          <w:szCs w:val="24"/>
        </w:rPr>
      </w:pPr>
      <w:r>
        <w:rPr>
          <w:rFonts w:hint="eastAsia" w:ascii="宋体" w:hAnsi="宋体" w:cs="宋体"/>
          <w:sz w:val="24"/>
          <w:szCs w:val="24"/>
        </w:rPr>
        <w:t xml:space="preserve">（2）通过公共资源交易系统进行信用查询等方式，现场审查供应商是否在参加政府采购活动前三年内，在经营活动中没有重大违法记录；</w:t>
      </w:r>
      <w:r/>
    </w:p>
    <w:p>
      <w:pPr>
        <w:ind w:firstLine="420"/>
        <w:spacing w:line="360" w:lineRule="auto"/>
        <w:rPr>
          <w:rFonts w:ascii="宋体" w:hAnsi="宋体" w:cs="宋体"/>
          <w:sz w:val="24"/>
          <w:szCs w:val="24"/>
        </w:rPr>
      </w:pPr>
      <w:r>
        <w:rPr>
          <w:rFonts w:hint="eastAsia" w:ascii="宋体" w:hAnsi="宋体" w:cs="宋体"/>
          <w:sz w:val="24"/>
          <w:szCs w:val="24"/>
        </w:rPr>
        <w:t xml:space="preserve">（3）专门面向中小企业的项目，应当在资格审查环节对供应商出具的《中小企业声明函》进行审查；</w:t>
      </w:r>
      <w:r/>
    </w:p>
    <w:p>
      <w:pPr>
        <w:ind w:firstLine="420"/>
        <w:spacing w:line="360" w:lineRule="auto"/>
        <w:rPr>
          <w:rFonts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p>
    <w:p>
      <w:pPr>
        <w:ind w:firstLine="420"/>
        <w:spacing w:line="360" w:lineRule="auto"/>
        <w:rPr>
          <w:rFonts w:ascii="宋体" w:hAnsi="宋体" w:cs="宋体"/>
          <w:sz w:val="24"/>
          <w:szCs w:val="24"/>
        </w:rPr>
      </w:pPr>
      <w:r>
        <w:rPr>
          <w:rFonts w:hint="eastAsia" w:ascii="宋体" w:hAnsi="宋体" w:cs="宋体"/>
          <w:sz w:val="24"/>
          <w:szCs w:val="24"/>
        </w:rPr>
        <w:t xml:space="preserve">（5）供应商是否满足采购文件规定的其他特定条件；</w:t>
      </w:r>
      <w:r/>
    </w:p>
    <w:p>
      <w:pPr>
        <w:ind w:firstLine="420"/>
        <w:spacing w:line="360" w:lineRule="auto"/>
        <w:rPr>
          <w:rFonts w:ascii="宋体" w:hAnsi="宋体" w:cs="宋体"/>
          <w:sz w:val="24"/>
          <w:szCs w:val="24"/>
        </w:rPr>
      </w:pPr>
      <w:r>
        <w:rPr>
          <w:rFonts w:hint="eastAsia" w:ascii="宋体" w:hAnsi="宋体" w:cs="宋体"/>
          <w:sz w:val="24"/>
          <w:szCs w:val="24"/>
        </w:rPr>
        <w:t xml:space="preserve">（6）供应商是否存在其他不得参与该政府采购项目的情形。</w:t>
      </w:r>
      <w:r/>
    </w:p>
    <w:p>
      <w:pPr>
        <w:ind w:firstLine="420"/>
        <w:spacing w:line="360" w:lineRule="auto"/>
        <w:rPr>
          <w:rFonts w:ascii="宋体" w:hAnsi="宋体" w:cs="宋体"/>
          <w:sz w:val="24"/>
          <w:szCs w:val="24"/>
        </w:rPr>
      </w:pPr>
      <w:r>
        <w:rPr>
          <w:rFonts w:hint="eastAsia" w:ascii="宋体" w:hAnsi="宋体" w:cs="宋体"/>
          <w:sz w:val="24"/>
          <w:szCs w:val="24"/>
        </w:rPr>
        <w:t xml:space="preserve">资格审查责任主体应按照采购文件的要求对投标（响应）供应商提供的资格审查文件独立进行资格审查并提交资格审查结果。</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7、磋商小组要求供应商澄清、说明或者更正响应文件应当以书面形式做出。供应商的澄清、说明或者更正应当由其单位加盖电子公章。</w:t>
      </w:r>
      <w:r/>
    </w:p>
    <w:p>
      <w:pPr>
        <w:ind w:firstLine="482"/>
        <w:jc w:val="lef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8、对于通过资格审查和符合性审查的供应商，磋商小组所有成员集中与单一供应商分别进行磋商，并给予所有参加磋商的供应商平等的磋商机会。</w:t>
      </w:r>
      <w:r>
        <w:rPr>
          <w:rFonts w:hint="eastAsia" w:ascii="宋体" w:hAnsi="宋体" w:cs="宋体"/>
          <w:b/>
          <w:sz w:val="24"/>
          <w:szCs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10、磋商结束后，磋商小组将在“苏采云”系统向所有实质性响应的供应商发布“最后报价要求函”及最后报价格式表，要求所有实质性响应的供应商在规定时间内提交最后报价。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*进入项目评审流程后，建议各供应商法定代表人或授权委托人始终保持通讯顺畅，时刻关注不见面开标大厅，不离开不见面开标大厅，及时登录苏采云系统查阅、答复相关信息。</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12、经磋商确定最终采购需求和提交最后报价的供应商后，由磋商小组采用综合评分法对提交最后报价的供应商的响应文件和最后报价进行综合评分。</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13、磋商小组根据磋商成交原则确定成交供应商，并将结果通知所有参加磋商的供应商。</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14、如磋商过程中出现本采购文件未尽事宜，由磋商小组根据政府采购有关法律、法规讨论决定。</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（七）询问及质疑处理</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1、供应商对本次采购有疑问的，可通过联系电话或苏州市政府采购网“网上报名”系统向代理机构进行询问。</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3、本次采购文件要求供应商在法定质疑期内一次性提出针对同一采购程序环节的质疑，否则不予受理。</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4、供应商提出质疑应当提交质疑函和必要的证明材料，质疑函应当包括下列内容：</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p>
    <w:p>
      <w:pPr>
        <w:ind w:firstLine="420"/>
        <w:jc w:val="lef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4"/>
          <w:szCs w:val="24"/>
        </w:rPr>
        <w:t xml:space="preserve">授权委托书</w:t>
      </w:r>
      <w:r>
        <w:rPr>
          <w:rFonts w:hint="eastAsia" w:ascii="宋体" w:hAnsi="宋体" w:cs="宋体"/>
          <w:sz w:val="24"/>
          <w:szCs w:val="24"/>
        </w:rPr>
        <w:t xml:space="preserve">上应当载明代理人的姓名或者名称、代理事项、具体权限、期限和相关事项。</w:t>
      </w:r>
      <w:r>
        <w:rPr>
          <w:rFonts w:hint="eastAsia" w:ascii="宋体" w:hAnsi="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 w:val="24"/>
          <w:szCs w:val="24"/>
        </w:rPr>
        <w:t xml:space="preserve">。</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4"/>
          <w:szCs w:val="24"/>
        </w:rPr>
        <w:t xml:space="preserve">《投标供应商确认函》</w:t>
      </w:r>
      <w:r>
        <w:rPr>
          <w:rFonts w:hint="eastAsia" w:ascii="宋体" w:hAnsi="宋体" w:cs="宋体"/>
          <w:sz w:val="24"/>
          <w:szCs w:val="24"/>
        </w:rPr>
        <w:t xml:space="preserve">）与质疑函一起递交，否则不予受理。</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6、接收质疑函的方式：书面形式（当场送达或邮寄方式）</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质疑联系人：向多；  联系电话：18271439826；</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现场/邮寄地址：江苏省苏州市吴中区经济开发区枫津南路18号南都广场5楼555室</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（八）项目的终止：</w:t>
      </w:r>
      <w:r>
        <w:rPr>
          <w:rFonts w:hint="eastAsia" w:ascii="宋体" w:hAnsi="宋体" w:cs="宋体"/>
          <w:sz w:val="24"/>
          <w:szCs w:val="24"/>
        </w:rPr>
        <w:t xml:space="preserve">出现下列情形之一的，将终止竞争性磋商采购活动：</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1、因情况变化，不再符合规定的竞争性磋商采购方式适用情形的；</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2、出现影响采购公正的违法、违规行为的；</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3、在采购活动中因重大变故，采购任务取消的。</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注：采用竞争性磋商采购方式采购的政府购买服务项目，在采购过程中符合要求的供应商只有两家的，竞争性磋商采购活动可以继续进行。</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十、其它要求：</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57" w:name="OLE_LINK66"/>
      <w:r/>
      <w:bookmarkStart w:id="58" w:name="OLE_LINK64"/>
      <w:r/>
      <w:bookmarkStart w:id="59" w:name="OLE_LINK63"/>
      <w:r>
        <w:rPr>
          <w:rFonts w:hint="eastAsia" w:ascii="宋体" w:hAnsi="宋体" w:cs="宋体"/>
          <w:sz w:val="24"/>
          <w:szCs w:val="24"/>
        </w:rPr>
        <w:t xml:space="preserve">1、不符合供应商资格要求的响应文件将被认定为无效响应；</w:t>
      </w:r>
      <w:r/>
    </w:p>
    <w:p>
      <w:pPr>
        <w:ind w:firstLine="48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2、在机器码检查中，出现不同供应商响应文件机器码一致情形的，响应文件将被认定为无效响应；</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60" w:name="OLE_LINK61"/>
      <w:r/>
      <w:bookmarkStart w:id="61" w:name="OLE_LINK62"/>
      <w:r>
        <w:rPr>
          <w:rFonts w:hint="eastAsia" w:ascii="宋体" w:hAnsi="宋体" w:cs="宋体"/>
          <w:sz w:val="24"/>
          <w:szCs w:val="24"/>
        </w:rPr>
        <w:t xml:space="preserve">3、响应单位的首轮报价超采购预算（或最高限价）或经评审小组评定为无效报价；</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bookmarkEnd w:id="60"/>
      <w:r/>
      <w:bookmarkEnd w:id="61"/>
      <w:r>
        <w:rPr>
          <w:rFonts w:hint="eastAsia" w:ascii="宋体" w:hAnsi="宋体" w:cs="宋体"/>
          <w:sz w:val="24"/>
          <w:szCs w:val="24"/>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5、不实质性响应采购文件的不能成交。</w:t>
      </w:r>
      <w:bookmarkEnd w:id="57"/>
      <w:r/>
      <w:bookmarkEnd w:id="58"/>
      <w:r/>
      <w:bookmarkEnd w:id="59"/>
      <w:r/>
      <w:r/>
    </w:p>
    <w:p>
      <w:pPr>
        <w:spacing w:line="360" w:lineRule="auto"/>
        <w:tabs>
          <w:tab w:val="left" w:pos="420" w:leader="none"/>
        </w:tabs>
        <w:rPr>
          <w:rStyle w:val="731"/>
          <w:rFonts w:ascii="宋体" w:hAnsi="宋体" w:cs="宋体"/>
          <w:bCs/>
          <w:sz w:val="24"/>
          <w:szCs w:val="24"/>
        </w:rPr>
        <w:pBdr>
          <w:top w:val="none" w:color="000000" w:sz="0" w:space="0"/>
          <w:left w:val="none" w:color="000000" w:sz="0" w:space="0"/>
          <w:bottom w:val="none" w:color="000000" w:sz="0" w:space="0"/>
          <w:right w:val="none" w:color="000000" w:sz="0" w:space="0"/>
        </w:pBdr>
      </w:pPr>
      <w:r/>
      <w:bookmarkStart w:id="62" w:name="OLE_LINK65"/>
      <w:r>
        <w:rPr>
          <w:rFonts w:hint="eastAsia" w:ascii="宋体" w:hAnsi="宋体" w:cs="宋体"/>
          <w:b/>
          <w:bCs/>
          <w:sz w:val="24"/>
          <w:szCs w:val="24"/>
        </w:rPr>
        <w:t xml:space="preserve">十一、凡涉及采购文件的补充说明和修改，均以苏州市政府采购网最新发布的内容为准。</w:t>
      </w:r>
      <w:bookmarkEnd w:id="62"/>
      <w:r/>
      <w:r/>
    </w:p>
    <w:p>
      <w:pPr>
        <w:pStyle w:val="726"/>
        <w:jc w:val="center"/>
        <w:spacing w:beforeAutospacing="0" w:afterAutospacing="0" w:line="360" w:lineRule="auto"/>
        <w:widowControl/>
        <w:rPr>
          <w:rStyle w:val="731"/>
          <w:rFonts w:ascii="宋体" w:hAnsi="宋体" w:cs="宋体"/>
          <w:b w:val="0"/>
        </w:rPr>
      </w:pPr>
      <w:r>
        <w:rPr>
          <w:rStyle w:val="731"/>
          <w:rFonts w:hint="eastAsia" w:ascii="宋体" w:hAnsi="宋体" w:cs="宋体"/>
        </w:rPr>
        <w:br w:type="page" w:clear="all"/>
      </w:r>
      <w:r>
        <w:rPr>
          <w:rStyle w:val="731"/>
          <w:rFonts w:hint="eastAsia" w:ascii="宋体" w:hAnsi="宋体" w:cs="宋体"/>
        </w:rPr>
        <w:t xml:space="preserve">第三章 </w:t>
      </w:r>
      <w:bookmarkStart w:id="63" w:name="OLE_LINK15"/>
      <w:r/>
      <w:bookmarkStart w:id="64" w:name="OLE_LINK14"/>
      <w:r>
        <w:rPr>
          <w:rStyle w:val="731"/>
          <w:rFonts w:hint="eastAsia" w:ascii="宋体" w:hAnsi="宋体" w:cs="宋体"/>
        </w:rPr>
        <w:t xml:space="preserve">评审方法及评分标准</w:t>
      </w:r>
      <w:bookmarkEnd w:id="63"/>
      <w:r/>
      <w:bookmarkEnd w:id="64"/>
      <w:r/>
      <w:r/>
    </w:p>
    <w:p>
      <w:pPr>
        <w:spacing w:line="360" w:lineRule="auto"/>
        <w:rPr>
          <w:rFonts w:ascii="宋体" w:hAnsi="宋体" w:cs="宋体"/>
          <w:b/>
          <w:bCs/>
          <w:sz w:val="24"/>
          <w:szCs w:val="24"/>
        </w:rPr>
      </w:pPr>
      <w:r>
        <w:rPr>
          <w:rFonts w:hint="eastAsia" w:ascii="宋体" w:hAnsi="宋体" w:cs="宋体"/>
          <w:b/>
          <w:bCs/>
          <w:sz w:val="24"/>
          <w:szCs w:val="24"/>
        </w:rPr>
        <w:t xml:space="preserve">一、评审办法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firstLine="480"/>
        <w:spacing w:line="360" w:lineRule="auto"/>
        <w:rPr>
          <w:rFonts w:ascii="宋体" w:hAnsi="宋体" w:cs="宋体"/>
          <w:sz w:val="24"/>
          <w:szCs w:val="24"/>
        </w:rPr>
      </w:pPr>
      <w:r>
        <w:rPr>
          <w:rFonts w:hint="eastAsia" w:ascii="宋体" w:hAnsi="宋体" w:cs="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4、如出现评审总得分最高的磋商供应商有两个或两个以上的，以磋商报价较低者优先作为成交候选人，如果磋商报价也相同的，则由采购单位组织以抽签方式确定成交候选人。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p>
    <w:p>
      <w:pPr>
        <w:spacing w:line="360" w:lineRule="auto"/>
        <w:rPr>
          <w:rFonts w:ascii="宋体" w:hAnsi="宋体" w:cs="宋体"/>
          <w:b/>
          <w:sz w:val="24"/>
          <w:szCs w:val="24"/>
        </w:rPr>
      </w:pPr>
      <w:r>
        <w:rPr>
          <w:rFonts w:hint="eastAsia" w:ascii="宋体" w:hAnsi="宋体" w:cs="宋体"/>
          <w:b/>
          <w:sz w:val="24"/>
          <w:szCs w:val="24"/>
        </w:rPr>
        <w:t xml:space="preserve">一、价格分  20分</w:t>
      </w:r>
      <w:r/>
    </w:p>
    <w:p>
      <w:pPr>
        <w:ind w:firstLine="480"/>
        <w:spacing w:line="360" w:lineRule="auto"/>
        <w:rPr>
          <w:rFonts w:ascii="宋体" w:hAnsi="宋体" w:cs="宋体"/>
          <w:sz w:val="24"/>
          <w:szCs w:val="24"/>
        </w:rPr>
      </w:pPr>
      <w:r>
        <w:rPr>
          <w:rFonts w:hint="eastAsia" w:ascii="宋体" w:hAnsi="宋体" w:cs="宋体"/>
          <w:sz w:val="24"/>
          <w:szCs w:val="24"/>
        </w:rPr>
        <w:t xml:space="preserve">1、价格分统一采用低价优先法计算，即满足磋商文件要求且最后报价最低（未超采购预算）的响应单位的价格为磋商基准价，其价格分为满分20分。</w:t>
      </w:r>
      <w:r/>
    </w:p>
    <w:p>
      <w:pPr>
        <w:ind w:right="-34" w:firstLine="480"/>
        <w:spacing w:line="360" w:lineRule="auto"/>
        <w:rPr>
          <w:rFonts w:ascii="宋体" w:hAnsi="宋体" w:cs="宋体"/>
          <w:sz w:val="24"/>
          <w:szCs w:val="24"/>
        </w:rPr>
      </w:pPr>
      <w:r>
        <w:rPr>
          <w:rFonts w:hint="eastAsia" w:ascii="宋体" w:hAnsi="宋体" w:cs="宋体"/>
          <w:sz w:val="24"/>
          <w:szCs w:val="24"/>
        </w:rPr>
        <w:t xml:space="preserve">其他响应单位的价格分统一按照下列公式计算：磋商报价得分=（磋商基准价/最终磋商报价）×价格权值×100（价格权值为20%）。</w:t>
      </w:r>
      <w:r/>
    </w:p>
    <w:p>
      <w:pPr>
        <w:ind w:firstLine="480"/>
        <w:spacing w:line="360" w:lineRule="auto"/>
        <w:rPr>
          <w:rFonts w:ascii="宋体" w:hAnsi="宋体" w:cs="宋体"/>
          <w:bCs/>
          <w:sz w:val="24"/>
          <w:szCs w:val="24"/>
        </w:rPr>
      </w:pPr>
      <w:r>
        <w:rPr>
          <w:rFonts w:hint="eastAsia" w:ascii="宋体" w:hAnsi="宋体" w:cs="宋体"/>
          <w:sz w:val="24"/>
          <w:szCs w:val="24"/>
        </w:rPr>
        <w:t xml:space="preserve">2、评定内容还包括分析总报价及各个分项报价是否合理，报价范围是否完整，有否重大错漏项，如果某响应单位的响应报价中有漏项，则该的响应价格评审时需加上漏项部分，漏项部分的价格按所有参加磋商的响应单位中相应部分所报的最高价格计算，如果该响应单位成交，则其成交总价不能调整，漏项部分的价格需该磋商响应单位自行消化，如漏项构成未实质性响应磋商文件要求的，将不得成交。</w:t>
      </w:r>
      <w:r/>
    </w:p>
    <w:p>
      <w:pPr>
        <w:spacing w:line="360" w:lineRule="auto"/>
        <w:rPr>
          <w:rFonts w:ascii="宋体" w:hAnsi="宋体" w:cs="宋体"/>
          <w:b/>
          <w:sz w:val="24"/>
          <w:szCs w:val="24"/>
        </w:rPr>
      </w:pPr>
      <w:r>
        <w:rPr>
          <w:rFonts w:hint="eastAsia" w:ascii="宋体" w:hAnsi="宋体" w:cs="宋体"/>
          <w:b/>
          <w:sz w:val="24"/>
          <w:szCs w:val="24"/>
        </w:rPr>
        <w:t xml:space="preserve">二、针对本项目的服务方案比较  64分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1、对本项目的理解：10分  </w:t>
      </w:r>
      <w:r>
        <w:rPr>
          <w:rFonts w:hint="eastAsia" w:ascii="宋体" w:hAnsi="宋体" w:cs="宋体"/>
          <w:sz w:val="24"/>
          <w:szCs w:val="24"/>
        </w:rPr>
        <w:t xml:space="preserve">评委根据供应商提供针对本项目的理解（包括但不限于对项目概况、现状、作业方案选择等进行深化分析，要求方案科学合理、切实可行、逻辑性强，体现规范与专业等方面）进行综合比较打分。理解透彻、思路清晰、管理总体设想全面完善，科学合理、可行性强的得10分；理解较透彻、管理总体设想较全面完善、可行性较强的得7分；理解、管理总体设想基本全面、可行性一般的得4分；方案差或未提供相应内容的不得分。</w:t>
      </w:r>
      <w:r/>
    </w:p>
    <w:p>
      <w:pPr>
        <w:ind w:firstLine="482"/>
        <w:jc w:val="left"/>
        <w:spacing w:line="360" w:lineRule="auto"/>
        <w:rPr>
          <w:rFonts w:ascii="宋体" w:hAnsi="宋体" w:cs="宋体"/>
          <w:sz w:val="24"/>
          <w:szCs w:val="24"/>
        </w:rPr>
      </w:pPr>
      <w:r>
        <w:rPr>
          <w:rFonts w:ascii="宋体" w:hAnsi="宋体" w:cs="宋体"/>
          <w:b/>
          <w:sz w:val="24"/>
          <w:szCs w:val="24"/>
        </w:rPr>
        <w:t xml:space="preserve">2</w:t>
      </w:r>
      <w:r>
        <w:rPr>
          <w:rFonts w:hint="eastAsia" w:ascii="宋体" w:hAnsi="宋体" w:cs="宋体"/>
          <w:b/>
          <w:sz w:val="24"/>
          <w:szCs w:val="24"/>
        </w:rPr>
        <w:t xml:space="preserve">、运营工作管理方案比较：10分  </w:t>
      </w:r>
      <w:bookmarkStart w:id="65" w:name="OLE_LINK5"/>
      <w:r>
        <w:rPr>
          <w:rFonts w:hint="eastAsia" w:ascii="宋体" w:hAnsi="宋体" w:cs="宋体"/>
          <w:sz w:val="24"/>
          <w:szCs w:val="24"/>
        </w:rPr>
        <w:t xml:space="preserve">评委根据供应商针对本项目提供的运营工作管理方案（包括但不限于日常作业流程、人员安排、工作标准等方面）进行综合比较打分。合理性、完善性、规范性、清晰性、可操作性较好的得10分；合理性、完善性、规范性、清晰性、可操作性一般的得7分；合理性、完善性、规范性、清晰性、可操作性较差的得4分；方案差或未提供相应内容的不得分。</w:t>
      </w:r>
      <w:bookmarkEnd w:id="65"/>
      <w:r/>
      <w:r/>
    </w:p>
    <w:p>
      <w:pPr>
        <w:ind w:firstLine="482"/>
        <w:jc w:val="left"/>
        <w:spacing w:line="360" w:lineRule="auto"/>
        <w:rPr>
          <w:rFonts w:ascii="宋体" w:hAns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、紧急事项应急预案比较：10分  </w:t>
      </w:r>
      <w:bookmarkStart w:id="66" w:name="OLE_LINK4"/>
      <w:r>
        <w:rPr>
          <w:rFonts w:hint="eastAsia" w:ascii="宋体" w:hAnsi="宋体" w:cs="宋体"/>
          <w:sz w:val="24"/>
          <w:szCs w:val="24"/>
        </w:rPr>
        <w:t xml:space="preserve">评委根据供应商针对本项目提供的紧急事项应急预案（包括但不限于各类突发事件的应急响应流程、处置措施等方面）进行综合比较打分。合理性、完善性、规范性、清晰性、可操作性较好的得10分；合理性、完善性、规范性、清晰性、可操作性一般的得7分；合理性、完善性、规范性、清晰性、可操作性较差的得4分；方案差或未提供相应内容的不得分。</w:t>
      </w:r>
      <w:bookmarkEnd w:id="66"/>
      <w:r/>
      <w:r/>
    </w:p>
    <w:p>
      <w:pPr>
        <w:ind w:firstLine="482"/>
        <w:jc w:val="left"/>
        <w:spacing w:line="360" w:lineRule="auto"/>
        <w:rPr>
          <w:rFonts w:ascii="宋体" w:hAnsi="宋体" w:cs="宋体"/>
          <w:b/>
          <w:sz w:val="24"/>
          <w:szCs w:val="24"/>
        </w:rPr>
      </w:pPr>
      <w:r>
        <w:rPr>
          <w:rFonts w:ascii="宋体" w:hAnsi="宋体" w:cs="宋体"/>
          <w:b/>
          <w:sz w:val="24"/>
          <w:szCs w:val="24"/>
        </w:rPr>
        <w:t xml:space="preserve">4</w:t>
      </w:r>
      <w:r>
        <w:rPr>
          <w:rFonts w:hint="eastAsia" w:ascii="宋体" w:hAnsi="宋体" w:cs="宋体"/>
          <w:b/>
          <w:sz w:val="24"/>
          <w:szCs w:val="24"/>
        </w:rPr>
        <w:t xml:space="preserve">、安全工作管理方案比较：10分  </w:t>
      </w:r>
      <w:bookmarkStart w:id="67" w:name="OLE_LINK6"/>
      <w:r>
        <w:rPr>
          <w:rFonts w:hint="eastAsia" w:ascii="宋体" w:hAnsi="宋体" w:cs="宋体"/>
          <w:sz w:val="24"/>
          <w:szCs w:val="24"/>
        </w:rPr>
        <w:t xml:space="preserve">评委根据供应商针对本项目提供的安全工作管理方案（包括但不限于安全责任体系、安全培训、风险防控等方面）进行综合比较打分。合理性、完善性、规范性、清晰性、可操作性较好的得10分；合理性、完善性、规范性、清晰性、可操作性一般的得7分；合理性、完善性、规范性、清晰性、可操作性较差的得4分；方案差或未提供相应内容的不得分。</w:t>
      </w:r>
      <w:bookmarkEnd w:id="67"/>
      <w:r/>
      <w:r/>
    </w:p>
    <w:p>
      <w:pPr>
        <w:ind w:firstLine="482"/>
        <w:jc w:val="left"/>
        <w:spacing w:line="360" w:lineRule="auto"/>
        <w:rPr>
          <w:rFonts w:ascii="宋体" w:hAnsi="宋体" w:cs="宋体"/>
          <w:b/>
          <w:sz w:val="24"/>
          <w:szCs w:val="24"/>
        </w:rPr>
      </w:pPr>
      <w:r>
        <w:rPr>
          <w:rFonts w:ascii="宋体" w:hAnsi="宋体" w:cs="宋体"/>
          <w:b/>
          <w:sz w:val="24"/>
          <w:szCs w:val="24"/>
        </w:rPr>
        <w:t xml:space="preserve">5</w:t>
      </w:r>
      <w:r>
        <w:rPr>
          <w:rFonts w:hint="eastAsia" w:ascii="宋体" w:hAnsi="宋体" w:cs="宋体"/>
          <w:b/>
          <w:sz w:val="24"/>
          <w:szCs w:val="24"/>
        </w:rPr>
        <w:t xml:space="preserve">、项目管理制度：8分  </w:t>
      </w:r>
      <w:bookmarkStart w:id="68" w:name="OLE_LINK2"/>
      <w:r>
        <w:rPr>
          <w:rFonts w:hint="eastAsia" w:ascii="宋体" w:hAnsi="宋体" w:cs="宋体"/>
          <w:sz w:val="24"/>
          <w:szCs w:val="24"/>
        </w:rPr>
        <w:t xml:space="preserve">评委根据供应商针对本项目提供的项目管理制度（包括但不限于人员管理、作业规范、考核机制等方面）进行综合比较打分。项目管理制度详尽、合理、逻辑清晰、可行性程度高的得8分；编写简单、基本合理、逻辑较清晰的得5分；有涉及但不全面的得2分；方案差或未提供相应内容的不得分。</w:t>
      </w:r>
      <w:bookmarkEnd w:id="68"/>
      <w:r/>
      <w:r/>
    </w:p>
    <w:p>
      <w:pPr>
        <w:ind w:firstLine="482"/>
        <w:jc w:val="left"/>
        <w:spacing w:line="360" w:lineRule="auto"/>
        <w:rPr>
          <w:rFonts w:ascii="宋体" w:hAnsi="宋体" w:cs="宋体"/>
          <w:b/>
          <w:sz w:val="24"/>
          <w:szCs w:val="24"/>
        </w:rPr>
      </w:pPr>
      <w:r>
        <w:rPr>
          <w:rFonts w:ascii="宋体" w:hAnsi="宋体" w:cs="宋体"/>
          <w:b/>
          <w:sz w:val="24"/>
          <w:szCs w:val="24"/>
        </w:rPr>
        <w:t xml:space="preserve">6</w:t>
      </w:r>
      <w:r>
        <w:rPr>
          <w:rFonts w:hint="eastAsia" w:ascii="宋体" w:hAnsi="宋体" w:cs="宋体"/>
          <w:b/>
          <w:sz w:val="24"/>
          <w:szCs w:val="24"/>
        </w:rPr>
        <w:t xml:space="preserve">、设备维护服务工作管理方案比较：8分  </w:t>
      </w:r>
      <w:bookmarkStart w:id="69" w:name="OLE_LINK3"/>
      <w:r>
        <w:rPr>
          <w:rFonts w:hint="eastAsia" w:ascii="宋体" w:hAnsi="宋体" w:cs="宋体"/>
          <w:sz w:val="24"/>
          <w:szCs w:val="24"/>
        </w:rPr>
        <w:t xml:space="preserve">评委根据供应商提供针对本项目的设备维护服务工作管理方案（包括但不限于设备日常检查、保养维护、故障处理等方面）进行综合比较打分。合理性、完善性、规范性、清晰性、可操作性较好的得8分；合理性、完善性、规范性、清晰性、可操作性一般的得5分，合理性、完善性、规范性、清晰性、可操作性较差的得2分；方案差或未提供相应内容的不得分。</w:t>
      </w:r>
      <w:bookmarkEnd w:id="69"/>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7、服务质量保障方案：8分  </w:t>
      </w:r>
      <w:r>
        <w:rPr>
          <w:rFonts w:hint="eastAsia" w:ascii="宋体" w:hAnsi="宋体" w:cs="宋体"/>
          <w:sz w:val="24"/>
          <w:szCs w:val="24"/>
        </w:rPr>
        <w:t xml:space="preserve">评委根据供应商针对本项目的服务质量保障方案（包括但不限于质量控制、检查验收、问题整改等方面）进行综合比较打分。可操作性强、全面的得8分；可操作性一般、比较全面的的得5分；可操作性较差、不够全面的得2分；方案差或未提供相应内容的不得分。</w:t>
      </w:r>
      <w:r/>
    </w:p>
    <w:p>
      <w:pPr>
        <w:spacing w:line="360" w:lineRule="auto"/>
        <w:rPr>
          <w:rFonts w:ascii="宋体" w:hAnsi="宋体" w:cs="宋体"/>
          <w:b/>
          <w:sz w:val="24"/>
          <w:szCs w:val="24"/>
        </w:rPr>
      </w:pPr>
      <w:r>
        <w:rPr>
          <w:rFonts w:hint="eastAsia" w:ascii="宋体" w:hAnsi="宋体" w:cs="宋体"/>
          <w:b/>
          <w:sz w:val="24"/>
          <w:szCs w:val="24"/>
        </w:rPr>
        <w:t xml:space="preserve">三、响应单位综合实力比较  16分</w:t>
      </w:r>
      <w:r/>
    </w:p>
    <w:p>
      <w:pPr>
        <w:ind w:firstLine="482"/>
        <w:jc w:val="left"/>
        <w:spacing w:line="360" w:lineRule="auto"/>
        <w:rPr>
          <w:rFonts w:ascii="宋体" w:hAnsi="宋体" w:cs="宋体"/>
          <w:sz w:val="24"/>
          <w:szCs w:val="24"/>
        </w:rPr>
      </w:pPr>
      <w:r>
        <w:rPr>
          <w:rFonts w:hint="eastAsia" w:ascii="宋体" w:hAnsi="宋体" w:cs="宋体"/>
          <w:b/>
          <w:sz w:val="24"/>
          <w:szCs w:val="24"/>
        </w:rPr>
        <w:t xml:space="preserve">1、</w:t>
      </w:r>
      <w:bookmarkStart w:id="70" w:name="_Hlk177216525"/>
      <w:r>
        <w:rPr>
          <w:rFonts w:hint="eastAsia" w:ascii="宋体" w:hAnsi="宋体" w:cs="宋体"/>
          <w:b/>
          <w:sz w:val="24"/>
          <w:szCs w:val="24"/>
        </w:rPr>
        <w:t xml:space="preserve">项目组成员</w:t>
      </w:r>
      <w:bookmarkEnd w:id="70"/>
      <w:r>
        <w:rPr>
          <w:rFonts w:hint="eastAsia" w:ascii="宋体" w:hAnsi="宋体" w:cs="宋体"/>
          <w:b/>
          <w:sz w:val="24"/>
          <w:szCs w:val="24"/>
        </w:rPr>
        <w:t xml:space="preserve">比较：8分 </w:t>
      </w:r>
      <w:r>
        <w:rPr>
          <w:rFonts w:hint="eastAsia" w:ascii="宋体" w:hAnsi="宋体" w:cs="宋体"/>
          <w:sz w:val="24"/>
          <w:szCs w:val="24"/>
        </w:rPr>
        <w:t xml:space="preserve"> 拟投入项目组成员中具有B2驾驶证或包含准驾B2车型的驾驶证，有一人得2分，最高8分。（响应文件中提供驾驶证及响应单位为其缴纳的最新一期社保证明扫描件，未提供或提供不全不得分。）</w:t>
      </w:r>
      <w:r/>
    </w:p>
    <w:p>
      <w:pPr>
        <w:ind w:firstLine="482"/>
        <w:spacing w:line="360" w:lineRule="auto"/>
        <w:rPr>
          <w:rFonts w:ascii="宋体" w:hAnsi="宋体" w:cs="宋体"/>
          <w:sz w:val="24"/>
          <w:szCs w:val="24"/>
        </w:rPr>
      </w:pPr>
      <w:r>
        <w:rPr>
          <w:rFonts w:hint="eastAsia" w:ascii="宋体" w:hAnsi="宋体" w:cs="宋体"/>
          <w:b/>
          <w:sz w:val="24"/>
          <w:szCs w:val="24"/>
        </w:rPr>
        <w:t xml:space="preserve">2、类似业绩比较：8分 </w:t>
      </w:r>
      <w:r>
        <w:rPr>
          <w:rFonts w:hint="eastAsia" w:ascii="宋体" w:hAnsi="宋体" w:cs="宋体"/>
          <w:sz w:val="24"/>
          <w:szCs w:val="24"/>
        </w:rPr>
        <w:t xml:space="preserve"> 响应单位提供2023年1月1日（以合同签订日期为准）以来承接过类似项目业绩的，每提供一份得2分，最高8分。（响应文件中需提供完整的合同扫描件，未提供或提供不全不得分。）</w:t>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注：</w:t>
      </w:r>
      <w:r/>
    </w:p>
    <w:p>
      <w:pPr>
        <w:ind w:firstLine="480"/>
        <w:spacing w:line="360" w:lineRule="auto"/>
        <w:rPr>
          <w:rFonts w:ascii="宋体" w:hAnsi="宋体" w:cs="宋体"/>
          <w:bCs/>
          <w:sz w:val="24"/>
          <w:szCs w:val="24"/>
        </w:rPr>
      </w:pPr>
      <w:r>
        <w:rPr>
          <w:rFonts w:hint="eastAsia" w:ascii="宋体" w:hAnsi="宋体" w:cs="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2、响应单位必须保证全部资料的真实性，如有虚假或对采购文件所要求说明的情况故意隐瞒或虚报，将按《中华人民共和国政府采购法》第七十七条“提供虚假材料谋取中标、成交”相关处理办法处理。</w:t>
      </w:r>
      <w:r/>
    </w:p>
    <w:p>
      <w:pPr>
        <w:pStyle w:val="726"/>
        <w:jc w:val="center"/>
        <w:spacing w:beforeAutospacing="0" w:afterAutospacing="0" w:line="360" w:lineRule="auto"/>
        <w:widowControl/>
        <w:rPr>
          <w:rStyle w:val="731"/>
          <w:rFonts w:ascii="宋体" w:hAnsi="宋体" w:cs="宋体"/>
        </w:rPr>
      </w:pPr>
      <w:r>
        <w:rPr>
          <w:rStyle w:val="731"/>
          <w:rFonts w:hint="eastAsia" w:ascii="宋体" w:hAnsi="宋体" w:cs="宋体"/>
        </w:rPr>
        <w:br w:type="page" w:clear="all"/>
      </w:r>
      <w:r>
        <w:rPr>
          <w:rStyle w:val="731"/>
          <w:rFonts w:hint="eastAsia" w:ascii="宋体" w:hAnsi="宋体" w:cs="宋体"/>
        </w:rPr>
        <w:t xml:space="preserve">第四章  </w:t>
      </w:r>
      <w:bookmarkStart w:id="71" w:name="OLE_LINK22"/>
      <w:r>
        <w:rPr>
          <w:rStyle w:val="731"/>
          <w:rFonts w:hint="eastAsia" w:ascii="宋体" w:hAnsi="宋体" w:cs="宋体"/>
        </w:rPr>
        <w:t xml:space="preserve">合同主要条款</w:t>
      </w:r>
      <w:bookmarkEnd w:id="71"/>
      <w:r/>
      <w:r/>
    </w:p>
    <w:p>
      <w:pPr>
        <w:pStyle w:val="928"/>
        <w:jc w:val="left"/>
        <w:spacing w:line="360" w:lineRule="auto"/>
        <w:rPr>
          <w:rFonts w:hAnsi="宋体" w:eastAsia="宋体" w:cs="宋体"/>
          <w:sz w:val="24"/>
          <w:szCs w:val="24"/>
          <w:lang w:eastAsia="zh-CN"/>
        </w:rPr>
      </w:pPr>
      <w:r/>
      <w:bookmarkStart w:id="72" w:name="OLE_LINK8"/>
      <w:r>
        <w:rPr>
          <w:rFonts w:hint="eastAsia" w:hAnsi="宋体" w:eastAsia="宋体" w:cs="宋体"/>
          <w:sz w:val="24"/>
          <w:szCs w:val="24"/>
          <w:lang w:eastAsia="zh-CN"/>
        </w:rPr>
        <w:t xml:space="preserve">采购单位（甲方）：苏州市吴中区人民政府郭巷街道办事处</w:t>
      </w:r>
      <w:r/>
    </w:p>
    <w:p>
      <w:pPr>
        <w:pStyle w:val="928"/>
        <w:jc w:val="left"/>
        <w:spacing w:line="360" w:lineRule="auto"/>
        <w:rPr>
          <w:rFonts w:hAnsi="宋体" w:eastAsia="宋体" w:cs="宋体"/>
          <w:sz w:val="24"/>
          <w:szCs w:val="24"/>
          <w:lang w:eastAsia="zh-CN"/>
        </w:rPr>
      </w:pPr>
      <w:r>
        <w:rPr>
          <w:rFonts w:hint="eastAsia" w:hAnsi="宋体" w:eastAsia="宋体" w:cs="宋体"/>
          <w:sz w:val="24"/>
          <w:szCs w:val="24"/>
          <w:lang w:eastAsia="zh-CN"/>
        </w:rPr>
        <w:t xml:space="preserve">地址：苏州市吴中区郭巷街道郭新东路97号 </w:t>
      </w:r>
      <w:r/>
    </w:p>
    <w:p>
      <w:pPr>
        <w:pStyle w:val="928"/>
        <w:jc w:val="left"/>
        <w:spacing w:line="360" w:lineRule="auto"/>
        <w:rPr>
          <w:rFonts w:hAnsi="宋体" w:eastAsia="宋体" w:cs="宋体"/>
          <w:sz w:val="24"/>
          <w:szCs w:val="24"/>
          <w:lang w:eastAsia="zh-CN"/>
        </w:rPr>
      </w:pPr>
      <w:r>
        <w:rPr>
          <w:rFonts w:hint="eastAsia" w:hAnsi="宋体" w:eastAsia="宋体" w:cs="宋体"/>
          <w:sz w:val="24"/>
          <w:szCs w:val="24"/>
          <w:lang w:eastAsia="zh-CN"/>
        </w:rPr>
        <w:t xml:space="preserve">联 系 人：</w:t>
      </w:r>
      <w:r/>
    </w:p>
    <w:p>
      <w:pPr>
        <w:pStyle w:val="928"/>
        <w:jc w:val="left"/>
        <w:spacing w:line="360" w:lineRule="auto"/>
        <w:rPr>
          <w:rFonts w:hAnsi="宋体" w:eastAsia="宋体" w:cs="宋体"/>
          <w:sz w:val="24"/>
          <w:szCs w:val="24"/>
          <w:lang w:eastAsia="zh-CN"/>
        </w:rPr>
      </w:pPr>
      <w:r>
        <w:rPr>
          <w:rFonts w:hint="eastAsia" w:hAnsi="宋体" w:eastAsia="宋体" w:cs="宋体"/>
          <w:sz w:val="24"/>
          <w:szCs w:val="24"/>
          <w:lang w:eastAsia="zh-CN"/>
        </w:rPr>
        <w:t xml:space="preserve">联系电话：</w:t>
      </w:r>
      <w:r/>
    </w:p>
    <w:p>
      <w:pPr>
        <w:pStyle w:val="928"/>
        <w:jc w:val="left"/>
        <w:spacing w:line="360" w:lineRule="auto"/>
        <w:rPr>
          <w:rFonts w:hAnsi="宋体" w:eastAsia="宋体" w:cs="宋体"/>
          <w:sz w:val="24"/>
          <w:szCs w:val="24"/>
          <w:lang w:eastAsia="zh-CN"/>
        </w:rPr>
      </w:pPr>
      <w:r>
        <w:rPr>
          <w:rFonts w:hAnsi="宋体" w:eastAsia="宋体" w:cs="宋体"/>
          <w:sz w:val="24"/>
          <w:szCs w:val="24"/>
          <w:lang w:eastAsia="zh-CN"/>
        </w:rPr>
      </w:r>
      <w:r/>
    </w:p>
    <w:p>
      <w:pPr>
        <w:pStyle w:val="928"/>
        <w:jc w:val="left"/>
        <w:spacing w:line="360" w:lineRule="auto"/>
        <w:rPr>
          <w:rFonts w:hAnsi="宋体" w:eastAsia="宋体" w:cs="宋体"/>
          <w:sz w:val="24"/>
          <w:szCs w:val="24"/>
          <w:lang w:eastAsia="zh-CN"/>
        </w:rPr>
      </w:pPr>
      <w:r>
        <w:rPr>
          <w:rFonts w:hint="eastAsia" w:hAnsi="宋体" w:eastAsia="宋体" w:cs="宋体"/>
          <w:sz w:val="24"/>
          <w:szCs w:val="24"/>
          <w:lang w:eastAsia="zh-CN"/>
        </w:rPr>
        <w:t xml:space="preserve">供应商（乙方）：</w:t>
      </w:r>
      <w:r/>
    </w:p>
    <w:p>
      <w:pPr>
        <w:pStyle w:val="928"/>
        <w:jc w:val="left"/>
        <w:spacing w:line="360" w:lineRule="auto"/>
        <w:rPr>
          <w:rFonts w:hAnsi="宋体" w:eastAsia="宋体" w:cs="宋体"/>
          <w:sz w:val="24"/>
          <w:szCs w:val="24"/>
          <w:lang w:eastAsia="zh-CN"/>
        </w:rPr>
      </w:pPr>
      <w:r>
        <w:rPr>
          <w:rFonts w:hint="eastAsia" w:hAnsi="宋体" w:eastAsia="宋体" w:cs="宋体"/>
          <w:sz w:val="24"/>
          <w:szCs w:val="24"/>
          <w:lang w:eastAsia="zh-CN"/>
        </w:rPr>
        <w:t xml:space="preserve">地址：</w:t>
      </w:r>
      <w:r/>
    </w:p>
    <w:p>
      <w:pPr>
        <w:pStyle w:val="928"/>
        <w:jc w:val="left"/>
        <w:spacing w:line="360" w:lineRule="auto"/>
        <w:rPr>
          <w:rFonts w:hAnsi="宋体" w:eastAsia="宋体" w:cs="宋体"/>
          <w:sz w:val="24"/>
          <w:szCs w:val="24"/>
          <w:lang w:eastAsia="zh-CN"/>
        </w:rPr>
      </w:pPr>
      <w:r>
        <w:rPr>
          <w:rFonts w:hint="eastAsia" w:hAnsi="宋体" w:eastAsia="宋体" w:cs="宋体"/>
          <w:sz w:val="24"/>
          <w:szCs w:val="24"/>
          <w:lang w:eastAsia="zh-CN"/>
        </w:rPr>
        <w:t xml:space="preserve">联 系 人：</w:t>
      </w:r>
      <w:r/>
    </w:p>
    <w:p>
      <w:pPr>
        <w:pStyle w:val="928"/>
        <w:jc w:val="left"/>
        <w:spacing w:line="360" w:lineRule="auto"/>
        <w:rPr>
          <w:rFonts w:hAnsi="宋体" w:eastAsia="宋体" w:cs="宋体"/>
          <w:sz w:val="24"/>
          <w:szCs w:val="24"/>
          <w:lang w:eastAsia="zh-CN"/>
        </w:rPr>
      </w:pPr>
      <w:r>
        <w:rPr>
          <w:rFonts w:hint="eastAsia" w:hAnsi="宋体" w:eastAsia="宋体" w:cs="宋体"/>
          <w:sz w:val="24"/>
          <w:szCs w:val="24"/>
          <w:lang w:eastAsia="zh-CN"/>
        </w:rPr>
        <w:t xml:space="preserve">联系电话：</w:t>
      </w:r>
      <w:r/>
    </w:p>
    <w:p>
      <w:pPr>
        <w:pStyle w:val="928"/>
        <w:ind w:firstLine="480"/>
        <w:jc w:val="left"/>
        <w:spacing w:line="360" w:lineRule="auto"/>
        <w:rPr>
          <w:rFonts w:hAnsi="宋体" w:eastAsia="宋体" w:cs="宋体"/>
          <w:sz w:val="24"/>
          <w:szCs w:val="24"/>
          <w:lang w:eastAsia="zh-CN"/>
        </w:rPr>
      </w:pPr>
      <w:r>
        <w:rPr>
          <w:rFonts w:hAnsi="宋体" w:eastAsia="宋体" w:cs="宋体"/>
          <w:sz w:val="24"/>
          <w:szCs w:val="24"/>
          <w:lang w:eastAsia="zh-CN"/>
        </w:rPr>
      </w:r>
      <w:r/>
    </w:p>
    <w:p>
      <w:pPr>
        <w:pStyle w:val="928"/>
        <w:ind w:firstLine="480"/>
        <w:jc w:val="left"/>
        <w:spacing w:line="360" w:lineRule="auto"/>
        <w:rPr>
          <w:rFonts w:hAnsi="宋体" w:eastAsia="宋体" w:cs="宋体"/>
          <w:sz w:val="24"/>
          <w:szCs w:val="24"/>
          <w:lang w:eastAsia="zh-CN"/>
        </w:rPr>
      </w:pPr>
      <w:r>
        <w:rPr>
          <w:rFonts w:hint="eastAsia" w:hAnsi="宋体" w:eastAsia="宋体" w:cs="宋体"/>
          <w:sz w:val="24"/>
          <w:szCs w:val="24"/>
          <w:lang w:eastAsia="zh-CN"/>
        </w:rPr>
        <w:t xml:space="preserve">根据苏州市政府采购编号</w:t>
      </w:r>
      <w:r>
        <w:rPr>
          <w:rFonts w:hint="eastAsia" w:hAnsi="宋体" w:eastAsia="宋体" w:cs="宋体"/>
          <w:b/>
          <w:bCs/>
          <w:sz w:val="24"/>
          <w:szCs w:val="24"/>
          <w:lang w:eastAsia="zh-CN"/>
        </w:rPr>
        <w:t xml:space="preserve">JSZC-320506-XDSZ-C2026-0001</w:t>
      </w:r>
      <w:r>
        <w:rPr>
          <w:rFonts w:hint="eastAsia" w:hAnsi="宋体" w:eastAsia="宋体" w:cs="宋体"/>
          <w:sz w:val="24"/>
          <w:szCs w:val="24"/>
          <w:lang w:eastAsia="zh-CN"/>
        </w:rPr>
        <w:t xml:space="preserve">采购文件、乙方的响应文件和成交通知，采购人（即甲方）与成交人（即乙方）就此次采购</w:t>
      </w:r>
      <w:r>
        <w:rPr>
          <w:rFonts w:hint="eastAsia" w:hAnsi="宋体" w:eastAsia="宋体" w:cs="宋体"/>
          <w:b/>
          <w:sz w:val="24"/>
          <w:szCs w:val="24"/>
          <w:lang w:eastAsia="zh-CN"/>
        </w:rPr>
        <w:t xml:space="preserve">郭巷环卫所尹帆路中转站服务外包项目</w:t>
      </w:r>
      <w:r>
        <w:rPr>
          <w:rFonts w:hint="eastAsia" w:hAnsi="宋体" w:eastAsia="宋体" w:cs="宋体"/>
          <w:sz w:val="24"/>
          <w:szCs w:val="24"/>
          <w:lang w:eastAsia="zh-CN"/>
        </w:rPr>
        <w:t xml:space="preserve">的事宜，签订本合同书。</w:t>
      </w:r>
      <w:r/>
    </w:p>
    <w:p>
      <w:pPr>
        <w:ind w:firstLine="480"/>
        <w:spacing w:line="360" w:lineRule="auto"/>
        <w:rPr>
          <w:rFonts w:ascii="宋体" w:hAnsi="宋体" w:cs="宋体"/>
          <w:b/>
          <w:sz w:val="24"/>
          <w:szCs w:val="24"/>
        </w:rPr>
      </w:pPr>
      <w:r>
        <w:rPr>
          <w:rFonts w:hint="eastAsia" w:ascii="宋体" w:hAnsi="宋体" w:cs="宋体"/>
          <w:b/>
          <w:sz w:val="24"/>
          <w:szCs w:val="24"/>
        </w:rPr>
        <w:t xml:space="preserve"> 一、合同的一般条款</w:t>
      </w:r>
      <w:r/>
    </w:p>
    <w:p>
      <w:pPr>
        <w:ind w:firstLine="480"/>
        <w:spacing w:line="360" w:lineRule="auto"/>
        <w:rPr>
          <w:rFonts w:ascii="宋体" w:hAnsi="宋体" w:cs="宋体"/>
          <w:b/>
          <w:sz w:val="24"/>
          <w:szCs w:val="24"/>
        </w:rPr>
      </w:pPr>
      <w:r>
        <w:rPr>
          <w:rFonts w:hint="eastAsia" w:ascii="宋体" w:hAnsi="宋体" w:cs="宋体"/>
          <w:b/>
          <w:sz w:val="24"/>
          <w:szCs w:val="24"/>
        </w:rPr>
        <w:t xml:space="preserve">（一）合同文件</w:t>
      </w:r>
      <w:r/>
    </w:p>
    <w:p>
      <w:pPr>
        <w:ind w:firstLine="480"/>
        <w:spacing w:line="360" w:lineRule="auto"/>
        <w:rPr>
          <w:rFonts w:ascii="宋体" w:hAnsi="宋体" w:cs="宋体"/>
          <w:sz w:val="24"/>
          <w:szCs w:val="24"/>
        </w:rPr>
      </w:pPr>
      <w:r>
        <w:rPr>
          <w:rFonts w:hint="eastAsia" w:ascii="宋体" w:hAnsi="宋体" w:cs="宋体"/>
          <w:sz w:val="24"/>
          <w:szCs w:val="24"/>
        </w:rPr>
        <w:t xml:space="preserve">1、合同文件适用法律</w:t>
      </w:r>
      <w:r/>
    </w:p>
    <w:p>
      <w:pPr>
        <w:ind w:firstLine="480"/>
        <w:spacing w:line="360" w:lineRule="auto"/>
        <w:rPr>
          <w:rFonts w:ascii="宋体" w:hAnsi="宋体" w:cs="宋体"/>
          <w:sz w:val="24"/>
          <w:szCs w:val="24"/>
        </w:rPr>
      </w:pPr>
      <w:r>
        <w:rPr>
          <w:rFonts w:hint="eastAsia" w:ascii="宋体" w:hAnsi="宋体" w:cs="宋体"/>
          <w:sz w:val="24"/>
          <w:szCs w:val="24"/>
        </w:rPr>
        <w:t xml:space="preserve">适用于合同文件的法律是中华人民共和国现行法律、法规及甲方所在地的地方性法规。</w:t>
      </w:r>
      <w:r/>
    </w:p>
    <w:p>
      <w:pPr>
        <w:ind w:firstLine="480"/>
        <w:spacing w:line="360" w:lineRule="auto"/>
        <w:rPr>
          <w:rFonts w:ascii="宋体" w:hAnsi="宋体" w:cs="宋体"/>
          <w:sz w:val="24"/>
          <w:szCs w:val="24"/>
        </w:rPr>
      </w:pPr>
      <w:r>
        <w:rPr>
          <w:rFonts w:hint="eastAsia" w:ascii="宋体" w:hAnsi="宋体" w:cs="宋体"/>
          <w:sz w:val="24"/>
          <w:szCs w:val="24"/>
        </w:rPr>
        <w:t xml:space="preserve">2、合同文件组成和解释顺序</w:t>
      </w:r>
      <w:r/>
    </w:p>
    <w:p>
      <w:pPr>
        <w:ind w:firstLine="480"/>
        <w:spacing w:line="360" w:lineRule="auto"/>
        <w:rPr>
          <w:rFonts w:ascii="宋体" w:hAnsi="宋体" w:cs="宋体"/>
          <w:sz w:val="24"/>
          <w:szCs w:val="24"/>
        </w:rPr>
      </w:pPr>
      <w:r>
        <w:rPr>
          <w:rFonts w:hint="eastAsia" w:ascii="宋体" w:hAnsi="宋体" w:cs="宋体"/>
          <w:sz w:val="24"/>
          <w:szCs w:val="24"/>
        </w:rPr>
        <w:t xml:space="preserve">2.1  合同文件的组成和解释顺序如下：</w:t>
      </w:r>
      <w:r/>
    </w:p>
    <w:p>
      <w:pPr>
        <w:ind w:firstLine="480"/>
        <w:spacing w:line="360" w:lineRule="auto"/>
        <w:rPr>
          <w:rFonts w:ascii="宋体" w:hAnsi="宋体" w:cs="宋体"/>
          <w:sz w:val="24"/>
          <w:szCs w:val="24"/>
        </w:rPr>
      </w:pPr>
      <w:r>
        <w:rPr>
          <w:rFonts w:hint="eastAsia" w:ascii="宋体" w:hAnsi="宋体" w:cs="宋体"/>
          <w:sz w:val="24"/>
          <w:szCs w:val="24"/>
        </w:rPr>
        <w:t xml:space="preserve">2.1.1 合同的特殊性条款</w:t>
      </w:r>
      <w:r/>
    </w:p>
    <w:p>
      <w:pPr>
        <w:ind w:firstLine="480"/>
        <w:spacing w:line="360" w:lineRule="auto"/>
        <w:rPr>
          <w:rFonts w:ascii="宋体" w:hAnsi="宋体" w:cs="宋体"/>
          <w:sz w:val="24"/>
          <w:szCs w:val="24"/>
        </w:rPr>
      </w:pPr>
      <w:r>
        <w:rPr>
          <w:rFonts w:hint="eastAsia" w:ascii="宋体" w:hAnsi="宋体" w:cs="宋体"/>
          <w:sz w:val="24"/>
          <w:szCs w:val="24"/>
        </w:rPr>
        <w:t xml:space="preserve">2.1.2 合同的一般性条款</w:t>
      </w:r>
      <w:r/>
    </w:p>
    <w:p>
      <w:pPr>
        <w:ind w:firstLine="480"/>
        <w:spacing w:line="360" w:lineRule="auto"/>
        <w:rPr>
          <w:rFonts w:ascii="宋体" w:hAnsi="宋体" w:cs="宋体"/>
          <w:sz w:val="24"/>
          <w:szCs w:val="24"/>
        </w:rPr>
      </w:pPr>
      <w:r>
        <w:rPr>
          <w:rFonts w:hint="eastAsia" w:ascii="宋体" w:hAnsi="宋体" w:cs="宋体"/>
          <w:sz w:val="24"/>
          <w:szCs w:val="24"/>
        </w:rPr>
        <w:t xml:space="preserve">2.1.3 洽商、变更等文件</w:t>
      </w:r>
      <w:r/>
    </w:p>
    <w:p>
      <w:pPr>
        <w:ind w:firstLine="480"/>
        <w:spacing w:line="360" w:lineRule="auto"/>
        <w:rPr>
          <w:rFonts w:ascii="宋体" w:hAnsi="宋体" w:cs="宋体"/>
          <w:sz w:val="24"/>
          <w:szCs w:val="24"/>
        </w:rPr>
      </w:pPr>
      <w:r>
        <w:rPr>
          <w:rFonts w:hint="eastAsia" w:ascii="宋体" w:hAnsi="宋体" w:cs="宋体"/>
          <w:sz w:val="24"/>
          <w:szCs w:val="24"/>
        </w:rPr>
        <w:t xml:space="preserve">双方权利义务的纪要、协议</w:t>
      </w:r>
      <w:r/>
    </w:p>
    <w:p>
      <w:pPr>
        <w:ind w:firstLine="480"/>
        <w:spacing w:line="360" w:lineRule="auto"/>
        <w:rPr>
          <w:rFonts w:ascii="宋体" w:hAnsi="宋体" w:cs="宋体"/>
          <w:sz w:val="24"/>
          <w:szCs w:val="24"/>
        </w:rPr>
      </w:pPr>
      <w:r>
        <w:rPr>
          <w:rFonts w:hint="eastAsia" w:ascii="宋体" w:hAnsi="宋体" w:cs="宋体"/>
          <w:sz w:val="24"/>
          <w:szCs w:val="24"/>
        </w:rPr>
        <w:t xml:space="preserve">2.1.4 中标通知书、投标招标文件和投标文件</w:t>
      </w:r>
      <w:r/>
    </w:p>
    <w:p>
      <w:pPr>
        <w:ind w:firstLine="480"/>
        <w:spacing w:line="360" w:lineRule="auto"/>
        <w:rPr>
          <w:rFonts w:ascii="宋体" w:hAnsi="宋体" w:cs="宋体"/>
          <w:sz w:val="24"/>
          <w:szCs w:val="24"/>
        </w:rPr>
      </w:pPr>
      <w:r>
        <w:rPr>
          <w:rFonts w:hint="eastAsia" w:ascii="宋体" w:hAnsi="宋体" w:cs="宋体"/>
          <w:sz w:val="24"/>
          <w:szCs w:val="24"/>
        </w:rPr>
        <w:t xml:space="preserve">2.1.5 标准、规范和其它有关技术资料、技术要求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2.2 合同的特殊性条款的效力优于合同的一般性条款的效力</w:t>
      </w:r>
      <w:r/>
    </w:p>
    <w:p>
      <w:pPr>
        <w:ind w:firstLine="480"/>
        <w:spacing w:line="360" w:lineRule="auto"/>
        <w:rPr>
          <w:rFonts w:ascii="宋体" w:hAnsi="宋体" w:cs="宋体"/>
          <w:sz w:val="24"/>
          <w:szCs w:val="24"/>
        </w:rPr>
      </w:pPr>
      <w:r>
        <w:rPr>
          <w:rFonts w:hint="eastAsia" w:ascii="宋体" w:hAnsi="宋体" w:cs="宋体"/>
          <w:sz w:val="24"/>
          <w:szCs w:val="24"/>
        </w:rPr>
        <w:t xml:space="preserve">3、合同文件使用文字</w:t>
      </w:r>
      <w:r/>
    </w:p>
    <w:p>
      <w:pPr>
        <w:ind w:firstLine="480"/>
        <w:spacing w:line="360" w:lineRule="auto"/>
        <w:rPr>
          <w:rFonts w:ascii="宋体" w:hAnsi="宋体" w:cs="宋体"/>
          <w:sz w:val="24"/>
          <w:szCs w:val="24"/>
        </w:rPr>
      </w:pPr>
      <w:r>
        <w:rPr>
          <w:rFonts w:hint="eastAsia" w:ascii="宋体" w:hAnsi="宋体" w:cs="宋体"/>
          <w:sz w:val="24"/>
          <w:szCs w:val="24"/>
        </w:rPr>
        <w:t xml:space="preserve">3.1  合同文件使用中文书写、解释和说明</w:t>
      </w:r>
      <w:r/>
    </w:p>
    <w:p>
      <w:pPr>
        <w:ind w:firstLine="480"/>
        <w:spacing w:line="360" w:lineRule="auto"/>
        <w:rPr>
          <w:rFonts w:ascii="宋体" w:hAnsi="宋体" w:cs="宋体"/>
          <w:sz w:val="24"/>
          <w:szCs w:val="24"/>
        </w:rPr>
      </w:pPr>
      <w:r>
        <w:rPr>
          <w:rFonts w:hint="eastAsia" w:ascii="宋体" w:hAnsi="宋体" w:cs="宋体"/>
          <w:sz w:val="24"/>
          <w:szCs w:val="24"/>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0"/>
        <w:spacing w:line="360" w:lineRule="auto"/>
        <w:rPr>
          <w:rFonts w:ascii="宋体" w:hAnsi="宋体" w:cs="宋体"/>
          <w:b/>
          <w:sz w:val="24"/>
          <w:szCs w:val="24"/>
        </w:rPr>
      </w:pPr>
      <w:r>
        <w:rPr>
          <w:rFonts w:hint="eastAsia" w:ascii="宋体" w:hAnsi="宋体" w:cs="宋体"/>
          <w:b/>
          <w:sz w:val="24"/>
          <w:szCs w:val="24"/>
        </w:rPr>
        <w:t xml:space="preserve">（二）标的物的一般条款</w:t>
      </w:r>
      <w:r/>
    </w:p>
    <w:p>
      <w:pPr>
        <w:ind w:firstLine="480"/>
        <w:spacing w:line="360" w:lineRule="auto"/>
        <w:rPr>
          <w:rFonts w:ascii="宋体" w:hAnsi="宋体" w:cs="宋体"/>
          <w:sz w:val="24"/>
          <w:szCs w:val="24"/>
        </w:rPr>
      </w:pPr>
      <w:r>
        <w:rPr>
          <w:rFonts w:hint="eastAsia" w:ascii="宋体" w:hAnsi="宋体" w:cs="宋体"/>
          <w:sz w:val="24"/>
          <w:szCs w:val="24"/>
        </w:rPr>
        <w:t xml:space="preserve">4、完整物权</w:t>
      </w:r>
      <w:r/>
    </w:p>
    <w:p>
      <w:pPr>
        <w:ind w:firstLine="480"/>
        <w:spacing w:line="360" w:lineRule="auto"/>
        <w:rPr>
          <w:rFonts w:ascii="宋体" w:hAnsi="宋体" w:cs="宋体"/>
          <w:sz w:val="24"/>
          <w:szCs w:val="24"/>
        </w:rPr>
      </w:pPr>
      <w:r/>
      <w:bookmarkStart w:id="73" w:name="auto_fouce_1"/>
      <w:r>
        <w:rPr>
          <w:rFonts w:hint="eastAsia" w:ascii="宋体" w:hAnsi="宋体" w:cs="宋体"/>
          <w:sz w:val="24"/>
          <w:szCs w:val="24"/>
        </w:rPr>
        <w:t xml:space="preserve">对于提供的标的物或服务，乙方应当拥有完整物权，并且乙方负有保证第三人不得向甲方主张任何权利（包括知识产权）的义务。若因乙方权利瑕疵导致第三方主张权利，乙方应承担甲方因此产生的全部损失（包括但不限于诉讼费、律师费、赔偿金）。</w:t>
      </w:r>
      <w:bookmarkEnd w:id="73"/>
      <w:r/>
      <w:r/>
    </w:p>
    <w:p>
      <w:pPr>
        <w:ind w:firstLine="480"/>
        <w:spacing w:line="360" w:lineRule="auto"/>
        <w:rPr>
          <w:rFonts w:ascii="宋体" w:hAnsi="宋体" w:cs="宋体"/>
          <w:sz w:val="24"/>
          <w:szCs w:val="24"/>
        </w:rPr>
      </w:pPr>
      <w:r>
        <w:rPr>
          <w:rFonts w:hint="eastAsia" w:ascii="宋体" w:hAnsi="宋体" w:cs="宋体"/>
          <w:sz w:val="24"/>
          <w:szCs w:val="24"/>
        </w:rPr>
        <w:t xml:space="preserve">5、质量保证</w:t>
      </w:r>
      <w:r/>
    </w:p>
    <w:p>
      <w:pPr>
        <w:ind w:firstLine="480"/>
        <w:spacing w:line="360" w:lineRule="auto"/>
        <w:rPr>
          <w:rFonts w:ascii="宋体" w:hAnsi="宋体" w:cs="宋体"/>
          <w:sz w:val="24"/>
          <w:szCs w:val="24"/>
        </w:rPr>
      </w:pPr>
      <w:r/>
      <w:bookmarkStart w:id="74" w:name="auto_fouce_2"/>
      <w:r>
        <w:rPr>
          <w:rFonts w:hint="eastAsia" w:ascii="宋体" w:hAnsi="宋体" w:cs="宋体"/>
          <w:sz w:val="24"/>
          <w:szCs w:val="24"/>
        </w:rPr>
        <w:t xml:space="preserve">乙方需按招标文件要求制定服务方案，并须经甲方书面确认后方可执行。在合同执行期间，乙方需严格按照甲方确认的标准提供服务，确保服务质量。</w:t>
      </w:r>
      <w:bookmarkEnd w:id="74"/>
      <w:r/>
      <w:r/>
    </w:p>
    <w:p>
      <w:pPr>
        <w:ind w:firstLine="480"/>
        <w:spacing w:line="360" w:lineRule="auto"/>
        <w:rPr>
          <w:rFonts w:ascii="宋体" w:hAnsi="宋体" w:cs="宋体"/>
          <w:b/>
          <w:sz w:val="24"/>
          <w:szCs w:val="24"/>
        </w:rPr>
      </w:pPr>
      <w:r>
        <w:rPr>
          <w:rFonts w:hint="eastAsia" w:ascii="宋体" w:hAnsi="宋体" w:cs="宋体"/>
          <w:b/>
          <w:sz w:val="24"/>
          <w:szCs w:val="24"/>
        </w:rPr>
        <w:t xml:space="preserve">（三）对服务质量提出异议的时间和办法</w:t>
      </w:r>
      <w:r/>
    </w:p>
    <w:p>
      <w:pPr>
        <w:ind w:firstLine="480"/>
        <w:spacing w:line="360" w:lineRule="auto"/>
        <w:rPr>
          <w:rFonts w:ascii="宋体" w:hAnsi="宋体" w:cs="宋体"/>
          <w:sz w:val="24"/>
          <w:szCs w:val="24"/>
        </w:rPr>
      </w:pPr>
      <w:r>
        <w:rPr>
          <w:rFonts w:hint="eastAsia" w:ascii="宋体" w:hAnsi="宋体" w:cs="宋体"/>
          <w:sz w:val="24"/>
          <w:szCs w:val="24"/>
        </w:rPr>
        <w:t xml:space="preserve">6、提出异议的时间和办法</w:t>
      </w:r>
      <w:r/>
    </w:p>
    <w:p>
      <w:pPr>
        <w:ind w:firstLine="480"/>
        <w:spacing w:line="360" w:lineRule="auto"/>
        <w:rPr>
          <w:rFonts w:hint="eastAsia" w:ascii="宋体" w:hAnsi="宋体" w:cs="宋体"/>
          <w:sz w:val="24"/>
          <w:szCs w:val="24"/>
          <w:lang w:eastAsia="zh-CN"/>
        </w:rPr>
      </w:pPr>
      <w:r/>
      <w:bookmarkStart w:id="75" w:name="auto_fouce_3"/>
      <w:r>
        <w:rPr>
          <w:rFonts w:hint="eastAsia" w:ascii="宋体" w:hAnsi="宋体" w:cs="宋体"/>
          <w:sz w:val="24"/>
          <w:szCs w:val="24"/>
        </w:rPr>
        <w:t xml:space="preserve">6.1乙方在服务期间，若甲方认为乙方的服务质量未达到合同规定的</w:t>
      </w:r>
      <w:r>
        <w:rPr>
          <w:rFonts w:hint="eastAsia" w:ascii="宋体" w:hAnsi="宋体" w:cs="宋体"/>
          <w:sz w:val="24"/>
          <w:szCs w:val="24"/>
          <w:lang w:eastAsia="zh-CN"/>
        </w:rPr>
        <w:t xml:space="preserve">，有权随时向乙方发出书面整改通知，乙方应在甲方通知要求的期限内完成整改并向甲方提交书面整改报告供甲方核验</w:t>
      </w:r>
      <w:r>
        <w:rPr>
          <w:rFonts w:hint="eastAsia" w:ascii="宋体" w:hAnsi="宋体" w:cs="宋体"/>
          <w:sz w:val="24"/>
          <w:szCs w:val="24"/>
        </w:rPr>
        <w:t xml:space="preserve">。</w:t>
      </w:r>
      <w:r>
        <w:rPr>
          <w:rFonts w:hint="eastAsia" w:ascii="宋体" w:hAnsi="宋体" w:cs="宋体"/>
          <w:sz w:val="24"/>
          <w:szCs w:val="24"/>
          <w:lang w:eastAsia="zh-CN"/>
        </w:rPr>
        <w:t xml:space="preserve">逾期未整改或整改后仍不符合要求的，甲方有权直接扣除对应考核分数或单方解除合同。</w:t>
      </w:r>
      <w:bookmarkEnd w:id="75"/>
      <w:r/>
      <w:r/>
    </w:p>
    <w:p>
      <w:pPr>
        <w:ind w:firstLine="480"/>
        <w:spacing w:line="360" w:lineRule="auto"/>
        <w:rPr>
          <w:rFonts w:ascii="宋体" w:hAnsi="宋体" w:cs="宋体"/>
          <w:sz w:val="24"/>
          <w:szCs w:val="24"/>
        </w:rPr>
      </w:pPr>
      <w:r/>
      <w:bookmarkStart w:id="76" w:name="auto_fouce_4"/>
      <w:r>
        <w:rPr>
          <w:rFonts w:hint="eastAsia" w:ascii="宋体" w:hAnsi="宋体" w:cs="宋体"/>
          <w:sz w:val="24"/>
          <w:szCs w:val="24"/>
        </w:rPr>
        <w:t xml:space="preserve">6.2甲方应在验收期满后15个工作日内出具书面验收结论，逾期未出具且未提出书面异议的，视为验收合格。</w:t>
      </w:r>
      <w:bookmarkEnd w:id="76"/>
      <w:r/>
      <w:r/>
    </w:p>
    <w:p>
      <w:pPr>
        <w:ind w:firstLine="480"/>
        <w:spacing w:line="360" w:lineRule="auto"/>
        <w:rPr>
          <w:rFonts w:ascii="宋体" w:hAnsi="宋体" w:cs="宋体"/>
          <w:b/>
          <w:sz w:val="24"/>
          <w:szCs w:val="24"/>
        </w:rPr>
      </w:pPr>
      <w:r>
        <w:rPr>
          <w:rFonts w:hint="eastAsia" w:ascii="宋体" w:hAnsi="宋体" w:cs="宋体"/>
          <w:b/>
          <w:sz w:val="24"/>
          <w:szCs w:val="24"/>
        </w:rPr>
        <w:t xml:space="preserve">（四）合同价款和支付</w:t>
      </w:r>
      <w:r/>
    </w:p>
    <w:p>
      <w:pPr>
        <w:ind w:firstLine="480"/>
        <w:spacing w:line="360" w:lineRule="auto"/>
        <w:rPr>
          <w:rFonts w:ascii="宋体" w:hAnsi="宋体" w:cs="宋体"/>
          <w:sz w:val="24"/>
          <w:szCs w:val="24"/>
        </w:rPr>
      </w:pPr>
      <w:r>
        <w:rPr>
          <w:rFonts w:hint="eastAsia" w:ascii="宋体" w:hAnsi="宋体" w:cs="宋体"/>
          <w:sz w:val="24"/>
          <w:szCs w:val="24"/>
        </w:rPr>
        <w:t xml:space="preserve">7、合同价款和支付</w:t>
      </w:r>
      <w:r/>
    </w:p>
    <w:p>
      <w:pPr>
        <w:ind w:firstLine="480"/>
        <w:spacing w:line="360" w:lineRule="auto"/>
        <w:rPr>
          <w:rFonts w:ascii="宋体" w:hAnsi="宋体" w:cs="宋体"/>
          <w:sz w:val="24"/>
          <w:szCs w:val="24"/>
        </w:rPr>
      </w:pPr>
      <w:r>
        <w:rPr>
          <w:rFonts w:hint="eastAsia" w:ascii="宋体" w:hAnsi="宋体" w:cs="宋体"/>
          <w:sz w:val="24"/>
          <w:szCs w:val="24"/>
        </w:rPr>
        <w:t xml:space="preserve">7.1 本合同的结算货币为人民币，单位元。</w:t>
      </w:r>
      <w:r/>
    </w:p>
    <w:p>
      <w:pPr>
        <w:ind w:firstLine="480"/>
        <w:spacing w:line="360" w:lineRule="auto"/>
        <w:rPr>
          <w:rFonts w:ascii="宋体" w:hAnsi="宋体" w:cs="宋体"/>
          <w:sz w:val="24"/>
          <w:szCs w:val="24"/>
        </w:rPr>
      </w:pPr>
      <w:r>
        <w:rPr>
          <w:rFonts w:hint="eastAsia" w:ascii="宋体" w:hAnsi="宋体" w:cs="宋体"/>
          <w:sz w:val="24"/>
          <w:szCs w:val="24"/>
        </w:rPr>
        <w:t xml:space="preserve">7.2 乙方应按照双方签订的合同规定服务并在合同特殊条款规定（如有）的期限内持下列单据结算合同款项。</w:t>
      </w:r>
      <w:r/>
    </w:p>
    <w:p>
      <w:pPr>
        <w:ind w:firstLine="480"/>
        <w:spacing w:line="360" w:lineRule="auto"/>
        <w:rPr>
          <w:rFonts w:ascii="宋体" w:hAnsi="宋体" w:cs="宋体"/>
          <w:sz w:val="24"/>
          <w:szCs w:val="24"/>
        </w:rPr>
      </w:pPr>
      <w:r>
        <w:rPr>
          <w:rFonts w:hint="eastAsia" w:ascii="宋体" w:hAnsi="宋体" w:cs="宋体"/>
          <w:sz w:val="24"/>
          <w:szCs w:val="24"/>
        </w:rPr>
        <w:t xml:space="preserve">7.2.1 发票；</w:t>
      </w:r>
      <w:r/>
    </w:p>
    <w:p>
      <w:pPr>
        <w:ind w:firstLine="480"/>
        <w:spacing w:line="360" w:lineRule="auto"/>
        <w:rPr>
          <w:rFonts w:ascii="宋体" w:hAnsi="宋体" w:cs="宋体"/>
          <w:sz w:val="24"/>
          <w:szCs w:val="24"/>
        </w:rPr>
      </w:pPr>
      <w:r/>
      <w:bookmarkStart w:id="77" w:name="auto_fouce_5"/>
      <w:r>
        <w:rPr>
          <w:rFonts w:hint="eastAsia" w:ascii="宋体" w:hAnsi="宋体" w:cs="宋体"/>
          <w:sz w:val="24"/>
          <w:szCs w:val="24"/>
        </w:rPr>
        <w:t xml:space="preserve">7.2.2 甲方盖章后的验收合格证明。</w:t>
      </w:r>
      <w:bookmarkEnd w:id="77"/>
      <w:r/>
      <w:r/>
    </w:p>
    <w:p>
      <w:pPr>
        <w:ind w:firstLine="480"/>
        <w:spacing w:line="360" w:lineRule="auto"/>
        <w:rPr>
          <w:rFonts w:ascii="宋体" w:hAnsi="宋体" w:cs="宋体"/>
          <w:sz w:val="24"/>
          <w:szCs w:val="24"/>
        </w:rPr>
      </w:pPr>
      <w:r>
        <w:rPr>
          <w:rFonts w:hint="eastAsia" w:ascii="宋体" w:hAnsi="宋体" w:cs="宋体"/>
          <w:sz w:val="24"/>
          <w:szCs w:val="24"/>
        </w:rPr>
        <w:t xml:space="preserve">7.3 甲方应按合同特殊条款规定的期限和方式付款。</w:t>
      </w:r>
      <w:bookmarkStart w:id="78" w:name="auto_fouce_7"/>
      <w:r/>
      <w:r/>
    </w:p>
    <w:p>
      <w:pPr>
        <w:ind w:firstLine="480"/>
        <w:spacing w:line="360" w:lineRule="auto"/>
        <w:rPr>
          <w:rFonts w:ascii="宋体" w:hAnsi="宋体" w:cs="宋体"/>
          <w:sz w:val="24"/>
          <w:szCs w:val="24"/>
        </w:rPr>
      </w:pPr>
      <w:r>
        <w:rPr>
          <w:rFonts w:hint="eastAsia" w:ascii="宋体" w:hAnsi="宋体" w:cs="宋体"/>
          <w:sz w:val="24"/>
          <w:szCs w:val="24"/>
        </w:rPr>
        <w:t xml:space="preserve">如因财政拨款延迟、预算调整等原因，甲方有权顺延付款期限，乙方不得据此主张违约或索赔。</w:t>
      </w:r>
      <w:bookmarkEnd w:id="78"/>
      <w:r>
        <w:rPr>
          <w:rFonts w:hint="eastAsia" w:ascii="宋体" w:hAnsi="宋体" w:cs="宋体"/>
          <w:sz w:val="24"/>
          <w:szCs w:val="24"/>
          <w:lang w:eastAsia="zh-CN"/>
        </w:rPr>
        <w:t xml:space="preserve">甲方顺延付款期间无需向乙方支付任何资金占用费、利息等额外费用。</w:t>
      </w:r>
      <w:r/>
    </w:p>
    <w:p>
      <w:pPr>
        <w:ind w:firstLine="480"/>
        <w:spacing w:line="360" w:lineRule="auto"/>
        <w:rPr>
          <w:rFonts w:ascii="宋体" w:hAnsi="宋体" w:cs="宋体"/>
          <w:sz w:val="24"/>
          <w:szCs w:val="24"/>
        </w:rPr>
      </w:pPr>
      <w:r/>
      <w:bookmarkStart w:id="79" w:name="auto_fouce_8"/>
      <w:r>
        <w:rPr>
          <w:rFonts w:hint="eastAsia" w:ascii="宋体" w:hAnsi="宋体" w:cs="宋体"/>
          <w:sz w:val="24"/>
          <w:szCs w:val="24"/>
        </w:rPr>
        <w:t xml:space="preserve">7.4 根据现行税法对甲方征收的与本合同有关的一切税费均由甲方承担；根据现行税法对乙方征收的与本合同有关的一切税费均由乙方承担。</w:t>
      </w:r>
      <w:bookmarkEnd w:id="79"/>
      <w:r/>
      <w:r/>
    </w:p>
    <w:p>
      <w:pPr>
        <w:ind w:firstLine="480"/>
        <w:spacing w:line="360" w:lineRule="auto"/>
        <w:rPr>
          <w:rFonts w:ascii="宋体" w:hAnsi="宋体" w:cs="宋体"/>
          <w:b/>
          <w:sz w:val="24"/>
          <w:szCs w:val="24"/>
        </w:rPr>
      </w:pPr>
      <w:r>
        <w:rPr>
          <w:rFonts w:hint="eastAsia" w:ascii="宋体" w:hAnsi="宋体" w:cs="宋体"/>
          <w:b/>
          <w:sz w:val="24"/>
          <w:szCs w:val="24"/>
        </w:rPr>
        <w:t xml:space="preserve">（五）违约责任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8、违约责任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合同一方不履行合同义务或者履行合同义务不符合约定的，应当承担继续履行、采取补救措施或者赔偿损失等违约责任。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9、甲方违约责任</w:t>
      </w:r>
      <w:r/>
    </w:p>
    <w:p>
      <w:pPr>
        <w:ind w:firstLine="480"/>
        <w:spacing w:line="360" w:lineRule="auto"/>
        <w:rPr>
          <w:rFonts w:ascii="宋体" w:hAnsi="宋体" w:cs="宋体"/>
          <w:sz w:val="24"/>
          <w:szCs w:val="24"/>
        </w:rPr>
      </w:pPr>
      <w:r/>
      <w:bookmarkStart w:id="80" w:name="auto_fouce_9"/>
      <w:r>
        <w:rPr>
          <w:rFonts w:hint="eastAsia" w:ascii="宋体" w:hAnsi="宋体" w:cs="宋体"/>
          <w:sz w:val="24"/>
          <w:szCs w:val="24"/>
        </w:rPr>
        <w:t xml:space="preserve">9.1 在合同生效后，甲方要求取消服务的，应向乙方偿付合同总价款的5%，作为违约金，违约金不足以补偿损失的，乙方有权要求甲方补足。</w:t>
      </w:r>
      <w:bookmarkEnd w:id="80"/>
      <w:r/>
      <w:r/>
    </w:p>
    <w:p>
      <w:pPr>
        <w:ind w:firstLine="480"/>
        <w:spacing w:line="360" w:lineRule="auto"/>
        <w:rPr>
          <w:rFonts w:ascii="宋体" w:hAnsi="宋体" w:cs="宋体"/>
          <w:sz w:val="24"/>
          <w:szCs w:val="24"/>
        </w:rPr>
      </w:pPr>
      <w:r/>
      <w:bookmarkStart w:id="81" w:name="auto_fouce_10"/>
      <w:r>
        <w:rPr>
          <w:rFonts w:hint="eastAsia" w:ascii="宋体" w:hAnsi="宋体" w:cs="宋体"/>
          <w:sz w:val="24"/>
          <w:szCs w:val="24"/>
        </w:rPr>
        <w:t xml:space="preserve">9.2 甲方逾期付款的应按照逾期付款金额的每天万分之四支付逾期付款违约金，但累计违约金不超过合同总价款的3%。如因乙方原因或不可抗力导致付款延误，甲方不承担违约责任。甲方享有5个工作日的宽限期，在宽限期内不计违约金。</w:t>
      </w:r>
      <w:bookmarkEnd w:id="81"/>
      <w:r/>
      <w:r/>
    </w:p>
    <w:p>
      <w:pPr>
        <w:ind w:firstLine="480"/>
        <w:spacing w:line="360" w:lineRule="auto"/>
        <w:rPr>
          <w:rFonts w:ascii="宋体" w:hAnsi="宋体" w:cs="宋体"/>
          <w:sz w:val="24"/>
          <w:szCs w:val="24"/>
        </w:rPr>
      </w:pPr>
      <w:r>
        <w:rPr>
          <w:rFonts w:hint="eastAsia" w:ascii="宋体" w:hAnsi="宋体" w:cs="宋体"/>
          <w:sz w:val="24"/>
          <w:szCs w:val="24"/>
        </w:rPr>
        <w:t xml:space="preserve">10、乙方违约责任</w:t>
      </w:r>
      <w:r/>
    </w:p>
    <w:p>
      <w:pPr>
        <w:ind w:firstLine="480"/>
        <w:spacing w:line="360" w:lineRule="auto"/>
        <w:rPr>
          <w:rFonts w:ascii="宋体" w:hAnsi="宋体" w:cs="宋体"/>
          <w:sz w:val="24"/>
          <w:szCs w:val="24"/>
        </w:rPr>
      </w:pPr>
      <w:r/>
      <w:bookmarkStart w:id="82" w:name="auto_fouce_11"/>
      <w:r>
        <w:rPr>
          <w:rFonts w:hint="eastAsia" w:ascii="宋体" w:hAnsi="宋体" w:cs="宋体"/>
          <w:sz w:val="24"/>
          <w:szCs w:val="24"/>
        </w:rPr>
        <w:t xml:space="preserve">10.1乙方不能按时提供服务的，甲方有权解除合同。乙方需向甲方偿付合同总价款的10%作为违约金，且不得低于甲方实际损失金额。违约金仍不足以补偿损失的，甲方有权要求乙方</w:t>
      </w:r>
      <w:r>
        <w:rPr>
          <w:rFonts w:hint="eastAsia" w:ascii="宋体" w:hAnsi="宋体" w:cs="宋体"/>
          <w:sz w:val="24"/>
          <w:szCs w:val="24"/>
          <w:lang w:eastAsia="zh-CN"/>
        </w:rPr>
        <w:t xml:space="preserve">在合理期限内</w:t>
      </w:r>
      <w:r>
        <w:rPr>
          <w:rFonts w:hint="eastAsia" w:ascii="宋体" w:hAnsi="宋体" w:cs="宋体"/>
          <w:sz w:val="24"/>
          <w:szCs w:val="24"/>
        </w:rPr>
        <w:t xml:space="preserve">补足。</w:t>
      </w:r>
      <w:bookmarkEnd w:id="82"/>
      <w:r/>
      <w:r/>
    </w:p>
    <w:p>
      <w:pPr>
        <w:ind w:firstLine="480"/>
        <w:spacing w:line="360" w:lineRule="auto"/>
        <w:rPr>
          <w:rFonts w:ascii="宋体" w:hAnsi="宋体" w:cs="宋体"/>
          <w:sz w:val="24"/>
          <w:szCs w:val="24"/>
        </w:rPr>
      </w:pPr>
      <w:r>
        <w:rPr>
          <w:rFonts w:hint="eastAsia" w:ascii="宋体" w:hAnsi="宋体" w:cs="宋体"/>
          <w:sz w:val="24"/>
          <w:szCs w:val="24"/>
        </w:rPr>
        <w:t xml:space="preserve">11、不可抗力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11.1 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sz w:val="24"/>
          <w:szCs w:val="24"/>
        </w:rPr>
      </w:pPr>
      <w:r/>
      <w:bookmarkStart w:id="83" w:name="auto_fouce_13"/>
      <w:r>
        <w:rPr>
          <w:rFonts w:hint="eastAsia" w:ascii="宋体" w:hAnsi="宋体" w:cs="宋体"/>
          <w:sz w:val="24"/>
          <w:szCs w:val="24"/>
        </w:rPr>
        <w:t xml:space="preserve">11.2 合同一方因不可抗力不能履行合同的，应当及时通知对方，以减轻可能给对方造成的损失，并应当在合理期限内提供证明。</w:t>
      </w:r>
      <w:bookmarkEnd w:id="83"/>
      <w:r/>
      <w:r/>
    </w:p>
    <w:p>
      <w:pPr>
        <w:ind w:firstLine="480"/>
        <w:spacing w:line="360" w:lineRule="auto"/>
        <w:rPr>
          <w:rFonts w:ascii="宋体" w:hAnsi="宋体" w:cs="宋体"/>
          <w:b/>
          <w:sz w:val="24"/>
          <w:szCs w:val="24"/>
        </w:rPr>
      </w:pPr>
      <w:r>
        <w:rPr>
          <w:rFonts w:hint="eastAsia" w:ascii="宋体" w:hAnsi="宋体" w:cs="宋体"/>
          <w:b/>
          <w:sz w:val="24"/>
          <w:szCs w:val="24"/>
        </w:rPr>
        <w:t xml:space="preserve">（六）合同的解除和转让</w:t>
      </w:r>
      <w:r/>
    </w:p>
    <w:p>
      <w:pPr>
        <w:ind w:firstLine="480"/>
        <w:spacing w:line="360" w:lineRule="auto"/>
        <w:rPr>
          <w:rFonts w:ascii="宋体" w:hAnsi="宋体" w:cs="宋体"/>
          <w:sz w:val="24"/>
          <w:szCs w:val="24"/>
        </w:rPr>
      </w:pPr>
      <w:r>
        <w:rPr>
          <w:rFonts w:hint="eastAsia" w:ascii="宋体" w:hAnsi="宋体" w:cs="宋体"/>
          <w:sz w:val="24"/>
          <w:szCs w:val="24"/>
        </w:rPr>
        <w:t xml:space="preserve">12、合同的解除</w:t>
      </w:r>
      <w:r/>
    </w:p>
    <w:p>
      <w:pPr>
        <w:ind w:firstLine="480"/>
        <w:spacing w:line="360" w:lineRule="auto"/>
        <w:rPr>
          <w:rFonts w:ascii="宋体" w:hAnsi="宋体" w:cs="宋体"/>
          <w:sz w:val="24"/>
          <w:szCs w:val="24"/>
        </w:rPr>
      </w:pPr>
      <w:r/>
      <w:bookmarkStart w:id="84" w:name="auto_fouce_15"/>
      <w:r>
        <w:rPr>
          <w:rFonts w:hint="eastAsia" w:ascii="宋体" w:hAnsi="宋体" w:cs="宋体"/>
          <w:sz w:val="24"/>
          <w:szCs w:val="24"/>
        </w:rPr>
        <w:t xml:space="preserve">12.1有下列情形之一，合同一方可以解除合同：</w:t>
      </w:r>
      <w:bookmarkEnd w:id="84"/>
      <w:r/>
      <w:r/>
    </w:p>
    <w:p>
      <w:pPr>
        <w:ind w:firstLine="480"/>
        <w:spacing w:line="360" w:lineRule="auto"/>
        <w:rPr>
          <w:rFonts w:ascii="宋体" w:hAnsi="宋体" w:cs="宋体"/>
          <w:sz w:val="24"/>
          <w:szCs w:val="24"/>
        </w:rPr>
      </w:pPr>
      <w:r>
        <w:rPr>
          <w:rFonts w:hint="eastAsia" w:ascii="宋体" w:hAnsi="宋体" w:cs="宋体"/>
          <w:sz w:val="24"/>
          <w:szCs w:val="24"/>
        </w:rPr>
        <w:t xml:space="preserve">12.1.1 因不可抗力致使不能实现合同目的，未受不可抗力影响的一方有权解除合同；</w:t>
      </w:r>
      <w:r/>
    </w:p>
    <w:p>
      <w:pPr>
        <w:ind w:firstLine="480"/>
        <w:spacing w:line="360" w:lineRule="auto"/>
        <w:rPr>
          <w:rFonts w:ascii="宋体" w:hAnsi="宋体" w:cs="宋体"/>
          <w:sz w:val="24"/>
          <w:szCs w:val="24"/>
        </w:rPr>
      </w:pPr>
      <w:r/>
      <w:bookmarkStart w:id="85" w:name="auto_fouce_16"/>
      <w:r>
        <w:rPr>
          <w:rFonts w:hint="eastAsia" w:ascii="宋体" w:hAnsi="宋体" w:cs="宋体"/>
          <w:sz w:val="24"/>
          <w:szCs w:val="24"/>
        </w:rPr>
        <w:t xml:space="preserve">12.1.2 因合同一方违约导致合同不能履行，另一方有权解除合同；</w:t>
      </w:r>
      <w:bookmarkEnd w:id="85"/>
      <w:r/>
      <w:r/>
    </w:p>
    <w:p>
      <w:pPr>
        <w:ind w:firstLine="480"/>
        <w:spacing w:line="360" w:lineRule="auto"/>
        <w:rPr>
          <w:rFonts w:ascii="宋体" w:hAnsi="宋体" w:cs="宋体"/>
          <w:sz w:val="24"/>
          <w:szCs w:val="24"/>
        </w:rPr>
      </w:pPr>
      <w:r>
        <w:rPr>
          <w:rFonts w:hint="eastAsia" w:ascii="宋体" w:hAnsi="宋体" w:cs="宋体"/>
          <w:sz w:val="24"/>
          <w:szCs w:val="24"/>
        </w:rPr>
        <w:t xml:space="preserve">12.2</w:t>
      </w:r>
      <w:bookmarkStart w:id="86" w:name="auto_fouce_17"/>
      <w:r>
        <w:rPr>
          <w:rFonts w:hint="eastAsia" w:ascii="宋体" w:hAnsi="宋体" w:cs="宋体"/>
          <w:sz w:val="24"/>
          <w:szCs w:val="24"/>
        </w:rPr>
        <w:t xml:space="preserve">有权解除合同的一方，应当在违约事实或不可抗力发生之后十五个工作日内书面通知对方以主张解除合同，合同在书面通知到达对方时解除。</w:t>
      </w:r>
      <w:bookmarkEnd w:id="86"/>
      <w:r/>
      <w:r/>
    </w:p>
    <w:p>
      <w:pPr>
        <w:ind w:firstLine="480"/>
        <w:spacing w:line="360" w:lineRule="auto"/>
        <w:rPr>
          <w:rFonts w:ascii="宋体" w:hAnsi="宋体" w:cs="宋体"/>
          <w:sz w:val="24"/>
          <w:szCs w:val="24"/>
        </w:rPr>
      </w:pPr>
      <w:r>
        <w:rPr>
          <w:rFonts w:hint="eastAsia" w:ascii="宋体" w:hAnsi="宋体" w:cs="宋体"/>
          <w:sz w:val="24"/>
          <w:szCs w:val="24"/>
        </w:rPr>
        <w:t xml:space="preserve">13、合同的转让</w:t>
      </w:r>
      <w:r/>
    </w:p>
    <w:p>
      <w:pPr>
        <w:ind w:firstLine="480"/>
        <w:spacing w:line="360" w:lineRule="auto"/>
        <w:rPr>
          <w:rFonts w:ascii="宋体" w:hAnsi="宋体" w:cs="宋体"/>
          <w:sz w:val="24"/>
          <w:szCs w:val="24"/>
        </w:rPr>
      </w:pPr>
      <w:r/>
      <w:bookmarkStart w:id="87" w:name="auto_fouce_18"/>
      <w:r>
        <w:rPr>
          <w:rFonts w:hint="eastAsia" w:ascii="宋体" w:hAnsi="宋体" w:cs="宋体"/>
          <w:sz w:val="24"/>
          <w:szCs w:val="24"/>
        </w:rPr>
        <w:t xml:space="preserve">合同的部分和全部都不得转让。</w:t>
      </w:r>
      <w:bookmarkEnd w:id="87"/>
      <w:r/>
      <w:r/>
    </w:p>
    <w:p>
      <w:pPr>
        <w:ind w:firstLine="480"/>
        <w:spacing w:line="360" w:lineRule="auto"/>
        <w:rPr>
          <w:rFonts w:ascii="宋体" w:hAnsi="宋体" w:cs="宋体"/>
          <w:b/>
          <w:sz w:val="24"/>
          <w:szCs w:val="24"/>
        </w:rPr>
      </w:pPr>
      <w:r>
        <w:rPr>
          <w:rFonts w:hint="eastAsia" w:ascii="宋体" w:hAnsi="宋体" w:cs="宋体"/>
          <w:b/>
          <w:sz w:val="24"/>
          <w:szCs w:val="24"/>
        </w:rPr>
        <w:t xml:space="preserve">二、合同的特殊条款</w:t>
      </w:r>
      <w:r/>
    </w:p>
    <w:p>
      <w:pPr>
        <w:ind w:firstLine="480"/>
        <w:spacing w:line="360" w:lineRule="auto"/>
        <w:rPr>
          <w:rFonts w:ascii="宋体" w:hAnsi="宋体" w:cs="宋体"/>
          <w:b/>
          <w:sz w:val="24"/>
          <w:szCs w:val="24"/>
        </w:rPr>
      </w:pPr>
      <w:r>
        <w:rPr>
          <w:rFonts w:hint="eastAsia" w:ascii="宋体" w:hAnsi="宋体" w:cs="宋体"/>
          <w:b/>
          <w:sz w:val="24"/>
          <w:szCs w:val="24"/>
        </w:rPr>
        <w:t xml:space="preserve">（一）合同内容：</w:t>
      </w:r>
      <w:r/>
    </w:p>
    <w:p>
      <w:pPr>
        <w:ind w:firstLine="480"/>
        <w:spacing w:line="360" w:lineRule="auto"/>
        <w:rPr>
          <w:rFonts w:ascii="宋体" w:hAnsi="宋体" w:cs="宋体"/>
          <w:sz w:val="24"/>
          <w:szCs w:val="24"/>
        </w:rPr>
      </w:pPr>
      <w:r>
        <w:rPr>
          <w:rFonts w:hint="eastAsia" w:ascii="宋体" w:hAnsi="宋体" w:cs="宋体"/>
          <w:sz w:val="24"/>
          <w:szCs w:val="24"/>
        </w:rPr>
        <w:t xml:space="preserve">1、乙方负责甲方委托的外包服务。</w:t>
      </w:r>
      <w:r/>
    </w:p>
    <w:p>
      <w:pPr>
        <w:ind w:firstLine="480"/>
        <w:spacing w:line="360" w:lineRule="auto"/>
        <w:rPr>
          <w:rFonts w:ascii="宋体" w:hAnsi="宋体" w:cs="宋体"/>
          <w:sz w:val="24"/>
          <w:szCs w:val="24"/>
        </w:rPr>
      </w:pPr>
      <w:r/>
      <w:bookmarkStart w:id="88" w:name="_Toc492109363"/>
      <w:r/>
      <w:bookmarkStart w:id="89" w:name="_Toc426403797"/>
      <w:r>
        <w:rPr>
          <w:rFonts w:hint="eastAsia" w:ascii="宋体" w:hAnsi="宋体" w:cs="宋体"/>
          <w:sz w:val="24"/>
          <w:szCs w:val="24"/>
        </w:rPr>
        <w:t xml:space="preserve">2、下列文件为本合同不可分割部分：</w:t>
      </w:r>
      <w:r/>
    </w:p>
    <w:p>
      <w:pPr>
        <w:ind w:firstLine="480"/>
        <w:spacing w:line="360" w:lineRule="auto"/>
        <w:rPr>
          <w:rFonts w:ascii="宋体" w:hAnsi="宋体" w:cs="宋体"/>
          <w:sz w:val="24"/>
          <w:szCs w:val="24"/>
        </w:rPr>
      </w:pPr>
      <w:r>
        <w:rPr>
          <w:rFonts w:hint="eastAsia" w:ascii="宋体" w:hAnsi="宋体" w:cs="宋体"/>
          <w:sz w:val="24"/>
          <w:szCs w:val="24"/>
        </w:rPr>
        <w:t xml:space="preserve">①中标通知书； ②乙方中标的投标文件； ③招标文件； ④乙方在投标过程中所作的其它承诺、声明、书面澄清等。</w:t>
      </w: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合同附件</w:t>
      </w:r>
      <w:bookmarkEnd w:id="88"/>
      <w:r/>
      <w:bookmarkEnd w:id="89"/>
      <w:r/>
      <w:r/>
    </w:p>
    <w:p>
      <w:pPr>
        <w:ind w:firstLine="480"/>
        <w:spacing w:line="360" w:lineRule="auto"/>
        <w:rPr>
          <w:rFonts w:ascii="宋体" w:hAnsi="宋体" w:cs="宋体"/>
          <w:b/>
          <w:sz w:val="24"/>
          <w:szCs w:val="24"/>
        </w:rPr>
      </w:pPr>
      <w:r>
        <w:rPr>
          <w:rFonts w:hint="eastAsia" w:ascii="宋体" w:hAnsi="宋体" w:cs="宋体"/>
          <w:b/>
          <w:sz w:val="24"/>
          <w:szCs w:val="24"/>
        </w:rPr>
        <w:t xml:space="preserve">（二）价格与支付：</w:t>
      </w:r>
      <w:r/>
    </w:p>
    <w:p>
      <w:pPr>
        <w:ind w:firstLine="480"/>
        <w:spacing w:line="360" w:lineRule="auto"/>
        <w:rPr>
          <w:rFonts w:ascii="宋体" w:hAnsi="宋体" w:cs="宋体"/>
          <w:sz w:val="24"/>
          <w:szCs w:val="24"/>
        </w:rPr>
      </w:pPr>
      <w:r>
        <w:rPr>
          <w:rFonts w:hint="eastAsia" w:ascii="宋体" w:hAnsi="宋体" w:cs="宋体"/>
          <w:sz w:val="24"/>
          <w:szCs w:val="24"/>
        </w:rPr>
        <w:t xml:space="preserve">1、合同价格按此次成交价格执行，合同总金额为人民币（大写）：</w:t>
      </w:r>
      <w:r>
        <w:rPr>
          <w:rFonts w:hint="eastAsia" w:ascii="宋体" w:hAnsi="宋体" w:cs="宋体"/>
          <w:b/>
          <w:bCs/>
          <w:sz w:val="24"/>
          <w:szCs w:val="24"/>
          <w:u w:val="single"/>
        </w:rPr>
        <w:t xml:space="preserve">              </w:t>
      </w:r>
      <w:r>
        <w:rPr>
          <w:rFonts w:hint="eastAsia" w:ascii="宋体" w:hAnsi="宋体" w:cs="宋体"/>
          <w:sz w:val="24"/>
          <w:szCs w:val="24"/>
        </w:rPr>
        <w:t xml:space="preserve">，</w:t>
      </w:r>
      <w:r>
        <w:rPr>
          <w:rFonts w:hint="eastAsia" w:ascii="宋体" w:hAnsi="宋体" w:cs="宋体"/>
          <w:b/>
          <w:bCs/>
          <w:sz w:val="24"/>
          <w:szCs w:val="24"/>
          <w:u w:val="single"/>
        </w:rPr>
        <w:t xml:space="preserve">¥：             </w:t>
      </w:r>
      <w:r>
        <w:rPr>
          <w:rFonts w:hint="eastAsia" w:ascii="宋体" w:hAnsi="宋体" w:cs="宋体"/>
          <w:sz w:val="24"/>
          <w:szCs w:val="24"/>
        </w:rPr>
        <w:t xml:space="preserve">元。其中（1）中转站日常运营人员配置费用为¥：</w:t>
      </w:r>
      <w:r>
        <w:rPr>
          <w:rFonts w:hint="eastAsia" w:ascii="宋体" w:hAnsi="宋体" w:cs="宋体"/>
          <w:b/>
          <w:bCs/>
          <w:sz w:val="24"/>
          <w:szCs w:val="24"/>
          <w:u w:val="single"/>
        </w:rPr>
        <w:t xml:space="preserve">                </w:t>
      </w:r>
      <w:r>
        <w:rPr>
          <w:rFonts w:hint="eastAsia" w:ascii="宋体" w:hAnsi="宋体" w:cs="宋体"/>
          <w:sz w:val="24"/>
          <w:szCs w:val="24"/>
        </w:rPr>
        <w:t xml:space="preserve">元；(2)垃圾转运运输费用为：单价</w:t>
      </w:r>
      <w:r>
        <w:rPr>
          <w:rFonts w:hint="eastAsia" w:ascii="宋体" w:hAnsi="宋体" w:cs="宋体"/>
          <w:sz w:val="24"/>
          <w:szCs w:val="24"/>
          <w:u w:val="single"/>
        </w:rPr>
        <w:t xml:space="preserve"> </w:t>
      </w:r>
      <w:r>
        <w:rPr>
          <w:rFonts w:hint="eastAsia" w:ascii="宋体" w:hAnsi="宋体" w:cs="宋体"/>
          <w:b/>
          <w:bCs/>
          <w:sz w:val="24"/>
          <w:szCs w:val="24"/>
          <w:u w:val="single"/>
        </w:rPr>
        <w:t xml:space="preserve">      </w:t>
      </w:r>
      <w:r>
        <w:rPr>
          <w:rFonts w:hint="eastAsia" w:ascii="宋体" w:hAnsi="宋体" w:cs="宋体"/>
          <w:sz w:val="24"/>
          <w:szCs w:val="24"/>
        </w:rPr>
        <w:t xml:space="preserve">元/吨×实际运输量按实结算（</w:t>
      </w:r>
      <w:bookmarkStart w:id="90" w:name="auto_fouce_21"/>
      <w:r>
        <w:rPr>
          <w:rFonts w:hint="eastAsia" w:ascii="宋体" w:hAnsi="宋体" w:cs="宋体"/>
          <w:sz w:val="24"/>
          <w:szCs w:val="24"/>
        </w:rPr>
        <w:t xml:space="preserve">结算以七子山终端称重量计算</w:t>
      </w:r>
      <w:bookmarkEnd w:id="90"/>
      <w:r>
        <w:rPr>
          <w:rFonts w:hint="eastAsia" w:ascii="宋体" w:hAnsi="宋体" w:cs="宋体"/>
          <w:sz w:val="24"/>
          <w:szCs w:val="24"/>
        </w:rPr>
        <w:t xml:space="preserve">）。全部服务包括在承包期内综合服务需要的服务管理内容、耗材（扫帚、塘耙、铁锹、拖把、清洁用品、毛巾）、通讯、办公设备、器材、各种税费、人工、保险、劳保、检测费、代理服务费、利润、税金、政策性文件规定及合同包含的所有风险、责任等各项应有费用。</w:t>
      </w:r>
      <w:r/>
    </w:p>
    <w:p>
      <w:pPr>
        <w:ind w:firstLine="480"/>
        <w:spacing w:line="360" w:lineRule="auto"/>
        <w:rPr>
          <w:rFonts w:ascii="宋体" w:hAnsi="宋体" w:cs="宋体"/>
          <w:sz w:val="24"/>
          <w:szCs w:val="24"/>
        </w:rPr>
      </w:pPr>
      <w:r>
        <w:rPr>
          <w:rFonts w:hint="eastAsia" w:ascii="宋体" w:hAnsi="宋体" w:cs="宋体"/>
          <w:sz w:val="24"/>
          <w:szCs w:val="24"/>
        </w:rPr>
        <w:t xml:space="preserve">2、付款方式：合同签订生效后，甲方支付乙方合同金额的10%作为预付款，扣除预付款后，余下金额甲方按季支付，</w:t>
      </w:r>
      <w:bookmarkStart w:id="91" w:name="auto_fouce_22"/>
      <w:r>
        <w:rPr>
          <w:rFonts w:hint="eastAsia" w:ascii="宋体" w:hAnsi="宋体" w:cs="宋体"/>
          <w:sz w:val="24"/>
          <w:szCs w:val="24"/>
        </w:rPr>
        <w:t xml:space="preserve">甲方将根据考核得分结果进行实际金额支付，实际总金额可能与合同价有差异。</w:t>
      </w:r>
      <w:bookmarkStart w:id="92" w:name="auto_fouce_24"/>
      <w:r/>
      <w:r/>
    </w:p>
    <w:p>
      <w:pPr>
        <w:ind w:firstLine="480"/>
        <w:spacing w:line="360" w:lineRule="auto"/>
        <w:rPr>
          <w:rFonts w:ascii="宋体" w:hAnsi="宋体" w:cs="宋体"/>
          <w:sz w:val="24"/>
          <w:szCs w:val="24"/>
        </w:rPr>
      </w:pPr>
      <w:r>
        <w:rPr>
          <w:rFonts w:hint="eastAsia" w:ascii="宋体" w:hAnsi="宋体" w:cs="宋体"/>
          <w:sz w:val="24"/>
          <w:szCs w:val="24"/>
        </w:rPr>
        <w:t xml:space="preserve">考核结果须经双方法定代表人或其授权代表签字确认。乙方如对考核结果有异议，应在收到结果后5个工作日内提出书面意见，逾期未提出的，视为认可考核结果。</w:t>
      </w:r>
      <w:bookmarkEnd w:id="92"/>
      <w:r>
        <w:rPr>
          <w:rFonts w:hint="eastAsia" w:ascii="宋体" w:hAnsi="宋体" w:cs="宋体"/>
          <w:color w:val="ff0000"/>
          <w:sz w:val="24"/>
          <w:szCs w:val="24"/>
        </w:rPr>
        <w:t xml:space="preserve"> </w:t>
      </w:r>
      <w:bookmarkEnd w:id="91"/>
      <w:r/>
      <w:bookmarkStart w:id="93" w:name="auto_fouce_23"/>
      <w:r>
        <w:rPr>
          <w:rFonts w:hint="eastAsia" w:ascii="宋体" w:hAnsi="宋体" w:cs="宋体"/>
          <w:sz w:val="24"/>
          <w:szCs w:val="24"/>
        </w:rPr>
        <w:t xml:space="preserve">每月服务费=中转站日常运营人员配置费用/12+当月垃圾转运运输费用-考核扣款。</w:t>
      </w:r>
      <w:bookmarkEnd w:id="93"/>
      <w:r/>
      <w:r/>
    </w:p>
    <w:p>
      <w:pPr>
        <w:ind w:firstLine="480"/>
        <w:spacing w:line="360" w:lineRule="auto"/>
        <w:rPr>
          <w:rFonts w:ascii="宋体" w:hAnsi="宋体" w:cs="宋体"/>
          <w:sz w:val="24"/>
          <w:szCs w:val="24"/>
        </w:rPr>
      </w:pPr>
      <w:r/>
      <w:bookmarkStart w:id="94" w:name="auto_fouce_25"/>
      <w:r>
        <w:rPr>
          <w:rFonts w:hint="eastAsia" w:ascii="宋体" w:hAnsi="宋体" w:cs="宋体"/>
          <w:sz w:val="24"/>
          <w:szCs w:val="24"/>
        </w:rPr>
        <w:t xml:space="preserve">关于预付款部分，在签订合同时，乙方明确表示无需预付款或者主动要求降低预付款比例的，甲方可不适用上述关于预付款的规定。具体实施要求按“苏财购【2020】52号：一、建立政府采购资金预付款制度的相关规定。”</w:t>
      </w:r>
      <w:bookmarkEnd w:id="94"/>
      <w:r/>
      <w:r/>
    </w:p>
    <w:p>
      <w:pPr>
        <w:ind w:firstLine="440"/>
        <w:spacing w:line="360" w:lineRule="auto"/>
        <w:rPr>
          <w:rFonts w:ascii="宋体" w:hAnsi="宋体" w:cs="宋体"/>
          <w:sz w:val="24"/>
          <w:szCs w:val="24"/>
        </w:rPr>
      </w:pPr>
      <w:r/>
      <w:bookmarkStart w:id="95" w:name="auto_fouce_27"/>
      <w:r>
        <w:rPr>
          <w:rFonts w:hint="eastAsia" w:ascii="宋体" w:hAnsi="宋体" w:cs="宋体"/>
          <w:sz w:val="24"/>
          <w:szCs w:val="24"/>
        </w:rPr>
        <w:t xml:space="preserve">3、成交单位每季度按照考核后应收服务费用开具发票，采购单位按照实际发票金额支付；</w:t>
      </w:r>
      <w:bookmarkEnd w:id="95"/>
      <w:r/>
      <w:r/>
    </w:p>
    <w:p>
      <w:pPr>
        <w:ind w:firstLine="480"/>
        <w:spacing w:line="360" w:lineRule="auto"/>
        <w:rPr>
          <w:rFonts w:ascii="宋体" w:hAnsi="宋体" w:cs="宋体"/>
          <w:sz w:val="24"/>
          <w:szCs w:val="24"/>
        </w:rPr>
      </w:pPr>
      <w:r>
        <w:rPr>
          <w:rFonts w:hint="eastAsia" w:ascii="宋体" w:hAnsi="宋体" w:cs="宋体"/>
          <w:sz w:val="24"/>
          <w:szCs w:val="24"/>
        </w:rPr>
        <w:t xml:space="preserve">4、</w:t>
      </w:r>
      <w:bookmarkStart w:id="96" w:name="auto_fouce_28"/>
      <w:r>
        <w:rPr>
          <w:rFonts w:hint="eastAsia" w:ascii="宋体" w:hAnsi="宋体" w:cs="宋体"/>
          <w:sz w:val="24"/>
          <w:szCs w:val="24"/>
        </w:rPr>
        <w:t xml:space="preserve">采购单位除以上服务费用之外不再承担其它任何费用，人员的薪金、福利、休假日补贴、医疗费用等均由成交单位负责，与采购单位无关。</w:t>
      </w:r>
      <w:bookmarkEnd w:id="96"/>
      <w:r/>
      <w:r/>
    </w:p>
    <w:p>
      <w:pPr>
        <w:ind w:firstLine="480"/>
        <w:spacing w:line="360" w:lineRule="auto"/>
        <w:rPr>
          <w:rFonts w:ascii="宋体" w:hAnsi="宋体" w:cs="宋体"/>
          <w:sz w:val="24"/>
          <w:szCs w:val="24"/>
        </w:rPr>
      </w:pPr>
      <w:r/>
      <w:bookmarkStart w:id="97" w:name="auto_fouce_31"/>
      <w:r>
        <w:rPr>
          <w:rFonts w:hint="eastAsia" w:ascii="宋体" w:hAnsi="宋体" w:cs="宋体"/>
          <w:sz w:val="24"/>
          <w:szCs w:val="24"/>
        </w:rPr>
        <w:t xml:space="preserve">5、服务期限：一年，（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97"/>
      <w:r/>
      <w:r/>
    </w:p>
    <w:p>
      <w:pPr>
        <w:ind w:firstLine="480"/>
        <w:spacing w:line="360" w:lineRule="auto"/>
        <w:rPr>
          <w:rFonts w:ascii="宋体" w:hAnsi="宋体" w:cs="宋体"/>
          <w:b/>
          <w:sz w:val="24"/>
          <w:szCs w:val="24"/>
        </w:rPr>
      </w:pPr>
      <w:r>
        <w:rPr>
          <w:rFonts w:hint="eastAsia" w:ascii="宋体" w:hAnsi="宋体" w:cs="宋体"/>
          <w:b/>
          <w:sz w:val="24"/>
          <w:szCs w:val="24"/>
        </w:rPr>
        <w:t xml:space="preserve">（三）质量与验收：</w:t>
      </w:r>
      <w:r/>
    </w:p>
    <w:p>
      <w:pPr>
        <w:ind w:firstLine="480"/>
        <w:spacing w:line="360" w:lineRule="auto"/>
        <w:rPr>
          <w:rFonts w:ascii="宋体" w:hAnsi="宋体" w:cs="宋体"/>
          <w:sz w:val="24"/>
          <w:szCs w:val="24"/>
        </w:rPr>
      </w:pPr>
      <w:r/>
      <w:bookmarkStart w:id="98" w:name="auto_fouce_32"/>
      <w:r>
        <w:rPr>
          <w:rFonts w:hint="eastAsia" w:ascii="宋体" w:hAnsi="宋体" w:cs="宋体"/>
          <w:sz w:val="24"/>
          <w:szCs w:val="24"/>
        </w:rPr>
        <w:t xml:space="preserve">乙方应按招标文件的有关规定提供合格服务。</w:t>
      </w:r>
      <w:r>
        <w:rPr>
          <w:rFonts w:hint="eastAsia" w:ascii="宋体" w:hAnsi="宋体" w:cs="宋体"/>
          <w:color w:val="ff0000"/>
          <w:sz w:val="24"/>
          <w:szCs w:val="24"/>
        </w:rPr>
        <w:t xml:space="preserve"> </w:t>
      </w:r>
      <w:r>
        <w:rPr>
          <w:rFonts w:hint="eastAsia" w:ascii="宋体" w:hAnsi="宋体" w:cs="宋体"/>
          <w:sz w:val="24"/>
          <w:szCs w:val="24"/>
        </w:rPr>
        <w:t xml:space="preserve">乙方提供服务后，采购单位将组织人员进行考核、验收，结果不合格，甲方有权要求终止服务，由此造成的各种费用均由乙方承担。</w:t>
      </w:r>
      <w:bookmarkStart w:id="99" w:name="auto_fouce_33"/>
      <w:r/>
      <w:r/>
    </w:p>
    <w:p>
      <w:pPr>
        <w:ind w:firstLine="480"/>
        <w:spacing w:line="360" w:lineRule="auto"/>
        <w:rPr>
          <w:rFonts w:ascii="宋体" w:hAnsi="宋体" w:cs="宋体"/>
          <w:sz w:val="24"/>
          <w:szCs w:val="24"/>
        </w:rPr>
      </w:pPr>
      <w:r>
        <w:rPr>
          <w:rFonts w:hint="eastAsia" w:ascii="宋体" w:hAnsi="宋体" w:cs="宋体"/>
          <w:sz w:val="24"/>
          <w:szCs w:val="24"/>
        </w:rPr>
        <w:t xml:space="preserve">乙方应承担因其服务瑕疵导致的第三方索赔、行政处罚、甲方损失等全部责任。</w:t>
      </w:r>
      <w:bookmarkEnd w:id="99"/>
      <w:r>
        <w:rPr>
          <w:rFonts w:hint="eastAsia" w:ascii="宋体" w:hAnsi="宋体" w:cs="宋体"/>
          <w:color w:val="ff0000"/>
          <w:sz w:val="24"/>
          <w:szCs w:val="24"/>
        </w:rPr>
        <w:t xml:space="preserve"> </w:t>
      </w:r>
      <w:bookmarkStart w:id="100" w:name="auto_fouce_34"/>
      <w:r/>
      <w:bookmarkEnd w:id="98"/>
      <w:r/>
      <w:bookmarkEnd w:id="100"/>
      <w:r/>
      <w:r/>
    </w:p>
    <w:p>
      <w:pPr>
        <w:ind w:firstLine="480"/>
        <w:spacing w:line="360" w:lineRule="auto"/>
        <w:rPr>
          <w:rFonts w:ascii="宋体" w:hAnsi="宋体" w:cs="宋体"/>
          <w:b/>
          <w:sz w:val="24"/>
          <w:szCs w:val="24"/>
        </w:rPr>
      </w:pPr>
      <w:r>
        <w:rPr>
          <w:rFonts w:hint="eastAsia" w:ascii="宋体" w:hAnsi="宋体" w:cs="宋体"/>
          <w:b/>
          <w:sz w:val="24"/>
          <w:szCs w:val="24"/>
        </w:rPr>
        <w:t xml:space="preserve">（四）不可抗力</w:t>
      </w:r>
      <w:r/>
    </w:p>
    <w:p>
      <w:pPr>
        <w:ind w:firstLine="480"/>
        <w:spacing w:line="360" w:lineRule="auto"/>
        <w:rPr>
          <w:rFonts w:ascii="宋体" w:hAnsi="宋体" w:cs="宋体"/>
          <w:sz w:val="24"/>
          <w:szCs w:val="24"/>
        </w:rPr>
      </w:pPr>
      <w:r/>
      <w:bookmarkStart w:id="101" w:name="auto_fouce_37"/>
      <w:r>
        <w:rPr>
          <w:rFonts w:hint="eastAsia" w:ascii="宋体" w:hAnsi="宋体" w:cs="宋体"/>
          <w:sz w:val="24"/>
          <w:szCs w:val="24"/>
        </w:rPr>
        <w:t xml:space="preserve">因不可抗力（或甲、乙双方不能控制的原因）不能履行合同的，根据不可抗力的影响，部分或者全部免除责任。</w:t>
      </w:r>
      <w:bookmarkStart w:id="102" w:name="auto_fouce_38"/>
      <w:r/>
      <w:r/>
    </w:p>
    <w:p>
      <w:pPr>
        <w:ind w:firstLine="480"/>
        <w:spacing w:line="360" w:lineRule="auto"/>
        <w:rPr>
          <w:rFonts w:ascii="宋体" w:hAnsi="宋体" w:cs="宋体"/>
          <w:sz w:val="24"/>
          <w:szCs w:val="24"/>
        </w:rPr>
      </w:pPr>
      <w:r>
        <w:rPr>
          <w:rFonts w:hint="eastAsia" w:ascii="宋体" w:hAnsi="宋体" w:cs="宋体"/>
          <w:sz w:val="24"/>
          <w:szCs w:val="24"/>
        </w:rPr>
        <w:t xml:space="preserve">不可抗力仅限于不可预见、不可避免且不可克服的客观情况，不包括乙方常见管理、用工、设备等风险。疫情防控、政策调整等不自动视为不可抗力。</w:t>
      </w:r>
      <w:bookmarkEnd w:id="102"/>
      <w:r>
        <w:rPr>
          <w:rFonts w:hint="eastAsia" w:ascii="宋体" w:hAnsi="宋体" w:cs="宋体"/>
          <w:color w:val="ff0000"/>
          <w:sz w:val="24"/>
          <w:szCs w:val="24"/>
        </w:rPr>
        <w:t xml:space="preserve"> </w:t>
      </w:r>
      <w:r>
        <w:rPr>
          <w:rFonts w:hint="eastAsia" w:ascii="宋体" w:hAnsi="宋体" w:cs="宋体"/>
          <w:sz w:val="24"/>
          <w:szCs w:val="24"/>
        </w:rPr>
        <w:t xml:space="preserve">乙方不得以季节性用工短缺、市场价格波动等商业风险主张不可抗力。</w:t>
      </w:r>
      <w:bookmarkEnd w:id="101"/>
      <w:r>
        <w:rPr>
          <w:rFonts w:hint="eastAsia" w:ascii="宋体" w:hAnsi="宋体" w:cs="宋体"/>
          <w:sz w:val="24"/>
          <w:szCs w:val="24"/>
        </w:rPr>
        <w:t xml:space="preserve">但合同一方迟延履行后发生不可抗力的，不能免除责任。合同一方因不可抗力不能履行合同的，应当及时通知对方，以减轻可能给对方造成的损失，并应当在合理期限内提供证明。</w:t>
      </w:r>
      <w:r/>
    </w:p>
    <w:p>
      <w:pPr>
        <w:ind w:firstLine="480"/>
        <w:spacing w:line="360" w:lineRule="auto"/>
        <w:rPr>
          <w:rFonts w:ascii="宋体" w:hAnsi="宋体" w:cs="宋体"/>
          <w:b/>
          <w:sz w:val="24"/>
          <w:szCs w:val="24"/>
        </w:rPr>
      </w:pPr>
      <w:r>
        <w:rPr>
          <w:rFonts w:hint="eastAsia" w:ascii="宋体" w:hAnsi="宋体" w:cs="宋体"/>
          <w:b/>
          <w:sz w:val="24"/>
          <w:szCs w:val="24"/>
        </w:rPr>
        <w:t xml:space="preserve">（五）合同生效及其它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1、本</w:t>
      </w:r>
      <w:bookmarkStart w:id="103" w:name="auto_fouce_39"/>
      <w:r>
        <w:rPr>
          <w:rFonts w:hint="eastAsia" w:ascii="宋体" w:hAnsi="宋体" w:cs="宋体"/>
          <w:sz w:val="24"/>
          <w:szCs w:val="24"/>
        </w:rPr>
        <w:t xml:space="preserve">合同在双方签字盖章后生效，合同需经网上系统备案。</w:t>
      </w:r>
      <w:bookmarkEnd w:id="103"/>
      <w:r/>
      <w:r/>
    </w:p>
    <w:p>
      <w:pPr>
        <w:ind w:firstLine="480"/>
        <w:spacing w:line="360" w:lineRule="auto"/>
        <w:rPr>
          <w:rFonts w:ascii="宋体" w:hAnsi="宋体" w:cs="宋体"/>
          <w:sz w:val="24"/>
          <w:szCs w:val="24"/>
        </w:rPr>
      </w:pPr>
      <w:r>
        <w:rPr>
          <w:rFonts w:hint="eastAsia" w:ascii="宋体" w:hAnsi="宋体" w:cs="宋体"/>
          <w:sz w:val="24"/>
          <w:szCs w:val="24"/>
        </w:rPr>
        <w:t xml:space="preserve">2、合同在执行过程中出现的未尽事宜，双方在不违背本合同和招标文件的原则下协商解决，</w:t>
      </w:r>
      <w:bookmarkStart w:id="104" w:name="auto_fouce_40"/>
      <w:r>
        <w:rPr>
          <w:rFonts w:hint="eastAsia" w:ascii="宋体" w:hAnsi="宋体" w:cs="宋体"/>
          <w:sz w:val="24"/>
          <w:szCs w:val="24"/>
        </w:rPr>
        <w:t xml:space="preserve">协商结果以书面形式盖章记录在案，作为本合同的附件，与本合同具有同等效力，但需向采购方提交二份备存。</w:t>
      </w:r>
      <w:bookmarkEnd w:id="104"/>
      <w:r/>
      <w:r/>
    </w:p>
    <w:p>
      <w:pPr>
        <w:ind w:firstLine="480"/>
        <w:spacing w:line="360" w:lineRule="auto"/>
        <w:rPr>
          <w:rFonts w:ascii="宋体" w:hAnsi="宋体" w:cs="宋体"/>
          <w:b/>
          <w:sz w:val="24"/>
          <w:szCs w:val="24"/>
        </w:rPr>
      </w:pPr>
      <w:r>
        <w:rPr>
          <w:rFonts w:hint="eastAsia" w:ascii="宋体" w:hAnsi="宋体" w:cs="宋体"/>
          <w:b/>
          <w:sz w:val="24"/>
          <w:szCs w:val="24"/>
        </w:rPr>
        <w:t xml:space="preserve">（六）合同的解除和转让</w:t>
      </w:r>
      <w:r/>
    </w:p>
    <w:p>
      <w:pPr>
        <w:ind w:firstLine="480"/>
        <w:spacing w:line="360" w:lineRule="auto"/>
        <w:rPr>
          <w:rFonts w:ascii="宋体" w:hAnsi="宋体" w:cs="宋体"/>
          <w:sz w:val="24"/>
          <w:szCs w:val="24"/>
        </w:rPr>
      </w:pPr>
      <w:r>
        <w:rPr>
          <w:rFonts w:hint="eastAsia" w:ascii="宋体" w:hAnsi="宋体" w:cs="宋体"/>
          <w:sz w:val="24"/>
          <w:szCs w:val="24"/>
        </w:rPr>
        <w:t xml:space="preserve">1、有下列情形之一，合同一方可以解除合同：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（2）因合同一方违约导致合同不能履行，另一方有权解除合同。</w:t>
      </w:r>
      <w:r/>
    </w:p>
    <w:p>
      <w:pPr>
        <w:ind w:firstLine="480"/>
        <w:spacing w:line="360" w:lineRule="auto"/>
        <w:rPr>
          <w:rFonts w:ascii="宋体" w:hAnsi="宋体" w:cs="宋体"/>
          <w:sz w:val="24"/>
          <w:szCs w:val="24"/>
        </w:rPr>
      </w:pPr>
      <w:r/>
      <w:bookmarkStart w:id="105" w:name="auto_fouce_48"/>
      <w:r>
        <w:rPr>
          <w:rFonts w:hint="eastAsia" w:ascii="宋体" w:hAnsi="宋体" w:cs="宋体"/>
          <w:sz w:val="24"/>
          <w:szCs w:val="24"/>
        </w:rPr>
        <w:t xml:space="preserve">2、有权解除合同的一方，应当在违约事实或不可抗力发生之后十五天内书面通知对方提出解除合同，合同在书面通知到达对方时解除。</w:t>
      </w:r>
      <w:bookmarkEnd w:id="105"/>
      <w:r/>
      <w:r/>
    </w:p>
    <w:p>
      <w:pPr>
        <w:ind w:firstLine="480"/>
        <w:spacing w:line="360" w:lineRule="auto"/>
        <w:rPr>
          <w:rFonts w:ascii="宋体" w:hAnsi="宋体" w:cs="宋体"/>
          <w:sz w:val="24"/>
          <w:szCs w:val="24"/>
        </w:rPr>
      </w:pPr>
      <w:r>
        <w:rPr>
          <w:rFonts w:hint="eastAsia" w:ascii="宋体" w:hAnsi="宋体" w:cs="宋体"/>
          <w:sz w:val="24"/>
          <w:szCs w:val="24"/>
        </w:rPr>
        <w:t xml:space="preserve">3、</w:t>
      </w:r>
      <w:bookmarkStart w:id="106" w:name="auto_fouce_49"/>
      <w:r>
        <w:rPr>
          <w:rFonts w:hint="eastAsia" w:ascii="宋体" w:hAnsi="宋体" w:cs="宋体"/>
          <w:sz w:val="24"/>
          <w:szCs w:val="24"/>
        </w:rPr>
        <w:t xml:space="preserve">合同的部分和全部都不得转让。</w:t>
      </w:r>
      <w:bookmarkEnd w:id="106"/>
      <w:r>
        <w:rPr>
          <w:rFonts w:hint="eastAsia" w:ascii="宋体" w:hAnsi="宋体" w:cs="宋体"/>
          <w:color w:val="ff0000"/>
          <w:sz w:val="24"/>
          <w:szCs w:val="24"/>
        </w:rPr>
        <w:t xml:space="preserve"> </w:t>
      </w:r>
      <w:r/>
    </w:p>
    <w:p>
      <w:pPr>
        <w:ind w:firstLine="480"/>
        <w:spacing w:line="360" w:lineRule="auto"/>
        <w:rPr>
          <w:rFonts w:ascii="宋体" w:hAnsi="宋体" w:cs="宋体"/>
          <w:b/>
          <w:sz w:val="24"/>
          <w:szCs w:val="24"/>
        </w:rPr>
      </w:pPr>
      <w:r>
        <w:rPr>
          <w:rFonts w:hint="eastAsia" w:ascii="宋体" w:hAnsi="宋体" w:cs="宋体"/>
          <w:b/>
          <w:sz w:val="24"/>
          <w:szCs w:val="24"/>
        </w:rPr>
        <w:t xml:space="preserve">（七）其它</w:t>
      </w:r>
      <w:r/>
    </w:p>
    <w:p>
      <w:pPr>
        <w:ind w:firstLine="480"/>
        <w:spacing w:line="360" w:lineRule="auto"/>
        <w:rPr>
          <w:rFonts w:ascii="宋体" w:hAnsi="宋体" w:cs="宋体"/>
          <w:sz w:val="24"/>
          <w:szCs w:val="24"/>
        </w:rPr>
      </w:pPr>
      <w:r/>
      <w:bookmarkStart w:id="107" w:name="auto_fouce_50"/>
      <w:r>
        <w:rPr>
          <w:rFonts w:hint="eastAsia" w:ascii="宋体" w:hAnsi="宋体" w:cs="宋体"/>
          <w:sz w:val="24"/>
          <w:szCs w:val="24"/>
        </w:rPr>
        <w:t xml:space="preserve">1、乙方除应做好服务人员的安全教育外，还应为服务人员提供必要的劳动保护条件，为服务人员办理作业时的人身安全保险和意外伤害险，一切安全责任事故均由乙方负责（保险种类由乙方自行选择）；</w:t>
      </w:r>
      <w:bookmarkEnd w:id="107"/>
      <w:r/>
      <w:r/>
    </w:p>
    <w:p>
      <w:pPr>
        <w:ind w:firstLine="480"/>
        <w:spacing w:line="360" w:lineRule="auto"/>
        <w:rPr>
          <w:rFonts w:ascii="宋体" w:hAnsi="宋体" w:cs="宋体"/>
          <w:sz w:val="24"/>
          <w:szCs w:val="24"/>
        </w:rPr>
      </w:pPr>
      <w:r>
        <w:rPr>
          <w:rFonts w:hint="eastAsia" w:ascii="宋体" w:hAnsi="宋体" w:cs="宋体"/>
          <w:sz w:val="24"/>
          <w:szCs w:val="24"/>
        </w:rPr>
        <w:t xml:space="preserve">2、本合同未尽之处双方协商解决；如协商不成，可向甲方住所地有管辖权的人民法院提起诉讼。</w:t>
      </w:r>
      <w:r/>
    </w:p>
    <w:p>
      <w:pPr>
        <w:ind w:firstLine="480"/>
        <w:spacing w:line="360" w:lineRule="auto"/>
        <w:rPr>
          <w:rFonts w:ascii="宋体" w:hAnsi="宋体" w:cs="宋体"/>
          <w:b/>
          <w:sz w:val="24"/>
          <w:szCs w:val="24"/>
        </w:rPr>
      </w:pPr>
      <w:r>
        <w:rPr>
          <w:rFonts w:hint="eastAsia" w:ascii="宋体" w:hAnsi="宋体" w:cs="宋体"/>
          <w:b/>
          <w:sz w:val="24"/>
          <w:szCs w:val="24"/>
        </w:rPr>
        <w:t xml:space="preserve">（八）附则</w:t>
      </w:r>
      <w:r/>
    </w:p>
    <w:p>
      <w:pPr>
        <w:ind w:firstLine="480"/>
        <w:spacing w:line="360" w:lineRule="auto"/>
        <w:rPr>
          <w:rFonts w:ascii="宋体" w:hAnsi="宋体" w:cs="宋体"/>
          <w:sz w:val="24"/>
          <w:szCs w:val="24"/>
        </w:rPr>
      </w:pPr>
      <w:r>
        <w:rPr>
          <w:rFonts w:hint="eastAsia" w:ascii="宋体" w:hAnsi="宋体" w:cs="宋体"/>
          <w:sz w:val="24"/>
          <w:szCs w:val="24"/>
        </w:rPr>
        <w:t xml:space="preserve">1、合同份数：本合同一式六份，甲乙双方各执两份，招标代理机构一份，政府采购监管部门一份。</w:t>
      </w:r>
      <w:r/>
    </w:p>
    <w:p>
      <w:pPr>
        <w:ind w:firstLine="480"/>
        <w:spacing w:line="360" w:lineRule="auto"/>
        <w:rPr>
          <w:rFonts w:ascii="宋体" w:hAnsi="宋体" w:cs="宋体"/>
          <w:sz w:val="24"/>
          <w:szCs w:val="24"/>
        </w:rPr>
      </w:pPr>
      <w:r/>
      <w:bookmarkStart w:id="108" w:name="auto_fouce_53"/>
      <w:r>
        <w:rPr>
          <w:rFonts w:hint="eastAsia" w:ascii="宋体" w:hAnsi="宋体" w:cs="宋体"/>
          <w:sz w:val="24"/>
          <w:szCs w:val="24"/>
        </w:rPr>
        <w:t xml:space="preserve">2、未尽事宜：本合同未尽事宜应按《中华人民共和国民法典》、《中华人民共和国政府采购法》以及其他相关法律、法规之规定解释。</w:t>
      </w:r>
      <w:bookmarkStart w:id="109" w:name="auto_fouce_54"/>
      <w:r/>
      <w:bookmarkEnd w:id="108"/>
      <w:r/>
      <w:bookmarkEnd w:id="109"/>
      <w:r/>
      <w:r/>
    </w:p>
    <w:p>
      <w:pPr>
        <w:spacing w:line="360" w:lineRule="auto"/>
        <w:rPr>
          <w:rFonts w:ascii="宋体" w:hAnsi="宋体" w:cs="宋体"/>
          <w:sz w:val="24"/>
          <w:szCs w:val="24"/>
        </w:rPr>
      </w:pPr>
      <w:r>
        <w:rPr>
          <w:rFonts w:ascii="宋体" w:hAnsi="宋体" w:cs="宋体"/>
          <w:sz w:val="24"/>
          <w:szCs w:val="24"/>
        </w:rPr>
      </w:r>
      <w:r/>
    </w:p>
    <w:tbl>
      <w:tblPr>
        <w:tblStyle w:val="700"/>
        <w:tblW w:w="9559" w:type="dxa"/>
        <w:tblInd w:w="0" w:type="dxa"/>
        <w:tblLayout w:type="fixed"/>
        <w:tblCellMar>
          <w:left w:w="108" w:type="dxa"/>
          <w:top w:w="0" w:type="dxa"/>
          <w:right w:w="108" w:type="dxa"/>
          <w:bottom w:w="0" w:type="dxa"/>
        </w:tblCellMar>
        <w:tblLook w:val="04A0" w:firstRow="1" w:lastRow="0" w:firstColumn="1" w:lastColumn="0" w:noHBand="0" w:noVBand="1"/>
      </w:tblPr>
      <w:tblGrid>
        <w:gridCol w:w="5045"/>
        <w:gridCol w:w="4514"/>
      </w:tblGrid>
      <w:tr>
        <w:trPr>
          <w:trHeight w:val="326"/>
        </w:trPr>
        <w:tc>
          <w:tcPr>
            <w:tcW w:w="5045"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采购单位：</w:t>
            </w:r>
            <w:bookmarkStart w:id="110" w:name="EBb602dc6de7e44e38a015289eea2172e7"/>
            <w:r/>
            <w:bookmarkEnd w:id="110"/>
            <w:r>
              <w:rPr>
                <w:rFonts w:hint="eastAsia" w:ascii="宋体" w:hAnsi="宋体" w:cs="宋体"/>
                <w:sz w:val="24"/>
                <w:szCs w:val="24"/>
              </w:rPr>
              <w:t xml:space="preserve">(公章)</w:t>
            </w:r>
            <w:r/>
          </w:p>
          <w:p>
            <w:pPr>
              <w:spacing w:line="360" w:lineRule="auto"/>
              <w:rPr>
                <w:rFonts w:ascii="宋体" w:hAnsi="宋体" w:cs="宋体"/>
                <w:sz w:val="24"/>
                <w:szCs w:val="24"/>
              </w:rPr>
            </w:pPr>
            <w:r>
              <w:rPr>
                <w:rFonts w:ascii="宋体" w:hAnsi="宋体" w:cs="宋体"/>
                <w:sz w:val="24"/>
                <w:szCs w:val="24"/>
              </w:rPr>
            </w:r>
            <w:r/>
          </w:p>
        </w:tc>
        <w:tc>
          <w:tcPr>
            <w:tcW w:w="451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供应商: </w:t>
            </w:r>
            <w:bookmarkStart w:id="111" w:name="EBcff6b770bf2f406980631e05eeb3b7a1"/>
            <w:r/>
            <w:bookmarkEnd w:id="111"/>
            <w:r>
              <w:rPr>
                <w:rFonts w:hint="eastAsia" w:ascii="宋体" w:hAnsi="宋体" w:cs="宋体"/>
                <w:sz w:val="24"/>
                <w:szCs w:val="24"/>
              </w:rPr>
              <w:t xml:space="preserve">(公章)</w:t>
            </w:r>
            <w:r/>
          </w:p>
          <w:p>
            <w:pPr>
              <w:spacing w:line="360" w:lineRule="auto"/>
              <w:rPr>
                <w:rFonts w:ascii="宋体" w:hAnsi="宋体" w:cs="宋体"/>
                <w:sz w:val="24"/>
                <w:szCs w:val="24"/>
              </w:rPr>
            </w:pPr>
            <w:r>
              <w:rPr>
                <w:rFonts w:ascii="宋体" w:hAnsi="宋体" w:cs="宋体"/>
                <w:sz w:val="24"/>
                <w:szCs w:val="24"/>
              </w:rPr>
            </w:r>
            <w:r/>
          </w:p>
        </w:tc>
      </w:tr>
      <w:tr>
        <w:trPr>
          <w:trHeight w:val="326"/>
        </w:trPr>
        <w:tc>
          <w:tcPr>
            <w:tcW w:w="5045"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法定代表人或其委托代理人：</w:t>
            </w:r>
            <w:r/>
          </w:p>
          <w:p>
            <w:pPr>
              <w:spacing w:line="360" w:lineRule="auto"/>
              <w:rPr>
                <w:rFonts w:ascii="宋体" w:hAnsi="宋体" w:cs="宋体"/>
                <w:sz w:val="24"/>
                <w:szCs w:val="24"/>
              </w:rPr>
            </w:pPr>
            <w:r/>
            <w:bookmarkStart w:id="112" w:name="EB490efd1888f443efab8d807e1355bdfe"/>
            <w:r/>
            <w:bookmarkEnd w:id="112"/>
            <w:r>
              <w:rPr>
                <w:rFonts w:hint="eastAsia" w:ascii="宋体" w:hAnsi="宋体" w:cs="宋体"/>
                <w:sz w:val="24"/>
                <w:szCs w:val="24"/>
              </w:rPr>
              <w:t xml:space="preserve">(签字)</w:t>
            </w:r>
            <w:r/>
          </w:p>
        </w:tc>
        <w:tc>
          <w:tcPr>
            <w:tcW w:w="451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法定代表人或其委托代理人：</w:t>
            </w:r>
            <w:r/>
          </w:p>
          <w:p>
            <w:pPr>
              <w:spacing w:line="360" w:lineRule="auto"/>
              <w:rPr>
                <w:rFonts w:ascii="宋体" w:hAnsi="宋体" w:cs="宋体"/>
                <w:sz w:val="24"/>
                <w:szCs w:val="24"/>
              </w:rPr>
            </w:pPr>
            <w:r/>
            <w:bookmarkStart w:id="113" w:name="EB36b419ff1022499ba9a269aa09c6348b"/>
            <w:r/>
            <w:bookmarkEnd w:id="113"/>
            <w:r>
              <w:rPr>
                <w:rFonts w:hint="eastAsia" w:ascii="宋体" w:hAnsi="宋体" w:cs="宋体"/>
                <w:sz w:val="24"/>
                <w:szCs w:val="24"/>
              </w:rPr>
              <w:t xml:space="preserve">(签字)</w:t>
            </w:r>
            <w:r/>
          </w:p>
        </w:tc>
      </w:tr>
      <w:tr>
        <w:trPr>
          <w:trHeight w:val="315"/>
        </w:trPr>
        <w:tc>
          <w:tcPr>
            <w:tcW w:w="5045"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日期：</w:t>
            </w:r>
            <w:r/>
          </w:p>
        </w:tc>
        <w:tc>
          <w:tcPr>
            <w:tcW w:w="451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日期： </w:t>
            </w:r>
            <w:r/>
          </w:p>
        </w:tc>
      </w:tr>
    </w:tbl>
    <w:p>
      <w:pPr>
        <w:jc w:val="left"/>
        <w:spacing w:line="360" w:lineRule="auto"/>
        <w:widowControl/>
        <w:rPr>
          <w:rFonts w:ascii="宋体" w:hAnsi="宋体" w:cs="宋体"/>
          <w:b/>
          <w:bCs/>
          <w:sz w:val="24"/>
          <w:szCs w:val="24"/>
          <w:lang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rPr>
          <w:rFonts w:hint="eastAsia" w:ascii="宋体" w:hAnsi="宋体" w:cs="宋体"/>
          <w:sz w:val="24"/>
          <w:szCs w:val="24"/>
          <w:highlight w:val="none"/>
          <w:lang w:eastAsia="en-US" w:bidi="en-US"/>
        </w:rPr>
      </w:r>
      <w:r>
        <w:rPr>
          <w:rFonts w:hint="eastAsia" w:ascii="宋体" w:hAnsi="宋体" w:cs="宋体"/>
          <w:sz w:val="24"/>
          <w:szCs w:val="24"/>
          <w:highlight w:val="none"/>
          <w:lang w:eastAsia="en-US" w:bidi="en-US"/>
        </w:rPr>
      </w:r>
      <w:r/>
    </w:p>
    <w:p>
      <w:pPr>
        <w:jc w:val="left"/>
        <w:spacing w:line="360" w:lineRule="auto"/>
        <w:widowControl/>
        <w:rPr>
          <w:rFonts w:hint="eastAsia" w:ascii="宋体" w:hAnsi="宋体" w:cs="宋体"/>
          <w:sz w:val="24"/>
          <w:szCs w:val="24"/>
          <w:highlight w:val="none"/>
          <w:lang w:eastAsia="en-US" w:bidi="en-US"/>
        </w:rPr>
      </w:pPr>
      <w:r/>
      <w:bookmarkStart w:id="122" w:name="_GoBack"/>
      <w:r/>
      <w:bookmarkEnd w:id="122"/>
      <w:r>
        <w:rPr>
          <w:rFonts w:hint="eastAsia" w:ascii="宋体" w:hAnsi="宋体" w:cs="宋体"/>
          <w:sz w:val="24"/>
          <w:szCs w:val="24"/>
          <w:lang w:bidi="en-US"/>
        </w:rPr>
        <w:t xml:space="preserve">附件1：</w:t>
      </w:r>
      <w:r>
        <w:rPr>
          <w:rFonts w:hint="eastAsia" w:ascii="宋体" w:hAnsi="宋体" w:cs="宋体"/>
          <w:sz w:val="24"/>
          <w:szCs w:val="24"/>
          <w:lang w:eastAsia="en-US" w:bidi="en-US"/>
        </w:rPr>
        <w:t xml:space="preserve">考核标准</w:t>
      </w:r>
      <w:r/>
    </w:p>
    <w:tbl>
      <w:tblPr>
        <w:tblStyle w:val="700"/>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950"/>
        <w:gridCol w:w="5237"/>
        <w:gridCol w:w="950"/>
        <w:gridCol w:w="789"/>
      </w:tblGrid>
      <w:tr>
        <w:trPr>
          <w:jc w:val="center"/>
          <w:trHeight w:val="841"/>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分值</w:t>
            </w:r>
            <w:r/>
          </w:p>
        </w:tc>
        <w:tc>
          <w:tcPr>
            <w:tcW w:w="523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考核标准</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得分</w:t>
            </w:r>
            <w:r/>
          </w:p>
        </w:tc>
        <w:tc>
          <w:tcPr>
            <w:tcW w:w="78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备注</w:t>
            </w:r>
            <w:r/>
          </w:p>
        </w:tc>
      </w:tr>
      <w:tr>
        <w:trPr>
          <w:jc w:val="center"/>
          <w:trHeight w:val="2062"/>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出勤</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5237" w:type="dxa"/>
            <w:vAlign w:val="center"/>
            <w:textDirection w:val="lrTb"/>
            <w:noWrap w:val="false"/>
          </w:tcPr>
          <w:p>
            <w:pPr>
              <w:widowControl/>
              <w:rPr>
                <w:rFonts w:ascii="宋体" w:hAnsi="宋体" w:cs="宋体"/>
                <w:sz w:val="24"/>
                <w:szCs w:val="24"/>
              </w:rPr>
            </w:pPr>
            <w:r/>
            <w:bookmarkStart w:id="114" w:name="auto_fouce_55"/>
            <w:r>
              <w:rPr>
                <w:rFonts w:hint="eastAsia" w:ascii="宋体" w:hAnsi="宋体" w:cs="宋体"/>
                <w:sz w:val="24"/>
                <w:szCs w:val="24"/>
              </w:rPr>
              <w:t xml:space="preserve">配置本项目的工作人员仅为本项目提供服务，不得在其他项目兼职。</w:t>
            </w:r>
            <w:bookmarkEnd w:id="114"/>
            <w:r>
              <w:rPr>
                <w:rFonts w:hint="eastAsia" w:ascii="宋体" w:hAnsi="宋体" w:cs="宋体"/>
                <w:sz w:val="24"/>
                <w:szCs w:val="24"/>
              </w:rPr>
              <w:t xml:space="preserve">配置给甲方的工作人员，如需在本项目内临时调配的，需书面申报并征得甲方同意。发现违反一次扣5分，扣完为止。</w:t>
            </w:r>
            <w:r/>
          </w:p>
        </w:tc>
        <w:tc>
          <w:tcPr>
            <w:tcW w:w="950"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c>
          <w:tcPr>
            <w:tcW w:w="78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r>
      <w:tr>
        <w:trPr>
          <w:jc w:val="center"/>
          <w:trHeight w:val="1248"/>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服装</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tcW w:w="523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工作人员需按照相关规定穿戴统一制服，佩戴统一的帽子、腰带并佩戴胸卡。发现违反一次扣1分，扣完为止。</w:t>
            </w:r>
            <w:r/>
          </w:p>
        </w:tc>
        <w:tc>
          <w:tcPr>
            <w:tcW w:w="950"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c>
          <w:tcPr>
            <w:tcW w:w="78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r>
      <w:tr>
        <w:trPr>
          <w:jc w:val="center"/>
          <w:trHeight w:val="2062"/>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文明服务</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tcW w:w="523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工作人员在工作期间应坚持文明服务、礼貌用语、处理问题要分清是非、坚持原则、实事求是、以理服人、态度和蔼、不刁难群众，严禁打人、骂人、侮辱人格等侵权行为。发现违反一次扣1分，扣完为止。</w:t>
            </w:r>
            <w:r/>
          </w:p>
        </w:tc>
        <w:tc>
          <w:tcPr>
            <w:tcW w:w="950"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c>
          <w:tcPr>
            <w:tcW w:w="78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r>
      <w:tr>
        <w:trPr>
          <w:jc w:val="center"/>
          <w:trHeight w:val="1248"/>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工作纪律</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523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工作人员应遵纪守法、秉公办事，不得侵犯他人合法权益，严禁以权谋私、徇私舞弊，严禁捡拾垃圾，发现违反一次扣5分，扣完为止。</w:t>
            </w:r>
            <w:r/>
          </w:p>
        </w:tc>
        <w:tc>
          <w:tcPr>
            <w:tcW w:w="950"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W w:w="789" w:type="dxa"/>
            <w:vAlign w:val="center"/>
            <w:textDirection w:val="lrTb"/>
            <w:noWrap w:val="false"/>
          </w:tcPr>
          <w:p>
            <w:pPr>
              <w:widowControl/>
              <w:rPr>
                <w:rFonts w:ascii="宋体" w:hAnsi="宋体" w:cs="宋体"/>
                <w:sz w:val="24"/>
                <w:szCs w:val="24"/>
              </w:rPr>
            </w:pPr>
            <w:r>
              <w:rPr>
                <w:rFonts w:ascii="宋体" w:hAnsi="宋体" w:cs="宋体"/>
                <w:sz w:val="24"/>
                <w:szCs w:val="24"/>
              </w:rPr>
            </w:r>
            <w:r/>
          </w:p>
        </w:tc>
      </w:tr>
      <w:tr>
        <w:trPr>
          <w:jc w:val="center"/>
          <w:trHeight w:val="1656"/>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专项巡查工作</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tcW w:w="523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如发现站点内存在消防安全专项问题点，而乙方未察觉并未及时清除，发现一处扣3分；工作人员需认真配合各级巡查，对站点进行有效管理整治，发现违反一次扣2分；扣完为止。</w:t>
            </w:r>
            <w:r/>
          </w:p>
        </w:tc>
        <w:tc>
          <w:tcPr>
            <w:tcW w:w="950"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c>
          <w:tcPr>
            <w:tcW w:w="78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r>
      <w:tr>
        <w:trPr>
          <w:jc w:val="center"/>
          <w:trHeight w:val="1248"/>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tcW w:w="1267" w:type="dxa"/>
            <w:vAlign w:val="center"/>
            <w:textDirection w:val="lrTb"/>
            <w:noWrap w:val="false"/>
          </w:tcPr>
          <w:p>
            <w:pPr>
              <w:jc w:val="center"/>
              <w:rPr>
                <w:rFonts w:ascii="宋体" w:hAnsi="宋体" w:cs="宋体"/>
                <w:sz w:val="24"/>
                <w:szCs w:val="24"/>
                <w:lang w:bidi="en-US"/>
              </w:rPr>
            </w:pPr>
            <w:r>
              <w:rPr>
                <w:rFonts w:hint="eastAsia" w:ascii="宋体" w:hAnsi="宋体" w:cs="宋体"/>
                <w:sz w:val="24"/>
                <w:szCs w:val="24"/>
              </w:rPr>
              <w:t xml:space="preserve">维修工作</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5237" w:type="dxa"/>
            <w:vAlign w:val="center"/>
            <w:textDirection w:val="lrTb"/>
            <w:noWrap w:val="false"/>
          </w:tcPr>
          <w:p>
            <w:pPr>
              <w:widowControl/>
              <w:rPr>
                <w:rFonts w:ascii="宋体" w:hAnsi="宋体" w:cs="宋体"/>
                <w:sz w:val="24"/>
                <w:szCs w:val="24"/>
              </w:rPr>
            </w:pPr>
            <w:r/>
            <w:bookmarkStart w:id="115" w:name="auto_fouce_56"/>
            <w:r>
              <w:rPr>
                <w:rFonts w:hint="eastAsia" w:ascii="宋体" w:hAnsi="宋体" w:cs="宋体"/>
                <w:sz w:val="24"/>
                <w:szCs w:val="24"/>
              </w:rPr>
              <w:t xml:space="preserve">车辆、设备、设施如有问题，需及时上报甲方，经甲方同意后方可维修，发现违反一次扣2分，扣完为止。</w:t>
            </w:r>
            <w:bookmarkEnd w:id="115"/>
            <w:r/>
            <w:r/>
          </w:p>
        </w:tc>
        <w:tc>
          <w:tcPr>
            <w:tcW w:w="950"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c>
          <w:tcPr>
            <w:tcW w:w="78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r>
      <w:tr>
        <w:trPr>
          <w:jc w:val="center"/>
          <w:trHeight w:val="1248"/>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卫生工作</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523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做好站点内及周边的环境卫生保障工作，及时冲洗车辆，保证车身干净、严禁滴漏现象，发现违反一次扣1分；扣完为止。</w:t>
            </w:r>
            <w:r/>
          </w:p>
        </w:tc>
        <w:tc>
          <w:tcPr>
            <w:tcW w:w="950"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W w:w="789" w:type="dxa"/>
            <w:vAlign w:val="center"/>
            <w:textDirection w:val="lrTb"/>
            <w:noWrap w:val="false"/>
          </w:tcPr>
          <w:p>
            <w:pPr>
              <w:widowControl/>
              <w:rPr>
                <w:rFonts w:ascii="宋体" w:hAnsi="宋体" w:cs="宋体"/>
                <w:sz w:val="24"/>
                <w:szCs w:val="24"/>
              </w:rPr>
            </w:pPr>
            <w:r>
              <w:rPr>
                <w:rFonts w:ascii="宋体" w:hAnsi="宋体" w:cs="宋体"/>
                <w:sz w:val="24"/>
                <w:szCs w:val="24"/>
              </w:rPr>
            </w:r>
            <w:r/>
          </w:p>
        </w:tc>
      </w:tr>
      <w:tr>
        <w:trPr>
          <w:jc w:val="center"/>
          <w:trHeight w:val="1248"/>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突发事件</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5237" w:type="dxa"/>
            <w:vAlign w:val="center"/>
            <w:textDirection w:val="lrTb"/>
            <w:noWrap w:val="false"/>
          </w:tcPr>
          <w:p>
            <w:pPr>
              <w:widowControl/>
              <w:rPr>
                <w:rFonts w:ascii="宋体" w:hAnsi="宋体" w:cs="宋体"/>
                <w:sz w:val="24"/>
                <w:szCs w:val="24"/>
              </w:rPr>
            </w:pPr>
            <w:r/>
            <w:bookmarkStart w:id="116" w:name="auto_fouce_57"/>
            <w:r>
              <w:rPr>
                <w:rFonts w:hint="eastAsia" w:ascii="宋体" w:hAnsi="宋体" w:cs="宋体"/>
                <w:sz w:val="24"/>
                <w:szCs w:val="24"/>
              </w:rPr>
              <w:t xml:space="preserve">遇到突发情况时，必须第一时间上报，不得隐瞒不报，发现违反一次扣5分；出现车辆停卡的，每次扣2分；扣完为止。</w:t>
            </w:r>
            <w:bookmarkEnd w:id="116"/>
            <w:r/>
            <w:r/>
          </w:p>
        </w:tc>
        <w:tc>
          <w:tcPr>
            <w:tcW w:w="950"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W w:w="789" w:type="dxa"/>
            <w:vAlign w:val="center"/>
            <w:textDirection w:val="lrTb"/>
            <w:noWrap w:val="false"/>
          </w:tcPr>
          <w:p>
            <w:pPr>
              <w:widowControl/>
              <w:rPr>
                <w:rFonts w:ascii="宋体" w:hAnsi="宋体" w:cs="宋体"/>
                <w:sz w:val="24"/>
                <w:szCs w:val="24"/>
              </w:rPr>
            </w:pPr>
            <w:r>
              <w:rPr>
                <w:rFonts w:ascii="宋体" w:hAnsi="宋体" w:cs="宋体"/>
                <w:sz w:val="24"/>
                <w:szCs w:val="24"/>
              </w:rPr>
            </w:r>
            <w:r/>
          </w:p>
        </w:tc>
      </w:tr>
      <w:tr>
        <w:trPr>
          <w:jc w:val="center"/>
          <w:trHeight w:val="841"/>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垃圾清运</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tcW w:w="523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中转站垃圾及时清理，做到日产日清，发现违反一次扣1分，扣完为止。</w:t>
            </w:r>
            <w:r/>
          </w:p>
        </w:tc>
        <w:tc>
          <w:tcPr>
            <w:tcW w:w="950"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W w:w="789" w:type="dxa"/>
            <w:vAlign w:val="center"/>
            <w:textDirection w:val="lrTb"/>
            <w:noWrap w:val="false"/>
          </w:tcPr>
          <w:p>
            <w:pPr>
              <w:widowControl/>
              <w:rPr>
                <w:rFonts w:ascii="宋体" w:hAnsi="宋体" w:cs="宋体"/>
                <w:sz w:val="24"/>
                <w:szCs w:val="24"/>
              </w:rPr>
            </w:pPr>
            <w:r>
              <w:rPr>
                <w:rFonts w:ascii="宋体" w:hAnsi="宋体" w:cs="宋体"/>
                <w:sz w:val="24"/>
                <w:szCs w:val="24"/>
              </w:rPr>
            </w:r>
            <w:r/>
          </w:p>
        </w:tc>
      </w:tr>
      <w:tr>
        <w:trPr>
          <w:jc w:val="center"/>
          <w:trHeight w:val="2062"/>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安全事故</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523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出现安全事故的，理赔金额2万以内的（含2万），每次扣2分；理赔金额5万以内的（含5万），每次扣4分；理赔金额达10万以内的（含10万），每次扣6分；理赔金额达10万以上的（不含10万），每次扣10分。</w:t>
            </w:r>
            <w:r/>
          </w:p>
        </w:tc>
        <w:tc>
          <w:tcPr>
            <w:tcW w:w="950"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W w:w="789" w:type="dxa"/>
            <w:vAlign w:val="center"/>
            <w:textDirection w:val="lrTb"/>
            <w:noWrap w:val="false"/>
          </w:tcPr>
          <w:p>
            <w:pPr>
              <w:widowControl/>
              <w:rPr>
                <w:rFonts w:ascii="宋体" w:hAnsi="宋体" w:cs="宋体"/>
                <w:sz w:val="24"/>
                <w:szCs w:val="24"/>
              </w:rPr>
            </w:pPr>
            <w:r>
              <w:rPr>
                <w:rFonts w:ascii="宋体" w:hAnsi="宋体" w:cs="宋体"/>
                <w:sz w:val="24"/>
                <w:szCs w:val="24"/>
              </w:rPr>
            </w:r>
            <w:r/>
          </w:p>
        </w:tc>
      </w:tr>
      <w:tr>
        <w:trPr>
          <w:jc w:val="center"/>
          <w:trHeight w:val="1248"/>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tcW w:w="12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应急预案</w:t>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5237" w:type="dxa"/>
            <w:vAlign w:val="center"/>
            <w:textDirection w:val="lrTb"/>
            <w:noWrap w:val="false"/>
          </w:tcPr>
          <w:p>
            <w:pPr>
              <w:widowControl/>
              <w:rPr>
                <w:rFonts w:ascii="宋体" w:hAnsi="宋体" w:cs="宋体"/>
                <w:sz w:val="24"/>
                <w:szCs w:val="24"/>
              </w:rPr>
            </w:pPr>
            <w:r/>
            <w:bookmarkStart w:id="117" w:name="auto_fouce_58"/>
            <w:r>
              <w:rPr>
                <w:rFonts w:hint="eastAsia" w:ascii="宋体" w:hAnsi="宋体" w:cs="宋体"/>
                <w:sz w:val="24"/>
                <w:szCs w:val="24"/>
              </w:rPr>
              <w:t xml:space="preserve">发生重大突发事件或重要突击任务时，项目工作人员需按甲方领导要求，及时到场，听从甲方领导安排发现违反一次扣5分，扣完为止。</w:t>
            </w:r>
            <w:bookmarkEnd w:id="117"/>
            <w:r/>
            <w:r/>
          </w:p>
        </w:tc>
        <w:tc>
          <w:tcPr>
            <w:tcW w:w="950"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c>
          <w:tcPr>
            <w:tcW w:w="789"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　</w:t>
            </w:r>
            <w:r/>
          </w:p>
        </w:tc>
      </w:tr>
      <w:tr>
        <w:trPr>
          <w:jc w:val="center"/>
          <w:trHeight w:val="841"/>
        </w:trPr>
        <w:tc>
          <w:tcPr>
            <w:tcW w:w="68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总分</w:t>
            </w:r>
            <w:r/>
          </w:p>
        </w:tc>
        <w:tc>
          <w:tcPr>
            <w:tcW w:w="126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95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100</w:t>
            </w:r>
            <w:r/>
          </w:p>
        </w:tc>
        <w:tc>
          <w:tcPr>
            <w:tcW w:w="5237"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W w:w="950"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W w:w="789" w:type="dxa"/>
            <w:vAlign w:val="center"/>
            <w:textDirection w:val="lrTb"/>
            <w:noWrap w:val="false"/>
          </w:tcPr>
          <w:p>
            <w:pPr>
              <w:widowControl/>
              <w:rPr>
                <w:rFonts w:ascii="宋体" w:hAnsi="宋体" w:cs="宋体"/>
                <w:sz w:val="24"/>
                <w:szCs w:val="24"/>
              </w:rPr>
            </w:pPr>
            <w:r>
              <w:rPr>
                <w:rFonts w:ascii="宋体" w:hAnsi="宋体" w:cs="宋体"/>
                <w:sz w:val="24"/>
                <w:szCs w:val="24"/>
              </w:rPr>
            </w:r>
            <w:r/>
          </w:p>
        </w:tc>
      </w:tr>
      <w:tr>
        <w:trPr>
          <w:jc w:val="center"/>
          <w:trHeight w:val="2553"/>
        </w:trPr>
        <w:tc>
          <w:tcPr>
            <w:gridSpan w:val="6"/>
            <w:tcW w:w="987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备注：使用单位每月开展考核，满分为100分，按分档累计制实施扣款，具体方式如下：</w:t>
            </w:r>
            <w:r/>
          </w:p>
          <w:p>
            <w:pPr>
              <w:widowControl/>
              <w:rPr>
                <w:rFonts w:ascii="宋体" w:hAnsi="宋体" w:cs="宋体"/>
                <w:sz w:val="24"/>
                <w:szCs w:val="24"/>
              </w:rPr>
            </w:pPr>
            <w:r>
              <w:rPr>
                <w:rFonts w:hint="eastAsia" w:ascii="宋体" w:hAnsi="宋体" w:cs="宋体"/>
                <w:sz w:val="24"/>
                <w:szCs w:val="24"/>
              </w:rPr>
              <w:t xml:space="preserve">第一档：月度考核分值100分以下95分（含）以上，每低一分扣100元；</w:t>
            </w:r>
            <w:r/>
          </w:p>
          <w:p>
            <w:pPr>
              <w:widowControl/>
              <w:rPr>
                <w:rFonts w:ascii="宋体" w:hAnsi="宋体" w:cs="宋体"/>
                <w:sz w:val="24"/>
                <w:szCs w:val="24"/>
              </w:rPr>
            </w:pPr>
            <w:r>
              <w:rPr>
                <w:rFonts w:hint="eastAsia" w:ascii="宋体" w:hAnsi="宋体" w:cs="宋体"/>
                <w:sz w:val="24"/>
                <w:szCs w:val="24"/>
              </w:rPr>
              <w:t xml:space="preserve">第二档：月度考核分值95分以下90分（含）以上，每低一分扣200元；</w:t>
            </w:r>
            <w:r/>
          </w:p>
          <w:p>
            <w:pPr>
              <w:widowControl/>
              <w:rPr>
                <w:rFonts w:ascii="宋体" w:hAnsi="宋体" w:cs="宋体"/>
                <w:sz w:val="24"/>
                <w:szCs w:val="24"/>
              </w:rPr>
            </w:pPr>
            <w:r>
              <w:rPr>
                <w:rFonts w:hint="eastAsia" w:ascii="宋体" w:hAnsi="宋体" w:cs="宋体"/>
                <w:sz w:val="24"/>
                <w:szCs w:val="24"/>
              </w:rPr>
              <w:t xml:space="preserve">第三档：月度考核分值90分以下85分（含）以上，每低一分扣300元；</w:t>
            </w:r>
            <w:r/>
          </w:p>
          <w:p>
            <w:pPr>
              <w:widowControl/>
              <w:rPr>
                <w:rFonts w:ascii="宋体" w:hAnsi="宋体" w:cs="宋体"/>
                <w:sz w:val="24"/>
                <w:szCs w:val="24"/>
              </w:rPr>
            </w:pPr>
            <w:r>
              <w:rPr>
                <w:rFonts w:hint="eastAsia" w:ascii="宋体" w:hAnsi="宋体" w:cs="宋体"/>
                <w:sz w:val="24"/>
                <w:szCs w:val="24"/>
              </w:rPr>
              <w:t xml:space="preserve">第四档：月度考核分值85分以下80分（含）以上，每低一分扣400元；</w:t>
            </w:r>
            <w:r/>
          </w:p>
          <w:p>
            <w:pPr>
              <w:widowControl/>
              <w:rPr>
                <w:rFonts w:ascii="宋体" w:hAnsi="宋体" w:cs="宋体"/>
                <w:sz w:val="24"/>
                <w:szCs w:val="24"/>
              </w:rPr>
            </w:pPr>
            <w:r>
              <w:rPr>
                <w:rFonts w:hint="eastAsia" w:ascii="宋体" w:hAnsi="宋体" w:cs="宋体"/>
                <w:sz w:val="24"/>
                <w:szCs w:val="24"/>
              </w:rPr>
              <w:t xml:space="preserve">第五档：月度考核分值80分以下解除合同。 </w:t>
            </w:r>
            <w:r/>
          </w:p>
          <w:p>
            <w:pPr>
              <w:widowControl/>
              <w:rPr>
                <w:rFonts w:ascii="宋体" w:hAnsi="宋体" w:cs="宋体"/>
                <w:sz w:val="24"/>
                <w:szCs w:val="24"/>
              </w:rPr>
            </w:pPr>
            <w:r>
              <w:rPr>
                <w:rFonts w:hint="eastAsia" w:ascii="宋体" w:hAnsi="宋体" w:cs="宋体"/>
                <w:sz w:val="24"/>
                <w:szCs w:val="24"/>
              </w:rPr>
              <w:t xml:space="preserve">例：月度考核分值86分，扣款为（100-95）*100+（95-90）*200+（90-86）*300=2700元。 </w:t>
            </w:r>
            <w:bookmarkEnd w:id="72"/>
            <w:r/>
            <w:r/>
          </w:p>
        </w:tc>
      </w:tr>
    </w:tbl>
    <w:p>
      <w:pPr>
        <w:pStyle w:val="710"/>
        <w:jc w:val="center"/>
        <w:spacing w:line="360" w:lineRule="auto"/>
        <w:rPr>
          <w:rStyle w:val="731"/>
          <w:rFonts w:hAnsi="宋体" w:cs="宋体"/>
          <w:sz w:val="24"/>
        </w:rPr>
      </w:pPr>
      <w:r>
        <w:rPr>
          <w:rStyle w:val="731"/>
          <w:rFonts w:hint="eastAsia" w:hAnsi="宋体" w:cs="宋体"/>
          <w:sz w:val="24"/>
        </w:rPr>
        <w:br w:type="page" w:clear="all"/>
      </w:r>
      <w:r>
        <w:rPr>
          <w:rStyle w:val="731"/>
          <w:rFonts w:hint="eastAsia" w:hAnsi="宋体" w:cs="宋体"/>
          <w:sz w:val="24"/>
        </w:rPr>
        <w:t xml:space="preserve">第五章 </w:t>
      </w:r>
      <w:bookmarkStart w:id="118" w:name="OLE_LINK13"/>
      <w:r>
        <w:rPr>
          <w:rStyle w:val="731"/>
          <w:rFonts w:hint="eastAsia" w:hAnsi="宋体" w:cs="宋体"/>
          <w:sz w:val="24"/>
        </w:rPr>
        <w:t xml:space="preserve">响应文件格式（部分）</w:t>
      </w:r>
      <w:bookmarkEnd w:id="118"/>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说明：</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对本章所有的格式，供应商可根据自身情况进行补充和修改，但补充和修改不得造成与本格式内容有实质性的违背。</w:t>
      </w:r>
      <w:r/>
    </w:p>
    <w:p>
      <w:pPr>
        <w:spacing w:line="360" w:lineRule="auto"/>
        <w:rPr>
          <w:rFonts w:ascii="宋体" w:hAnsi="宋体" w:cs="宋体"/>
          <w:sz w:val="24"/>
          <w:szCs w:val="24"/>
        </w:rPr>
      </w:pPr>
      <w:r>
        <w:rPr>
          <w:rStyle w:val="731"/>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磋商响应函</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致：</w:t>
      </w:r>
      <w:r>
        <w:rPr>
          <w:rFonts w:hint="eastAsia" w:ascii="宋体" w:hAnsi="宋体" w:cs="宋体"/>
          <w:b/>
          <w:sz w:val="24"/>
          <w:szCs w:val="24"/>
          <w:u w:val="single"/>
        </w:rPr>
        <w:t xml:space="preserve">信达项目管理咨询（苏州）有限公司</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我方收到贵公司</w:t>
      </w:r>
      <w:r>
        <w:rPr>
          <w:rFonts w:hint="eastAsia" w:ascii="宋体" w:hAnsi="宋体" w:cs="宋体"/>
          <w:sz w:val="24"/>
          <w:szCs w:val="24"/>
          <w:u w:val="single"/>
        </w:rPr>
        <w:t xml:space="preserve">         </w:t>
      </w:r>
      <w:r>
        <w:rPr>
          <w:rFonts w:hint="eastAsia" w:ascii="宋体" w:hAnsi="宋体" w:cs="宋体"/>
          <w:sz w:val="24"/>
          <w:szCs w:val="24"/>
        </w:rPr>
        <w:t xml:space="preserve">（项目编号）采购文件，经仔细阅读和研究，我方决定参加磋商活动，并向贵公司作出如下承诺：</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1、我方愿意按照采购文件的一切要求，提供本项目的所有内容，我方的报价包括完成本项工作所需的一切应有费用。</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3、我方已详细审查并同意采购文件及更正文件（若有）中的规定。我方完全理解并同意放弃对这方面有不明及误解的权利。</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4、本磋商响应文件的有效期限为响应文件接收截止时间之日起60天。</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7、我方承诺磋商响应文件在磋商开始后的全过程中保持有效，不作任何更改和变动。</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8、我方承诺满足《中华人民共和国政府采购法》第二十二条规定的所有条件。</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9、与本磋商响应有关的通讯地址：</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单  位：            联 系 人： </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  址：            邮政编码： </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联系电话：            电子邮箱：</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响应单位名称（公章）：</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法定代表人或被授权人：（签字或盖章）</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  期：  年  月  日</w:t>
      </w:r>
      <w:r/>
    </w:p>
    <w:p>
      <w:pPr>
        <w:pStyle w:val="774"/>
        <w:spacing w:line="360" w:lineRule="auto"/>
        <w:rPr>
          <w:rFonts w:ascii="宋体" w:hAnsi="宋体" w:cs="宋体"/>
          <w:sz w:val="24"/>
          <w:szCs w:val="24"/>
        </w:rPr>
      </w:pPr>
      <w:r>
        <w:rPr>
          <w:rFonts w:ascii="宋体" w:hAnsi="宋体" w:cs="宋体"/>
          <w:sz w:val="24"/>
          <w:szCs w:val="24"/>
        </w:rPr>
      </w:r>
      <w:r/>
    </w:p>
    <w:p>
      <w:pPr>
        <w:jc w:val="left"/>
        <w:keepLines/>
        <w:keepNext/>
        <w:spacing w:line="360" w:lineRule="auto"/>
        <w:rPr>
          <w:rFonts w:ascii="宋体" w:hAnsi="宋体" w:cs="宋体"/>
          <w:b/>
          <w:sz w:val="24"/>
          <w:szCs w:val="24"/>
        </w:rPr>
        <w:outlineLvl w:val="1"/>
      </w:pPr>
      <w:r>
        <w:rPr>
          <w:rFonts w:hint="eastAsia" w:ascii="宋体" w:hAnsi="宋体" w:cs="宋体"/>
          <w:sz w:val="24"/>
          <w:szCs w:val="24"/>
        </w:rPr>
        <w:br w:type="page" w:clear="all"/>
      </w:r>
      <w:r>
        <w:rPr>
          <w:rFonts w:hint="eastAsia" w:ascii="宋体" w:hAnsi="宋体" w:cs="宋体"/>
          <w:b/>
          <w:sz w:val="24"/>
          <w:szCs w:val="24"/>
        </w:rPr>
        <w:t xml:space="preserve">2、法定代表人授权委托书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（姓名）为我公司代理人，以本公司的名义参加信达项目管理咨询（苏州）有限公司组织实施的编号为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号的采购活动。代理人在开标、评标、合同谈判过程中所签署的一切文件和处理与这有关的一切事务，我均予以承认。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p>
    <w:p>
      <w:pPr>
        <w:ind w:firstLine="420"/>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sz w:val="24"/>
          <w:szCs w:val="24"/>
        </w:rPr>
      </w:pPr>
      <w:r>
        <w:rPr>
          <w:rFonts w:hint="eastAsia" w:ascii="宋体" w:hAnsi="宋体" w:cs="宋体"/>
          <w:b/>
          <w:sz w:val="24"/>
          <w:szCs w:val="24"/>
        </w:rPr>
        <w:t xml:space="preserve">3、开标一览表（以系统中格式为准）</w:t>
      </w:r>
      <w:r/>
    </w:p>
    <w:p>
      <w:pPr>
        <w:jc w:val="left"/>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4、</w:t>
      </w:r>
      <w:bookmarkStart w:id="119" w:name="OLE_LINK27"/>
      <w:r/>
      <w:bookmarkStart w:id="120" w:name="OLE_LINK32"/>
      <w:r>
        <w:rPr>
          <w:rFonts w:hint="eastAsia" w:ascii="宋体" w:hAnsi="宋体" w:cs="宋体"/>
          <w:b/>
          <w:sz w:val="24"/>
          <w:szCs w:val="24"/>
        </w:rPr>
        <w:t xml:space="preserve">分项报价明细表</w:t>
      </w:r>
      <w:bookmarkEnd w:id="119"/>
      <w:r/>
      <w:bookmarkEnd w:id="120"/>
      <w:r/>
      <w:r/>
    </w:p>
    <w:p>
      <w:pPr>
        <w:jc w:val="center"/>
        <w:spacing w:line="360" w:lineRule="auto"/>
        <w:rPr>
          <w:rFonts w:ascii="宋体" w:hAnsi="宋体" w:cs="宋体"/>
          <w:b/>
          <w:sz w:val="24"/>
          <w:szCs w:val="24"/>
        </w:rPr>
      </w:pPr>
      <w:r>
        <w:rPr>
          <w:rFonts w:hint="eastAsia" w:ascii="宋体" w:hAnsi="宋体" w:cs="宋体"/>
          <w:b/>
          <w:sz w:val="24"/>
          <w:szCs w:val="24"/>
        </w:rPr>
        <w:t xml:space="preserve">分项报价明细表</w:t>
      </w:r>
      <w:r/>
    </w:p>
    <w:p>
      <w:pPr>
        <w:spacing w:line="360" w:lineRule="auto"/>
        <w:rPr>
          <w:rFonts w:ascii="宋体" w:hAnsi="宋体" w:cs="宋体"/>
          <w:bCs/>
          <w:sz w:val="24"/>
          <w:szCs w:val="24"/>
          <w:u w:val="single"/>
        </w:rPr>
      </w:pP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                      项目编号：</w:t>
      </w:r>
      <w:r>
        <w:rPr>
          <w:rFonts w:hint="eastAsia" w:ascii="宋体" w:hAnsi="宋体" w:cs="宋体"/>
          <w:bCs/>
          <w:sz w:val="24"/>
          <w:szCs w:val="24"/>
          <w:u w:val="single"/>
        </w:rPr>
        <w:t xml:space="preserve">              </w:t>
      </w:r>
      <w:r/>
    </w:p>
    <w:tbl>
      <w:tblPr>
        <w:tblStyle w:val="947"/>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830"/>
        <w:gridCol w:w="275"/>
        <w:gridCol w:w="857"/>
        <w:gridCol w:w="1419"/>
        <w:gridCol w:w="1350"/>
        <w:gridCol w:w="1308"/>
        <w:gridCol w:w="1309"/>
        <w:gridCol w:w="1447"/>
      </w:tblGrid>
      <w:tr>
        <w:trPr>
          <w:jc w:val="center"/>
          <w:trHeight w:val="465"/>
        </w:trPr>
        <w:tc>
          <w:tcPr>
            <w:tcW w:w="1103" w:type="dxa"/>
            <w:vAlign w:val="center"/>
            <w:vMerge w:val="restart"/>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（一）中转站日常运营人员配置</w:t>
            </w:r>
            <w:r/>
          </w:p>
        </w:tc>
        <w:tc>
          <w:tcPr>
            <w:gridSpan w:val="4"/>
            <w:tcW w:w="3381"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岗位名称</w:t>
            </w:r>
            <w:r/>
          </w:p>
        </w:tc>
        <w:tc>
          <w:tcPr>
            <w:gridSpan w:val="2"/>
            <w:tcW w:w="2658"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数量（人）</w:t>
            </w:r>
            <w:r/>
          </w:p>
        </w:tc>
        <w:tc>
          <w:tcPr>
            <w:gridSpan w:val="2"/>
            <w:tcW w:w="2756"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要求</w:t>
            </w:r>
            <w:r/>
          </w:p>
        </w:tc>
      </w:tr>
      <w:tr>
        <w:trPr>
          <w:jc w:val="center"/>
          <w:trHeight w:val="921"/>
        </w:trPr>
        <w:tc>
          <w:tcPr>
            <w:tcW w:w="1103"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gridSpan w:val="4"/>
            <w:tcW w:w="3381"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项目经理兼安全员</w:t>
            </w:r>
            <w:r/>
          </w:p>
        </w:tc>
        <w:tc>
          <w:tcPr>
            <w:gridSpan w:val="2"/>
            <w:tcW w:w="2658"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1</w:t>
            </w:r>
            <w:r/>
          </w:p>
        </w:tc>
        <w:tc>
          <w:tcPr>
            <w:gridSpan w:val="2"/>
            <w:tcW w:w="2756"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男45周岁以下，负责中转站管理日常事物兼安全员。</w:t>
            </w:r>
            <w:r/>
          </w:p>
        </w:tc>
      </w:tr>
      <w:tr>
        <w:trPr>
          <w:jc w:val="center"/>
          <w:trHeight w:val="921"/>
        </w:trPr>
        <w:tc>
          <w:tcPr>
            <w:tcW w:w="1103"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gridSpan w:val="4"/>
            <w:tcW w:w="3381"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压机操作员</w:t>
            </w:r>
            <w:r/>
          </w:p>
        </w:tc>
        <w:tc>
          <w:tcPr>
            <w:gridSpan w:val="2"/>
            <w:tcW w:w="2658"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8</w:t>
            </w:r>
            <w:r/>
          </w:p>
        </w:tc>
        <w:tc>
          <w:tcPr>
            <w:gridSpan w:val="2"/>
            <w:tcW w:w="2756"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男60周岁以下，负责垃圾中转站垃圾罐装、压缩设备的操作运行。</w:t>
            </w:r>
            <w:r/>
          </w:p>
        </w:tc>
      </w:tr>
      <w:tr>
        <w:trPr>
          <w:jc w:val="center"/>
          <w:trHeight w:val="921"/>
        </w:trPr>
        <w:tc>
          <w:tcPr>
            <w:tcW w:w="1103"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gridSpan w:val="4"/>
            <w:tcW w:w="3381"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门卫</w:t>
            </w:r>
            <w:r/>
          </w:p>
        </w:tc>
        <w:tc>
          <w:tcPr>
            <w:gridSpan w:val="2"/>
            <w:tcW w:w="2658"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3</w:t>
            </w:r>
            <w:r/>
          </w:p>
        </w:tc>
        <w:tc>
          <w:tcPr>
            <w:gridSpan w:val="2"/>
            <w:tcW w:w="2756"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男55周岁以下，负责中转站进出车辆、人员登记工作。</w:t>
            </w:r>
            <w:r/>
          </w:p>
        </w:tc>
      </w:tr>
      <w:tr>
        <w:trPr>
          <w:jc w:val="center"/>
          <w:trHeight w:val="729"/>
        </w:trPr>
        <w:tc>
          <w:tcPr>
            <w:tcW w:w="1103"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gridSpan w:val="8"/>
            <w:tcW w:w="8795"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小计（一），¥：                     元。</w:t>
            </w:r>
            <w:r/>
          </w:p>
          <w:p>
            <w:pPr>
              <w:jc w:val="center"/>
              <w:widowControl/>
              <w:rPr>
                <w:rFonts w:ascii="宋体" w:hAnsi="宋体" w:cs="宋体"/>
                <w:bCs/>
                <w:sz w:val="24"/>
                <w:szCs w:val="24"/>
              </w:rPr>
            </w:pPr>
            <w:r>
              <w:rPr>
                <w:rFonts w:hint="eastAsia" w:ascii="宋体" w:hAnsi="宋体" w:cs="宋体"/>
                <w:bCs/>
                <w:sz w:val="24"/>
                <w:szCs w:val="24"/>
              </w:rPr>
              <w:t xml:space="preserve">（该项最高限价</w:t>
            </w:r>
            <w:r>
              <w:rPr>
                <w:rFonts w:hint="eastAsia" w:ascii="宋体" w:hAnsi="宋体" w:cs="宋体"/>
                <w:bCs/>
                <w:sz w:val="24"/>
                <w:szCs w:val="24"/>
                <w:lang w:val="zh-CN"/>
              </w:rPr>
              <w:t xml:space="preserve">906300.19</w:t>
            </w:r>
            <w:r>
              <w:rPr>
                <w:rFonts w:hint="eastAsia" w:ascii="宋体" w:hAnsi="宋体" w:cs="宋体"/>
                <w:bCs/>
                <w:sz w:val="24"/>
                <w:szCs w:val="24"/>
              </w:rPr>
              <w:t xml:space="preserve">元，该项投标价超过此限价的为无效标）</w:t>
            </w:r>
            <w:r/>
          </w:p>
        </w:tc>
      </w:tr>
      <w:tr>
        <w:trPr>
          <w:jc w:val="center"/>
          <w:trHeight w:val="1833"/>
        </w:trPr>
        <w:tc>
          <w:tcPr>
            <w:tcW w:w="1103" w:type="dxa"/>
            <w:vAlign w:val="center"/>
            <w:vMerge w:val="restart"/>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（二）垃圾转运运输部分</w:t>
            </w:r>
            <w:r/>
          </w:p>
        </w:tc>
        <w:tc>
          <w:tcPr>
            <w:gridSpan w:val="2"/>
            <w:tcW w:w="1105"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站点</w:t>
            </w:r>
            <w:r/>
          </w:p>
        </w:tc>
        <w:tc>
          <w:tcPr>
            <w:tcW w:w="857"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计量单位</w:t>
            </w:r>
            <w:r/>
          </w:p>
        </w:tc>
        <w:tc>
          <w:tcPr>
            <w:tcW w:w="1419"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数量（暂估）</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（日运输量）</w:t>
            </w:r>
            <w:r/>
          </w:p>
        </w:tc>
        <w:tc>
          <w:tcPr>
            <w:tcW w:w="135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服务期限（日）</w:t>
            </w:r>
            <w:r/>
          </w:p>
        </w:tc>
        <w:tc>
          <w:tcPr>
            <w:tcW w:w="1308" w:type="dxa"/>
            <w:vAlign w:val="center"/>
            <w:textDirection w:val="lrTb"/>
            <w:noWrap w:val="false"/>
          </w:tcPr>
          <w:p>
            <w:pPr>
              <w:jc w:val="center"/>
              <w:spacing w:line="360" w:lineRule="auto"/>
              <w:widowControl/>
              <w:rPr>
                <w:rFonts w:ascii="宋体" w:hAnsi="宋体" w:cs="宋体"/>
                <w:bCs/>
                <w:sz w:val="24"/>
                <w:szCs w:val="24"/>
                <w:lang w:eastAsia="en-US"/>
              </w:rPr>
            </w:pPr>
            <w:r>
              <w:rPr>
                <w:rFonts w:hint="eastAsia" w:ascii="宋体" w:hAnsi="宋体" w:cs="宋体"/>
                <w:bCs/>
                <w:sz w:val="24"/>
                <w:szCs w:val="24"/>
                <w:lang w:eastAsia="en-US"/>
              </w:rPr>
              <w:t xml:space="preserve">单价</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eastAsia="en-US"/>
              </w:rPr>
              <w:t xml:space="preserve">元/吨</w:t>
            </w:r>
            <w:r>
              <w:rPr>
                <w:rFonts w:hint="eastAsia" w:ascii="宋体" w:hAnsi="宋体" w:cs="宋体"/>
                <w:bCs/>
                <w:sz w:val="24"/>
                <w:szCs w:val="24"/>
              </w:rPr>
              <w:t xml:space="preserve">）</w:t>
            </w:r>
            <w:r/>
          </w:p>
        </w:tc>
        <w:tc>
          <w:tcPr>
            <w:tcW w:w="1309"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合价</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eastAsia="en-US"/>
              </w:rPr>
              <w:t xml:space="preserve">元</w:t>
            </w:r>
            <w:r>
              <w:rPr>
                <w:rFonts w:hint="eastAsia" w:ascii="宋体" w:hAnsi="宋体" w:cs="宋体"/>
                <w:bCs/>
                <w:sz w:val="24"/>
                <w:szCs w:val="24"/>
              </w:rPr>
              <w:t xml:space="preserve">）</w:t>
            </w:r>
            <w:r/>
          </w:p>
        </w:tc>
        <w:tc>
          <w:tcPr>
            <w:tcW w:w="1447"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备注</w:t>
            </w:r>
            <w:r/>
          </w:p>
        </w:tc>
      </w:tr>
      <w:tr>
        <w:trPr>
          <w:jc w:val="center"/>
          <w:trHeight w:val="932"/>
        </w:trPr>
        <w:tc>
          <w:tcPr>
            <w:tcW w:w="1103"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gridSpan w:val="2"/>
            <w:tcW w:w="1105"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尹帆</w:t>
            </w:r>
            <w:r>
              <w:rPr>
                <w:rFonts w:hint="eastAsia" w:ascii="宋体" w:hAnsi="宋体" w:cs="宋体"/>
                <w:bCs/>
                <w:sz w:val="24"/>
                <w:szCs w:val="24"/>
                <w:lang w:eastAsia="en-US"/>
              </w:rPr>
              <w:t xml:space="preserve">路中转站</w:t>
            </w:r>
            <w:r/>
          </w:p>
        </w:tc>
        <w:tc>
          <w:tcPr>
            <w:tcW w:w="857"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lang w:eastAsia="en-US"/>
              </w:rPr>
              <w:t xml:space="preserve">吨</w:t>
            </w:r>
            <w:r/>
          </w:p>
        </w:tc>
        <w:tc>
          <w:tcPr>
            <w:tcW w:w="1419" w:type="dxa"/>
            <w:vAlign w:val="center"/>
            <w:textDirection w:val="lrTb"/>
            <w:noWrap w:val="false"/>
          </w:tcPr>
          <w:p>
            <w:pPr>
              <w:jc w:val="center"/>
              <w:widowControl/>
              <w:rPr>
                <w:rFonts w:ascii="宋体" w:hAnsi="宋体" w:cs="宋体"/>
                <w:bCs/>
                <w:sz w:val="24"/>
                <w:szCs w:val="24"/>
              </w:rPr>
            </w:pPr>
            <w:r>
              <w:rPr>
                <w:rFonts w:hint="eastAsia" w:ascii="宋体" w:hAnsi="宋体" w:cs="宋体"/>
                <w:sz w:val="24"/>
                <w:lang w:bidi="ar"/>
              </w:rPr>
              <w:t xml:space="preserve"> 190.00 </w:t>
            </w:r>
            <w:r/>
          </w:p>
        </w:tc>
        <w:tc>
          <w:tcPr>
            <w:tcW w:w="1350" w:type="dxa"/>
            <w:vAlign w:val="center"/>
            <w:textDirection w:val="lrTb"/>
            <w:noWrap w:val="false"/>
          </w:tcPr>
          <w:p>
            <w:pPr>
              <w:jc w:val="center"/>
              <w:widowControl/>
              <w:rPr>
                <w:rFonts w:ascii="宋体" w:hAnsi="宋体" w:cs="宋体"/>
                <w:bCs/>
                <w:sz w:val="24"/>
                <w:szCs w:val="24"/>
              </w:rPr>
            </w:pPr>
            <w:r>
              <w:rPr>
                <w:rFonts w:hint="eastAsia" w:ascii="宋体" w:hAnsi="宋体" w:cs="宋体"/>
                <w:sz w:val="24"/>
                <w:lang w:bidi="ar"/>
              </w:rPr>
              <w:t xml:space="preserve">365</w:t>
            </w:r>
            <w:r/>
          </w:p>
        </w:tc>
        <w:tc>
          <w:tcPr>
            <w:tcW w:w="1308" w:type="dxa"/>
            <w:vAlign w:val="center"/>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tcW w:w="1309" w:type="dxa"/>
            <w:vAlign w:val="center"/>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tcW w:w="1447"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结算以七子山终端称重量计算</w:t>
            </w:r>
            <w:r/>
          </w:p>
        </w:tc>
      </w:tr>
      <w:tr>
        <w:trPr>
          <w:jc w:val="center"/>
          <w:trHeight w:val="729"/>
        </w:trPr>
        <w:tc>
          <w:tcPr>
            <w:tcW w:w="1103"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gridSpan w:val="8"/>
            <w:tcW w:w="8795"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小计（二），¥：                     元。</w:t>
            </w:r>
            <w:r/>
          </w:p>
          <w:p>
            <w:pPr>
              <w:jc w:val="center"/>
              <w:widowControl/>
              <w:rPr>
                <w:rFonts w:ascii="宋体" w:hAnsi="宋体" w:cs="宋体"/>
                <w:bCs/>
                <w:sz w:val="24"/>
                <w:szCs w:val="24"/>
              </w:rPr>
            </w:pPr>
            <w:r>
              <w:rPr>
                <w:rFonts w:hint="eastAsia" w:ascii="宋体" w:hAnsi="宋体" w:cs="宋体"/>
                <w:bCs/>
                <w:sz w:val="24"/>
                <w:szCs w:val="24"/>
              </w:rPr>
              <w:t xml:space="preserve">（该项最高限价9.85元/吨，该项投标单价超过此限价的为无效标）</w:t>
            </w:r>
            <w:r/>
          </w:p>
        </w:tc>
      </w:tr>
      <w:tr>
        <w:trPr>
          <w:jc w:val="center"/>
          <w:trHeight w:val="508"/>
        </w:trPr>
        <w:tc>
          <w:tcPr>
            <w:gridSpan w:val="2"/>
            <w:tcW w:w="1933"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合计总价：</w:t>
            </w:r>
            <w:r/>
          </w:p>
        </w:tc>
        <w:tc>
          <w:tcPr>
            <w:gridSpan w:val="7"/>
            <w:tcW w:w="7965"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大写：                  ，小写¥：                元。</w:t>
            </w:r>
            <w:r/>
          </w:p>
        </w:tc>
      </w:tr>
    </w:tbl>
    <w:p>
      <w:pPr>
        <w:ind w:firstLine="480"/>
        <w:jc w:val="left"/>
        <w:spacing w:line="360" w:lineRule="auto"/>
        <w:tabs>
          <w:tab w:val="left" w:pos="2075" w:leader="none"/>
        </w:tabs>
        <w:rPr>
          <w:rFonts w:ascii="宋体" w:hAnsi="宋体" w:cs="宋体"/>
          <w:bCs/>
          <w:sz w:val="24"/>
          <w:szCs w:val="24"/>
        </w:rPr>
      </w:pPr>
      <w:r>
        <w:rPr>
          <w:rFonts w:hint="eastAsia" w:ascii="宋体" w:hAnsi="宋体" w:cs="宋体"/>
          <w:bCs/>
          <w:sz w:val="24"/>
          <w:szCs w:val="24"/>
        </w:rPr>
        <w:t xml:space="preserve">1、垃圾转运运输部分以投标单位所报综合单价（元/吨）×实际运输量按实结算。</w:t>
      </w:r>
      <w:r/>
    </w:p>
    <w:p>
      <w:pPr>
        <w:ind w:firstLine="480"/>
        <w:jc w:val="left"/>
        <w:spacing w:line="360" w:lineRule="auto"/>
        <w:tabs>
          <w:tab w:val="left" w:pos="2075" w:leader="none"/>
        </w:tabs>
        <w:rPr>
          <w:rFonts w:ascii="宋体" w:hAnsi="宋体" w:cs="宋体"/>
          <w:bCs/>
          <w:sz w:val="24"/>
          <w:szCs w:val="24"/>
        </w:rPr>
      </w:pPr>
      <w:r>
        <w:rPr>
          <w:rFonts w:hint="eastAsia" w:ascii="宋体" w:hAnsi="宋体" w:cs="宋体"/>
          <w:bCs/>
          <w:sz w:val="24"/>
          <w:szCs w:val="24"/>
        </w:rPr>
        <w:t xml:space="preserve">2、综合单价为包干价，包括但不限于垃圾转运、驾驶员等所有费用。</w:t>
      </w:r>
      <w:r/>
    </w:p>
    <w:p>
      <w:pPr>
        <w:pStyle w:val="701"/>
        <w:rPr>
          <w:rFonts w:ascii="宋体" w:hAnsi="宋体" w:cs="宋体"/>
          <w:lang w:eastAsia="zh-CN"/>
        </w:rPr>
      </w:pPr>
      <w:r>
        <w:rPr>
          <w:rFonts w:ascii="宋体" w:hAnsi="宋体" w:cs="宋体"/>
          <w:lang w:eastAsia="zh-CN"/>
        </w:rPr>
      </w:r>
      <w:r/>
    </w:p>
    <w:p>
      <w:pPr>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响应单位：（单位盖章）</w:t>
      </w:r>
      <w:r/>
    </w:p>
    <w:p>
      <w:pPr>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法定代表人或代理人：（签字或盖章）</w:t>
      </w:r>
      <w:r/>
    </w:p>
    <w:p>
      <w:pPr>
        <w:ind w:firstLine="1920"/>
        <w:jc w:val="left"/>
        <w:spacing w:line="360" w:lineRule="auto"/>
        <w:widowControl/>
        <w:rPr>
          <w:rFonts w:ascii="宋体" w:hAnsi="宋体" w:cs="宋体"/>
          <w:sz w:val="24"/>
          <w:szCs w:val="24"/>
        </w:rPr>
      </w:pPr>
      <w:r>
        <w:rPr>
          <w:rFonts w:hint="eastAsia" w:ascii="宋体" w:hAnsi="宋体" w:cs="宋体"/>
          <w:sz w:val="24"/>
          <w:szCs w:val="24"/>
        </w:rPr>
        <w:t xml:space="preserve">年     月     日</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注: 1. 如果按分项报价计算的结果与总价不一致,以分项报价为准修正总价。</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2.上述各项的详细分项报价，可另页描述。</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3.如果开标一览表（报价表）内容与本表内容和合计金额不一致的，以开标一览表（报价表）内容为准。 </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4.包括服务及伴随货物内容（如有）。</w:t>
      </w:r>
      <w:r/>
    </w:p>
    <w:p>
      <w:pPr>
        <w:jc w:val="left"/>
        <w:spacing w:line="360" w:lineRule="auto"/>
        <w:widowControl/>
        <w:rPr>
          <w:rFonts w:ascii="宋体" w:hAnsi="宋体" w:cs="宋体"/>
          <w:b/>
          <w:sz w:val="24"/>
          <w:szCs w:val="24"/>
        </w:rPr>
      </w:pPr>
      <w:r>
        <w:rPr>
          <w:rFonts w:hint="eastAsia" w:ascii="宋体" w:hAnsi="宋体" w:cs="宋体"/>
          <w:b/>
          <w:sz w:val="24"/>
          <w:szCs w:val="24"/>
        </w:rPr>
        <w:t xml:space="preserve">5、关于资格文件声明函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p>
    <w:p>
      <w:pPr>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r>
      <w:r>
        <w:rPr>
          <w:rFonts w:hint="eastAsia" w:ascii="宋体" w:hAnsi="宋体" w:cs="宋体"/>
          <w:sz w:val="24"/>
          <w:szCs w:val="24"/>
          <w:lang w:val="zh-CN"/>
        </w:rPr>
        <w:t xml:space="preserve">日</w:t>
      </w:r>
      <w:r/>
    </w:p>
    <w:p>
      <w:pPr>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6、响应单位基本情况表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7"/>
        <w:gridCol w:w="2231"/>
        <w:gridCol w:w="1948"/>
        <w:gridCol w:w="2616"/>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firstLine="2160"/>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2025年  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2025年  万元</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bl>
    <w:p>
      <w:pPr>
        <w:pStyle w:val="774"/>
        <w:ind w:left="0" w:firstLine="0"/>
        <w:spacing w:after="0" w:line="360" w:lineRule="auto"/>
        <w:rPr>
          <w:rFonts w:ascii="宋体" w:hAnsi="宋体" w:cs="宋体"/>
          <w:sz w:val="24"/>
          <w:szCs w:val="24"/>
        </w:rPr>
      </w:pPr>
      <w:r>
        <w:rPr>
          <w:rFonts w:ascii="宋体" w:hAnsi="宋体" w:cs="宋体"/>
          <w:sz w:val="24"/>
          <w:szCs w:val="24"/>
        </w:rPr>
      </w:r>
      <w:r/>
    </w:p>
    <w:p>
      <w:pPr>
        <w:pStyle w:val="774"/>
        <w:ind w:left="0" w:firstLine="0"/>
        <w:spacing w:after="0"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7、偏离表</w:t>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偏离表（技术、商务）</w:t>
      </w:r>
      <w:r/>
    </w:p>
    <w:p>
      <w:pPr>
        <w:ind w:left="400" w:firstLine="420"/>
        <w:spacing w:after="12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bl>
      <w:tblPr>
        <w:tblStyle w:val="70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384"/>
        <w:gridCol w:w="1693"/>
        <w:gridCol w:w="1812"/>
        <w:gridCol w:w="1575"/>
        <w:gridCol w:w="2041"/>
      </w:tblGrid>
      <w:tr>
        <w:trPr>
          <w:jc w:val="cente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证明材料</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bl>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cs="宋体"/>
          <w:b/>
          <w:sz w:val="24"/>
          <w:szCs w:val="24"/>
        </w:rPr>
        <w:t xml:space="preserve"> </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注：供应商在本表中列出响应内容，并在“偏离说明”项下填写以下内容：优于的，填写“正偏离”；符合的，填写“无偏离”；低于的，填写“负偏离”。</w:t>
      </w:r>
      <w:r>
        <w:rPr>
          <w:rFonts w:hint="eastAsia" w:ascii="宋体" w:hAnsi="宋体" w:cs="宋体"/>
          <w:b/>
          <w:sz w:val="24"/>
          <w:szCs w:val="24"/>
        </w:rPr>
        <w:t xml:space="preserve">未说明偏离的，将被认为响应采购文件的规定。</w:t>
      </w:r>
      <w:r>
        <w:rPr>
          <w:rFonts w:hint="eastAsia" w:ascii="宋体" w:hAnsi="宋体" w:cs="宋体"/>
          <w:sz w:val="24"/>
          <w:szCs w:val="24"/>
        </w:rPr>
        <w:t xml:space="preserve">但该表不作为供应商对所响应服务关于商务条款等详细描述和说明的替代。</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表格可根据实际情况自行调整、编辑。</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供应商名称：（公章） </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法定代表人或被授权人：（签字或盖章）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  期：     年     月    日</w:t>
      </w:r>
      <w:r/>
    </w:p>
    <w:p>
      <w:pPr>
        <w:spacing w:line="360" w:lineRule="auto"/>
        <w:rPr>
          <w:rFonts w:ascii="宋体" w:hAnsi="宋体" w:cs="宋体"/>
          <w:b/>
          <w:color w:val="000000"/>
          <w:sz w:val="24"/>
          <w:szCs w:val="24"/>
        </w:rPr>
      </w:pPr>
      <w:r>
        <w:rPr>
          <w:rFonts w:hint="eastAsia" w:ascii="宋体" w:hAnsi="宋体" w:cs="宋体"/>
          <w:b/>
          <w:sz w:val="24"/>
          <w:szCs w:val="24"/>
        </w:rPr>
        <w:br w:type="page" w:clear="all"/>
      </w:r>
      <w:r>
        <w:rPr>
          <w:rFonts w:hint="eastAsia" w:ascii="宋体" w:hAnsi="宋体" w:cs="宋体"/>
          <w:b/>
          <w:sz w:val="24"/>
          <w:szCs w:val="24"/>
        </w:rPr>
        <w:t xml:space="preserve">8、</w:t>
      </w:r>
      <w:r>
        <w:rPr>
          <w:rFonts w:hint="eastAsia" w:ascii="宋体" w:hAnsi="宋体" w:cs="宋体"/>
          <w:b/>
          <w:color w:val="000000"/>
          <w:sz w:val="24"/>
          <w:szCs w:val="24"/>
        </w:rPr>
        <w:t xml:space="preserve">拟投入本项目人员配置承诺函</w:t>
      </w:r>
      <w:r/>
    </w:p>
    <w:p>
      <w:pPr>
        <w:spacing w:line="360" w:lineRule="auto"/>
        <w:rPr>
          <w:rFonts w:ascii="宋体" w:hAnsi="宋体"/>
          <w:color w:val="000000"/>
          <w:szCs w:val="21"/>
        </w:rPr>
      </w:pPr>
      <w:r>
        <w:rPr>
          <w:rFonts w:ascii="宋体" w:hAnsi="宋体"/>
          <w:color w:val="000000"/>
          <w:szCs w:val="21"/>
        </w:rPr>
      </w:r>
      <w:r/>
    </w:p>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拟投入本项目人员配置承诺函</w:t>
      </w:r>
      <w:r/>
    </w:p>
    <w:tbl>
      <w:tblPr>
        <w:tblStyle w:val="700"/>
        <w:tblW w:w="5000"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3"/>
        <w:gridCol w:w="2267"/>
        <w:gridCol w:w="1943"/>
        <w:gridCol w:w="4869"/>
      </w:tblGrid>
      <w:tr>
        <w:trPr>
          <w:jc w:val="center"/>
          <w:trHeight w:val="851"/>
        </w:trPr>
        <w:tc>
          <w:tcPr>
            <w:tcBorders>
              <w:top w:val="single" w:color="auto" w:sz="4" w:space="0"/>
              <w:left w:val="single" w:color="auto" w:sz="4" w:space="0"/>
              <w:bottom w:val="single" w:color="auto" w:sz="4" w:space="0"/>
              <w:right w:val="single" w:color="auto" w:sz="4" w:space="0"/>
            </w:tcBorders>
            <w:tcW w:w="3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岗位</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数量</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3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项目经理兼安全员</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1 </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spacing w:line="360" w:lineRule="auto"/>
              <w:tabs>
                <w:tab w:val="left" w:pos="1267" w:leader="none"/>
              </w:tabs>
              <w:rPr>
                <w:rFonts w:ascii="宋体" w:hAnsi="宋体" w:cs="宋体"/>
                <w:color w:val="000000"/>
                <w:sz w:val="24"/>
                <w:szCs w:val="24"/>
              </w:rPr>
            </w:pPr>
            <w:r>
              <w:rPr>
                <w:rFonts w:hint="eastAsia" w:ascii="宋体" w:hAnsi="宋体" w:cs="宋体"/>
                <w:sz w:val="24"/>
                <w:szCs w:val="24"/>
                <w:lang w:val="zh-CN" w:bidi="en-US"/>
              </w:rPr>
              <w:t xml:space="preserve">男45周岁以下，</w:t>
            </w:r>
            <w:r>
              <w:rPr>
                <w:rFonts w:hint="eastAsia" w:ascii="宋体" w:hAnsi="宋体" w:cs="宋体"/>
                <w:sz w:val="24"/>
                <w:szCs w:val="24"/>
                <w:lang w:val="zh-CN"/>
              </w:rPr>
              <w:t xml:space="preserve">负责中转站管理日常事物兼安全员。</w:t>
            </w:r>
            <w:r/>
          </w:p>
        </w:tc>
      </w:tr>
      <w:tr>
        <w:trPr>
          <w:jc w:val="center"/>
          <w:trHeight w:val="567"/>
        </w:trPr>
        <w:tc>
          <w:tcPr>
            <w:tcBorders>
              <w:top w:val="single" w:color="auto" w:sz="4" w:space="0"/>
              <w:left w:val="single" w:color="auto" w:sz="4" w:space="0"/>
              <w:bottom w:val="single" w:color="auto" w:sz="4" w:space="0"/>
              <w:right w:val="single" w:color="auto" w:sz="4" w:space="0"/>
            </w:tcBorders>
            <w:tcW w:w="3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压机操作员</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8</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spacing w:line="360" w:lineRule="auto"/>
              <w:tabs>
                <w:tab w:val="left" w:pos="1267" w:leader="none"/>
              </w:tabs>
              <w:rPr>
                <w:rFonts w:ascii="宋体" w:hAnsi="宋体" w:cs="宋体"/>
                <w:color w:val="000000"/>
                <w:sz w:val="24"/>
                <w:szCs w:val="24"/>
              </w:rPr>
            </w:pPr>
            <w:r>
              <w:rPr>
                <w:rFonts w:hint="eastAsia" w:ascii="宋体" w:hAnsi="宋体" w:cs="宋体"/>
                <w:sz w:val="24"/>
                <w:szCs w:val="24"/>
                <w:lang w:val="zh-CN" w:bidi="en-US"/>
              </w:rPr>
              <w:t xml:space="preserve">男60周岁以下，负责垃圾中转站垃圾罐装、压缩设备的操作运行。</w:t>
            </w:r>
            <w:r/>
          </w:p>
        </w:tc>
      </w:tr>
      <w:tr>
        <w:trPr>
          <w:jc w:val="center"/>
          <w:trHeight w:val="567"/>
        </w:trPr>
        <w:tc>
          <w:tcPr>
            <w:tcBorders>
              <w:top w:val="single" w:color="auto" w:sz="4" w:space="0"/>
              <w:left w:val="single" w:color="auto" w:sz="4" w:space="0"/>
              <w:bottom w:val="single" w:color="auto" w:sz="4" w:space="0"/>
              <w:right w:val="single" w:color="auto" w:sz="4" w:space="0"/>
            </w:tcBorders>
            <w:tcW w:w="31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门卫</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3</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left"/>
              <w:spacing w:line="360" w:lineRule="auto"/>
              <w:tabs>
                <w:tab w:val="left" w:pos="1267" w:leader="none"/>
              </w:tabs>
              <w:rPr>
                <w:rFonts w:ascii="宋体" w:hAnsi="宋体" w:cs="宋体"/>
                <w:color w:val="000000"/>
                <w:sz w:val="24"/>
                <w:szCs w:val="24"/>
              </w:rPr>
            </w:pPr>
            <w:r>
              <w:rPr>
                <w:rFonts w:hint="eastAsia" w:ascii="宋体" w:hAnsi="宋体" w:cs="宋体"/>
                <w:sz w:val="24"/>
                <w:szCs w:val="24"/>
                <w:lang w:val="zh-CN" w:bidi="en-US"/>
              </w:rPr>
              <w:t xml:space="preserve">男</w:t>
            </w:r>
            <w:r>
              <w:rPr>
                <w:rFonts w:hint="eastAsia" w:ascii="宋体" w:hAnsi="宋体" w:cs="宋体"/>
                <w:sz w:val="24"/>
                <w:szCs w:val="24"/>
                <w:lang w:bidi="en-US"/>
              </w:rPr>
              <w:t xml:space="preserve">55</w:t>
            </w:r>
            <w:r>
              <w:rPr>
                <w:rFonts w:hint="eastAsia" w:ascii="宋体" w:hAnsi="宋体" w:cs="宋体"/>
                <w:sz w:val="24"/>
                <w:szCs w:val="24"/>
                <w:lang w:val="zh-CN" w:bidi="en-US"/>
              </w:rPr>
              <w:t xml:space="preserve">周岁以下，负责</w:t>
            </w:r>
            <w:r>
              <w:rPr>
                <w:rFonts w:hint="eastAsia" w:ascii="宋体" w:hAnsi="宋体" w:cs="宋体"/>
                <w:bCs/>
                <w:sz w:val="24"/>
                <w:szCs w:val="24"/>
                <w:lang w:bidi="ar"/>
              </w:rPr>
              <w:t xml:space="preserve">中转站进出车辆、人员登记工作</w:t>
            </w:r>
            <w:r>
              <w:rPr>
                <w:rFonts w:hint="eastAsia" w:ascii="宋体" w:hAnsi="宋体" w:cs="宋体"/>
                <w:sz w:val="24"/>
                <w:szCs w:val="24"/>
                <w:lang w:val="zh-CN" w:bidi="en-US"/>
              </w:rPr>
              <w:t xml:space="preserve">。</w:t>
            </w:r>
            <w:r/>
          </w:p>
        </w:tc>
      </w:tr>
    </w:tbl>
    <w:p>
      <w:pPr>
        <w:ind w:firstLine="420"/>
        <w:spacing w:line="360" w:lineRule="auto"/>
        <w:widowControl/>
        <w:rPr>
          <w:rFonts w:ascii="宋体" w:hAnsi="宋体"/>
          <w:color w:val="000000"/>
          <w:szCs w:val="21"/>
        </w:rPr>
      </w:pPr>
      <w:r>
        <w:rPr>
          <w:rFonts w:ascii="宋体" w:hAnsi="宋体"/>
          <w:color w:val="000000"/>
          <w:szCs w:val="21"/>
        </w:rPr>
      </w:r>
      <w:r/>
    </w:p>
    <w:p>
      <w:pPr>
        <w:spacing w:line="360" w:lineRule="auto"/>
        <w:rPr>
          <w:rFonts w:ascii="宋体" w:hAnsi="宋体"/>
          <w:color w:val="000000"/>
          <w:sz w:val="24"/>
          <w:szCs w:val="24"/>
        </w:rPr>
      </w:pPr>
      <w:r>
        <w:rPr>
          <w:rFonts w:hint="eastAsia" w:ascii="宋体" w:hAnsi="宋体"/>
          <w:color w:val="000000"/>
          <w:sz w:val="24"/>
          <w:szCs w:val="24"/>
        </w:rPr>
        <w:t xml:space="preserve">我方郑重承诺：如成为该项目成交单位，成交后按采购人需求配置以上人员。</w:t>
      </w:r>
      <w:r/>
    </w:p>
    <w:p>
      <w:pPr>
        <w:spacing w:after="120"/>
        <w:rPr>
          <w:rFonts w:ascii="Times New Roman" w:hAnsi="Times New Roman"/>
          <w:color w:val="000000"/>
          <w:szCs w:val="24"/>
        </w:rPr>
      </w:pPr>
      <w:r>
        <w:rPr>
          <w:rFonts w:ascii="Times New Roman" w:hAnsi="Times New Roman"/>
          <w:color w:val="000000"/>
          <w:szCs w:val="24"/>
        </w:rPr>
      </w:r>
      <w:r/>
    </w:p>
    <w:p>
      <w:pPr>
        <w:ind w:firstLine="425"/>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2"/>
        </w:rPr>
      </w:pPr>
      <w:r>
        <w:rPr>
          <w:rFonts w:hint="eastAsia" w:ascii="宋体" w:hAnsi="宋体" w:cs="宋体"/>
          <w:color w:val="000000"/>
          <w:sz w:val="22"/>
        </w:rPr>
        <w:t xml:space="preserve">磋商响应单位：（盖章）</w:t>
      </w:r>
      <w:r/>
    </w:p>
    <w:p>
      <w:pPr>
        <w:spacing w:line="360" w:lineRule="auto"/>
        <w:rPr>
          <w:rFonts w:ascii="宋体" w:hAnsi="宋体" w:cs="宋体"/>
          <w:color w:val="000000"/>
          <w:sz w:val="22"/>
        </w:rPr>
      </w:pPr>
      <w:r>
        <w:rPr>
          <w:rFonts w:hint="eastAsia" w:ascii="宋体" w:hAnsi="宋体" w:cs="宋体"/>
          <w:color w:val="000000"/>
          <w:sz w:val="22"/>
        </w:rPr>
        <w:t xml:space="preserve">法定代表人或代理人：（签字或签章）</w:t>
      </w:r>
      <w:r/>
    </w:p>
    <w:p>
      <w:pPr>
        <w:spacing w:line="360" w:lineRule="auto"/>
        <w:rPr>
          <w:rFonts w:ascii="宋体" w:hAnsi="宋体" w:cs="宋体"/>
          <w:b/>
          <w:color w:val="000000"/>
          <w:sz w:val="22"/>
        </w:rPr>
      </w:pPr>
      <w:r>
        <w:rPr>
          <w:rFonts w:hint="eastAsia" w:ascii="宋体" w:hAnsi="宋体" w:cs="宋体"/>
          <w:color w:val="000000"/>
          <w:sz w:val="22"/>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9、项目负责人情况介绍</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p>
    <w:tbl>
      <w:tblPr>
        <w:tblStyle w:val="70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69"/>
        <w:gridCol w:w="2255"/>
        <w:gridCol w:w="1757"/>
        <w:gridCol w:w="3633"/>
      </w:tblGrid>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 名</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性 别</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健康状况</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从事工作时间</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联系电话</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有何特长</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本公司承诺</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p>
        </w:tc>
      </w:tr>
      <w:tr>
        <w:trPr>
          <w:jc w:val="center"/>
          <w:trHeight w:val="591"/>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1821"/>
        </w:trPr>
        <w:tc>
          <w:tcPr>
            <w:gridSpan w:val="4"/>
            <w:tcW w:w="9514" w:type="dxa"/>
            <w:vAlign w:val="center"/>
            <w:textDirection w:val="lrTb"/>
            <w:noWrap w:val="false"/>
          </w:tcPr>
          <w:p>
            <w:pPr>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供应商：（单位盖章）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10、投入本项目人员配备方案表</w:t>
      </w:r>
      <w:r/>
    </w:p>
    <w:p>
      <w:pPr>
        <w:jc w:val="center"/>
        <w:spacing w:line="360" w:lineRule="auto"/>
        <w:rPr>
          <w:rFonts w:ascii="宋体" w:hAnsi="宋体" w:cs="宋体"/>
          <w:sz w:val="24"/>
          <w:szCs w:val="24"/>
        </w:rPr>
      </w:pPr>
      <w:r>
        <w:rPr>
          <w:rFonts w:hint="eastAsia" w:ascii="宋体" w:hAnsi="宋体" w:cs="宋体"/>
          <w:b/>
          <w:sz w:val="24"/>
          <w:szCs w:val="24"/>
        </w:rPr>
        <w:t xml:space="preserve">项目组服务人员一览表</w:t>
      </w:r>
      <w:r/>
    </w:p>
    <w:tbl>
      <w:tblPr>
        <w:tblStyle w:val="700"/>
        <w:tblW w:w="9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646"/>
        <w:gridCol w:w="1646"/>
        <w:gridCol w:w="1405"/>
        <w:gridCol w:w="1888"/>
        <w:gridCol w:w="2128"/>
      </w:tblGrid>
      <w:tr>
        <w:trPr>
          <w:jc w:val="center"/>
          <w:trHeight w:val="1149" w:hRule="exact"/>
        </w:trPr>
        <w:tc>
          <w:tcPr>
            <w:tcW w:w="10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6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6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140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学历</w:t>
            </w:r>
            <w:r/>
          </w:p>
        </w:tc>
        <w:tc>
          <w:tcPr>
            <w:tcW w:w="18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21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569" w:hRule="exact"/>
        </w:trPr>
        <w:tc>
          <w:tcPr>
            <w:tcW w:w="10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6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0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2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9" w:hRule="exact"/>
        </w:trPr>
        <w:tc>
          <w:tcPr>
            <w:tcW w:w="10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6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0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2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69" w:hRule="exact"/>
        </w:trPr>
        <w:tc>
          <w:tcPr>
            <w:tcW w:w="10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6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0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2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91" w:hRule="exact"/>
        </w:trPr>
        <w:tc>
          <w:tcPr>
            <w:tcW w:w="104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6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0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2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供应商：（单位盖章）</w:t>
      </w:r>
      <w:r/>
    </w:p>
    <w:p>
      <w:pPr>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sz w:val="24"/>
          <w:szCs w:val="24"/>
        </w:rPr>
      </w:pPr>
      <w:r>
        <w:rPr>
          <w:rFonts w:hint="eastAsia" w:ascii="宋体" w:hAnsi="宋体" w:cs="宋体"/>
          <w:b/>
          <w:sz w:val="24"/>
          <w:szCs w:val="24"/>
        </w:rPr>
        <w:t xml:space="preserve">11、类似业绩情况表（表格自制）；</w:t>
      </w:r>
      <w:r/>
    </w:p>
    <w:p>
      <w:pPr>
        <w:jc w:val="left"/>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12、服务方案</w:t>
      </w:r>
      <w:r>
        <w:rPr>
          <w:rFonts w:hint="eastAsia" w:ascii="宋体" w:hAnsi="宋体" w:cs="宋体"/>
          <w:sz w:val="24"/>
          <w:szCs w:val="24"/>
        </w:rPr>
        <w:t xml:space="preserve">；</w:t>
      </w:r>
      <w:r/>
    </w:p>
    <w:tbl>
      <w:tblPr>
        <w:tblStyle w:val="70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1、响应单位应针对本项目具体情况编写相应服务方案。</w:t>
            </w:r>
            <w:r/>
          </w:p>
          <w:p>
            <w:pPr>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p>
        </w:tc>
      </w:tr>
      <w:tr>
        <w:trP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
          <w:spacing w:val="20"/>
          <w:sz w:val="24"/>
          <w:szCs w:val="24"/>
        </w:rPr>
      </w:pPr>
      <w:r>
        <w:rPr>
          <w:rFonts w:hint="eastAsia" w:ascii="宋体" w:hAnsi="宋体" w:cs="宋体"/>
          <w:sz w:val="24"/>
          <w:szCs w:val="24"/>
        </w:rPr>
        <w:br w:type="page" w:clear="all"/>
      </w:r>
      <w:r>
        <w:rPr>
          <w:rFonts w:hint="eastAsia" w:ascii="宋体" w:hAnsi="宋体" w:cs="宋体"/>
          <w:b/>
          <w:bCs/>
          <w:sz w:val="24"/>
          <w:szCs w:val="24"/>
        </w:rPr>
        <w:t xml:space="preserve">13、中小企业声明函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b/>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u w:val="single"/>
        </w:rPr>
        <w:t xml:space="preserve">信达项目管理咨询（苏州）有限公司：</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ascii="宋体" w:hAnsi="宋体" w:cs="宋体"/>
          <w:sz w:val="24"/>
          <w:szCs w:val="24"/>
          <w:u w:val="single"/>
        </w:rPr>
        <w:t xml:space="preserve">（项目名称）</w:t>
      </w:r>
      <w:r>
        <w:rPr>
          <w:rFonts w:hint="eastAsia" w:ascii="宋体" w:hAnsi="宋体" w:cs="宋体"/>
          <w:sz w:val="24"/>
          <w:szCs w:val="24"/>
        </w:rPr>
        <w:t xml:space="preserve">，属于</w:t>
      </w:r>
      <w:bookmarkStart w:id="121" w:name="OLE_LINK37"/>
      <w:r>
        <w:rPr>
          <w:rFonts w:hint="eastAsia" w:ascii="宋体" w:hAnsi="宋体" w:cs="宋体"/>
          <w:sz w:val="24"/>
          <w:szCs w:val="24"/>
          <w:u w:val="single"/>
        </w:rPr>
        <w:t xml:space="preserve">（采购文件中明确的所属行业）</w:t>
      </w:r>
      <w:bookmarkEnd w:id="121"/>
      <w:r>
        <w:rPr>
          <w:rFonts w:hint="eastAsia" w:ascii="宋体" w:hAnsi="宋体" w:cs="宋体"/>
          <w:sz w:val="24"/>
          <w:szCs w:val="24"/>
          <w:u w:val="single"/>
        </w:rPr>
        <w:t xml:space="preserve">行业</w:t>
      </w:r>
      <w:r>
        <w:rPr>
          <w:rFonts w:hint="eastAsia" w:ascii="宋体" w:hAnsi="宋体" w:cs="宋体"/>
          <w:sz w:val="24"/>
          <w:szCs w:val="24"/>
        </w:rPr>
        <w:t xml:space="preserve">；承接企业为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u w:val="single"/>
          <w:vertAlign w:val="superscript"/>
        </w:rPr>
        <w:footnoteReference w:id="2"/>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本企业对上述声明内容的真实性负责。如有虚假，将依法承担相应责任。</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供应商名称：（公章）</w:t>
      </w:r>
      <w:r/>
    </w:p>
    <w:p>
      <w:pPr>
        <w:ind w:firstLine="480"/>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br w:type="page" w:clear="all"/>
      </w:r>
      <w:r>
        <w:rPr>
          <w:rFonts w:hint="eastAsia" w:ascii="宋体" w:hAnsi="宋体" w:cs="宋体"/>
          <w:b/>
          <w:sz w:val="24"/>
          <w:szCs w:val="24"/>
        </w:rPr>
        <w:t xml:space="preserve">14、残疾人福利性单位声明函</w:t>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u w:val="single"/>
        </w:rPr>
        <w:t xml:space="preserve">信达项目管理咨询（苏州）有限公司</w:t>
      </w:r>
      <w:r>
        <w:rPr>
          <w:rFonts w:hint="eastAsia" w:ascii="宋体" w:hAnsi="宋体" w:cs="宋体"/>
          <w:sz w:val="24"/>
          <w:szCs w:val="24"/>
        </w:rPr>
        <w:t xml:space="preserve">：</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本单位对上述声明的真实性负责。如有虚假，将依法承担相应责任。</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  </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供应商名称：（公章） </w:t>
      </w:r>
      <w:r/>
    </w:p>
    <w:p>
      <w:pPr>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法定代表人或被授权人：（签字或盖章）</w:t>
      </w:r>
      <w:r/>
    </w:p>
    <w:p>
      <w:pPr>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    期：    年     月    日</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备注：1.享受政府采购支持政策的残疾人福利性单位应当同时满足以下条件：</w:t>
      </w:r>
      <w:r/>
    </w:p>
    <w:p>
      <w:pPr>
        <w:ind w:firstLine="4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①安置的残疾人占本单位在职职工人数的比例不低于25%（含25%），并且安置的残疾人人数不少于10人（含10人）；</w:t>
      </w:r>
      <w:r/>
    </w:p>
    <w:p>
      <w:pPr>
        <w:ind w:firstLine="4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②依法与安置的每位残疾人签订了一年以上（含一年）的劳动合同或服务协议；</w:t>
      </w:r>
      <w:r/>
    </w:p>
    <w:p>
      <w:pPr>
        <w:ind w:firstLine="4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③为安置的每位残疾人按月足额缴纳了基本养老保险、基本医疗保险、失业保险、工伤保险和生育保险等社会保险费；</w:t>
      </w:r>
      <w:r/>
    </w:p>
    <w:p>
      <w:pPr>
        <w:ind w:firstLine="4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2.成交单位为残疾人福利性单位的，《残疾人福利性单位声明函》将随成交结果同时公告。</w:t>
      </w:r>
      <w:r/>
    </w:p>
    <w:p>
      <w:pPr>
        <w:ind w:firstLine="402"/>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3.供应商提供的《残疾人福利性单位声明函》与事实不符的，依照《政府采购法》第七十七条第一款的规定追究法律责任。</w:t>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br w:type="page" w:clear="all"/>
      </w:r>
      <w:r>
        <w:rPr>
          <w:rFonts w:hint="eastAsia" w:ascii="宋体" w:hAnsi="宋体" w:cs="宋体"/>
          <w:b/>
          <w:sz w:val="24"/>
          <w:szCs w:val="24"/>
        </w:rPr>
        <w:t xml:space="preserve">15、响应保证承诺书</w:t>
      </w:r>
      <w:r/>
    </w:p>
    <w:p>
      <w:pPr>
        <w:jc w:val="center"/>
        <w:spacing w:line="360" w:lineRule="auto"/>
        <w:widowControl/>
        <w:rPr>
          <w:rFonts w:ascii="宋体" w:hAnsi="宋体" w:cs="宋体"/>
          <w:b/>
          <w:bCs/>
          <w:sz w:val="24"/>
          <w:szCs w:val="24"/>
        </w:rPr>
      </w:pPr>
      <w:r>
        <w:rPr>
          <w:rFonts w:ascii="宋体" w:hAnsi="宋体" w:cs="宋体"/>
          <w:b/>
          <w:bCs/>
          <w:sz w:val="24"/>
          <w:szCs w:val="24"/>
        </w:rPr>
      </w:r>
      <w:r/>
    </w:p>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响应保证承诺书</w:t>
      </w:r>
      <w:r/>
    </w:p>
    <w:p>
      <w:pPr>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1.自响应截止时间至本项目发布成交公告为止，撤销响应；</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2.成交后不依法与采购单位签订合同；</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3.成交后不按本采购文件规定向采购单位提交履约保证金（如有）；</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4.成交后不按本采购文件规定向贵方缴纳采购代理费。</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响应人：（签章）</w:t>
      </w:r>
      <w:r/>
    </w:p>
    <w:p>
      <w:pPr>
        <w:jc w:val="left"/>
        <w:spacing w:line="360" w:lineRule="auto"/>
        <w:widowControl/>
        <w:rPr>
          <w:rFonts w:ascii="宋体" w:hAnsi="宋体" w:cs="宋体"/>
          <w:sz w:val="24"/>
          <w:szCs w:val="24"/>
        </w:rPr>
      </w:pPr>
      <w:r>
        <w:rPr>
          <w:rFonts w:hint="eastAsia" w:ascii="宋体" w:hAnsi="宋体" w:cs="宋体"/>
          <w:sz w:val="24"/>
          <w:szCs w:val="24"/>
        </w:rPr>
        <w:t xml:space="preserve">地址：</w:t>
      </w:r>
      <w:r/>
    </w:p>
    <w:p>
      <w:pPr>
        <w:jc w:val="left"/>
        <w:spacing w:line="360" w:lineRule="auto"/>
        <w:widowControl/>
        <w:rPr>
          <w:rFonts w:ascii="宋体" w:hAnsi="宋体" w:cs="宋体"/>
          <w:sz w:val="24"/>
          <w:szCs w:val="24"/>
        </w:rPr>
      </w:pPr>
      <w:r>
        <w:rPr>
          <w:rFonts w:hint="eastAsia" w:ascii="宋体" w:hAnsi="宋体" w:cs="宋体"/>
          <w:sz w:val="24"/>
          <w:szCs w:val="24"/>
        </w:rPr>
        <w:t xml:space="preserve">电话：</w:t>
      </w:r>
      <w:r/>
    </w:p>
    <w:p>
      <w:pPr>
        <w:jc w:val="left"/>
        <w:spacing w:line="360" w:lineRule="auto"/>
        <w:widowControl/>
        <w:rPr>
          <w:rFonts w:ascii="宋体" w:hAnsi="宋体" w:cs="宋体"/>
          <w:sz w:val="24"/>
          <w:szCs w:val="24"/>
        </w:rPr>
      </w:pPr>
      <w:r>
        <w:rPr>
          <w:rFonts w:hint="eastAsia" w:ascii="宋体" w:hAnsi="宋体" w:cs="宋体"/>
          <w:sz w:val="24"/>
          <w:szCs w:val="24"/>
        </w:rPr>
        <w:t xml:space="preserve">传真：</w:t>
      </w:r>
      <w:r/>
    </w:p>
    <w:p>
      <w:pPr>
        <w:jc w:val="left"/>
        <w:spacing w:line="360" w:lineRule="auto"/>
        <w:widowControl/>
        <w:rPr>
          <w:rFonts w:ascii="宋体" w:hAnsi="宋体" w:cs="宋体"/>
          <w:sz w:val="24"/>
          <w:szCs w:val="24"/>
          <w:u w:val="single"/>
        </w:rPr>
      </w:pPr>
      <w:r>
        <w:rPr>
          <w:rFonts w:hint="eastAsia" w:ascii="宋体" w:hAnsi="宋体" w:cs="宋体"/>
          <w:sz w:val="24"/>
          <w:szCs w:val="24"/>
        </w:rPr>
        <w:t xml:space="preserve">电子邮件：</w:t>
      </w:r>
      <w:r/>
    </w:p>
    <w:p>
      <w:pPr>
        <w:jc w:val="left"/>
        <w:spacing w:line="360" w:lineRule="auto"/>
        <w:widowControl/>
        <w:rPr>
          <w:rFonts w:ascii="宋体" w:hAnsi="宋体" w:cs="宋体"/>
          <w:sz w:val="24"/>
          <w:szCs w:val="24"/>
        </w:rPr>
      </w:pPr>
      <w:r>
        <w:rPr>
          <w:rFonts w:hint="eastAsia" w:ascii="宋体" w:hAnsi="宋体" w:cs="宋体"/>
          <w:sz w:val="24"/>
          <w:szCs w:val="24"/>
        </w:rPr>
        <w:t xml:space="preserve">邮编：</w:t>
      </w:r>
      <w:r/>
    </w:p>
    <w:p>
      <w:pPr>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w:t>
      </w:r>
      <w:r/>
    </w:p>
    <w:p>
      <w:pPr>
        <w:jc w:val="left"/>
        <w:spacing w:line="360" w:lineRule="auto"/>
        <w:widowControl/>
        <w:rPr>
          <w:rFonts w:ascii="宋体" w:hAnsi="宋体" w:cs="宋体"/>
          <w:sz w:val="24"/>
          <w:szCs w:val="24"/>
        </w:rPr>
      </w:pPr>
      <w:r>
        <w:rPr>
          <w:rFonts w:hint="eastAsia" w:ascii="宋体" w:hAnsi="宋体" w:cs="宋体"/>
          <w:sz w:val="24"/>
          <w:szCs w:val="24"/>
        </w:rPr>
        <w:t xml:space="preserve">日期：</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jc w:val="left"/>
        <w:spacing w:line="360" w:lineRule="auto"/>
        <w:widowControl/>
        <w:rPr>
          <w:rFonts w:ascii="宋体" w:hAnsi="宋体" w:cs="宋体"/>
          <w:b/>
          <w:sz w:val="24"/>
          <w:szCs w:val="24"/>
        </w:rPr>
      </w:pPr>
      <w:r>
        <w:rPr>
          <w:rFonts w:hint="eastAsia" w:ascii="宋体" w:hAnsi="宋体" w:cs="宋体"/>
          <w:b/>
          <w:sz w:val="24"/>
          <w:szCs w:val="24"/>
        </w:rPr>
        <w:t xml:space="preserve">16、关于符合本国产品标准的声明函</w:t>
      </w:r>
      <w:r/>
    </w:p>
    <w:p>
      <w:pPr>
        <w:pStyle w:val="726"/>
        <w:ind w:firstLine="420"/>
        <w:spacing w:beforeAutospacing="0" w:afterAutospacing="0" w:line="240" w:lineRule="atLeast"/>
        <w:rPr>
          <w:rFonts w:ascii="宋体" w:hAnsi="宋体" w:cs="宋体"/>
        </w:rPr>
      </w:pPr>
      <w:r>
        <w:rPr>
          <w:rFonts w:ascii="宋体" w:hAnsi="宋体" w:cs="宋体"/>
        </w:rPr>
      </w:r>
      <w:r/>
    </w:p>
    <w:p>
      <w:pPr>
        <w:pStyle w:val="726"/>
        <w:ind w:firstLine="420"/>
        <w:jc w:val="center"/>
        <w:spacing w:beforeAutospacing="0" w:afterAutospacing="0" w:line="240" w:lineRule="atLeast"/>
        <w:rPr>
          <w:rFonts w:ascii="宋体" w:hAnsi="宋体" w:cs="宋体"/>
          <w:b/>
        </w:rPr>
      </w:pPr>
      <w:r>
        <w:rPr>
          <w:rFonts w:hint="eastAsia" w:ascii="宋体" w:hAnsi="宋体" w:cs="宋体"/>
          <w:b/>
        </w:rPr>
        <w:t xml:space="preserve">关于符合本国产品标准的声明函</w:t>
      </w:r>
      <w:r/>
    </w:p>
    <w:p>
      <w:pPr>
        <w:pStyle w:val="726"/>
        <w:ind w:firstLine="420"/>
        <w:jc w:val="center"/>
        <w:spacing w:beforeAutospacing="0" w:afterAutospacing="0" w:line="240" w:lineRule="atLeast"/>
        <w:rPr>
          <w:rFonts w:ascii="宋体" w:hAnsi="宋体" w:cs="宋体"/>
          <w:b/>
        </w:rPr>
      </w:pPr>
      <w:r>
        <w:rPr>
          <w:rFonts w:ascii="宋体" w:hAnsi="宋体" w:cs="宋体"/>
          <w:b/>
        </w:rPr>
      </w:r>
      <w:r/>
    </w:p>
    <w:p>
      <w:pPr>
        <w:pStyle w:val="726"/>
        <w:ind w:firstLine="480"/>
        <w:spacing w:beforeAutospacing="0" w:afterAutospacing="0" w:line="360" w:lineRule="auto"/>
        <w:rPr>
          <w:rFonts w:ascii="宋体" w:hAnsi="宋体" w:cs="宋体"/>
        </w:rPr>
      </w:pPr>
      <w:r>
        <w:rPr>
          <w:rFonts w:hint="eastAsia" w:ascii="宋体" w:hAnsi="宋体" w:cs="宋体"/>
        </w:rPr>
        <w:t xml:space="preserve">本公司</w:t>
      </w:r>
      <w:r>
        <w:rPr>
          <w:rFonts w:hint="eastAsia" w:ascii="宋体" w:hAnsi="宋体" w:cs="宋体"/>
          <w:u w:val="single"/>
        </w:rPr>
        <w:t xml:space="preserve">（单位）</w:t>
      </w:r>
      <w:r>
        <w:rPr>
          <w:rFonts w:hint="eastAsia" w:ascii="宋体" w:hAnsi="宋体" w:cs="宋体"/>
        </w:rPr>
        <w:t xml:space="preserve">郑重声明，根据《国务院办公厅关于在政府采购中实施本国产品标准及相关政策的通知》（国办发〔2025〕34号）的规定，本公司</w:t>
      </w:r>
      <w:r>
        <w:rPr>
          <w:rFonts w:hint="eastAsia" w:ascii="宋体" w:hAnsi="宋体" w:cs="宋体"/>
          <w:u w:val="single"/>
        </w:rPr>
        <w:t xml:space="preserve">（单位）</w:t>
      </w:r>
      <w:r>
        <w:rPr>
          <w:rFonts w:hint="eastAsia" w:ascii="宋体" w:hAnsi="宋体" w:cs="宋体"/>
        </w:rPr>
        <w:t xml:space="preserve">提供的以下产品属于本国产品。具体情况如下：</w:t>
      </w:r>
      <w:r/>
    </w:p>
    <w:p>
      <w:pPr>
        <w:pStyle w:val="726"/>
        <w:ind w:firstLine="480"/>
        <w:spacing w:beforeAutospacing="0" w:afterAutospacing="0" w:line="360" w:lineRule="auto"/>
        <w:rPr>
          <w:rFonts w:ascii="宋体" w:hAnsi="宋体" w:cs="宋体"/>
        </w:rPr>
      </w:pPr>
      <w:r>
        <w:rPr>
          <w:rFonts w:hint="eastAsia" w:ascii="宋体" w:hAnsi="宋体" w:cs="宋体"/>
          <w:shd w:val="clear" w:color="auto" w:fill="ffffff"/>
        </w:rPr>
        <w:t xml:space="preserve">1.</w:t>
      </w:r>
      <w:r>
        <w:rPr>
          <w:rStyle w:val="734"/>
          <w:rFonts w:hint="eastAsia" w:ascii="宋体" w:hAnsi="宋体" w:cs="宋体"/>
          <w:i w:val="0"/>
          <w:u w:val="single"/>
          <w:shd w:val="clear" w:color="auto" w:fill="ffffff"/>
        </w:rPr>
        <w:t xml:space="preserve">（产品名称1）</w:t>
      </w:r>
      <w:r>
        <w:rPr>
          <w:rStyle w:val="734"/>
          <w:rFonts w:hint="eastAsia" w:ascii="宋体" w:hAnsi="宋体" w:cs="宋体"/>
          <w:i w:val="0"/>
          <w:shd w:val="clear" w:color="auto" w:fill="ffffff"/>
          <w:vertAlign w:val="superscript"/>
        </w:rPr>
        <w:t xml:space="preserve">1</w:t>
      </w:r>
      <w:r>
        <w:rPr>
          <w:rFonts w:hint="eastAsia" w:ascii="宋体" w:hAnsi="宋体" w:cs="宋体"/>
          <w:shd w:val="clear" w:color="auto" w:fill="ffffff"/>
        </w:rPr>
        <w:t xml:space="preserve">，生产厂为</w:t>
      </w:r>
      <w:r>
        <w:rPr>
          <w:rStyle w:val="734"/>
          <w:rFonts w:hint="eastAsia" w:ascii="宋体" w:hAnsi="宋体" w:cs="宋体"/>
          <w:i w:val="0"/>
          <w:u w:val="single"/>
          <w:shd w:val="clear" w:color="auto" w:fill="ffffff"/>
        </w:rPr>
        <w:t xml:space="preserve">（厂名）</w:t>
      </w:r>
      <w:r>
        <w:rPr>
          <w:rStyle w:val="734"/>
          <w:rFonts w:hint="eastAsia" w:ascii="宋体" w:hAnsi="宋体" w:cs="宋体"/>
          <w:i w:val="0"/>
          <w:shd w:val="clear" w:color="auto" w:fill="ffffff"/>
          <w:vertAlign w:val="superscript"/>
        </w:rPr>
        <w:t xml:space="preserve">2</w:t>
      </w:r>
      <w:r>
        <w:rPr>
          <w:rFonts w:hint="eastAsia" w:ascii="宋体" w:hAnsi="宋体" w:cs="宋体"/>
          <w:shd w:val="clear" w:color="auto" w:fill="ffffff"/>
        </w:rPr>
        <w:t xml:space="preserve">，厂址为</w:t>
      </w:r>
      <w:r>
        <w:rPr>
          <w:rStyle w:val="734"/>
          <w:rFonts w:hint="eastAsia" w:ascii="宋体" w:hAnsi="宋体" w:cs="宋体"/>
          <w:i w:val="0"/>
          <w:u w:val="single"/>
          <w:shd w:val="clear" w:color="auto" w:fill="ffffff"/>
        </w:rPr>
        <w:t xml:space="preserve">（生产厂址）</w:t>
      </w:r>
      <w:r>
        <w:rPr>
          <w:rFonts w:hint="eastAsia" w:ascii="宋体" w:hAnsi="宋体" w:cs="宋体"/>
          <w:shd w:val="clear" w:color="auto" w:fill="ffffff"/>
        </w:rPr>
        <w:t xml:space="preserve">。</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产品名称1</w:t>
      </w:r>
      <w:r>
        <w:rPr>
          <w:rStyle w:val="734"/>
          <w:rFonts w:hint="eastAsia" w:ascii="宋体" w:hAnsi="宋体" w:cs="宋体"/>
          <w:i w:val="0"/>
          <w:u w:val="single"/>
          <w:shd w:val="clear" w:color="auto" w:fill="ffffff"/>
        </w:rPr>
        <w:t xml:space="preserve">） </w:t>
      </w:r>
      <w:r>
        <w:rPr>
          <w:rFonts w:hint="eastAsia" w:ascii="宋体" w:hAnsi="宋体" w:cs="宋体"/>
          <w:shd w:val="clear" w:color="auto" w:fill="ffffff"/>
        </w:rPr>
        <w:t xml:space="preserve">的中国境内生产的组件成本占比≥</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规定比例</w:t>
      </w:r>
      <w:r>
        <w:rPr>
          <w:rStyle w:val="734"/>
          <w:rFonts w:hint="eastAsia" w:ascii="宋体" w:hAnsi="宋体" w:cs="宋体"/>
          <w:i w:val="0"/>
          <w:u w:val="single"/>
          <w:shd w:val="clear" w:color="auto" w:fill="ffffff"/>
        </w:rPr>
        <w:t xml:space="preserve">）</w:t>
      </w:r>
      <w:r>
        <w:rPr>
          <w:rStyle w:val="734"/>
          <w:rFonts w:hint="eastAsia" w:ascii="宋体" w:hAnsi="宋体" w:cs="宋体"/>
          <w:i w:val="0"/>
          <w:shd w:val="clear" w:color="auto" w:fill="ffffff"/>
          <w:vertAlign w:val="superscript"/>
        </w:rPr>
        <w:t xml:space="preserve">3</w:t>
      </w:r>
      <w:r>
        <w:rPr>
          <w:rFonts w:hint="eastAsia" w:ascii="宋体" w:hAnsi="宋体" w:cs="宋体"/>
          <w:shd w:val="clear" w:color="auto" w:fill="ffffff"/>
        </w:rPr>
        <w:t xml:space="preserve">。</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产品名称1</w:t>
      </w:r>
      <w:r>
        <w:rPr>
          <w:rStyle w:val="734"/>
          <w:rFonts w:hint="eastAsia" w:ascii="宋体" w:hAnsi="宋体" w:cs="宋体"/>
          <w:i w:val="0"/>
          <w:u w:val="single"/>
          <w:shd w:val="clear" w:color="auto" w:fill="ffffff"/>
        </w:rPr>
        <w:t xml:space="preserve">）</w:t>
      </w:r>
      <w:r>
        <w:rPr>
          <w:rFonts w:hint="eastAsia" w:ascii="宋体" w:hAnsi="宋体" w:cs="宋体"/>
          <w:shd w:val="clear" w:color="auto" w:fill="ffffff"/>
        </w:rPr>
        <w:t xml:space="preserve">的</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关键组件</w:t>
      </w:r>
      <w:r>
        <w:rPr>
          <w:rStyle w:val="734"/>
          <w:rFonts w:hint="eastAsia" w:ascii="宋体" w:hAnsi="宋体" w:cs="宋体"/>
          <w:i w:val="0"/>
          <w:u w:val="single"/>
          <w:shd w:val="clear" w:color="auto" w:fill="ffffff"/>
        </w:rPr>
        <w:t xml:space="preserve">）</w:t>
      </w:r>
      <w:r>
        <w:rPr>
          <w:rStyle w:val="734"/>
          <w:rFonts w:hint="eastAsia" w:ascii="宋体" w:hAnsi="宋体" w:cs="宋体"/>
          <w:i w:val="0"/>
          <w:shd w:val="clear" w:color="auto" w:fill="ffffff"/>
          <w:vertAlign w:val="superscript"/>
        </w:rPr>
        <w:t xml:space="preserve">4</w:t>
      </w:r>
      <w:r>
        <w:rPr>
          <w:rFonts w:hint="eastAsia" w:ascii="宋体" w:hAnsi="宋体" w:cs="宋体"/>
          <w:shd w:val="clear" w:color="auto" w:fill="ffffff"/>
        </w:rPr>
        <w:t xml:space="preserve">在中国境内生产。</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产品名称1</w:t>
      </w:r>
      <w:r>
        <w:rPr>
          <w:rStyle w:val="734"/>
          <w:rFonts w:hint="eastAsia" w:ascii="宋体" w:hAnsi="宋体" w:cs="宋体"/>
          <w:i w:val="0"/>
          <w:u w:val="single"/>
          <w:shd w:val="clear" w:color="auto" w:fill="ffffff"/>
        </w:rPr>
        <w:t xml:space="preserve">）</w:t>
      </w:r>
      <w:r>
        <w:rPr>
          <w:rFonts w:hint="eastAsia" w:ascii="宋体" w:hAnsi="宋体" w:cs="宋体"/>
          <w:shd w:val="clear" w:color="auto" w:fill="ffffff"/>
        </w:rPr>
        <w:t xml:space="preserve">的</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关键工序</w:t>
      </w:r>
      <w:r>
        <w:rPr>
          <w:rStyle w:val="734"/>
          <w:rFonts w:hint="eastAsia" w:ascii="宋体" w:hAnsi="宋体" w:cs="宋体"/>
          <w:i w:val="0"/>
          <w:u w:val="single"/>
          <w:shd w:val="clear" w:color="auto" w:fill="ffffff"/>
        </w:rPr>
        <w:t xml:space="preserve">）</w:t>
      </w:r>
      <w:r>
        <w:rPr>
          <w:rStyle w:val="734"/>
          <w:rFonts w:hint="eastAsia" w:ascii="宋体" w:hAnsi="宋体" w:cs="宋体"/>
          <w:i w:val="0"/>
          <w:shd w:val="clear" w:color="auto" w:fill="ffffff"/>
          <w:vertAlign w:val="superscript"/>
        </w:rPr>
        <w:t xml:space="preserve">5</w:t>
      </w:r>
      <w:r>
        <w:rPr>
          <w:rFonts w:hint="eastAsia" w:ascii="宋体" w:hAnsi="宋体" w:cs="宋体"/>
          <w:shd w:val="clear" w:color="auto" w:fill="ffffff"/>
        </w:rPr>
        <w:t xml:space="preserve">在中国境内完成。</w:t>
      </w:r>
      <w:r/>
    </w:p>
    <w:p>
      <w:pPr>
        <w:pStyle w:val="726"/>
        <w:ind w:firstLine="480"/>
        <w:spacing w:beforeAutospacing="0" w:afterAutospacing="0" w:line="360" w:lineRule="auto"/>
        <w:rPr>
          <w:rFonts w:ascii="宋体" w:hAnsi="宋体" w:cs="宋体"/>
        </w:rPr>
      </w:pPr>
      <w:r>
        <w:rPr>
          <w:rFonts w:hint="eastAsia" w:ascii="宋体" w:hAnsi="宋体" w:cs="宋体"/>
          <w:shd w:val="clear" w:color="auto" w:fill="ffffff"/>
        </w:rPr>
        <w:t xml:space="preserve">2.</w:t>
      </w:r>
      <w:r>
        <w:rPr>
          <w:rStyle w:val="734"/>
          <w:rFonts w:hint="eastAsia" w:ascii="宋体" w:hAnsi="宋体" w:cs="宋体"/>
          <w:i w:val="0"/>
          <w:u w:val="single"/>
          <w:shd w:val="clear" w:color="auto" w:fill="ffffff"/>
        </w:rPr>
        <w:t xml:space="preserve">（产品名称2）</w:t>
      </w:r>
      <w:r>
        <w:rPr>
          <w:rFonts w:hint="eastAsia" w:ascii="宋体" w:hAnsi="宋体" w:cs="宋体"/>
          <w:shd w:val="clear" w:color="auto" w:fill="ffffff"/>
        </w:rPr>
        <w:t xml:space="preserve">，生产厂为</w:t>
      </w:r>
      <w:r>
        <w:rPr>
          <w:rStyle w:val="734"/>
          <w:rFonts w:hint="eastAsia" w:ascii="宋体" w:hAnsi="宋体" w:cs="宋体"/>
          <w:i w:val="0"/>
          <w:u w:val="single"/>
          <w:shd w:val="clear" w:color="auto" w:fill="ffffff"/>
        </w:rPr>
        <w:t xml:space="preserve">（厂名）</w:t>
      </w:r>
      <w:r>
        <w:rPr>
          <w:rFonts w:hint="eastAsia" w:ascii="宋体" w:hAnsi="宋体" w:cs="宋体"/>
          <w:shd w:val="clear" w:color="auto" w:fill="ffffff"/>
        </w:rPr>
        <w:t xml:space="preserve">，厂址为</w:t>
      </w:r>
      <w:r>
        <w:rPr>
          <w:rStyle w:val="734"/>
          <w:rFonts w:hint="eastAsia" w:ascii="宋体" w:hAnsi="宋体" w:cs="宋体"/>
          <w:i w:val="0"/>
          <w:u w:val="single"/>
          <w:shd w:val="clear" w:color="auto" w:fill="ffffff"/>
        </w:rPr>
        <w:t xml:space="preserve">（生产厂址）</w:t>
      </w:r>
      <w:r>
        <w:rPr>
          <w:rFonts w:hint="eastAsia" w:ascii="宋体" w:hAnsi="宋体" w:cs="宋体"/>
          <w:shd w:val="clear" w:color="auto" w:fill="ffffff"/>
        </w:rPr>
        <w:t xml:space="preserve">。</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产品名称2</w:t>
      </w:r>
      <w:r>
        <w:rPr>
          <w:rStyle w:val="734"/>
          <w:rFonts w:hint="eastAsia" w:ascii="宋体" w:hAnsi="宋体" w:cs="宋体"/>
          <w:i w:val="0"/>
          <w:u w:val="single"/>
          <w:shd w:val="clear" w:color="auto" w:fill="ffffff"/>
        </w:rPr>
        <w:t xml:space="preserve">）</w:t>
      </w:r>
      <w:r>
        <w:rPr>
          <w:rFonts w:hint="eastAsia" w:ascii="宋体" w:hAnsi="宋体" w:cs="宋体"/>
          <w:shd w:val="clear" w:color="auto" w:fill="ffffff"/>
        </w:rPr>
        <w:t xml:space="preserve">的中国境内生产的组件成本占比≥</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规定比例</w:t>
      </w:r>
      <w:r>
        <w:rPr>
          <w:rStyle w:val="734"/>
          <w:rFonts w:hint="eastAsia" w:ascii="宋体" w:hAnsi="宋体" w:cs="宋体"/>
          <w:i w:val="0"/>
          <w:u w:val="single"/>
          <w:shd w:val="clear" w:color="auto" w:fill="ffffff"/>
        </w:rPr>
        <w:t xml:space="preserve">）</w:t>
      </w:r>
      <w:r>
        <w:rPr>
          <w:rFonts w:hint="eastAsia" w:ascii="宋体" w:hAnsi="宋体" w:cs="宋体"/>
          <w:shd w:val="clear" w:color="auto" w:fill="ffffff"/>
        </w:rPr>
        <w:t xml:space="preserve">。</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产品名称2</w:t>
      </w:r>
      <w:r>
        <w:rPr>
          <w:rStyle w:val="734"/>
          <w:rFonts w:hint="eastAsia" w:ascii="宋体" w:hAnsi="宋体" w:cs="宋体"/>
          <w:i w:val="0"/>
          <w:u w:val="single"/>
          <w:shd w:val="clear" w:color="auto" w:fill="ffffff"/>
        </w:rPr>
        <w:t xml:space="preserve">）</w:t>
      </w:r>
      <w:r>
        <w:rPr>
          <w:rFonts w:hint="eastAsia" w:ascii="宋体" w:hAnsi="宋体" w:cs="宋体"/>
          <w:shd w:val="clear" w:color="auto" w:fill="ffffff"/>
        </w:rPr>
        <w:t xml:space="preserve">的</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关键组件</w:t>
      </w:r>
      <w:r>
        <w:rPr>
          <w:rStyle w:val="734"/>
          <w:rFonts w:hint="eastAsia" w:ascii="宋体" w:hAnsi="宋体" w:cs="宋体"/>
          <w:i w:val="0"/>
          <w:u w:val="single"/>
          <w:shd w:val="clear" w:color="auto" w:fill="ffffff"/>
        </w:rPr>
        <w:t xml:space="preserve">）</w:t>
      </w:r>
      <w:r>
        <w:rPr>
          <w:rFonts w:hint="eastAsia" w:ascii="宋体" w:hAnsi="宋体" w:cs="宋体"/>
          <w:shd w:val="clear" w:color="auto" w:fill="ffffff"/>
        </w:rPr>
        <w:t xml:space="preserve">在中国境内生产。</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产品名称1</w:t>
      </w:r>
      <w:r>
        <w:rPr>
          <w:rStyle w:val="734"/>
          <w:rFonts w:hint="eastAsia" w:ascii="宋体" w:hAnsi="宋体" w:cs="宋体"/>
          <w:i w:val="0"/>
          <w:u w:val="single"/>
          <w:shd w:val="clear" w:color="auto" w:fill="ffffff"/>
        </w:rPr>
        <w:t xml:space="preserve">）</w:t>
      </w:r>
      <w:r>
        <w:rPr>
          <w:rFonts w:hint="eastAsia" w:ascii="宋体" w:hAnsi="宋体" w:cs="宋体"/>
          <w:shd w:val="clear" w:color="auto" w:fill="ffffff"/>
        </w:rPr>
        <w:t xml:space="preserve">的</w:t>
      </w:r>
      <w:r>
        <w:rPr>
          <w:rStyle w:val="734"/>
          <w:rFonts w:hint="eastAsia" w:ascii="宋体" w:hAnsi="宋体" w:cs="宋体"/>
          <w:i w:val="0"/>
          <w:u w:val="single"/>
          <w:shd w:val="clear" w:color="auto" w:fill="ffffff"/>
        </w:rPr>
        <w:t xml:space="preserve">（</w:t>
      </w:r>
      <w:r>
        <w:rPr>
          <w:rStyle w:val="734"/>
          <w:rFonts w:hint="eastAsia" w:ascii="宋体" w:hAnsi="宋体" w:cs="宋体"/>
          <w:i w:val="0"/>
          <w:strike/>
          <w:u w:val="single"/>
          <w:shd w:val="clear" w:color="auto" w:fill="ffffff"/>
        </w:rPr>
        <w:t xml:space="preserve">关键工序</w:t>
      </w:r>
      <w:r>
        <w:rPr>
          <w:rStyle w:val="734"/>
          <w:rFonts w:hint="eastAsia" w:ascii="宋体" w:hAnsi="宋体" w:cs="宋体"/>
          <w:i w:val="0"/>
          <w:u w:val="single"/>
          <w:shd w:val="clear" w:color="auto" w:fill="ffffff"/>
        </w:rPr>
        <w:t xml:space="preserve">）</w:t>
      </w:r>
      <w:r>
        <w:rPr>
          <w:rFonts w:hint="eastAsia" w:ascii="宋体" w:hAnsi="宋体" w:cs="宋体"/>
          <w:shd w:val="clear" w:color="auto" w:fill="ffffff"/>
        </w:rPr>
        <w:t xml:space="preserve">在中国境内完成。</w:t>
      </w:r>
      <w:r/>
    </w:p>
    <w:p>
      <w:pPr>
        <w:pStyle w:val="726"/>
        <w:ind w:firstLine="480"/>
        <w:spacing w:beforeAutospacing="0" w:afterAutospacing="0" w:line="360" w:lineRule="auto"/>
        <w:rPr>
          <w:rFonts w:ascii="宋体" w:hAnsi="宋体" w:cs="宋体"/>
        </w:rPr>
      </w:pPr>
      <w:r>
        <w:rPr>
          <w:rFonts w:hint="eastAsia" w:ascii="宋体" w:hAnsi="宋体" w:cs="宋体"/>
          <w:shd w:val="clear" w:color="auto" w:fill="ffffff"/>
        </w:rPr>
        <w:t xml:space="preserve">……</w:t>
      </w:r>
      <w:r/>
    </w:p>
    <w:p>
      <w:pPr>
        <w:pStyle w:val="726"/>
        <w:ind w:firstLine="480"/>
        <w:spacing w:beforeAutospacing="0" w:afterAutospacing="0" w:line="360" w:lineRule="auto"/>
        <w:rPr>
          <w:rFonts w:ascii="宋体" w:hAnsi="宋体" w:cs="宋体"/>
        </w:rPr>
      </w:pPr>
      <w:r>
        <w:rPr>
          <w:rFonts w:hint="eastAsia" w:ascii="宋体" w:hAnsi="宋体" w:cs="宋体"/>
          <w:shd w:val="clear" w:color="auto" w:fill="ffffff"/>
        </w:rPr>
        <w:t xml:space="preserve">本公司（单位）对上述声明内容的真实性负责。如有虚假，愿承担相应法律责任。</w:t>
      </w:r>
      <w:r/>
    </w:p>
    <w:p>
      <w:pPr>
        <w:pStyle w:val="726"/>
        <w:ind w:firstLine="480"/>
        <w:spacing w:beforeAutospacing="0" w:afterAutospacing="0" w:line="360" w:lineRule="auto"/>
        <w:rPr>
          <w:rFonts w:ascii="宋体" w:hAnsi="宋体" w:cs="宋体"/>
        </w:rPr>
      </w:pPr>
      <w:r>
        <w:rPr>
          <w:rFonts w:ascii="宋体" w:hAnsi="宋体" w:cs="宋体"/>
        </w:rPr>
      </w:r>
      <w:r/>
    </w:p>
    <w:p>
      <w:pPr>
        <w:pStyle w:val="726"/>
        <w:ind w:firstLine="480"/>
        <w:spacing w:beforeAutospacing="0" w:afterAutospacing="0" w:line="360" w:lineRule="auto"/>
        <w:rPr>
          <w:rFonts w:ascii="宋体" w:hAnsi="宋体" w:cs="宋体"/>
        </w:rPr>
      </w:pPr>
      <w:r>
        <w:rPr>
          <w:rFonts w:hint="eastAsia" w:ascii="宋体" w:hAnsi="宋体" w:cs="宋体"/>
          <w:shd w:val="clear" w:color="auto" w:fill="ffffff"/>
        </w:rPr>
        <w:t xml:space="preserve">公司（单位）名称（盖章）：</w:t>
      </w:r>
      <w:r/>
    </w:p>
    <w:p>
      <w:pPr>
        <w:pStyle w:val="726"/>
        <w:ind w:firstLine="480"/>
        <w:jc w:val="center"/>
        <w:spacing w:beforeAutospacing="0" w:afterAutospacing="0" w:line="360" w:lineRule="auto"/>
        <w:rPr>
          <w:rFonts w:ascii="宋体" w:hAnsi="宋体" w:cs="宋体"/>
        </w:rPr>
      </w:pPr>
      <w:r>
        <w:rPr>
          <w:rFonts w:hint="eastAsia" w:ascii="宋体" w:hAnsi="宋体" w:cs="宋体"/>
          <w:shd w:val="clear" w:color="auto" w:fill="ffffff"/>
        </w:rPr>
        <w:t xml:space="preserve">                                           日期：　   年　  月　  日         </w:t>
      </w:r>
      <w:r/>
    </w:p>
    <w:p>
      <w:pPr>
        <w:pStyle w:val="726"/>
        <w:spacing w:before="30" w:beforeAutospacing="0" w:after="30" w:afterAutospacing="0" w:line="240" w:lineRule="atLeast"/>
        <w:rPr>
          <w:rFonts w:ascii="宋体" w:hAnsi="宋体" w:cs="宋体"/>
        </w:rPr>
      </w:pPr>
      <w:r>
        <w:rPr>
          <w:rFonts w:hint="eastAsia" w:ascii="宋体" w:hAnsi="宋体" w:cs="宋体"/>
          <w:shd w:val="clear" w:color="auto" w:fill="ffffff"/>
        </w:rPr>
        <w:t xml:space="preserve">__________________</w:t>
      </w:r>
      <w:r/>
    </w:p>
    <w:p>
      <w:pPr>
        <w:pStyle w:val="726"/>
        <w:ind w:firstLine="480"/>
        <w:spacing w:beforeAutospacing="0" w:afterAutospacing="0" w:line="360" w:lineRule="auto"/>
        <w:rPr>
          <w:rFonts w:ascii="宋体" w:hAnsi="宋体" w:cs="宋体"/>
        </w:rPr>
      </w:pPr>
      <w:r>
        <w:rPr>
          <w:rFonts w:hint="eastAsia" w:ascii="宋体" w:hAnsi="宋体" w:cs="宋体"/>
        </w:rPr>
        <w:t xml:space="preserve">1.产品如有型号，请在“产品名称”栏一并填写。</w:t>
      </w:r>
      <w:r/>
    </w:p>
    <w:p>
      <w:pPr>
        <w:pStyle w:val="726"/>
        <w:ind w:firstLine="480"/>
        <w:spacing w:beforeAutospacing="0" w:afterAutospacing="0" w:line="360" w:lineRule="auto"/>
        <w:rPr>
          <w:rFonts w:ascii="宋体" w:hAnsi="宋体" w:cs="宋体"/>
        </w:rPr>
      </w:pPr>
      <w:r>
        <w:rPr>
          <w:rFonts w:hint="eastAsia" w:ascii="宋体" w:hAnsi="宋体" w:cs="宋体"/>
        </w:rPr>
        <w:t xml:space="preserve">2.生产厂名与厂址应与生产厂营业执照载明的相关信息保持一致。</w:t>
      </w:r>
      <w:r/>
    </w:p>
    <w:p>
      <w:pPr>
        <w:pStyle w:val="726"/>
        <w:ind w:firstLine="480"/>
        <w:spacing w:beforeAutospacing="0" w:afterAutospacing="0"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pStyle w:val="726"/>
        <w:ind w:firstLine="480"/>
        <w:spacing w:beforeAutospacing="0" w:afterAutospacing="0" w:line="360" w:lineRule="auto"/>
        <w:rPr>
          <w:rFonts w:ascii="宋体" w:hAnsi="宋体" w:cs="宋体"/>
        </w:rPr>
      </w:pPr>
      <w:r>
        <w:rPr>
          <w:rFonts w:hint="eastAsia" w:ascii="宋体" w:hAnsi="宋体" w:cs="宋体"/>
        </w:rPr>
        <w:t xml:space="preserve">4.该产品的关键组件要求实施前，“关键组件”栏可不填，下同。</w:t>
      </w:r>
      <w:r/>
    </w:p>
    <w:p>
      <w:pPr>
        <w:pStyle w:val="726"/>
        <w:ind w:firstLine="480"/>
        <w:spacing w:beforeAutospacing="0" w:afterAutospacing="0" w:line="360" w:lineRule="auto"/>
        <w:rPr>
          <w:rFonts w:ascii="宋体" w:hAnsi="宋体" w:cs="宋体"/>
        </w:rPr>
      </w:pPr>
      <w:r>
        <w:rPr>
          <w:rFonts w:hint="eastAsia" w:ascii="宋体" w:hAnsi="宋体" w:cs="宋体"/>
        </w:rPr>
        <w:t xml:space="preserve">5.该产品的关键工序要求实施前，“关键工序”栏可不填，下同</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17、供应商与其他单位存在控股、管理关系情况表；</w:t>
      </w:r>
      <w:r/>
    </w:p>
    <w:p>
      <w:pPr>
        <w:jc w:val="center"/>
        <w:spacing w:line="400" w:lineRule="exact"/>
        <w:widowControl/>
        <w:rPr>
          <w:rFonts w:ascii="宋体" w:hAnsi="宋体" w:cs="宋体"/>
          <w:b/>
          <w:sz w:val="24"/>
          <w:szCs w:val="24"/>
        </w:rPr>
      </w:pPr>
      <w:r>
        <w:rPr>
          <w:rFonts w:hint="eastAsia" w:ascii="宋体" w:hAnsi="宋体" w:cs="宋体"/>
          <w:b/>
          <w:sz w:val="24"/>
          <w:szCs w:val="24"/>
        </w:rPr>
        <w:t xml:space="preserve">供应商与其他单位存在控股、管理关系情况表</w:t>
      </w:r>
      <w:r/>
    </w:p>
    <w:tbl>
      <w:tblPr>
        <w:tblStyle w:val="70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760"/>
        <w:gridCol w:w="4202"/>
      </w:tblGrid>
      <w:tr>
        <w:trPr>
          <w:jc w:val="center"/>
          <w:trHeight w:val="364"/>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2109" w:type="pct"/>
            <w:vAlign w:val="center"/>
            <w:textDirection w:val="lrTb"/>
            <w:noWrap w:val="false"/>
          </w:tcPr>
          <w:p>
            <w:pPr>
              <w:jc w:val="center"/>
              <w:spacing w:line="300" w:lineRule="auto"/>
              <w:widowControl/>
              <w:rPr>
                <w:rFonts w:ascii="宋体" w:hAnsi="宋体" w:cs="宋体"/>
                <w:sz w:val="24"/>
                <w:szCs w:val="24"/>
              </w:rPr>
            </w:pPr>
            <w:r>
              <w:rPr>
                <w:rFonts w:hint="eastAsia" w:ascii="宋体" w:hAnsi="宋体" w:cs="宋体"/>
                <w:sz w:val="24"/>
                <w:szCs w:val="24"/>
              </w:rPr>
              <w:t xml:space="preserve">控股、管理关系情况说明</w:t>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none" w:color="000000" w:sz="4" w:space="0"/>
              <w:bottom w:val="single" w:color="000000" w:sz="4" w:space="0"/>
              <w:right w:val="single" w:color="000000" w:sz="4" w:space="0"/>
            </w:tcBorders>
            <w:tcW w:w="2109"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none" w:color="000000" w:sz="4" w:space="0"/>
              <w:bottom w:val="single" w:color="000000" w:sz="4" w:space="0"/>
              <w:right w:val="single" w:color="000000" w:sz="4" w:space="0"/>
            </w:tcBorders>
            <w:tcW w:w="2109"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none" w:color="000000" w:sz="4" w:space="0"/>
              <w:bottom w:val="single" w:color="000000" w:sz="4" w:space="0"/>
              <w:right w:val="single" w:color="000000" w:sz="4" w:space="0"/>
            </w:tcBorders>
            <w:tcW w:w="2109"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none" w:color="000000" w:sz="4" w:space="0"/>
              <w:bottom w:val="single" w:color="000000" w:sz="4" w:space="0"/>
              <w:right w:val="single" w:color="000000" w:sz="4" w:space="0"/>
            </w:tcBorders>
            <w:tcW w:w="2109"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none" w:color="000000" w:sz="4" w:space="0"/>
              <w:bottom w:val="single" w:color="000000" w:sz="4" w:space="0"/>
              <w:right w:val="single" w:color="000000" w:sz="4" w:space="0"/>
            </w:tcBorders>
            <w:tcW w:w="2109"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r>
      <w:tr>
        <w:trPr>
          <w:jc w:val="center"/>
          <w:trHeight w:val="486"/>
        </w:trPr>
        <w:tc>
          <w:tcPr>
            <w:tcBorders>
              <w:top w:val="single" w:color="000000" w:sz="4" w:space="0"/>
              <w:left w:val="single" w:color="000000" w:sz="4" w:space="0"/>
              <w:bottom w:val="single" w:color="000000" w:sz="4" w:space="0"/>
              <w:right w:val="single" w:color="000000" w:sz="4" w:space="0"/>
            </w:tcBorders>
            <w:tcW w:w="2891"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none" w:color="000000" w:sz="4" w:space="0"/>
              <w:bottom w:val="single" w:color="000000" w:sz="4" w:space="0"/>
              <w:right w:val="single" w:color="000000" w:sz="4" w:space="0"/>
            </w:tcBorders>
            <w:tcW w:w="2109" w:type="pct"/>
            <w:vAlign w:val="center"/>
            <w:textDirection w:val="lrTb"/>
            <w:noWrap w:val="false"/>
          </w:tcPr>
          <w:p>
            <w:pPr>
              <w:jc w:val="center"/>
              <w:spacing w:line="300" w:lineRule="auto"/>
              <w:widowControl/>
              <w:rPr>
                <w:rFonts w:ascii="宋体" w:hAnsi="宋体" w:cs="宋体"/>
                <w:b/>
                <w:sz w:val="24"/>
                <w:szCs w:val="24"/>
              </w:rPr>
            </w:pPr>
            <w:r>
              <w:rPr>
                <w:rFonts w:ascii="宋体" w:hAnsi="宋体" w:cs="宋体"/>
                <w:b/>
                <w:sz w:val="24"/>
                <w:szCs w:val="24"/>
              </w:rPr>
            </w:r>
            <w:r/>
          </w:p>
        </w:tc>
      </w:tr>
    </w:tbl>
    <w:p>
      <w:pPr>
        <w:jc w:val="left"/>
        <w:spacing w:line="360" w:lineRule="auto"/>
        <w:widowControl/>
        <w:rPr>
          <w:rFonts w:ascii="宋体" w:hAnsi="宋体" w:cs="宋体"/>
          <w:b/>
          <w:sz w:val="24"/>
          <w:szCs w:val="24"/>
        </w:rPr>
      </w:pPr>
      <w:r>
        <w:rPr>
          <w:rFonts w:hint="eastAsia" w:ascii="宋体" w:hAnsi="宋体" w:cs="宋体"/>
          <w:b/>
          <w:sz w:val="24"/>
          <w:szCs w:val="24"/>
        </w:rPr>
        <w:t xml:space="preserve">注：响应单位应当按实填写所有与之有控股、管理关系的情况。</w:t>
      </w:r>
      <w:r/>
    </w:p>
    <w:p>
      <w:pPr>
        <w:spacing w:line="360" w:lineRule="auto"/>
        <w:rPr>
          <w:rFonts w:ascii="宋体" w:hAnsi="宋体" w:cs="宋体"/>
          <w:sz w:val="24"/>
          <w:szCs w:val="24"/>
        </w:rPr>
      </w:pPr>
      <w:r>
        <w:rPr>
          <w:rFonts w:hint="eastAsia" w:ascii="宋体" w:hAnsi="宋体" w:cs="宋体"/>
          <w:sz w:val="24"/>
          <w:szCs w:val="24"/>
        </w:rPr>
        <w:t xml:space="preserve">响应单位名称：（单位盖章）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pStyle w:val="726"/>
        <w:spacing w:beforeAutospacing="0" w:afterAutospacing="0" w:line="360" w:lineRule="auto"/>
        <w:widowControl/>
        <w:rPr>
          <w:rFonts w:ascii="宋体" w:hAnsi="宋体" w:cs="宋体"/>
          <w:b/>
        </w:rPr>
      </w:pPr>
      <w:r>
        <w:rPr>
          <w:rFonts w:ascii="宋体" w:hAnsi="宋体" w:cs="宋体"/>
          <w:b/>
        </w:rPr>
      </w:r>
      <w:r/>
    </w:p>
    <w:p>
      <w:pPr>
        <w:pStyle w:val="726"/>
        <w:jc w:val="right"/>
        <w:spacing w:beforeAutospacing="0" w:afterAutospacing="0" w:line="360" w:lineRule="auto"/>
        <w:widowControl/>
        <w:rPr>
          <w:rFonts w:ascii="宋体" w:hAnsi="宋体" w:cs="宋体"/>
          <w:b/>
        </w:rPr>
      </w:pPr>
      <w:r>
        <w:rPr>
          <w:rFonts w:hint="eastAsia" w:ascii="宋体" w:hAnsi="宋体" w:cs="宋体"/>
          <w:b/>
        </w:rPr>
        <w:t xml:space="preserve">全文完</w:t>
      </w:r>
      <w:r/>
    </w:p>
    <w:sectPr>
      <w:footerReference w:type="default" r:id="rId9"/>
      <w:footnotePr/>
      <w:endnotePr/>
      <w:type w:val="nextPage"/>
      <w:pgSz w:w="11906" w:h="16838" w:orient="portrait"/>
      <w:pgMar w:top="1135" w:right="1080" w:bottom="1135"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等线">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21"/>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777"/>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6">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7">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8">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0">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1">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2">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3">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6">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7">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8">
    <w:name w:val="TOC Heading"/>
    <w:uiPriority w:val="39"/>
    <w:unhideWhenUsed/>
  </w:style>
  <w:style w:type="paragraph" w:styleId="689" w:default="1">
    <w:name w:val="Normal"/>
    <w:next w:val="701"/>
    <w:uiPriority w:val="0"/>
    <w:qFormat/>
    <w:pPr>
      <w:jc w:val="both"/>
      <w:widowControl w:val="off"/>
    </w:pPr>
    <w:rPr>
      <w:rFonts w:ascii="Calibri" w:hAnsi="Calibri" w:eastAsia="宋体" w:cs="Times New Roman"/>
      <w:sz w:val="21"/>
      <w:szCs w:val="22"/>
      <w:lang w:val="en-US" w:eastAsia="zh-CN" w:bidi="ar-SA"/>
    </w:rPr>
  </w:style>
  <w:style w:type="paragraph" w:styleId="690">
    <w:name w:val="Heading 1"/>
    <w:basedOn w:val="689"/>
    <w:next w:val="689"/>
    <w:link w:val="753"/>
    <w:uiPriority w:val="9"/>
    <w:qFormat/>
    <w:pPr>
      <w:keepLines/>
      <w:keepNext/>
      <w:spacing w:before="480" w:after="200"/>
      <w:outlineLvl w:val="0"/>
    </w:pPr>
    <w:rPr>
      <w:rFonts w:ascii="Arial" w:hAnsi="Arial" w:eastAsia="Arial"/>
      <w:sz w:val="40"/>
      <w:szCs w:val="40"/>
      <w:lang w:eastAsia="en-US"/>
    </w:rPr>
  </w:style>
  <w:style w:type="paragraph" w:styleId="691">
    <w:name w:val="Heading 2"/>
    <w:basedOn w:val="689"/>
    <w:next w:val="689"/>
    <w:link w:val="754"/>
    <w:uiPriority w:val="9"/>
    <w:qFormat/>
    <w:pPr>
      <w:keepLines/>
      <w:keepNext/>
      <w:spacing w:before="360" w:after="200"/>
      <w:outlineLvl w:val="1"/>
    </w:pPr>
    <w:rPr>
      <w:rFonts w:ascii="Arial" w:hAnsi="Arial" w:eastAsia="Arial"/>
      <w:sz w:val="34"/>
      <w:szCs w:val="20"/>
      <w:lang w:eastAsia="en-US"/>
    </w:rPr>
  </w:style>
  <w:style w:type="paragraph" w:styleId="692">
    <w:name w:val="Heading 3"/>
    <w:basedOn w:val="689"/>
    <w:next w:val="689"/>
    <w:link w:val="755"/>
    <w:uiPriority w:val="9"/>
    <w:qFormat/>
    <w:pPr>
      <w:keepLines/>
      <w:keepNext/>
      <w:spacing w:before="320" w:after="200"/>
      <w:outlineLvl w:val="2"/>
    </w:pPr>
    <w:rPr>
      <w:rFonts w:ascii="Arial" w:hAnsi="Arial" w:eastAsia="Arial"/>
      <w:sz w:val="30"/>
      <w:szCs w:val="30"/>
      <w:lang w:eastAsia="en-US"/>
    </w:rPr>
  </w:style>
  <w:style w:type="paragraph" w:styleId="693">
    <w:name w:val="Heading 4"/>
    <w:basedOn w:val="689"/>
    <w:next w:val="689"/>
    <w:link w:val="756"/>
    <w:uiPriority w:val="9"/>
    <w:qFormat/>
    <w:pPr>
      <w:keepLines/>
      <w:keepNext/>
      <w:spacing w:before="320" w:after="200"/>
      <w:outlineLvl w:val="3"/>
    </w:pPr>
    <w:rPr>
      <w:rFonts w:ascii="Arial" w:hAnsi="Arial" w:eastAsia="Arial"/>
      <w:b/>
      <w:bCs/>
      <w:sz w:val="26"/>
      <w:szCs w:val="26"/>
      <w:lang w:eastAsia="en-US"/>
    </w:rPr>
  </w:style>
  <w:style w:type="paragraph" w:styleId="694">
    <w:name w:val="Heading 5"/>
    <w:basedOn w:val="689"/>
    <w:next w:val="689"/>
    <w:link w:val="757"/>
    <w:uiPriority w:val="9"/>
    <w:qFormat/>
    <w:pPr>
      <w:keepLines/>
      <w:keepNext/>
      <w:spacing w:before="320" w:after="200"/>
      <w:outlineLvl w:val="4"/>
    </w:pPr>
    <w:rPr>
      <w:rFonts w:ascii="Arial" w:hAnsi="Arial" w:eastAsia="Arial"/>
      <w:b/>
      <w:bCs/>
      <w:sz w:val="24"/>
      <w:szCs w:val="24"/>
      <w:lang w:eastAsia="en-US"/>
    </w:rPr>
  </w:style>
  <w:style w:type="paragraph" w:styleId="695">
    <w:name w:val="Heading 6"/>
    <w:basedOn w:val="689"/>
    <w:next w:val="689"/>
    <w:link w:val="758"/>
    <w:uiPriority w:val="9"/>
    <w:qFormat/>
    <w:pPr>
      <w:keepLines/>
      <w:keepNext/>
      <w:spacing w:before="320" w:after="200"/>
      <w:outlineLvl w:val="5"/>
    </w:pPr>
    <w:rPr>
      <w:rFonts w:ascii="Arial" w:hAnsi="Arial" w:eastAsia="Arial"/>
      <w:b/>
      <w:bCs/>
      <w:sz w:val="22"/>
      <w:lang w:eastAsia="en-US"/>
    </w:rPr>
  </w:style>
  <w:style w:type="paragraph" w:styleId="696">
    <w:name w:val="Heading 7"/>
    <w:basedOn w:val="689"/>
    <w:next w:val="689"/>
    <w:link w:val="759"/>
    <w:uiPriority w:val="9"/>
    <w:qFormat/>
    <w:pPr>
      <w:keepLines/>
      <w:keepNext/>
      <w:spacing w:before="320" w:after="200"/>
      <w:outlineLvl w:val="6"/>
    </w:pPr>
    <w:rPr>
      <w:rFonts w:ascii="Arial" w:hAnsi="Arial" w:eastAsia="Arial"/>
      <w:b/>
      <w:bCs/>
      <w:i/>
      <w:iCs/>
      <w:sz w:val="22"/>
      <w:lang w:eastAsia="en-US"/>
    </w:rPr>
  </w:style>
  <w:style w:type="paragraph" w:styleId="697">
    <w:name w:val="Heading 8"/>
    <w:basedOn w:val="689"/>
    <w:next w:val="689"/>
    <w:link w:val="760"/>
    <w:uiPriority w:val="9"/>
    <w:qFormat/>
    <w:pPr>
      <w:keepLines/>
      <w:keepNext/>
      <w:spacing w:before="320" w:after="200"/>
      <w:outlineLvl w:val="7"/>
    </w:pPr>
    <w:rPr>
      <w:rFonts w:ascii="Arial" w:hAnsi="Arial" w:eastAsia="Arial"/>
      <w:i/>
      <w:iCs/>
      <w:sz w:val="22"/>
      <w:lang w:eastAsia="en-US"/>
    </w:rPr>
  </w:style>
  <w:style w:type="paragraph" w:styleId="698">
    <w:name w:val="Heading 9"/>
    <w:basedOn w:val="689"/>
    <w:next w:val="689"/>
    <w:link w:val="761"/>
    <w:uiPriority w:val="9"/>
    <w:qFormat/>
    <w:pPr>
      <w:keepLines/>
      <w:keepNext/>
      <w:spacing w:before="320" w:after="200"/>
      <w:outlineLvl w:val="8"/>
    </w:pPr>
    <w:rPr>
      <w:rFonts w:ascii="Arial" w:hAnsi="Arial" w:eastAsia="Arial"/>
      <w:i/>
      <w:iCs/>
      <w:szCs w:val="21"/>
      <w:lang w:eastAsia="en-US"/>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Body Text"/>
    <w:basedOn w:val="689"/>
    <w:next w:val="702"/>
    <w:link w:val="764"/>
    <w:uiPriority w:val="0"/>
    <w:unhideWhenUsed/>
    <w:qFormat/>
    <w:pPr>
      <w:spacing w:after="120"/>
    </w:pPr>
    <w:rPr>
      <w:rFonts w:ascii="Times New Roman" w:hAnsi="Times New Roman"/>
      <w:szCs w:val="24"/>
      <w:lang w:eastAsia="en-US"/>
    </w:rPr>
  </w:style>
  <w:style w:type="paragraph" w:styleId="702">
    <w:name w:val="Normal Indent"/>
    <w:basedOn w:val="689"/>
    <w:next w:val="689"/>
    <w:link w:val="762"/>
    <w:uiPriority w:val="0"/>
    <w:unhideWhenUsed/>
    <w:qFormat/>
    <w:pPr>
      <w:ind w:firstLine="420"/>
    </w:pPr>
    <w:rPr>
      <w:lang w:eastAsia="en-US"/>
    </w:rPr>
  </w:style>
  <w:style w:type="paragraph" w:styleId="703">
    <w:name w:val="toc 7"/>
    <w:basedOn w:val="689"/>
    <w:next w:val="689"/>
    <w:uiPriority w:val="39"/>
    <w:unhideWhenUsed/>
    <w:qFormat/>
    <w:pPr>
      <w:ind w:left="1701"/>
      <w:spacing w:after="57"/>
    </w:pPr>
  </w:style>
  <w:style w:type="paragraph" w:styleId="704">
    <w:name w:val="Caption"/>
    <w:basedOn w:val="689"/>
    <w:next w:val="689"/>
    <w:uiPriority w:val="35"/>
    <w:qFormat/>
    <w:pPr>
      <w:spacing w:line="276" w:lineRule="auto"/>
    </w:pPr>
    <w:rPr>
      <w:b/>
      <w:bCs/>
      <w:color w:val="4f81bd"/>
      <w:sz w:val="18"/>
      <w:szCs w:val="18"/>
    </w:rPr>
  </w:style>
  <w:style w:type="paragraph" w:styleId="705">
    <w:name w:val="annotation text"/>
    <w:basedOn w:val="689"/>
    <w:link w:val="763"/>
    <w:uiPriority w:val="99"/>
    <w:unhideWhenUsed/>
    <w:qFormat/>
    <w:pPr>
      <w:jc w:val="left"/>
    </w:pPr>
    <w:rPr>
      <w:lang w:eastAsia="en-US"/>
    </w:rPr>
  </w:style>
  <w:style w:type="paragraph" w:styleId="706">
    <w:name w:val="Body Text Indent"/>
    <w:basedOn w:val="689"/>
    <w:uiPriority w:val="0"/>
    <w:qFormat/>
    <w:pPr>
      <w:ind w:firstLine="560"/>
      <w:jc w:val="left"/>
      <w:spacing w:line="300" w:lineRule="auto"/>
    </w:pPr>
    <w:rPr>
      <w:sz w:val="28"/>
    </w:rPr>
  </w:style>
  <w:style w:type="paragraph" w:styleId="707">
    <w:name w:val="Block Text"/>
    <w:basedOn w:val="689"/>
    <w:uiPriority w:val="0"/>
    <w:qFormat/>
    <w:pPr>
      <w:ind w:left="630" w:right="-609" w:firstLine="420"/>
      <w:spacing w:line="360" w:lineRule="auto"/>
    </w:pPr>
    <w:rPr>
      <w:rFonts w:hint="eastAsia" w:ascii="仿宋_GB2312" w:hAnsi="Times New Roman" w:eastAsia="仿宋_GB2312"/>
      <w:szCs w:val="20"/>
    </w:rPr>
  </w:style>
  <w:style w:type="paragraph" w:styleId="708">
    <w:name w:val="toc 5"/>
    <w:basedOn w:val="689"/>
    <w:next w:val="689"/>
    <w:uiPriority w:val="39"/>
    <w:unhideWhenUsed/>
    <w:qFormat/>
    <w:pPr>
      <w:ind w:left="1134"/>
      <w:spacing w:after="57"/>
    </w:pPr>
  </w:style>
  <w:style w:type="paragraph" w:styleId="709">
    <w:name w:val="toc 3"/>
    <w:basedOn w:val="689"/>
    <w:next w:val="689"/>
    <w:uiPriority w:val="39"/>
    <w:unhideWhenUsed/>
    <w:qFormat/>
    <w:pPr>
      <w:ind w:left="567"/>
      <w:spacing w:after="57"/>
    </w:pPr>
  </w:style>
  <w:style w:type="paragraph" w:styleId="710">
    <w:name w:val="Plain Text"/>
    <w:basedOn w:val="689"/>
    <w:link w:val="765"/>
    <w:uiPriority w:val="0"/>
    <w:qFormat/>
    <w:rPr>
      <w:rFonts w:ascii="宋体" w:hAnsi="Courier New"/>
      <w:szCs w:val="24"/>
    </w:rPr>
  </w:style>
  <w:style w:type="paragraph" w:styleId="711">
    <w:name w:val="toc 8"/>
    <w:basedOn w:val="689"/>
    <w:next w:val="689"/>
    <w:uiPriority w:val="39"/>
    <w:unhideWhenUsed/>
    <w:qFormat/>
    <w:pPr>
      <w:ind w:left="1984"/>
      <w:spacing w:after="57"/>
    </w:pPr>
  </w:style>
  <w:style w:type="paragraph" w:styleId="712">
    <w:name w:val="Body Text Indent 2"/>
    <w:basedOn w:val="689"/>
    <w:link w:val="943"/>
    <w:uiPriority w:val="99"/>
    <w:semiHidden/>
    <w:unhideWhenUsed/>
    <w:qFormat/>
    <w:pPr>
      <w:ind w:left="200"/>
      <w:spacing w:after="120" w:line="480" w:lineRule="auto"/>
    </w:pPr>
  </w:style>
  <w:style w:type="paragraph" w:styleId="713">
    <w:name w:val="endnote text"/>
    <w:basedOn w:val="689"/>
    <w:link w:val="766"/>
    <w:uiPriority w:val="99"/>
    <w:unhideWhenUsed/>
    <w:qFormat/>
    <w:rPr>
      <w:sz w:val="20"/>
      <w:szCs w:val="20"/>
      <w:lang w:eastAsia="en-US"/>
    </w:rPr>
  </w:style>
  <w:style w:type="paragraph" w:styleId="714">
    <w:name w:val="Balloon Text"/>
    <w:basedOn w:val="689"/>
    <w:link w:val="767"/>
    <w:uiPriority w:val="99"/>
    <w:unhideWhenUsed/>
    <w:qFormat/>
    <w:rPr>
      <w:sz w:val="18"/>
      <w:szCs w:val="18"/>
      <w:lang w:eastAsia="en-US"/>
    </w:rPr>
  </w:style>
  <w:style w:type="paragraph" w:styleId="715">
    <w:name w:val="Footer"/>
    <w:basedOn w:val="689"/>
    <w:link w:val="768"/>
    <w:uiPriority w:val="99"/>
    <w:qFormat/>
    <w:pPr>
      <w:jc w:val="left"/>
      <w:tabs>
        <w:tab w:val="center" w:pos="4153" w:leader="none"/>
        <w:tab w:val="right" w:pos="8306" w:leader="none"/>
      </w:tabs>
    </w:pPr>
    <w:rPr>
      <w:sz w:val="18"/>
      <w:szCs w:val="18"/>
      <w:lang w:eastAsia="en-US"/>
    </w:rPr>
  </w:style>
  <w:style w:type="paragraph" w:styleId="716">
    <w:name w:val="envelope return"/>
    <w:basedOn w:val="689"/>
    <w:uiPriority w:val="0"/>
    <w:semiHidden/>
    <w:unhideWhenUsed/>
    <w:qFormat/>
    <w:rPr>
      <w:rFonts w:ascii="Arial" w:hAnsi="Arial" w:eastAsia="楷体_GB2312"/>
      <w:sz w:val="26"/>
      <w:szCs w:val="20"/>
    </w:rPr>
  </w:style>
  <w:style w:type="paragraph" w:styleId="717">
    <w:name w:val="Header"/>
    <w:basedOn w:val="689"/>
    <w:link w:val="769"/>
    <w:uiPriority w:val="99"/>
    <w:unhideWhenUsed/>
    <w:qFormat/>
    <w:pPr>
      <w:jc w:val="center"/>
      <w:tabs>
        <w:tab w:val="center" w:pos="4153" w:leader="none"/>
        <w:tab w:val="right" w:pos="8306" w:leader="none"/>
      </w:tabs>
    </w:pPr>
    <w:rPr>
      <w:sz w:val="18"/>
      <w:szCs w:val="18"/>
      <w:lang w:eastAsia="en-US"/>
    </w:rPr>
  </w:style>
  <w:style w:type="paragraph" w:styleId="718">
    <w:name w:val="toc 1"/>
    <w:basedOn w:val="689"/>
    <w:next w:val="689"/>
    <w:uiPriority w:val="39"/>
    <w:unhideWhenUsed/>
    <w:qFormat/>
    <w:pPr>
      <w:spacing w:after="57"/>
    </w:pPr>
  </w:style>
  <w:style w:type="paragraph" w:styleId="719">
    <w:name w:val="toc 4"/>
    <w:basedOn w:val="689"/>
    <w:next w:val="689"/>
    <w:uiPriority w:val="39"/>
    <w:unhideWhenUsed/>
    <w:qFormat/>
    <w:pPr>
      <w:ind w:left="850"/>
      <w:spacing w:after="57"/>
    </w:pPr>
  </w:style>
  <w:style w:type="paragraph" w:styleId="720">
    <w:name w:val="Subtitle"/>
    <w:basedOn w:val="689"/>
    <w:next w:val="689"/>
    <w:link w:val="770"/>
    <w:uiPriority w:val="11"/>
    <w:qFormat/>
    <w:pPr>
      <w:spacing w:before="200" w:after="200"/>
    </w:pPr>
    <w:rPr>
      <w:sz w:val="24"/>
      <w:szCs w:val="24"/>
      <w:lang w:eastAsia="en-US"/>
    </w:rPr>
  </w:style>
  <w:style w:type="paragraph" w:styleId="721">
    <w:name w:val="footnote text"/>
    <w:basedOn w:val="689"/>
    <w:link w:val="771"/>
    <w:uiPriority w:val="99"/>
    <w:unhideWhenUsed/>
    <w:qFormat/>
    <w:pPr>
      <w:spacing w:after="40"/>
    </w:pPr>
    <w:rPr>
      <w:sz w:val="18"/>
      <w:szCs w:val="20"/>
      <w:lang w:eastAsia="en-US"/>
    </w:rPr>
  </w:style>
  <w:style w:type="paragraph" w:styleId="722">
    <w:name w:val="toc 6"/>
    <w:basedOn w:val="689"/>
    <w:next w:val="689"/>
    <w:uiPriority w:val="39"/>
    <w:unhideWhenUsed/>
    <w:qFormat/>
    <w:pPr>
      <w:ind w:left="1417"/>
      <w:spacing w:after="57"/>
    </w:pPr>
  </w:style>
  <w:style w:type="paragraph" w:styleId="723">
    <w:name w:val="table of figures"/>
    <w:basedOn w:val="689"/>
    <w:next w:val="689"/>
    <w:uiPriority w:val="99"/>
    <w:unhideWhenUsed/>
    <w:qFormat/>
  </w:style>
  <w:style w:type="paragraph" w:styleId="724">
    <w:name w:val="toc 2"/>
    <w:basedOn w:val="689"/>
    <w:next w:val="689"/>
    <w:uiPriority w:val="39"/>
    <w:unhideWhenUsed/>
    <w:qFormat/>
    <w:pPr>
      <w:ind w:left="283"/>
      <w:spacing w:after="57"/>
    </w:pPr>
  </w:style>
  <w:style w:type="paragraph" w:styleId="725">
    <w:name w:val="toc 9"/>
    <w:basedOn w:val="689"/>
    <w:next w:val="689"/>
    <w:uiPriority w:val="39"/>
    <w:unhideWhenUsed/>
    <w:qFormat/>
    <w:pPr>
      <w:ind w:left="2268"/>
      <w:spacing w:after="57"/>
    </w:pPr>
  </w:style>
  <w:style w:type="paragraph" w:styleId="726">
    <w:name w:val="Normal (Web)"/>
    <w:basedOn w:val="689"/>
    <w:uiPriority w:val="99"/>
    <w:qFormat/>
    <w:pPr>
      <w:jc w:val="left"/>
      <w:spacing w:beforeAutospacing="1" w:afterAutospacing="1"/>
    </w:pPr>
    <w:rPr>
      <w:sz w:val="24"/>
      <w:szCs w:val="24"/>
    </w:rPr>
  </w:style>
  <w:style w:type="paragraph" w:styleId="727">
    <w:name w:val="Title"/>
    <w:basedOn w:val="689"/>
    <w:next w:val="689"/>
    <w:link w:val="772"/>
    <w:uiPriority w:val="10"/>
    <w:qFormat/>
    <w:pPr>
      <w:contextualSpacing/>
      <w:spacing w:before="300" w:after="200"/>
    </w:pPr>
    <w:rPr>
      <w:sz w:val="48"/>
      <w:szCs w:val="48"/>
      <w:lang w:eastAsia="en-US"/>
    </w:rPr>
  </w:style>
  <w:style w:type="paragraph" w:styleId="728">
    <w:name w:val="annotation subject"/>
    <w:basedOn w:val="705"/>
    <w:next w:val="705"/>
    <w:link w:val="773"/>
    <w:uiPriority w:val="99"/>
    <w:unhideWhenUsed/>
    <w:qFormat/>
    <w:rPr>
      <w:b/>
      <w:bCs/>
    </w:rPr>
  </w:style>
  <w:style w:type="paragraph" w:styleId="729">
    <w:name w:val="Body Text First Indent 2"/>
    <w:uiPriority w:val="99"/>
    <w:unhideWhenUsed/>
    <w:qFormat/>
    <w:pPr>
      <w:ind w:left="420" w:firstLine="420"/>
      <w:jc w:val="both"/>
      <w:spacing w:after="120"/>
      <w:widowControl w:val="off"/>
    </w:pPr>
    <w:rPr>
      <w:rFonts w:ascii="Calibri" w:hAnsi="Calibri" w:eastAsia="宋体" w:cs="Times New Roman"/>
      <w:sz w:val="21"/>
      <w:szCs w:val="24"/>
      <w:lang w:val="en-US" w:eastAsia="zh-CN" w:bidi="ar-SA"/>
    </w:rPr>
  </w:style>
  <w:style w:type="table" w:styleId="730">
    <w:name w:val="Table Grid"/>
    <w:uiPriority w:val="59"/>
    <w:qFormat/>
    <w:tblPr>
      <w:tblCellMar>
        <w:left w:w="0" w:type="dxa"/>
        <w:top w:w="0" w:type="dxa"/>
        <w:right w:w="0" w:type="dxa"/>
        <w:bottom w:w="0" w:type="dxa"/>
      </w:tblCellMar>
    </w:tblPr>
  </w:style>
  <w:style w:type="character" w:styleId="731">
    <w:name w:val="Strong"/>
    <w:uiPriority w:val="0"/>
    <w:qFormat/>
    <w:rPr>
      <w:b/>
    </w:rPr>
  </w:style>
  <w:style w:type="character" w:styleId="732">
    <w:name w:val="endnote reference"/>
    <w:uiPriority w:val="99"/>
    <w:unhideWhenUsed/>
    <w:qFormat/>
    <w:rPr>
      <w:vertAlign w:val="superscript"/>
    </w:rPr>
  </w:style>
  <w:style w:type="character" w:styleId="733">
    <w:name w:val="page number"/>
    <w:uiPriority w:val="99"/>
    <w:unhideWhenUsed/>
    <w:qFormat/>
  </w:style>
  <w:style w:type="character" w:styleId="734">
    <w:name w:val="Emphasis"/>
    <w:uiPriority w:val="20"/>
    <w:qFormat/>
    <w:rPr>
      <w:i/>
      <w:iCs/>
    </w:rPr>
  </w:style>
  <w:style w:type="character" w:styleId="735">
    <w:name w:val="Hyperlink"/>
    <w:uiPriority w:val="99"/>
    <w:unhideWhenUsed/>
    <w:qFormat/>
    <w:rPr>
      <w:color w:val="0000ff"/>
      <w:u w:val="single"/>
    </w:rPr>
  </w:style>
  <w:style w:type="character" w:styleId="736">
    <w:name w:val="annotation reference"/>
    <w:uiPriority w:val="99"/>
    <w:unhideWhenUsed/>
    <w:qFormat/>
    <w:rPr>
      <w:sz w:val="21"/>
      <w:szCs w:val="21"/>
    </w:rPr>
  </w:style>
  <w:style w:type="character" w:styleId="737">
    <w:name w:val="footnote reference"/>
    <w:uiPriority w:val="99"/>
    <w:unhideWhenUsed/>
    <w:qFormat/>
    <w:rPr>
      <w:vertAlign w:val="superscript"/>
    </w:rPr>
  </w:style>
  <w:style w:type="paragraph" w:styleId="738">
    <w:name w:val="List Paragraph"/>
    <w:basedOn w:val="689"/>
    <w:uiPriority w:val="34"/>
    <w:qFormat/>
    <w:pPr>
      <w:contextualSpacing/>
      <w:ind w:left="720"/>
    </w:pPr>
  </w:style>
  <w:style w:type="paragraph" w:styleId="739">
    <w:name w:val="No Spacing"/>
    <w:uiPriority w:val="1"/>
    <w:qFormat/>
    <w:rPr>
      <w:rFonts w:ascii="Calibri" w:hAnsi="Calibri" w:eastAsia="宋体" w:cs="Times New Roman"/>
      <w:lang w:val="en-US" w:eastAsia="zh-CN" w:bidi="ar-SA"/>
    </w:rPr>
  </w:style>
  <w:style w:type="paragraph" w:styleId="740">
    <w:name w:val="Quote"/>
    <w:basedOn w:val="689"/>
    <w:next w:val="689"/>
    <w:link w:val="775"/>
    <w:uiPriority w:val="29"/>
    <w:qFormat/>
    <w:pPr>
      <w:ind w:left="720" w:right="720"/>
    </w:pPr>
    <w:rPr>
      <w:i/>
      <w:sz w:val="20"/>
      <w:szCs w:val="20"/>
      <w:lang w:eastAsia="en-US"/>
    </w:rPr>
  </w:style>
  <w:style w:type="paragraph" w:styleId="741">
    <w:name w:val="Intense Quote"/>
    <w:basedOn w:val="689"/>
    <w:next w:val="689"/>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42" w:customStyle="1">
    <w:name w:val="TOC 标题1"/>
    <w:uiPriority w:val="39"/>
    <w:qFormat/>
    <w:rPr>
      <w:rFonts w:ascii="Calibri" w:hAnsi="Calibri" w:eastAsia="宋体" w:cs="Times New Roman"/>
      <w:lang w:val="en-US" w:eastAsia="zh-CN" w:bidi="ar-SA"/>
    </w:rPr>
  </w:style>
  <w:style w:type="paragraph" w:styleId="743" w:customStyle="1">
    <w:name w:val="列出段落1"/>
    <w:basedOn w:val="689"/>
    <w:uiPriority w:val="1"/>
    <w:qFormat/>
    <w:pPr>
      <w:ind w:firstLine="420"/>
      <w:jc w:val="left"/>
      <w:widowControl/>
    </w:pPr>
    <w:rPr>
      <w:rFonts w:ascii="宋体" w:hAnsi="宋体"/>
      <w:sz w:val="24"/>
      <w:szCs w:val="24"/>
    </w:rPr>
  </w:style>
  <w:style w:type="paragraph" w:styleId="744" w:customStyle="1">
    <w:name w:val="目录 11"/>
    <w:basedOn w:val="689"/>
    <w:next w:val="689"/>
    <w:uiPriority w:val="0"/>
    <w:qFormat/>
    <w:pPr>
      <w:jc w:val="left"/>
    </w:pPr>
    <w:rPr>
      <w:rFonts w:ascii="宋体" w:hAnsi="宋体" w:eastAsia="楷体_GB2312"/>
      <w:sz w:val="24"/>
      <w:szCs w:val="21"/>
    </w:rPr>
  </w:style>
  <w:style w:type="paragraph" w:styleId="745" w:customStyle="1">
    <w:name w:val="目录 21"/>
    <w:basedOn w:val="689"/>
    <w:next w:val="689"/>
    <w:uiPriority w:val="39"/>
    <w:unhideWhenUsed/>
    <w:qFormat/>
    <w:pPr>
      <w:ind w:left="283"/>
      <w:spacing w:after="57"/>
    </w:pPr>
  </w:style>
  <w:style w:type="paragraph" w:styleId="746" w:customStyle="1">
    <w:name w:val="目录 31"/>
    <w:basedOn w:val="689"/>
    <w:next w:val="689"/>
    <w:uiPriority w:val="39"/>
    <w:unhideWhenUsed/>
    <w:qFormat/>
    <w:pPr>
      <w:ind w:left="567"/>
      <w:spacing w:after="57"/>
    </w:pPr>
  </w:style>
  <w:style w:type="paragraph" w:styleId="747" w:customStyle="1">
    <w:name w:val="目录 41"/>
    <w:basedOn w:val="689"/>
    <w:next w:val="689"/>
    <w:uiPriority w:val="39"/>
    <w:unhideWhenUsed/>
    <w:qFormat/>
    <w:pPr>
      <w:ind w:left="850"/>
      <w:spacing w:after="57"/>
    </w:pPr>
  </w:style>
  <w:style w:type="paragraph" w:styleId="748" w:customStyle="1">
    <w:name w:val="目录 51"/>
    <w:basedOn w:val="689"/>
    <w:next w:val="689"/>
    <w:uiPriority w:val="39"/>
    <w:unhideWhenUsed/>
    <w:qFormat/>
    <w:pPr>
      <w:ind w:left="1134"/>
      <w:spacing w:after="57"/>
    </w:pPr>
  </w:style>
  <w:style w:type="paragraph" w:styleId="749" w:customStyle="1">
    <w:name w:val="目录 61"/>
    <w:basedOn w:val="689"/>
    <w:next w:val="689"/>
    <w:uiPriority w:val="39"/>
    <w:unhideWhenUsed/>
    <w:qFormat/>
    <w:pPr>
      <w:ind w:left="1417"/>
      <w:spacing w:after="57"/>
    </w:pPr>
  </w:style>
  <w:style w:type="paragraph" w:styleId="750" w:customStyle="1">
    <w:name w:val="目录 71"/>
    <w:basedOn w:val="689"/>
    <w:next w:val="689"/>
    <w:uiPriority w:val="39"/>
    <w:unhideWhenUsed/>
    <w:qFormat/>
    <w:pPr>
      <w:ind w:left="1701"/>
      <w:spacing w:after="57"/>
    </w:pPr>
  </w:style>
  <w:style w:type="paragraph" w:styleId="751" w:customStyle="1">
    <w:name w:val="目录 81"/>
    <w:basedOn w:val="689"/>
    <w:next w:val="689"/>
    <w:uiPriority w:val="39"/>
    <w:unhideWhenUsed/>
    <w:qFormat/>
    <w:pPr>
      <w:ind w:left="1984"/>
      <w:spacing w:after="57"/>
    </w:pPr>
  </w:style>
  <w:style w:type="paragraph" w:styleId="752" w:customStyle="1">
    <w:name w:val="目录 91"/>
    <w:basedOn w:val="689"/>
    <w:next w:val="689"/>
    <w:uiPriority w:val="39"/>
    <w:unhideWhenUsed/>
    <w:qFormat/>
    <w:pPr>
      <w:ind w:left="2268"/>
      <w:spacing w:after="57"/>
    </w:pPr>
  </w:style>
  <w:style w:type="character" w:styleId="753" w:customStyle="1">
    <w:name w:val="标题 1 字符"/>
    <w:link w:val="690"/>
    <w:uiPriority w:val="9"/>
    <w:qFormat/>
    <w:rPr>
      <w:rFonts w:ascii="Arial" w:hAnsi="Arial" w:eastAsia="Arial" w:cs="Arial"/>
      <w:sz w:val="40"/>
      <w:szCs w:val="40"/>
    </w:rPr>
  </w:style>
  <w:style w:type="character" w:styleId="754" w:customStyle="1">
    <w:name w:val="标题 2 字符"/>
    <w:link w:val="691"/>
    <w:uiPriority w:val="9"/>
    <w:qFormat/>
    <w:rPr>
      <w:rFonts w:ascii="Arial" w:hAnsi="Arial" w:eastAsia="Arial" w:cs="Arial"/>
      <w:sz w:val="34"/>
    </w:rPr>
  </w:style>
  <w:style w:type="character" w:styleId="755" w:customStyle="1">
    <w:name w:val="标题 3 字符"/>
    <w:link w:val="692"/>
    <w:uiPriority w:val="9"/>
    <w:qFormat/>
    <w:rPr>
      <w:rFonts w:ascii="Arial" w:hAnsi="Arial" w:eastAsia="Arial" w:cs="Arial"/>
      <w:sz w:val="30"/>
      <w:szCs w:val="30"/>
    </w:rPr>
  </w:style>
  <w:style w:type="character" w:styleId="756" w:customStyle="1">
    <w:name w:val="标题 4 字符"/>
    <w:link w:val="693"/>
    <w:uiPriority w:val="9"/>
    <w:qFormat/>
    <w:rPr>
      <w:rFonts w:ascii="Arial" w:hAnsi="Arial" w:eastAsia="Arial" w:cs="Arial"/>
      <w:b/>
      <w:bCs/>
      <w:sz w:val="26"/>
      <w:szCs w:val="26"/>
    </w:rPr>
  </w:style>
  <w:style w:type="character" w:styleId="757" w:customStyle="1">
    <w:name w:val="标题 5 字符"/>
    <w:link w:val="694"/>
    <w:uiPriority w:val="9"/>
    <w:qFormat/>
    <w:rPr>
      <w:rFonts w:ascii="Arial" w:hAnsi="Arial" w:eastAsia="Arial" w:cs="Arial"/>
      <w:b/>
      <w:bCs/>
      <w:sz w:val="24"/>
      <w:szCs w:val="24"/>
    </w:rPr>
  </w:style>
  <w:style w:type="character" w:styleId="758" w:customStyle="1">
    <w:name w:val="标题 6 字符"/>
    <w:link w:val="695"/>
    <w:uiPriority w:val="9"/>
    <w:qFormat/>
    <w:rPr>
      <w:rFonts w:ascii="Arial" w:hAnsi="Arial" w:eastAsia="Arial" w:cs="Arial"/>
      <w:b/>
      <w:bCs/>
      <w:sz w:val="22"/>
      <w:szCs w:val="22"/>
    </w:rPr>
  </w:style>
  <w:style w:type="character" w:styleId="759" w:customStyle="1">
    <w:name w:val="标题 7 字符"/>
    <w:link w:val="696"/>
    <w:uiPriority w:val="9"/>
    <w:qFormat/>
    <w:rPr>
      <w:rFonts w:ascii="Arial" w:hAnsi="Arial" w:eastAsia="Arial" w:cs="Arial"/>
      <w:b/>
      <w:bCs/>
      <w:i/>
      <w:iCs/>
      <w:sz w:val="22"/>
      <w:szCs w:val="22"/>
    </w:rPr>
  </w:style>
  <w:style w:type="character" w:styleId="760" w:customStyle="1">
    <w:name w:val="标题 8 字符"/>
    <w:link w:val="697"/>
    <w:uiPriority w:val="9"/>
    <w:qFormat/>
    <w:rPr>
      <w:rFonts w:ascii="Arial" w:hAnsi="Arial" w:eastAsia="Arial" w:cs="Arial"/>
      <w:i/>
      <w:iCs/>
      <w:sz w:val="22"/>
      <w:szCs w:val="22"/>
    </w:rPr>
  </w:style>
  <w:style w:type="character" w:styleId="761" w:customStyle="1">
    <w:name w:val="标题 9 字符"/>
    <w:link w:val="698"/>
    <w:uiPriority w:val="9"/>
    <w:qFormat/>
    <w:rPr>
      <w:rFonts w:ascii="Arial" w:hAnsi="Arial" w:eastAsia="Arial" w:cs="Arial"/>
      <w:i/>
      <w:iCs/>
      <w:sz w:val="21"/>
      <w:szCs w:val="21"/>
    </w:rPr>
  </w:style>
  <w:style w:type="character" w:styleId="762" w:customStyle="1">
    <w:name w:val="正文缩进 字符"/>
    <w:link w:val="702"/>
    <w:uiPriority w:val="0"/>
    <w:qFormat/>
    <w:rPr>
      <w:sz w:val="21"/>
      <w:szCs w:val="22"/>
    </w:rPr>
  </w:style>
  <w:style w:type="character" w:styleId="763" w:customStyle="1">
    <w:name w:val="批注文字 字符"/>
    <w:link w:val="705"/>
    <w:uiPriority w:val="99"/>
    <w:semiHidden/>
    <w:qFormat/>
    <w:rPr>
      <w:sz w:val="21"/>
      <w:szCs w:val="22"/>
    </w:rPr>
  </w:style>
  <w:style w:type="character" w:styleId="764" w:customStyle="1">
    <w:name w:val="正文文本 字符"/>
    <w:link w:val="701"/>
    <w:uiPriority w:val="0"/>
    <w:qFormat/>
    <w:rPr>
      <w:rFonts w:ascii="Times New Roman" w:hAnsi="Times New Roman"/>
      <w:sz w:val="21"/>
      <w:szCs w:val="24"/>
    </w:rPr>
  </w:style>
  <w:style w:type="character" w:styleId="765" w:customStyle="1">
    <w:name w:val="纯文本 字符1"/>
    <w:link w:val="710"/>
    <w:uiPriority w:val="0"/>
    <w:qFormat/>
    <w:rPr>
      <w:rFonts w:ascii="宋体" w:hAnsi="Courier New" w:eastAsia="楷体_GB2312"/>
      <w:sz w:val="26"/>
      <w:szCs w:val="24"/>
    </w:rPr>
  </w:style>
  <w:style w:type="character" w:styleId="766" w:customStyle="1">
    <w:name w:val="尾注文本 字符"/>
    <w:link w:val="713"/>
    <w:uiPriority w:val="99"/>
    <w:qFormat/>
    <w:rPr>
      <w:sz w:val="20"/>
    </w:rPr>
  </w:style>
  <w:style w:type="character" w:styleId="767" w:customStyle="1">
    <w:name w:val="批注框文本 字符1"/>
    <w:link w:val="714"/>
    <w:uiPriority w:val="99"/>
    <w:semiHidden/>
    <w:qFormat/>
    <w:rPr>
      <w:sz w:val="18"/>
      <w:szCs w:val="18"/>
    </w:rPr>
  </w:style>
  <w:style w:type="character" w:styleId="768" w:customStyle="1">
    <w:name w:val="页脚 字符1"/>
    <w:link w:val="715"/>
    <w:uiPriority w:val="99"/>
    <w:qFormat/>
    <w:rPr>
      <w:rFonts w:ascii="Calibri" w:hAnsi="Calibri" w:eastAsia="宋体" w:cs="Times New Roman"/>
      <w:sz w:val="18"/>
      <w:szCs w:val="18"/>
    </w:rPr>
  </w:style>
  <w:style w:type="character" w:styleId="769" w:customStyle="1">
    <w:name w:val="页眉 字符1"/>
    <w:link w:val="717"/>
    <w:uiPriority w:val="99"/>
    <w:qFormat/>
    <w:rPr>
      <w:sz w:val="18"/>
      <w:szCs w:val="18"/>
    </w:rPr>
  </w:style>
  <w:style w:type="character" w:styleId="770" w:customStyle="1">
    <w:name w:val="副标题 字符"/>
    <w:link w:val="720"/>
    <w:uiPriority w:val="11"/>
    <w:qFormat/>
    <w:rPr>
      <w:sz w:val="24"/>
      <w:szCs w:val="24"/>
    </w:rPr>
  </w:style>
  <w:style w:type="character" w:styleId="771" w:customStyle="1">
    <w:name w:val="脚注文本 字符"/>
    <w:link w:val="721"/>
    <w:uiPriority w:val="99"/>
    <w:qFormat/>
    <w:rPr>
      <w:sz w:val="18"/>
    </w:rPr>
  </w:style>
  <w:style w:type="character" w:styleId="772" w:customStyle="1">
    <w:name w:val="标题 字符"/>
    <w:link w:val="727"/>
    <w:uiPriority w:val="10"/>
    <w:qFormat/>
    <w:rPr>
      <w:sz w:val="48"/>
      <w:szCs w:val="48"/>
    </w:rPr>
  </w:style>
  <w:style w:type="character" w:styleId="773" w:customStyle="1">
    <w:name w:val="批注主题 字符"/>
    <w:link w:val="728"/>
    <w:uiPriority w:val="99"/>
    <w:semiHidden/>
    <w:qFormat/>
    <w:rPr>
      <w:b/>
      <w:bCs/>
      <w:sz w:val="21"/>
      <w:szCs w:val="22"/>
    </w:rPr>
  </w:style>
  <w:style w:type="paragraph" w:styleId="774" w:customStyle="1">
    <w:name w:val="正文首行缩进 21"/>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character" w:styleId="775" w:customStyle="1">
    <w:name w:val="引用 字符"/>
    <w:link w:val="740"/>
    <w:uiPriority w:val="29"/>
    <w:qFormat/>
    <w:rPr>
      <w:i/>
    </w:rPr>
  </w:style>
  <w:style w:type="character" w:styleId="776" w:customStyle="1">
    <w:name w:val="明显引用 字符"/>
    <w:link w:val="741"/>
    <w:uiPriority w:val="30"/>
    <w:qFormat/>
    <w:rPr>
      <w:i/>
    </w:rPr>
  </w:style>
  <w:style w:type="paragraph" w:styleId="777" w:customStyle="1">
    <w:name w:val="正文1"/>
    <w:basedOn w:val="689"/>
    <w:next w:val="689"/>
    <w:uiPriority w:val="0"/>
    <w:qFormat/>
    <w:pPr>
      <w:numPr>
        <w:ilvl w:val="0"/>
        <w:numId w:val="1"/>
      </w:numPr>
      <w:spacing w:line="500" w:lineRule="exact"/>
    </w:pPr>
    <w:rPr>
      <w:rFonts w:ascii="黑体" w:hAnsi="宋体"/>
    </w:rPr>
  </w:style>
  <w:style w:type="character" w:styleId="778" w:customStyle="1">
    <w:name w:val="Heading 1 Char"/>
    <w:uiPriority w:val="9"/>
    <w:qFormat/>
    <w:rPr>
      <w:rFonts w:ascii="Arial" w:hAnsi="Arial" w:eastAsia="Arial" w:cs="Arial"/>
      <w:sz w:val="40"/>
      <w:szCs w:val="40"/>
    </w:rPr>
  </w:style>
  <w:style w:type="character" w:styleId="779" w:customStyle="1">
    <w:name w:val="Heading 2 Char"/>
    <w:uiPriority w:val="9"/>
    <w:qFormat/>
    <w:rPr>
      <w:rFonts w:ascii="Arial" w:hAnsi="Arial" w:eastAsia="Arial" w:cs="Arial"/>
      <w:sz w:val="34"/>
    </w:rPr>
  </w:style>
  <w:style w:type="character" w:styleId="780" w:customStyle="1">
    <w:name w:val="Heading 3 Char"/>
    <w:uiPriority w:val="9"/>
    <w:qFormat/>
    <w:rPr>
      <w:rFonts w:ascii="Arial" w:hAnsi="Arial" w:eastAsia="Arial" w:cs="Arial"/>
      <w:sz w:val="30"/>
      <w:szCs w:val="30"/>
    </w:rPr>
  </w:style>
  <w:style w:type="character" w:styleId="781" w:customStyle="1">
    <w:name w:val="Heading 4 Char"/>
    <w:uiPriority w:val="9"/>
    <w:qFormat/>
    <w:rPr>
      <w:rFonts w:ascii="Arial" w:hAnsi="Arial" w:eastAsia="Arial" w:cs="Arial"/>
      <w:b/>
      <w:bCs/>
      <w:sz w:val="26"/>
      <w:szCs w:val="26"/>
    </w:rPr>
  </w:style>
  <w:style w:type="character" w:styleId="782" w:customStyle="1">
    <w:name w:val="Heading 5 Char"/>
    <w:uiPriority w:val="9"/>
    <w:qFormat/>
    <w:rPr>
      <w:rFonts w:ascii="Arial" w:hAnsi="Arial" w:eastAsia="Arial" w:cs="Arial"/>
      <w:b/>
      <w:bCs/>
      <w:sz w:val="24"/>
      <w:szCs w:val="24"/>
    </w:rPr>
  </w:style>
  <w:style w:type="character" w:styleId="783" w:customStyle="1">
    <w:name w:val="Heading 6 Char"/>
    <w:uiPriority w:val="9"/>
    <w:qFormat/>
    <w:rPr>
      <w:rFonts w:ascii="Arial" w:hAnsi="Arial" w:eastAsia="Arial" w:cs="Arial"/>
      <w:b/>
      <w:bCs/>
      <w:sz w:val="22"/>
      <w:szCs w:val="22"/>
    </w:rPr>
  </w:style>
  <w:style w:type="character" w:styleId="784" w:customStyle="1">
    <w:name w:val="Heading 7 Char"/>
    <w:uiPriority w:val="9"/>
    <w:qFormat/>
    <w:rPr>
      <w:rFonts w:ascii="Arial" w:hAnsi="Arial" w:eastAsia="Arial" w:cs="Arial"/>
      <w:b/>
      <w:bCs/>
      <w:i/>
      <w:iCs/>
      <w:sz w:val="22"/>
      <w:szCs w:val="22"/>
    </w:rPr>
  </w:style>
  <w:style w:type="character" w:styleId="785" w:customStyle="1">
    <w:name w:val="Heading 8 Char"/>
    <w:uiPriority w:val="9"/>
    <w:qFormat/>
    <w:rPr>
      <w:rFonts w:ascii="Arial" w:hAnsi="Arial" w:eastAsia="Arial" w:cs="Arial"/>
      <w:i/>
      <w:iCs/>
      <w:sz w:val="22"/>
      <w:szCs w:val="22"/>
    </w:rPr>
  </w:style>
  <w:style w:type="character" w:styleId="786" w:customStyle="1">
    <w:name w:val="Heading 9 Char"/>
    <w:uiPriority w:val="9"/>
    <w:qFormat/>
    <w:rPr>
      <w:rFonts w:ascii="Arial" w:hAnsi="Arial" w:eastAsia="Arial" w:cs="Arial"/>
      <w:i/>
      <w:iCs/>
      <w:sz w:val="21"/>
      <w:szCs w:val="21"/>
    </w:rPr>
  </w:style>
  <w:style w:type="character" w:styleId="787" w:customStyle="1">
    <w:name w:val="Title Char"/>
    <w:uiPriority w:val="10"/>
    <w:qFormat/>
    <w:rPr>
      <w:sz w:val="48"/>
      <w:szCs w:val="48"/>
    </w:rPr>
  </w:style>
  <w:style w:type="character" w:styleId="788" w:customStyle="1">
    <w:name w:val="Subtitle Char"/>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table" w:styleId="791" w:customStyle="1">
    <w:name w:val="无格式表格 11"/>
    <w:basedOn w:val="700"/>
    <w:uiPriority w:val="59"/>
    <w:qFormat/>
    <w:tblPr>
      <w:tblCellMar>
        <w:left w:w="0" w:type="dxa"/>
        <w:right w:w="0" w:type="dxa"/>
      </w:tblCellMar>
    </w:tblPr>
  </w:style>
  <w:style w:type="table" w:styleId="792" w:customStyle="1">
    <w:name w:val="无格式表格 21"/>
    <w:basedOn w:val="700"/>
    <w:uiPriority w:val="59"/>
    <w:qFormat/>
    <w:tblPr>
      <w:tblCellMar>
        <w:left w:w="0" w:type="dxa"/>
        <w:right w:w="0" w:type="dxa"/>
      </w:tblCellMar>
    </w:tblPr>
  </w:style>
  <w:style w:type="table" w:styleId="793" w:customStyle="1">
    <w:name w:val="无格式表格 31"/>
    <w:basedOn w:val="700"/>
    <w:uiPriority w:val="99"/>
    <w:qFormat/>
    <w:tblPr>
      <w:tblCellMar>
        <w:left w:w="0" w:type="dxa"/>
        <w:right w:w="0" w:type="dxa"/>
      </w:tblCellMar>
    </w:tblPr>
  </w:style>
  <w:style w:type="table" w:styleId="794" w:customStyle="1">
    <w:name w:val="无格式表格 41"/>
    <w:basedOn w:val="700"/>
    <w:uiPriority w:val="99"/>
    <w:qFormat/>
    <w:tblPr>
      <w:tblCellMar>
        <w:left w:w="0" w:type="dxa"/>
        <w:right w:w="0" w:type="dxa"/>
      </w:tblCellMar>
    </w:tblPr>
  </w:style>
  <w:style w:type="table" w:styleId="795" w:customStyle="1">
    <w:name w:val="无格式表格 51"/>
    <w:basedOn w:val="700"/>
    <w:uiPriority w:val="99"/>
    <w:qFormat/>
    <w:tblPr>
      <w:tblCellMar>
        <w:left w:w="0" w:type="dxa"/>
        <w:right w:w="0" w:type="dxa"/>
      </w:tblCellMar>
    </w:tblPr>
  </w:style>
  <w:style w:type="table" w:styleId="796" w:customStyle="1">
    <w:name w:val="网格表 1 浅色1"/>
    <w:basedOn w:val="700"/>
    <w:uiPriority w:val="99"/>
    <w:qFormat/>
    <w:tblPr>
      <w:tblCellMar>
        <w:left w:w="0" w:type="dxa"/>
        <w:right w:w="0" w:type="dxa"/>
      </w:tblCellMar>
    </w:tblPr>
  </w:style>
  <w:style w:type="table" w:styleId="797" w:customStyle="1">
    <w:name w:val="网格表 21"/>
    <w:basedOn w:val="700"/>
    <w:uiPriority w:val="99"/>
    <w:qFormat/>
    <w:tblPr>
      <w:tblCellMar>
        <w:left w:w="0" w:type="dxa"/>
        <w:right w:w="0" w:type="dxa"/>
      </w:tblCellMar>
    </w:tblPr>
  </w:style>
  <w:style w:type="table" w:styleId="798" w:customStyle="1">
    <w:name w:val="网格表 31"/>
    <w:basedOn w:val="700"/>
    <w:uiPriority w:val="99"/>
    <w:qFormat/>
    <w:tblPr>
      <w:tblCellMar>
        <w:left w:w="0" w:type="dxa"/>
        <w:right w:w="0" w:type="dxa"/>
      </w:tblCellMar>
    </w:tblPr>
  </w:style>
  <w:style w:type="table" w:styleId="799" w:customStyle="1">
    <w:name w:val="网格表 41"/>
    <w:basedOn w:val="700"/>
    <w:uiPriority w:val="59"/>
    <w:qFormat/>
    <w:tblPr>
      <w:tblCellMar>
        <w:left w:w="0" w:type="dxa"/>
        <w:right w:w="0" w:type="dxa"/>
      </w:tblCellMar>
    </w:tblPr>
  </w:style>
  <w:style w:type="table" w:styleId="800" w:customStyle="1">
    <w:name w:val="网格表 5 深色1"/>
    <w:basedOn w:val="700"/>
    <w:uiPriority w:val="99"/>
    <w:qFormat/>
    <w:tblPr>
      <w:tblCellMar>
        <w:left w:w="0" w:type="dxa"/>
        <w:right w:w="0" w:type="dxa"/>
      </w:tblCellMar>
    </w:tblPr>
  </w:style>
  <w:style w:type="table" w:styleId="801" w:customStyle="1">
    <w:name w:val="网格表 6 彩色1"/>
    <w:basedOn w:val="700"/>
    <w:uiPriority w:val="99"/>
    <w:qFormat/>
    <w:tblPr>
      <w:tblCellMar>
        <w:left w:w="0" w:type="dxa"/>
        <w:right w:w="0" w:type="dxa"/>
      </w:tblCellMar>
    </w:tblPr>
  </w:style>
  <w:style w:type="table" w:styleId="802" w:customStyle="1">
    <w:name w:val="网格表 7 彩色1"/>
    <w:basedOn w:val="700"/>
    <w:uiPriority w:val="99"/>
    <w:qFormat/>
    <w:tblPr>
      <w:tblCellMar>
        <w:left w:w="0" w:type="dxa"/>
        <w:right w:w="0" w:type="dxa"/>
      </w:tblCellMar>
    </w:tblPr>
  </w:style>
  <w:style w:type="table" w:styleId="803" w:customStyle="1">
    <w:name w:val="清单表 1 浅色1"/>
    <w:basedOn w:val="700"/>
    <w:uiPriority w:val="99"/>
    <w:qFormat/>
    <w:tblPr>
      <w:tblCellMar>
        <w:left w:w="0" w:type="dxa"/>
        <w:right w:w="0" w:type="dxa"/>
      </w:tblCellMar>
    </w:tblPr>
  </w:style>
  <w:style w:type="table" w:styleId="804" w:customStyle="1">
    <w:name w:val="清单表 21"/>
    <w:basedOn w:val="700"/>
    <w:uiPriority w:val="99"/>
    <w:qFormat/>
    <w:tblPr>
      <w:tblCellMar>
        <w:left w:w="0" w:type="dxa"/>
        <w:right w:w="0" w:type="dxa"/>
      </w:tblCellMar>
    </w:tblPr>
  </w:style>
  <w:style w:type="table" w:styleId="805" w:customStyle="1">
    <w:name w:val="清单表 31"/>
    <w:basedOn w:val="700"/>
    <w:uiPriority w:val="99"/>
    <w:qFormat/>
    <w:tblPr>
      <w:tblCellMar>
        <w:left w:w="0" w:type="dxa"/>
        <w:right w:w="0" w:type="dxa"/>
      </w:tblCellMar>
    </w:tblPr>
  </w:style>
  <w:style w:type="table" w:styleId="806" w:customStyle="1">
    <w:name w:val="清单表 41"/>
    <w:basedOn w:val="700"/>
    <w:uiPriority w:val="99"/>
    <w:qFormat/>
    <w:tblPr>
      <w:tblCellMar>
        <w:left w:w="0" w:type="dxa"/>
        <w:right w:w="0" w:type="dxa"/>
      </w:tblCellMar>
    </w:tblPr>
  </w:style>
  <w:style w:type="table" w:styleId="807" w:customStyle="1">
    <w:name w:val="清单表 5 深色1"/>
    <w:basedOn w:val="700"/>
    <w:uiPriority w:val="99"/>
    <w:qFormat/>
    <w:tblPr>
      <w:tblCellMar>
        <w:left w:w="0" w:type="dxa"/>
        <w:right w:w="0" w:type="dxa"/>
      </w:tblCellMar>
    </w:tblPr>
  </w:style>
  <w:style w:type="table" w:styleId="808" w:customStyle="1">
    <w:name w:val="清单表 6 彩色1"/>
    <w:basedOn w:val="700"/>
    <w:uiPriority w:val="99"/>
    <w:qFormat/>
    <w:tblPr>
      <w:tblCellMar>
        <w:left w:w="0" w:type="dxa"/>
        <w:right w:w="0" w:type="dxa"/>
      </w:tblCellMar>
    </w:tblPr>
  </w:style>
  <w:style w:type="table" w:styleId="809" w:customStyle="1">
    <w:name w:val="清单表 7 彩色1"/>
    <w:basedOn w:val="700"/>
    <w:uiPriority w:val="99"/>
    <w:qFormat/>
    <w:tblPr>
      <w:tblCellMar>
        <w:left w:w="0" w:type="dxa"/>
        <w:right w:w="0" w:type="dxa"/>
      </w:tblCellMar>
    </w:tbl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character" w:styleId="812" w:customStyle="1">
    <w:name w:val="Header Char"/>
    <w:uiPriority w:val="99"/>
    <w:qFormat/>
  </w:style>
  <w:style w:type="character" w:styleId="813" w:customStyle="1">
    <w:name w:val="Footer Char"/>
    <w:uiPriority w:val="99"/>
    <w:qFormat/>
  </w:style>
  <w:style w:type="character" w:styleId="814" w:customStyle="1">
    <w:name w:val="Caption Char"/>
    <w:uiPriority w:val="99"/>
    <w:qFormat/>
  </w:style>
  <w:style w:type="table" w:styleId="815" w:customStyle="1">
    <w:name w:val="Table Grid Light"/>
    <w:uiPriority w:val="59"/>
    <w:qFormat/>
    <w:tblPr>
      <w:tblCellMar>
        <w:left w:w="0" w:type="dxa"/>
        <w:top w:w="0" w:type="dxa"/>
        <w:right w:w="0" w:type="dxa"/>
        <w:bottom w:w="0" w:type="dxa"/>
      </w:tblCellMar>
    </w:tblPr>
  </w:style>
  <w:style w:type="table" w:styleId="816" w:customStyle="1">
    <w:name w:val="Grid Table 1 Light - Accent 1"/>
    <w:uiPriority w:val="99"/>
    <w:qFormat/>
    <w:tblPr>
      <w:tblCellMar>
        <w:left w:w="0" w:type="dxa"/>
        <w:top w:w="0" w:type="dxa"/>
        <w:right w:w="0" w:type="dxa"/>
        <w:bottom w:w="0" w:type="dxa"/>
      </w:tblCellMar>
    </w:tblPr>
  </w:style>
  <w:style w:type="table" w:styleId="817" w:customStyle="1">
    <w:name w:val="Grid Table 1 Light - Accent 2"/>
    <w:uiPriority w:val="99"/>
    <w:qFormat/>
    <w:tblPr>
      <w:tblCellMar>
        <w:left w:w="0" w:type="dxa"/>
        <w:top w:w="0" w:type="dxa"/>
        <w:right w:w="0" w:type="dxa"/>
        <w:bottom w:w="0" w:type="dxa"/>
      </w:tblCellMar>
    </w:tblPr>
  </w:style>
  <w:style w:type="table" w:styleId="818" w:customStyle="1">
    <w:name w:val="Grid Table 1 Light - Accent 3"/>
    <w:uiPriority w:val="99"/>
    <w:qFormat/>
    <w:tblPr>
      <w:tblCellMar>
        <w:left w:w="0" w:type="dxa"/>
        <w:top w:w="0" w:type="dxa"/>
        <w:right w:w="0" w:type="dxa"/>
        <w:bottom w:w="0" w:type="dxa"/>
      </w:tblCellMar>
    </w:tblPr>
  </w:style>
  <w:style w:type="table" w:styleId="819" w:customStyle="1">
    <w:name w:val="Grid Table 1 Light - Accent 4"/>
    <w:uiPriority w:val="99"/>
    <w:qFormat/>
    <w:tblPr>
      <w:tblCellMar>
        <w:left w:w="0" w:type="dxa"/>
        <w:top w:w="0" w:type="dxa"/>
        <w:right w:w="0" w:type="dxa"/>
        <w:bottom w:w="0" w:type="dxa"/>
      </w:tblCellMar>
    </w:tblPr>
  </w:style>
  <w:style w:type="table" w:styleId="820" w:customStyle="1">
    <w:name w:val="Grid Table 1 Light - Accent 5"/>
    <w:uiPriority w:val="99"/>
    <w:qFormat/>
    <w:tblPr>
      <w:tblCellMar>
        <w:left w:w="0" w:type="dxa"/>
        <w:top w:w="0" w:type="dxa"/>
        <w:right w:w="0" w:type="dxa"/>
        <w:bottom w:w="0" w:type="dxa"/>
      </w:tblCellMar>
    </w:tblPr>
  </w:style>
  <w:style w:type="table" w:styleId="821" w:customStyle="1">
    <w:name w:val="Grid Table 1 Light - Accent 6"/>
    <w:uiPriority w:val="99"/>
    <w:qFormat/>
    <w:tblPr>
      <w:tblCellMar>
        <w:left w:w="0" w:type="dxa"/>
        <w:top w:w="0" w:type="dxa"/>
        <w:right w:w="0" w:type="dxa"/>
        <w:bottom w:w="0" w:type="dxa"/>
      </w:tblCellMar>
    </w:tblPr>
  </w:style>
  <w:style w:type="table" w:styleId="822" w:customStyle="1">
    <w:name w:val="Grid Table 2 - Accent 1"/>
    <w:uiPriority w:val="99"/>
    <w:qFormat/>
    <w:tblPr>
      <w:tblCellMar>
        <w:left w:w="0" w:type="dxa"/>
        <w:top w:w="0" w:type="dxa"/>
        <w:right w:w="0" w:type="dxa"/>
        <w:bottom w:w="0" w:type="dxa"/>
      </w:tblCellMar>
    </w:tblPr>
  </w:style>
  <w:style w:type="table" w:styleId="823" w:customStyle="1">
    <w:name w:val="Grid Table 2 - Accent 2"/>
    <w:uiPriority w:val="99"/>
    <w:qFormat/>
    <w:tblPr>
      <w:tblCellMar>
        <w:left w:w="0" w:type="dxa"/>
        <w:top w:w="0" w:type="dxa"/>
        <w:right w:w="0" w:type="dxa"/>
        <w:bottom w:w="0" w:type="dxa"/>
      </w:tblCellMar>
    </w:tblPr>
  </w:style>
  <w:style w:type="table" w:styleId="824" w:customStyle="1">
    <w:name w:val="Grid Table 2 - Accent 3"/>
    <w:uiPriority w:val="99"/>
    <w:qFormat/>
    <w:tblPr>
      <w:tblCellMar>
        <w:left w:w="0" w:type="dxa"/>
        <w:top w:w="0" w:type="dxa"/>
        <w:right w:w="0" w:type="dxa"/>
        <w:bottom w:w="0" w:type="dxa"/>
      </w:tblCellMar>
    </w:tblPr>
  </w:style>
  <w:style w:type="table" w:styleId="825" w:customStyle="1">
    <w:name w:val="Grid Table 2 - Accent 4"/>
    <w:uiPriority w:val="99"/>
    <w:qFormat/>
    <w:tblPr>
      <w:tblCellMar>
        <w:left w:w="0" w:type="dxa"/>
        <w:top w:w="0" w:type="dxa"/>
        <w:right w:w="0" w:type="dxa"/>
        <w:bottom w:w="0" w:type="dxa"/>
      </w:tblCellMar>
    </w:tblPr>
  </w:style>
  <w:style w:type="table" w:styleId="826" w:customStyle="1">
    <w:name w:val="Grid Table 2 - Accent 5"/>
    <w:uiPriority w:val="99"/>
    <w:qFormat/>
    <w:tblPr>
      <w:tblCellMar>
        <w:left w:w="0" w:type="dxa"/>
        <w:top w:w="0" w:type="dxa"/>
        <w:right w:w="0" w:type="dxa"/>
        <w:bottom w:w="0" w:type="dxa"/>
      </w:tblCellMar>
    </w:tblPr>
  </w:style>
  <w:style w:type="table" w:styleId="827" w:customStyle="1">
    <w:name w:val="Grid Table 2 - Accent 6"/>
    <w:uiPriority w:val="99"/>
    <w:qFormat/>
    <w:tblPr>
      <w:tblCellMar>
        <w:left w:w="0" w:type="dxa"/>
        <w:top w:w="0" w:type="dxa"/>
        <w:right w:w="0" w:type="dxa"/>
        <w:bottom w:w="0" w:type="dxa"/>
      </w:tblCellMar>
    </w:tblPr>
  </w:style>
  <w:style w:type="table" w:styleId="828" w:customStyle="1">
    <w:name w:val="Grid Table 3 - Accent 1"/>
    <w:uiPriority w:val="99"/>
    <w:qFormat/>
    <w:tblPr>
      <w:tblCellMar>
        <w:left w:w="0" w:type="dxa"/>
        <w:top w:w="0" w:type="dxa"/>
        <w:right w:w="0" w:type="dxa"/>
        <w:bottom w:w="0" w:type="dxa"/>
      </w:tblCellMar>
    </w:tblPr>
  </w:style>
  <w:style w:type="table" w:styleId="829" w:customStyle="1">
    <w:name w:val="Grid Table 3 - Accent 2"/>
    <w:uiPriority w:val="99"/>
    <w:qFormat/>
    <w:tblPr>
      <w:tblCellMar>
        <w:left w:w="0" w:type="dxa"/>
        <w:top w:w="0" w:type="dxa"/>
        <w:right w:w="0" w:type="dxa"/>
        <w:bottom w:w="0" w:type="dxa"/>
      </w:tblCellMar>
    </w:tblPr>
  </w:style>
  <w:style w:type="table" w:styleId="830" w:customStyle="1">
    <w:name w:val="Grid Table 3 - Accent 3"/>
    <w:uiPriority w:val="99"/>
    <w:qFormat/>
    <w:tblPr>
      <w:tblCellMar>
        <w:left w:w="0" w:type="dxa"/>
        <w:top w:w="0" w:type="dxa"/>
        <w:right w:w="0" w:type="dxa"/>
        <w:bottom w:w="0" w:type="dxa"/>
      </w:tblCellMar>
    </w:tblPr>
  </w:style>
  <w:style w:type="table" w:styleId="831" w:customStyle="1">
    <w:name w:val="Grid Table 3 - Accent 4"/>
    <w:uiPriority w:val="99"/>
    <w:qFormat/>
    <w:tblPr>
      <w:tblCellMar>
        <w:left w:w="0" w:type="dxa"/>
        <w:top w:w="0" w:type="dxa"/>
        <w:right w:w="0" w:type="dxa"/>
        <w:bottom w:w="0" w:type="dxa"/>
      </w:tblCellMar>
    </w:tblPr>
  </w:style>
  <w:style w:type="table" w:styleId="832" w:customStyle="1">
    <w:name w:val="Grid Table 3 - Accent 5"/>
    <w:uiPriority w:val="99"/>
    <w:qFormat/>
    <w:tblPr>
      <w:tblCellMar>
        <w:left w:w="0" w:type="dxa"/>
        <w:top w:w="0" w:type="dxa"/>
        <w:right w:w="0" w:type="dxa"/>
        <w:bottom w:w="0" w:type="dxa"/>
      </w:tblCellMar>
    </w:tblPr>
  </w:style>
  <w:style w:type="table" w:styleId="833" w:customStyle="1">
    <w:name w:val="Grid Table 3 - Accent 6"/>
    <w:uiPriority w:val="99"/>
    <w:qFormat/>
    <w:tblPr>
      <w:tblCellMar>
        <w:left w:w="0" w:type="dxa"/>
        <w:top w:w="0" w:type="dxa"/>
        <w:right w:w="0" w:type="dxa"/>
        <w:bottom w:w="0" w:type="dxa"/>
      </w:tblCellMar>
    </w:tblPr>
  </w:style>
  <w:style w:type="table" w:styleId="834" w:customStyle="1">
    <w:name w:val="Grid Table 4 - Accent 1"/>
    <w:uiPriority w:val="59"/>
    <w:qFormat/>
    <w:tblPr>
      <w:tblCellMar>
        <w:left w:w="0" w:type="dxa"/>
        <w:top w:w="0" w:type="dxa"/>
        <w:right w:w="0" w:type="dxa"/>
        <w:bottom w:w="0" w:type="dxa"/>
      </w:tblCellMar>
    </w:tblPr>
  </w:style>
  <w:style w:type="table" w:styleId="835" w:customStyle="1">
    <w:name w:val="Grid Table 4 - Accent 2"/>
    <w:uiPriority w:val="59"/>
    <w:qFormat/>
    <w:tblPr>
      <w:tblCellMar>
        <w:left w:w="0" w:type="dxa"/>
        <w:top w:w="0" w:type="dxa"/>
        <w:right w:w="0" w:type="dxa"/>
        <w:bottom w:w="0" w:type="dxa"/>
      </w:tblCellMar>
    </w:tblPr>
  </w:style>
  <w:style w:type="table" w:styleId="836" w:customStyle="1">
    <w:name w:val="Grid Table 4 - Accent 3"/>
    <w:uiPriority w:val="59"/>
    <w:qFormat/>
    <w:tblPr>
      <w:tblCellMar>
        <w:left w:w="0" w:type="dxa"/>
        <w:top w:w="0" w:type="dxa"/>
        <w:right w:w="0" w:type="dxa"/>
        <w:bottom w:w="0" w:type="dxa"/>
      </w:tblCellMar>
    </w:tblPr>
  </w:style>
  <w:style w:type="table" w:styleId="837" w:customStyle="1">
    <w:name w:val="Grid Table 4 - Accent 4"/>
    <w:uiPriority w:val="59"/>
    <w:qFormat/>
    <w:tblPr>
      <w:tblCellMar>
        <w:left w:w="0" w:type="dxa"/>
        <w:top w:w="0" w:type="dxa"/>
        <w:right w:w="0" w:type="dxa"/>
        <w:bottom w:w="0" w:type="dxa"/>
      </w:tblCellMar>
    </w:tblPr>
  </w:style>
  <w:style w:type="table" w:styleId="838" w:customStyle="1">
    <w:name w:val="Grid Table 4 - Accent 5"/>
    <w:uiPriority w:val="59"/>
    <w:qFormat/>
    <w:tblPr>
      <w:tblCellMar>
        <w:left w:w="0" w:type="dxa"/>
        <w:top w:w="0" w:type="dxa"/>
        <w:right w:w="0" w:type="dxa"/>
        <w:bottom w:w="0" w:type="dxa"/>
      </w:tblCellMar>
    </w:tblPr>
  </w:style>
  <w:style w:type="table" w:styleId="839" w:customStyle="1">
    <w:name w:val="Grid Table 4 - Accent 6"/>
    <w:uiPriority w:val="59"/>
    <w:qFormat/>
    <w:tblPr>
      <w:tblCellMar>
        <w:left w:w="0" w:type="dxa"/>
        <w:top w:w="0" w:type="dxa"/>
        <w:right w:w="0" w:type="dxa"/>
        <w:bottom w:w="0" w:type="dxa"/>
      </w:tblCellMar>
    </w:tblPr>
  </w:style>
  <w:style w:type="table" w:styleId="840" w:customStyle="1">
    <w:name w:val="Grid Table 5 Dark- Accent 1"/>
    <w:uiPriority w:val="99"/>
    <w:qFormat/>
    <w:tblPr>
      <w:tblCellMar>
        <w:left w:w="0" w:type="dxa"/>
        <w:top w:w="0" w:type="dxa"/>
        <w:right w:w="0" w:type="dxa"/>
        <w:bottom w:w="0" w:type="dxa"/>
      </w:tblCellMar>
    </w:tblPr>
  </w:style>
  <w:style w:type="table" w:styleId="841" w:customStyle="1">
    <w:name w:val="Grid Table 5 Dark - Accent 2"/>
    <w:uiPriority w:val="99"/>
    <w:qFormat/>
    <w:tblPr>
      <w:tblCellMar>
        <w:left w:w="0" w:type="dxa"/>
        <w:top w:w="0" w:type="dxa"/>
        <w:right w:w="0" w:type="dxa"/>
        <w:bottom w:w="0" w:type="dxa"/>
      </w:tblCellMar>
    </w:tblPr>
  </w:style>
  <w:style w:type="table" w:styleId="842" w:customStyle="1">
    <w:name w:val="Grid Table 5 Dark - Accent 3"/>
    <w:uiPriority w:val="99"/>
    <w:qFormat/>
    <w:tblPr>
      <w:tblCellMar>
        <w:left w:w="0" w:type="dxa"/>
        <w:top w:w="0" w:type="dxa"/>
        <w:right w:w="0" w:type="dxa"/>
        <w:bottom w:w="0" w:type="dxa"/>
      </w:tblCellMar>
    </w:tblPr>
  </w:style>
  <w:style w:type="table" w:styleId="843" w:customStyle="1">
    <w:name w:val="Grid Table 5 Dark- Accent 4"/>
    <w:uiPriority w:val="99"/>
    <w:qFormat/>
    <w:tblPr>
      <w:tblCellMar>
        <w:left w:w="0" w:type="dxa"/>
        <w:top w:w="0" w:type="dxa"/>
        <w:right w:w="0" w:type="dxa"/>
        <w:bottom w:w="0" w:type="dxa"/>
      </w:tblCellMar>
    </w:tblPr>
  </w:style>
  <w:style w:type="table" w:styleId="844" w:customStyle="1">
    <w:name w:val="Grid Table 5 Dark - Accent 5"/>
    <w:uiPriority w:val="99"/>
    <w:qFormat/>
    <w:tblPr>
      <w:tblCellMar>
        <w:left w:w="0" w:type="dxa"/>
        <w:top w:w="0" w:type="dxa"/>
        <w:right w:w="0" w:type="dxa"/>
        <w:bottom w:w="0" w:type="dxa"/>
      </w:tblCellMar>
    </w:tblPr>
  </w:style>
  <w:style w:type="table" w:styleId="845" w:customStyle="1">
    <w:name w:val="Grid Table 5 Dark - Accent 6"/>
    <w:uiPriority w:val="99"/>
    <w:qFormat/>
    <w:tblPr>
      <w:tblCellMar>
        <w:left w:w="0" w:type="dxa"/>
        <w:top w:w="0" w:type="dxa"/>
        <w:right w:w="0" w:type="dxa"/>
        <w:bottom w:w="0" w:type="dxa"/>
      </w:tblCellMar>
    </w:tblPr>
  </w:style>
  <w:style w:type="table" w:styleId="846" w:customStyle="1">
    <w:name w:val="Grid Table 6 Colorful - Accent 1"/>
    <w:uiPriority w:val="99"/>
    <w:qFormat/>
    <w:tblPr>
      <w:tblCellMar>
        <w:left w:w="0" w:type="dxa"/>
        <w:top w:w="0" w:type="dxa"/>
        <w:right w:w="0" w:type="dxa"/>
        <w:bottom w:w="0" w:type="dxa"/>
      </w:tblCellMar>
    </w:tblPr>
  </w:style>
  <w:style w:type="table" w:styleId="847" w:customStyle="1">
    <w:name w:val="Grid Table 6 Colorful - Accent 2"/>
    <w:uiPriority w:val="99"/>
    <w:qFormat/>
    <w:tblPr>
      <w:tblCellMar>
        <w:left w:w="0" w:type="dxa"/>
        <w:top w:w="0" w:type="dxa"/>
        <w:right w:w="0" w:type="dxa"/>
        <w:bottom w:w="0" w:type="dxa"/>
      </w:tblCellMar>
    </w:tblPr>
  </w:style>
  <w:style w:type="table" w:styleId="848" w:customStyle="1">
    <w:name w:val="Grid Table 6 Colorful - Accent 3"/>
    <w:uiPriority w:val="99"/>
    <w:qFormat/>
    <w:tblPr>
      <w:tblCellMar>
        <w:left w:w="0" w:type="dxa"/>
        <w:top w:w="0" w:type="dxa"/>
        <w:right w:w="0" w:type="dxa"/>
        <w:bottom w:w="0" w:type="dxa"/>
      </w:tblCellMar>
    </w:tblPr>
  </w:style>
  <w:style w:type="table" w:styleId="849" w:customStyle="1">
    <w:name w:val="Grid Table 6 Colorful - Accent 4"/>
    <w:uiPriority w:val="99"/>
    <w:qFormat/>
    <w:tblPr>
      <w:tblCellMar>
        <w:left w:w="0" w:type="dxa"/>
        <w:top w:w="0" w:type="dxa"/>
        <w:right w:w="0" w:type="dxa"/>
        <w:bottom w:w="0" w:type="dxa"/>
      </w:tblCellMar>
    </w:tblPr>
  </w:style>
  <w:style w:type="table" w:styleId="850" w:customStyle="1">
    <w:name w:val="Grid Table 6 Colorful - Accent 5"/>
    <w:uiPriority w:val="99"/>
    <w:qFormat/>
    <w:tblPr>
      <w:tblCellMar>
        <w:left w:w="0" w:type="dxa"/>
        <w:top w:w="0" w:type="dxa"/>
        <w:right w:w="0" w:type="dxa"/>
        <w:bottom w:w="0" w:type="dxa"/>
      </w:tblCellMar>
    </w:tblPr>
  </w:style>
  <w:style w:type="table" w:styleId="851" w:customStyle="1">
    <w:name w:val="Grid Table 6 Colorful - Accent 6"/>
    <w:uiPriority w:val="99"/>
    <w:qFormat/>
    <w:tblPr>
      <w:tblCellMar>
        <w:left w:w="0" w:type="dxa"/>
        <w:top w:w="0" w:type="dxa"/>
        <w:right w:w="0" w:type="dxa"/>
        <w:bottom w:w="0" w:type="dxa"/>
      </w:tblCellMar>
    </w:tblPr>
  </w:style>
  <w:style w:type="table" w:styleId="852" w:customStyle="1">
    <w:name w:val="Grid Table 7 Colorful - Accent 1"/>
    <w:uiPriority w:val="99"/>
    <w:qFormat/>
    <w:tblPr>
      <w:tblCellMar>
        <w:left w:w="0" w:type="dxa"/>
        <w:top w:w="0" w:type="dxa"/>
        <w:right w:w="0" w:type="dxa"/>
        <w:bottom w:w="0" w:type="dxa"/>
      </w:tblCellMar>
    </w:tblPr>
  </w:style>
  <w:style w:type="table" w:styleId="853" w:customStyle="1">
    <w:name w:val="Grid Table 7 Colorful - Accent 2"/>
    <w:uiPriority w:val="99"/>
    <w:qFormat/>
    <w:tblPr>
      <w:tblCellMar>
        <w:left w:w="0" w:type="dxa"/>
        <w:top w:w="0" w:type="dxa"/>
        <w:right w:w="0" w:type="dxa"/>
        <w:bottom w:w="0" w:type="dxa"/>
      </w:tblCellMar>
    </w:tblPr>
  </w:style>
  <w:style w:type="table" w:styleId="854" w:customStyle="1">
    <w:name w:val="Grid Table 7 Colorful - Accent 3"/>
    <w:uiPriority w:val="99"/>
    <w:qFormat/>
    <w:tblPr>
      <w:tblCellMar>
        <w:left w:w="0" w:type="dxa"/>
        <w:top w:w="0" w:type="dxa"/>
        <w:right w:w="0" w:type="dxa"/>
        <w:bottom w:w="0" w:type="dxa"/>
      </w:tblCellMar>
    </w:tblPr>
  </w:style>
  <w:style w:type="table" w:styleId="855" w:customStyle="1">
    <w:name w:val="Grid Table 7 Colorful - Accent 4"/>
    <w:uiPriority w:val="99"/>
    <w:qFormat/>
    <w:tblPr>
      <w:tblCellMar>
        <w:left w:w="0" w:type="dxa"/>
        <w:top w:w="0" w:type="dxa"/>
        <w:right w:w="0" w:type="dxa"/>
        <w:bottom w:w="0" w:type="dxa"/>
      </w:tblCellMar>
    </w:tblPr>
  </w:style>
  <w:style w:type="table" w:styleId="856" w:customStyle="1">
    <w:name w:val="Grid Table 7 Colorful - Accent 5"/>
    <w:uiPriority w:val="99"/>
    <w:qFormat/>
    <w:tblPr>
      <w:tblCellMar>
        <w:left w:w="0" w:type="dxa"/>
        <w:top w:w="0" w:type="dxa"/>
        <w:right w:w="0" w:type="dxa"/>
        <w:bottom w:w="0" w:type="dxa"/>
      </w:tblCellMar>
    </w:tblPr>
  </w:style>
  <w:style w:type="table" w:styleId="857" w:customStyle="1">
    <w:name w:val="Grid Table 7 Colorful - Accent 6"/>
    <w:uiPriority w:val="99"/>
    <w:qFormat/>
    <w:tblPr>
      <w:tblCellMar>
        <w:left w:w="0" w:type="dxa"/>
        <w:top w:w="0" w:type="dxa"/>
        <w:right w:w="0" w:type="dxa"/>
        <w:bottom w:w="0" w:type="dxa"/>
      </w:tblCellMar>
    </w:tblPr>
  </w:style>
  <w:style w:type="table" w:styleId="858" w:customStyle="1">
    <w:name w:val="List Table 1 Light - Accent 1"/>
    <w:uiPriority w:val="99"/>
    <w:qFormat/>
    <w:tblPr>
      <w:tblCellMar>
        <w:left w:w="0" w:type="dxa"/>
        <w:top w:w="0" w:type="dxa"/>
        <w:right w:w="0" w:type="dxa"/>
        <w:bottom w:w="0" w:type="dxa"/>
      </w:tblCellMar>
    </w:tblPr>
  </w:style>
  <w:style w:type="table" w:styleId="859" w:customStyle="1">
    <w:name w:val="List Table 1 Light - Accent 2"/>
    <w:uiPriority w:val="99"/>
    <w:qFormat/>
    <w:tblPr>
      <w:tblCellMar>
        <w:left w:w="0" w:type="dxa"/>
        <w:top w:w="0" w:type="dxa"/>
        <w:right w:w="0" w:type="dxa"/>
        <w:bottom w:w="0" w:type="dxa"/>
      </w:tblCellMar>
    </w:tblPr>
  </w:style>
  <w:style w:type="table" w:styleId="860" w:customStyle="1">
    <w:name w:val="List Table 1 Light - Accent 3"/>
    <w:uiPriority w:val="99"/>
    <w:qFormat/>
    <w:tblPr>
      <w:tblCellMar>
        <w:left w:w="0" w:type="dxa"/>
        <w:top w:w="0" w:type="dxa"/>
        <w:right w:w="0" w:type="dxa"/>
        <w:bottom w:w="0" w:type="dxa"/>
      </w:tblCellMar>
    </w:tblPr>
  </w:style>
  <w:style w:type="table" w:styleId="861" w:customStyle="1">
    <w:name w:val="List Table 1 Light - Accent 4"/>
    <w:uiPriority w:val="99"/>
    <w:qFormat/>
    <w:tblPr>
      <w:tblCellMar>
        <w:left w:w="0" w:type="dxa"/>
        <w:top w:w="0" w:type="dxa"/>
        <w:right w:w="0" w:type="dxa"/>
        <w:bottom w:w="0" w:type="dxa"/>
      </w:tblCellMar>
    </w:tblPr>
  </w:style>
  <w:style w:type="table" w:styleId="862" w:customStyle="1">
    <w:name w:val="List Table 1 Light - Accent 5"/>
    <w:uiPriority w:val="99"/>
    <w:qFormat/>
    <w:tblPr>
      <w:tblCellMar>
        <w:left w:w="0" w:type="dxa"/>
        <w:top w:w="0" w:type="dxa"/>
        <w:right w:w="0" w:type="dxa"/>
        <w:bottom w:w="0" w:type="dxa"/>
      </w:tblCellMar>
    </w:tblPr>
  </w:style>
  <w:style w:type="table" w:styleId="863" w:customStyle="1">
    <w:name w:val="List Table 1 Light - Accent 6"/>
    <w:uiPriority w:val="99"/>
    <w:qFormat/>
    <w:tblPr>
      <w:tblCellMar>
        <w:left w:w="0" w:type="dxa"/>
        <w:top w:w="0" w:type="dxa"/>
        <w:right w:w="0" w:type="dxa"/>
        <w:bottom w:w="0" w:type="dxa"/>
      </w:tblCellMar>
    </w:tblPr>
  </w:style>
  <w:style w:type="table" w:styleId="864" w:customStyle="1">
    <w:name w:val="List Table 2 - Accent 1"/>
    <w:uiPriority w:val="99"/>
    <w:qFormat/>
    <w:tblPr>
      <w:tblCellMar>
        <w:left w:w="0" w:type="dxa"/>
        <w:top w:w="0" w:type="dxa"/>
        <w:right w:w="0" w:type="dxa"/>
        <w:bottom w:w="0" w:type="dxa"/>
      </w:tblCellMar>
    </w:tblPr>
  </w:style>
  <w:style w:type="table" w:styleId="865" w:customStyle="1">
    <w:name w:val="List Table 2 - Accent 2"/>
    <w:uiPriority w:val="99"/>
    <w:qFormat/>
    <w:tblPr>
      <w:tblCellMar>
        <w:left w:w="0" w:type="dxa"/>
        <w:top w:w="0" w:type="dxa"/>
        <w:right w:w="0" w:type="dxa"/>
        <w:bottom w:w="0" w:type="dxa"/>
      </w:tblCellMar>
    </w:tblPr>
  </w:style>
  <w:style w:type="table" w:styleId="866" w:customStyle="1">
    <w:name w:val="List Table 2 - Accent 3"/>
    <w:uiPriority w:val="99"/>
    <w:qFormat/>
    <w:tblPr>
      <w:tblCellMar>
        <w:left w:w="0" w:type="dxa"/>
        <w:top w:w="0" w:type="dxa"/>
        <w:right w:w="0" w:type="dxa"/>
        <w:bottom w:w="0" w:type="dxa"/>
      </w:tblCellMar>
    </w:tblPr>
  </w:style>
  <w:style w:type="table" w:styleId="867" w:customStyle="1">
    <w:name w:val="List Table 2 - Accent 4"/>
    <w:uiPriority w:val="99"/>
    <w:qFormat/>
    <w:tblPr>
      <w:tblCellMar>
        <w:left w:w="0" w:type="dxa"/>
        <w:top w:w="0" w:type="dxa"/>
        <w:right w:w="0" w:type="dxa"/>
        <w:bottom w:w="0" w:type="dxa"/>
      </w:tblCellMar>
    </w:tblPr>
  </w:style>
  <w:style w:type="table" w:styleId="868" w:customStyle="1">
    <w:name w:val="List Table 2 - Accent 5"/>
    <w:uiPriority w:val="99"/>
    <w:qFormat/>
    <w:tblPr>
      <w:tblCellMar>
        <w:left w:w="0" w:type="dxa"/>
        <w:top w:w="0" w:type="dxa"/>
        <w:right w:w="0" w:type="dxa"/>
        <w:bottom w:w="0" w:type="dxa"/>
      </w:tblCellMar>
    </w:tblPr>
  </w:style>
  <w:style w:type="table" w:styleId="869" w:customStyle="1">
    <w:name w:val="List Table 2 - Accent 6"/>
    <w:uiPriority w:val="99"/>
    <w:qFormat/>
    <w:tblPr>
      <w:tblCellMar>
        <w:left w:w="0" w:type="dxa"/>
        <w:top w:w="0" w:type="dxa"/>
        <w:right w:w="0" w:type="dxa"/>
        <w:bottom w:w="0" w:type="dxa"/>
      </w:tblCellMar>
    </w:tblPr>
  </w:style>
  <w:style w:type="table" w:styleId="870" w:customStyle="1">
    <w:name w:val="List Table 3 - Accent 1"/>
    <w:uiPriority w:val="99"/>
    <w:qFormat/>
    <w:tblPr>
      <w:tblCellMar>
        <w:left w:w="0" w:type="dxa"/>
        <w:top w:w="0" w:type="dxa"/>
        <w:right w:w="0" w:type="dxa"/>
        <w:bottom w:w="0" w:type="dxa"/>
      </w:tblCellMar>
    </w:tblPr>
  </w:style>
  <w:style w:type="table" w:styleId="871" w:customStyle="1">
    <w:name w:val="List Table 3 - Accent 2"/>
    <w:uiPriority w:val="99"/>
    <w:qFormat/>
    <w:tblPr>
      <w:tblCellMar>
        <w:left w:w="0" w:type="dxa"/>
        <w:top w:w="0" w:type="dxa"/>
        <w:right w:w="0" w:type="dxa"/>
        <w:bottom w:w="0" w:type="dxa"/>
      </w:tblCellMar>
    </w:tblPr>
  </w:style>
  <w:style w:type="table" w:styleId="872" w:customStyle="1">
    <w:name w:val="List Table 3 - Accent 3"/>
    <w:uiPriority w:val="99"/>
    <w:qFormat/>
    <w:tblPr>
      <w:tblCellMar>
        <w:left w:w="0" w:type="dxa"/>
        <w:top w:w="0" w:type="dxa"/>
        <w:right w:w="0" w:type="dxa"/>
        <w:bottom w:w="0" w:type="dxa"/>
      </w:tblCellMar>
    </w:tblPr>
  </w:style>
  <w:style w:type="table" w:styleId="873" w:customStyle="1">
    <w:name w:val="List Table 3 - Accent 4"/>
    <w:uiPriority w:val="99"/>
    <w:qFormat/>
    <w:tblPr>
      <w:tblCellMar>
        <w:left w:w="0" w:type="dxa"/>
        <w:top w:w="0" w:type="dxa"/>
        <w:right w:w="0" w:type="dxa"/>
        <w:bottom w:w="0" w:type="dxa"/>
      </w:tblCellMar>
    </w:tblPr>
  </w:style>
  <w:style w:type="table" w:styleId="874" w:customStyle="1">
    <w:name w:val="List Table 3 - Accent 5"/>
    <w:uiPriority w:val="99"/>
    <w:qFormat/>
    <w:tblPr>
      <w:tblCellMar>
        <w:left w:w="0" w:type="dxa"/>
        <w:top w:w="0" w:type="dxa"/>
        <w:right w:w="0" w:type="dxa"/>
        <w:bottom w:w="0" w:type="dxa"/>
      </w:tblCellMar>
    </w:tblPr>
  </w:style>
  <w:style w:type="table" w:styleId="875" w:customStyle="1">
    <w:name w:val="List Table 3 - Accent 6"/>
    <w:uiPriority w:val="99"/>
    <w:qFormat/>
    <w:tblPr>
      <w:tblCellMar>
        <w:left w:w="0" w:type="dxa"/>
        <w:top w:w="0" w:type="dxa"/>
        <w:right w:w="0" w:type="dxa"/>
        <w:bottom w:w="0" w:type="dxa"/>
      </w:tblCellMar>
    </w:tblPr>
  </w:style>
  <w:style w:type="table" w:styleId="876" w:customStyle="1">
    <w:name w:val="List Table 4 - Accent 1"/>
    <w:uiPriority w:val="99"/>
    <w:qFormat/>
    <w:tblPr>
      <w:tblCellMar>
        <w:left w:w="0" w:type="dxa"/>
        <w:top w:w="0" w:type="dxa"/>
        <w:right w:w="0" w:type="dxa"/>
        <w:bottom w:w="0" w:type="dxa"/>
      </w:tblCellMar>
    </w:tblPr>
  </w:style>
  <w:style w:type="table" w:styleId="877" w:customStyle="1">
    <w:name w:val="List Table 4 - Accent 2"/>
    <w:uiPriority w:val="99"/>
    <w:qFormat/>
    <w:tblPr>
      <w:tblCellMar>
        <w:left w:w="0" w:type="dxa"/>
        <w:top w:w="0" w:type="dxa"/>
        <w:right w:w="0" w:type="dxa"/>
        <w:bottom w:w="0" w:type="dxa"/>
      </w:tblCellMar>
    </w:tblPr>
  </w:style>
  <w:style w:type="table" w:styleId="878" w:customStyle="1">
    <w:name w:val="List Table 4 - Accent 3"/>
    <w:uiPriority w:val="99"/>
    <w:qFormat/>
    <w:tblPr>
      <w:tblCellMar>
        <w:left w:w="0" w:type="dxa"/>
        <w:top w:w="0" w:type="dxa"/>
        <w:right w:w="0" w:type="dxa"/>
        <w:bottom w:w="0" w:type="dxa"/>
      </w:tblCellMar>
    </w:tblPr>
  </w:style>
  <w:style w:type="table" w:styleId="879" w:customStyle="1">
    <w:name w:val="List Table 4 - Accent 4"/>
    <w:uiPriority w:val="99"/>
    <w:qFormat/>
    <w:tblPr>
      <w:tblCellMar>
        <w:left w:w="0" w:type="dxa"/>
        <w:top w:w="0" w:type="dxa"/>
        <w:right w:w="0" w:type="dxa"/>
        <w:bottom w:w="0" w:type="dxa"/>
      </w:tblCellMar>
    </w:tblPr>
  </w:style>
  <w:style w:type="table" w:styleId="880" w:customStyle="1">
    <w:name w:val="List Table 4 - Accent 5"/>
    <w:uiPriority w:val="99"/>
    <w:qFormat/>
    <w:tblPr>
      <w:tblCellMar>
        <w:left w:w="0" w:type="dxa"/>
        <w:top w:w="0" w:type="dxa"/>
        <w:right w:w="0" w:type="dxa"/>
        <w:bottom w:w="0" w:type="dxa"/>
      </w:tblCellMar>
    </w:tblPr>
  </w:style>
  <w:style w:type="table" w:styleId="881" w:customStyle="1">
    <w:name w:val="List Table 4 - Accent 6"/>
    <w:uiPriority w:val="99"/>
    <w:qFormat/>
    <w:tblPr>
      <w:tblCellMar>
        <w:left w:w="0" w:type="dxa"/>
        <w:top w:w="0" w:type="dxa"/>
        <w:right w:w="0" w:type="dxa"/>
        <w:bottom w:w="0" w:type="dxa"/>
      </w:tblCellMar>
    </w:tblPr>
  </w:style>
  <w:style w:type="table" w:styleId="882" w:customStyle="1">
    <w:name w:val="List Table 5 Dark - Accent 1"/>
    <w:uiPriority w:val="99"/>
    <w:qFormat/>
    <w:tblPr>
      <w:tblCellMar>
        <w:left w:w="0" w:type="dxa"/>
        <w:top w:w="0" w:type="dxa"/>
        <w:right w:w="0" w:type="dxa"/>
        <w:bottom w:w="0" w:type="dxa"/>
      </w:tblCellMar>
    </w:tblPr>
  </w:style>
  <w:style w:type="table" w:styleId="883" w:customStyle="1">
    <w:name w:val="List Table 5 Dark - Accent 2"/>
    <w:uiPriority w:val="99"/>
    <w:qFormat/>
    <w:tblPr>
      <w:tblCellMar>
        <w:left w:w="0" w:type="dxa"/>
        <w:top w:w="0" w:type="dxa"/>
        <w:right w:w="0" w:type="dxa"/>
        <w:bottom w:w="0" w:type="dxa"/>
      </w:tblCellMar>
    </w:tblPr>
  </w:style>
  <w:style w:type="table" w:styleId="884" w:customStyle="1">
    <w:name w:val="List Table 5 Dark - Accent 3"/>
    <w:uiPriority w:val="99"/>
    <w:qFormat/>
    <w:tblPr>
      <w:tblCellMar>
        <w:left w:w="0" w:type="dxa"/>
        <w:top w:w="0" w:type="dxa"/>
        <w:right w:w="0" w:type="dxa"/>
        <w:bottom w:w="0" w:type="dxa"/>
      </w:tblCellMar>
    </w:tblPr>
  </w:style>
  <w:style w:type="table" w:styleId="885" w:customStyle="1">
    <w:name w:val="List Table 5 Dark - Accent 4"/>
    <w:uiPriority w:val="99"/>
    <w:qFormat/>
    <w:tblPr>
      <w:tblCellMar>
        <w:left w:w="0" w:type="dxa"/>
        <w:top w:w="0" w:type="dxa"/>
        <w:right w:w="0" w:type="dxa"/>
        <w:bottom w:w="0" w:type="dxa"/>
      </w:tblCellMar>
    </w:tblPr>
  </w:style>
  <w:style w:type="table" w:styleId="886" w:customStyle="1">
    <w:name w:val="List Table 5 Dark - Accent 5"/>
    <w:uiPriority w:val="99"/>
    <w:qFormat/>
    <w:tblPr>
      <w:tblCellMar>
        <w:left w:w="0" w:type="dxa"/>
        <w:top w:w="0" w:type="dxa"/>
        <w:right w:w="0" w:type="dxa"/>
        <w:bottom w:w="0" w:type="dxa"/>
      </w:tblCellMar>
    </w:tblPr>
  </w:style>
  <w:style w:type="table" w:styleId="887" w:customStyle="1">
    <w:name w:val="List Table 5 Dark - Accent 6"/>
    <w:uiPriority w:val="99"/>
    <w:qFormat/>
    <w:tblPr>
      <w:tblCellMar>
        <w:left w:w="0" w:type="dxa"/>
        <w:top w:w="0" w:type="dxa"/>
        <w:right w:w="0" w:type="dxa"/>
        <w:bottom w:w="0" w:type="dxa"/>
      </w:tblCellMar>
    </w:tblPr>
  </w:style>
  <w:style w:type="table" w:styleId="888" w:customStyle="1">
    <w:name w:val="List Table 6 Colorful - Accent 1"/>
    <w:uiPriority w:val="99"/>
    <w:qFormat/>
    <w:tblPr>
      <w:tblCellMar>
        <w:left w:w="0" w:type="dxa"/>
        <w:top w:w="0" w:type="dxa"/>
        <w:right w:w="0" w:type="dxa"/>
        <w:bottom w:w="0" w:type="dxa"/>
      </w:tblCellMar>
    </w:tblPr>
  </w:style>
  <w:style w:type="table" w:styleId="889" w:customStyle="1">
    <w:name w:val="List Table 6 Colorful - Accent 2"/>
    <w:uiPriority w:val="99"/>
    <w:qFormat/>
    <w:tblPr>
      <w:tblCellMar>
        <w:left w:w="0" w:type="dxa"/>
        <w:top w:w="0" w:type="dxa"/>
        <w:right w:w="0" w:type="dxa"/>
        <w:bottom w:w="0" w:type="dxa"/>
      </w:tblCellMar>
    </w:tblPr>
  </w:style>
  <w:style w:type="table" w:styleId="890" w:customStyle="1">
    <w:name w:val="List Table 6 Colorful - Accent 3"/>
    <w:uiPriority w:val="99"/>
    <w:qFormat/>
    <w:tblPr>
      <w:tblCellMar>
        <w:left w:w="0" w:type="dxa"/>
        <w:top w:w="0" w:type="dxa"/>
        <w:right w:w="0" w:type="dxa"/>
        <w:bottom w:w="0" w:type="dxa"/>
      </w:tblCellMar>
    </w:tblPr>
  </w:style>
  <w:style w:type="table" w:styleId="891" w:customStyle="1">
    <w:name w:val="List Table 6 Colorful - Accent 4"/>
    <w:uiPriority w:val="99"/>
    <w:qFormat/>
    <w:tblPr>
      <w:tblCellMar>
        <w:left w:w="0" w:type="dxa"/>
        <w:top w:w="0" w:type="dxa"/>
        <w:right w:w="0" w:type="dxa"/>
        <w:bottom w:w="0" w:type="dxa"/>
      </w:tblCellMar>
    </w:tblPr>
  </w:style>
  <w:style w:type="table" w:styleId="892" w:customStyle="1">
    <w:name w:val="List Table 6 Colorful - Accent 5"/>
    <w:uiPriority w:val="99"/>
    <w:qFormat/>
    <w:tblPr>
      <w:tblCellMar>
        <w:left w:w="0" w:type="dxa"/>
        <w:top w:w="0" w:type="dxa"/>
        <w:right w:w="0" w:type="dxa"/>
        <w:bottom w:w="0" w:type="dxa"/>
      </w:tblCellMar>
    </w:tblPr>
  </w:style>
  <w:style w:type="table" w:styleId="893" w:customStyle="1">
    <w:name w:val="List Table 6 Colorful - Accent 6"/>
    <w:uiPriority w:val="99"/>
    <w:qFormat/>
    <w:tblPr>
      <w:tblCellMar>
        <w:left w:w="0" w:type="dxa"/>
        <w:top w:w="0" w:type="dxa"/>
        <w:right w:w="0" w:type="dxa"/>
        <w:bottom w:w="0" w:type="dxa"/>
      </w:tblCellMar>
    </w:tblPr>
  </w:style>
  <w:style w:type="table" w:styleId="894" w:customStyle="1">
    <w:name w:val="List Table 7 Colorful - Accent 1"/>
    <w:uiPriority w:val="99"/>
    <w:qFormat/>
    <w:tblPr>
      <w:tblCellMar>
        <w:left w:w="0" w:type="dxa"/>
        <w:top w:w="0" w:type="dxa"/>
        <w:right w:w="0" w:type="dxa"/>
        <w:bottom w:w="0" w:type="dxa"/>
      </w:tblCellMar>
    </w:tblPr>
  </w:style>
  <w:style w:type="table" w:styleId="895" w:customStyle="1">
    <w:name w:val="List Table 7 Colorful - Accent 2"/>
    <w:uiPriority w:val="99"/>
    <w:qFormat/>
    <w:tblPr>
      <w:tblCellMar>
        <w:left w:w="0" w:type="dxa"/>
        <w:top w:w="0" w:type="dxa"/>
        <w:right w:w="0" w:type="dxa"/>
        <w:bottom w:w="0" w:type="dxa"/>
      </w:tblCellMar>
    </w:tblPr>
  </w:style>
  <w:style w:type="table" w:styleId="896" w:customStyle="1">
    <w:name w:val="List Table 7 Colorful - Accent 3"/>
    <w:uiPriority w:val="99"/>
    <w:qFormat/>
    <w:tblPr>
      <w:tblCellMar>
        <w:left w:w="0" w:type="dxa"/>
        <w:top w:w="0" w:type="dxa"/>
        <w:right w:w="0" w:type="dxa"/>
        <w:bottom w:w="0" w:type="dxa"/>
      </w:tblCellMar>
    </w:tblPr>
  </w:style>
  <w:style w:type="table" w:styleId="897" w:customStyle="1">
    <w:name w:val="List Table 7 Colorful - Accent 4"/>
    <w:uiPriority w:val="99"/>
    <w:qFormat/>
    <w:tblPr>
      <w:tblCellMar>
        <w:left w:w="0" w:type="dxa"/>
        <w:top w:w="0" w:type="dxa"/>
        <w:right w:w="0" w:type="dxa"/>
        <w:bottom w:w="0" w:type="dxa"/>
      </w:tblCellMar>
    </w:tblPr>
  </w:style>
  <w:style w:type="table" w:styleId="898" w:customStyle="1">
    <w:name w:val="List Table 7 Colorful - Accent 5"/>
    <w:uiPriority w:val="99"/>
    <w:qFormat/>
    <w:tblPr>
      <w:tblCellMar>
        <w:left w:w="0" w:type="dxa"/>
        <w:top w:w="0" w:type="dxa"/>
        <w:right w:w="0" w:type="dxa"/>
        <w:bottom w:w="0" w:type="dxa"/>
      </w:tblCellMar>
    </w:tblPr>
  </w:style>
  <w:style w:type="table" w:styleId="899" w:customStyle="1">
    <w:name w:val="List Table 7 Colorful - Accent 6"/>
    <w:uiPriority w:val="99"/>
    <w:qFormat/>
    <w:tblPr>
      <w:tblCellMar>
        <w:left w:w="0" w:type="dxa"/>
        <w:top w:w="0" w:type="dxa"/>
        <w:right w:w="0" w:type="dxa"/>
        <w:bottom w:w="0" w:type="dxa"/>
      </w:tblCellMar>
    </w:tblPr>
  </w:style>
  <w:style w:type="table" w:styleId="900" w:customStyle="1">
    <w:name w:val="Lined - Accent"/>
    <w:uiPriority w:val="99"/>
    <w:qFormat/>
    <w:rPr>
      <w:color w:val="404040"/>
    </w:rPr>
    <w:tblPr>
      <w:tblCellMar>
        <w:left w:w="0" w:type="dxa"/>
        <w:top w:w="0" w:type="dxa"/>
        <w:right w:w="0" w:type="dxa"/>
        <w:bottom w:w="0" w:type="dxa"/>
      </w:tblCellMar>
    </w:tblPr>
  </w:style>
  <w:style w:type="table" w:styleId="901" w:customStyle="1">
    <w:name w:val="Lined - Accent 1"/>
    <w:uiPriority w:val="99"/>
    <w:qFormat/>
    <w:rPr>
      <w:color w:val="404040"/>
    </w:rPr>
    <w:tblPr>
      <w:tblCellMar>
        <w:left w:w="0" w:type="dxa"/>
        <w:top w:w="0" w:type="dxa"/>
        <w:right w:w="0" w:type="dxa"/>
        <w:bottom w:w="0" w:type="dxa"/>
      </w:tblCellMar>
    </w:tblPr>
  </w:style>
  <w:style w:type="table" w:styleId="902" w:customStyle="1">
    <w:name w:val="Lined - Accent 2"/>
    <w:uiPriority w:val="99"/>
    <w:qFormat/>
    <w:rPr>
      <w:color w:val="404040"/>
    </w:rPr>
    <w:tblPr>
      <w:tblCellMar>
        <w:left w:w="0" w:type="dxa"/>
        <w:top w:w="0" w:type="dxa"/>
        <w:right w:w="0" w:type="dxa"/>
        <w:bottom w:w="0" w:type="dxa"/>
      </w:tblCellMar>
    </w:tblPr>
  </w:style>
  <w:style w:type="table" w:styleId="903" w:customStyle="1">
    <w:name w:val="Lined - Accent 3"/>
    <w:uiPriority w:val="99"/>
    <w:qFormat/>
    <w:rPr>
      <w:color w:val="404040"/>
    </w:rPr>
    <w:tblPr>
      <w:tblCellMar>
        <w:left w:w="0" w:type="dxa"/>
        <w:top w:w="0" w:type="dxa"/>
        <w:right w:w="0" w:type="dxa"/>
        <w:bottom w:w="0" w:type="dxa"/>
      </w:tblCellMar>
    </w:tblPr>
  </w:style>
  <w:style w:type="table" w:styleId="904" w:customStyle="1">
    <w:name w:val="Lined - Accent 4"/>
    <w:uiPriority w:val="99"/>
    <w:qFormat/>
    <w:rPr>
      <w:color w:val="404040"/>
    </w:rPr>
    <w:tblPr>
      <w:tblCellMar>
        <w:left w:w="0" w:type="dxa"/>
        <w:top w:w="0" w:type="dxa"/>
        <w:right w:w="0" w:type="dxa"/>
        <w:bottom w:w="0" w:type="dxa"/>
      </w:tblCellMar>
    </w:tblPr>
  </w:style>
  <w:style w:type="table" w:styleId="905" w:customStyle="1">
    <w:name w:val="Lined - Accent 5"/>
    <w:uiPriority w:val="99"/>
    <w:qFormat/>
    <w:rPr>
      <w:color w:val="404040"/>
    </w:rPr>
    <w:tblPr>
      <w:tblCellMar>
        <w:left w:w="0" w:type="dxa"/>
        <w:top w:w="0" w:type="dxa"/>
        <w:right w:w="0" w:type="dxa"/>
        <w:bottom w:w="0" w:type="dxa"/>
      </w:tblCellMar>
    </w:tblPr>
  </w:style>
  <w:style w:type="table" w:styleId="906" w:customStyle="1">
    <w:name w:val="Lined - Accent 6"/>
    <w:uiPriority w:val="99"/>
    <w:qFormat/>
    <w:rPr>
      <w:color w:val="404040"/>
    </w:rPr>
    <w:tblPr>
      <w:tblCellMar>
        <w:left w:w="0" w:type="dxa"/>
        <w:top w:w="0" w:type="dxa"/>
        <w:right w:w="0" w:type="dxa"/>
        <w:bottom w:w="0" w:type="dxa"/>
      </w:tblCellMar>
    </w:tblPr>
  </w:style>
  <w:style w:type="table" w:styleId="907" w:customStyle="1">
    <w:name w:val="Bordered &amp; Lined - Accent"/>
    <w:uiPriority w:val="99"/>
    <w:qFormat/>
    <w:rPr>
      <w:color w:val="404040"/>
    </w:rPr>
    <w:tblPr>
      <w:tblCellMar>
        <w:left w:w="0" w:type="dxa"/>
        <w:top w:w="0" w:type="dxa"/>
        <w:right w:w="0" w:type="dxa"/>
        <w:bottom w:w="0" w:type="dxa"/>
      </w:tblCellMar>
    </w:tblPr>
  </w:style>
  <w:style w:type="table" w:styleId="908" w:customStyle="1">
    <w:name w:val="Bordered &amp; Lined - Accent 1"/>
    <w:uiPriority w:val="99"/>
    <w:qFormat/>
    <w:rPr>
      <w:color w:val="404040"/>
    </w:rPr>
    <w:tblPr>
      <w:tblCellMar>
        <w:left w:w="0" w:type="dxa"/>
        <w:top w:w="0" w:type="dxa"/>
        <w:right w:w="0" w:type="dxa"/>
        <w:bottom w:w="0" w:type="dxa"/>
      </w:tblCellMar>
    </w:tblPr>
  </w:style>
  <w:style w:type="table" w:styleId="909" w:customStyle="1">
    <w:name w:val="Bordered &amp; Lined - Accent 2"/>
    <w:uiPriority w:val="99"/>
    <w:qFormat/>
    <w:rPr>
      <w:color w:val="404040"/>
    </w:rPr>
    <w:tblPr>
      <w:tblCellMar>
        <w:left w:w="0" w:type="dxa"/>
        <w:top w:w="0" w:type="dxa"/>
        <w:right w:w="0" w:type="dxa"/>
        <w:bottom w:w="0" w:type="dxa"/>
      </w:tblCellMar>
    </w:tblPr>
  </w:style>
  <w:style w:type="table" w:styleId="910" w:customStyle="1">
    <w:name w:val="Bordered &amp; Lined - Accent 3"/>
    <w:uiPriority w:val="99"/>
    <w:qFormat/>
    <w:rPr>
      <w:color w:val="404040"/>
    </w:rPr>
    <w:tblPr>
      <w:tblCellMar>
        <w:left w:w="0" w:type="dxa"/>
        <w:top w:w="0" w:type="dxa"/>
        <w:right w:w="0" w:type="dxa"/>
        <w:bottom w:w="0" w:type="dxa"/>
      </w:tblCellMar>
    </w:tblPr>
  </w:style>
  <w:style w:type="table" w:styleId="911" w:customStyle="1">
    <w:name w:val="Bordered &amp; Lined - Accent 4"/>
    <w:uiPriority w:val="99"/>
    <w:qFormat/>
    <w:rPr>
      <w:color w:val="404040"/>
    </w:rPr>
    <w:tblPr>
      <w:tblCellMar>
        <w:left w:w="0" w:type="dxa"/>
        <w:top w:w="0" w:type="dxa"/>
        <w:right w:w="0" w:type="dxa"/>
        <w:bottom w:w="0" w:type="dxa"/>
      </w:tblCellMar>
    </w:tblPr>
  </w:style>
  <w:style w:type="table" w:styleId="912" w:customStyle="1">
    <w:name w:val="Bordered &amp; Lined - Accent 5"/>
    <w:uiPriority w:val="99"/>
    <w:qFormat/>
    <w:rPr>
      <w:color w:val="404040"/>
    </w:rPr>
    <w:tblPr>
      <w:tblCellMar>
        <w:left w:w="0" w:type="dxa"/>
        <w:top w:w="0" w:type="dxa"/>
        <w:right w:w="0" w:type="dxa"/>
        <w:bottom w:w="0" w:type="dxa"/>
      </w:tblCellMar>
    </w:tblPr>
  </w:style>
  <w:style w:type="table" w:styleId="913" w:customStyle="1">
    <w:name w:val="Bordered &amp; Lined - Accent 6"/>
    <w:uiPriority w:val="99"/>
    <w:qFormat/>
    <w:rPr>
      <w:color w:val="404040"/>
    </w:rPr>
    <w:tblPr>
      <w:tblCellMar>
        <w:left w:w="0" w:type="dxa"/>
        <w:top w:w="0" w:type="dxa"/>
        <w:right w:w="0" w:type="dxa"/>
        <w:bottom w:w="0" w:type="dxa"/>
      </w:tblCellMar>
    </w:tblPr>
  </w:style>
  <w:style w:type="table" w:styleId="914" w:customStyle="1">
    <w:name w:val="Bordered"/>
    <w:uiPriority w:val="99"/>
    <w:qFormat/>
    <w:tblPr>
      <w:tblCellMar>
        <w:left w:w="0" w:type="dxa"/>
        <w:top w:w="0" w:type="dxa"/>
        <w:right w:w="0" w:type="dxa"/>
        <w:bottom w:w="0" w:type="dxa"/>
      </w:tblCellMar>
    </w:tblPr>
  </w:style>
  <w:style w:type="table" w:styleId="915" w:customStyle="1">
    <w:name w:val="Bordered - Accent 1"/>
    <w:uiPriority w:val="99"/>
    <w:qFormat/>
    <w:tblPr>
      <w:tblCellMar>
        <w:left w:w="0" w:type="dxa"/>
        <w:top w:w="0" w:type="dxa"/>
        <w:right w:w="0" w:type="dxa"/>
        <w:bottom w:w="0" w:type="dxa"/>
      </w:tblCellMar>
    </w:tblPr>
  </w:style>
  <w:style w:type="table" w:styleId="916" w:customStyle="1">
    <w:name w:val="Bordered - Accent 2"/>
    <w:uiPriority w:val="99"/>
    <w:qFormat/>
    <w:tblPr>
      <w:tblCellMar>
        <w:left w:w="0" w:type="dxa"/>
        <w:top w:w="0" w:type="dxa"/>
        <w:right w:w="0" w:type="dxa"/>
        <w:bottom w:w="0" w:type="dxa"/>
      </w:tblCellMar>
    </w:tblPr>
  </w:style>
  <w:style w:type="table" w:styleId="917" w:customStyle="1">
    <w:name w:val="Bordered - Accent 3"/>
    <w:uiPriority w:val="99"/>
    <w:qFormat/>
    <w:tblPr>
      <w:tblCellMar>
        <w:left w:w="0" w:type="dxa"/>
        <w:top w:w="0" w:type="dxa"/>
        <w:right w:w="0" w:type="dxa"/>
        <w:bottom w:w="0" w:type="dxa"/>
      </w:tblCellMar>
    </w:tblPr>
  </w:style>
  <w:style w:type="table" w:styleId="918" w:customStyle="1">
    <w:name w:val="Bordered - Accent 4"/>
    <w:uiPriority w:val="99"/>
    <w:qFormat/>
    <w:tblPr>
      <w:tblCellMar>
        <w:left w:w="0" w:type="dxa"/>
        <w:top w:w="0" w:type="dxa"/>
        <w:right w:w="0" w:type="dxa"/>
        <w:bottom w:w="0" w:type="dxa"/>
      </w:tblCellMar>
    </w:tblPr>
  </w:style>
  <w:style w:type="table" w:styleId="919" w:customStyle="1">
    <w:name w:val="Bordered - Accent 5"/>
    <w:uiPriority w:val="99"/>
    <w:qFormat/>
    <w:tblPr>
      <w:tblCellMar>
        <w:left w:w="0" w:type="dxa"/>
        <w:top w:w="0" w:type="dxa"/>
        <w:right w:w="0" w:type="dxa"/>
        <w:bottom w:w="0" w:type="dxa"/>
      </w:tblCellMar>
    </w:tblPr>
  </w:style>
  <w:style w:type="table" w:styleId="920" w:customStyle="1">
    <w:name w:val="Bordered - Accent 6"/>
    <w:uiPriority w:val="99"/>
    <w:qFormat/>
    <w:tblPr>
      <w:tblCellMar>
        <w:left w:w="0" w:type="dxa"/>
        <w:top w:w="0" w:type="dxa"/>
        <w:right w:w="0" w:type="dxa"/>
        <w:bottom w:w="0" w:type="dxa"/>
      </w:tblCellMar>
    </w:tblPr>
  </w:style>
  <w:style w:type="paragraph" w:styleId="921" w:customStyle="1">
    <w:name w:val="TOC 标题11"/>
    <w:uiPriority w:val="39"/>
    <w:unhideWhenUsed/>
    <w:qFormat/>
    <w:rPr>
      <w:rFonts w:ascii="Calibri" w:hAnsi="Calibri" w:eastAsia="宋体" w:cs="Times New Roman"/>
      <w:lang w:val="en-US" w:eastAsia="zh-CN" w:bidi="ar-SA"/>
    </w:rPr>
  </w:style>
  <w:style w:type="paragraph" w:styleId="922" w:customStyle="1">
    <w:name w:val="修订1"/>
    <w:uiPriority w:val="99"/>
    <w:semiHidden/>
    <w:qFormat/>
    <w:rPr>
      <w:rFonts w:ascii="Calibri" w:hAnsi="Calibri" w:eastAsia="宋体" w:cs="Times New Roman"/>
      <w:sz w:val="21"/>
      <w:szCs w:val="22"/>
      <w:lang w:val="en-US" w:eastAsia="zh-CN" w:bidi="ar-SA"/>
    </w:rPr>
  </w:style>
  <w:style w:type="paragraph" w:styleId="923" w:customStyle="1">
    <w:name w:val="_正文段落"/>
    <w:basedOn w:val="689"/>
    <w:uiPriority w:val="0"/>
    <w:qFormat/>
    <w:pPr>
      <w:ind w:firstLine="200"/>
      <w:jc w:val="left"/>
      <w:spacing w:line="360" w:lineRule="auto"/>
    </w:pPr>
    <w:rPr>
      <w:rFonts w:ascii="宋体" w:hAnsi="宋体"/>
      <w:sz w:val="24"/>
      <w:szCs w:val="24"/>
    </w:rPr>
  </w:style>
  <w:style w:type="paragraph" w:styleId="924" w:customStyle="1">
    <w:name w:val="纯文本11"/>
    <w:basedOn w:val="689"/>
    <w:uiPriority w:val="99"/>
    <w:qFormat/>
    <w:rPr>
      <w:rFonts w:ascii="宋体" w:hAnsi="Courier New" w:eastAsia="楷体_GB2312"/>
      <w:sz w:val="26"/>
      <w:szCs w:val="24"/>
    </w:rPr>
  </w:style>
  <w:style w:type="character" w:styleId="925" w:customStyle="1">
    <w:name w:val="页脚 字符"/>
    <w:uiPriority w:val="0"/>
    <w:qFormat/>
    <w:rPr>
      <w:rFonts w:ascii="Calibri" w:hAnsi="Calibri" w:eastAsia="宋体"/>
      <w:sz w:val="18"/>
      <w:szCs w:val="18"/>
    </w:rPr>
  </w:style>
  <w:style w:type="character" w:styleId="926" w:customStyle="1">
    <w:name w:val="纯文本 字符"/>
    <w:uiPriority w:val="99"/>
    <w:semiHidden/>
    <w:qFormat/>
    <w:rPr>
      <w:rFonts w:ascii="宋体" w:hAnsi="Courier New" w:eastAsia="宋体" w:cs="Courier New"/>
      <w:sz w:val="21"/>
      <w:szCs w:val="21"/>
    </w:rPr>
  </w:style>
  <w:style w:type="character" w:styleId="927" w:customStyle="1">
    <w:name w:val="Plain Text Char Char"/>
    <w:link w:val="928"/>
    <w:uiPriority w:val="0"/>
    <w:qFormat/>
    <w:rPr>
      <w:rFonts w:ascii="宋体" w:hAnsi="Courier New" w:eastAsia="楷体_GB2312"/>
      <w:sz w:val="28"/>
    </w:rPr>
  </w:style>
  <w:style w:type="paragraph" w:styleId="928" w:customStyle="1">
    <w:name w:val="纯文本1"/>
    <w:basedOn w:val="689"/>
    <w:link w:val="927"/>
    <w:uiPriority w:val="0"/>
    <w:qFormat/>
    <w:rPr>
      <w:rFonts w:ascii="宋体" w:hAnsi="Courier New" w:eastAsia="楷体_GB2312"/>
      <w:sz w:val="28"/>
      <w:szCs w:val="20"/>
      <w:lang w:eastAsia="en-US"/>
    </w:rPr>
  </w:style>
  <w:style w:type="paragraph" w:styleId="929" w:customStyle="1">
    <w:name w:val="段"/>
    <w:next w:val="689"/>
    <w:uiPriority w:val="0"/>
    <w:qFormat/>
    <w:pPr>
      <w:ind w:firstLine="200"/>
      <w:jc w:val="both"/>
    </w:pPr>
    <w:rPr>
      <w:rFonts w:ascii="宋体" w:hAnsi="宋体" w:eastAsia="宋体" w:cs="Times New Roman"/>
      <w:sz w:val="21"/>
      <w:szCs w:val="21"/>
      <w:lang w:val="en-US" w:eastAsia="zh-CN" w:bidi="ar-SA"/>
    </w:rPr>
  </w:style>
  <w:style w:type="character" w:styleId="930" w:customStyle="1">
    <w:name w:val="页眉 字符"/>
    <w:uiPriority w:val="99"/>
    <w:qFormat/>
    <w:rPr>
      <w:sz w:val="18"/>
      <w:szCs w:val="18"/>
    </w:rPr>
  </w:style>
  <w:style w:type="character" w:styleId="931" w:customStyle="1">
    <w:name w:val="批注框文本 字符"/>
    <w:uiPriority w:val="99"/>
    <w:semiHidden/>
    <w:qFormat/>
    <w:rPr>
      <w:sz w:val="18"/>
      <w:szCs w:val="18"/>
    </w:rPr>
  </w:style>
  <w:style w:type="paragraph" w:styleId="932" w:customStyle="1">
    <w:name w:val="彩色列表 - 强调文字颜色 11"/>
    <w:basedOn w:val="689"/>
    <w:uiPriority w:val="0"/>
    <w:qFormat/>
    <w:pPr>
      <w:ind w:firstLine="420"/>
    </w:pPr>
    <w:rPr>
      <w:rFonts w:ascii="Times New Roman" w:hAnsi="Times New Roman"/>
      <w:sz w:val="26"/>
      <w:szCs w:val="24"/>
    </w:rPr>
  </w:style>
  <w:style w:type="paragraph" w:styleId="933" w:customStyle="1">
    <w:name w:val="正文文本1"/>
    <w:basedOn w:val="689"/>
    <w:uiPriority w:val="0"/>
    <w:unhideWhenUsed/>
    <w:qFormat/>
    <w:rPr>
      <w:rFonts w:ascii="楷体_GB2312" w:hAnsi="Times New Roman" w:eastAsia="楷体_GB2312"/>
      <w:b/>
      <w:bCs/>
      <w:sz w:val="28"/>
      <w:szCs w:val="20"/>
    </w:rPr>
  </w:style>
  <w:style w:type="character" w:styleId="934" w:customStyle="1">
    <w:name w:val="Plain Text Char1"/>
    <w:uiPriority w:val="0"/>
    <w:qFormat/>
    <w:rPr>
      <w:rFonts w:ascii="宋体" w:hAnsi="Courier New" w:eastAsia="楷体_GB2312"/>
      <w:sz w:val="28"/>
    </w:rPr>
  </w:style>
  <w:style w:type="paragraph" w:styleId="935" w:customStyle="1">
    <w:name w:val="纯文本2"/>
    <w:basedOn w:val="689"/>
    <w:uiPriority w:val="0"/>
    <w:qFormat/>
    <w:rPr>
      <w:rFonts w:ascii="宋体" w:hAnsi="Courier New" w:eastAsia="楷体_GB2312"/>
      <w:sz w:val="26"/>
      <w:szCs w:val="20"/>
    </w:rPr>
  </w:style>
  <w:style w:type="paragraph" w:styleId="936" w:customStyle="1">
    <w:name w:val="普通(网站)1"/>
    <w:basedOn w:val="689"/>
    <w:uiPriority w:val="0"/>
    <w:qFormat/>
    <w:pPr>
      <w:jc w:val="left"/>
      <w:spacing w:before="100" w:beforeAutospacing="1" w:after="100" w:afterAutospacing="1"/>
      <w:widowControl/>
    </w:pPr>
    <w:rPr>
      <w:rFonts w:ascii="宋体" w:hAnsi="宋体" w:eastAsia="等线"/>
      <w:sz w:val="24"/>
      <w:szCs w:val="20"/>
    </w:rPr>
  </w:style>
  <w:style w:type="paragraph" w:styleId="937" w:customStyle="1">
    <w:name w:val="纯文本3"/>
    <w:basedOn w:val="689"/>
    <w:uiPriority w:val="0"/>
    <w:qFormat/>
    <w:rPr>
      <w:rFonts w:ascii="宋体" w:hAnsi="Courier New" w:eastAsia="楷体_GB2312"/>
      <w:sz w:val="28"/>
      <w:szCs w:val="20"/>
    </w:rPr>
  </w:style>
  <w:style w:type="paragraph" w:styleId="938" w:customStyle="1">
    <w:name w:val="纯文本8"/>
    <w:basedOn w:val="689"/>
    <w:uiPriority w:val="0"/>
    <w:qFormat/>
    <w:rPr>
      <w:rFonts w:ascii="宋体" w:hAnsi="Courier New" w:eastAsia="楷体_GB2312"/>
      <w:sz w:val="26"/>
      <w:szCs w:val="20"/>
    </w:rPr>
  </w:style>
  <w:style w:type="paragraph" w:styleId="939" w:customStyle="1">
    <w:name w:val="_paragraph_1h3l3_2"/>
    <w:basedOn w:val="689"/>
    <w:uiPriority w:val="0"/>
    <w:qFormat/>
    <w:pPr>
      <w:jc w:val="left"/>
      <w:spacing w:before="100" w:beforeAutospacing="1" w:after="100" w:afterAutospacing="1"/>
      <w:widowControl/>
    </w:pPr>
    <w:rPr>
      <w:rFonts w:ascii="宋体" w:hAnsi="宋体" w:cs="宋体"/>
      <w:sz w:val="24"/>
      <w:szCs w:val="24"/>
    </w:rPr>
  </w:style>
  <w:style w:type="character" w:styleId="940" w:customStyle="1">
    <w:name w:val="font21"/>
    <w:uiPriority w:val="0"/>
    <w:qFormat/>
    <w:rPr>
      <w:rFonts w:hint="eastAsia" w:ascii="宋体" w:hAnsi="宋体" w:eastAsia="宋体" w:cs="宋体"/>
      <w:color w:val="000000"/>
      <w:sz w:val="24"/>
      <w:szCs w:val="24"/>
      <w:u w:val="none"/>
    </w:rPr>
  </w:style>
  <w:style w:type="character" w:styleId="941" w:customStyle="1">
    <w:name w:val="font31"/>
    <w:uiPriority w:val="0"/>
    <w:qFormat/>
    <w:rPr>
      <w:rFonts w:hint="eastAsia" w:ascii="宋体" w:hAnsi="宋体" w:eastAsia="宋体" w:cs="宋体"/>
      <w:color w:val="000000"/>
      <w:sz w:val="18"/>
      <w:szCs w:val="18"/>
      <w:u w:val="none"/>
    </w:rPr>
  </w:style>
  <w:style w:type="character" w:styleId="942" w:customStyle="1">
    <w:name w:val="font01"/>
    <w:uiPriority w:val="0"/>
    <w:qFormat/>
    <w:rPr>
      <w:rFonts w:ascii="Calibri" w:hAnsi="Calibri" w:cs="Calibri"/>
      <w:color w:val="000000"/>
      <w:sz w:val="21"/>
      <w:szCs w:val="21"/>
      <w:u w:val="none"/>
    </w:rPr>
  </w:style>
  <w:style w:type="character" w:styleId="943" w:customStyle="1">
    <w:name w:val="正文文本缩进 2 字符"/>
    <w:link w:val="712"/>
    <w:uiPriority w:val="99"/>
    <w:semiHidden/>
    <w:qFormat/>
    <w:rPr>
      <w:sz w:val="21"/>
      <w:szCs w:val="22"/>
    </w:rPr>
  </w:style>
  <w:style w:type="paragraph" w:styleId="944" w:customStyle="1">
    <w:name w:val="首行缩进"/>
    <w:basedOn w:val="689"/>
    <w:uiPriority w:val="0"/>
    <w:qFormat/>
    <w:pPr>
      <w:ind w:firstLine="480"/>
    </w:pPr>
    <w:rPr>
      <w:rFonts w:ascii="Times New Roman" w:hAnsi="Times New Roman"/>
      <w:szCs w:val="24"/>
      <w:lang w:val="zh-CN"/>
    </w:rPr>
  </w:style>
  <w:style w:type="character" w:styleId="945" w:customStyle="1">
    <w:name w:val="cosc-title-slot"/>
    <w:uiPriority w:val="0"/>
    <w:qFormat/>
  </w:style>
  <w:style w:type="paragraph" w:styleId="946" w:customStyle="1">
    <w:name w:val="正文首行缩进 211"/>
    <w:basedOn w:val="689"/>
    <w:uiPriority w:val="0"/>
    <w:qFormat/>
    <w:pPr>
      <w:ind w:left="570" w:firstLine="420"/>
      <w:spacing w:line="520" w:lineRule="exact"/>
    </w:pPr>
    <w:rPr>
      <w:rFonts w:ascii="方正仿宋简体" w:hAnsi="创艺简仿宋" w:eastAsia="楷体_GB2312"/>
      <w:sz w:val="28"/>
      <w:szCs w:val="20"/>
    </w:rPr>
  </w:style>
  <w:style w:type="table" w:styleId="947" w:customStyle="1">
    <w:name w:val="网格型1"/>
    <w:uiPriority w:val="0"/>
    <w:qFormat/>
    <w:pPr>
      <w:jc w:val="both"/>
      <w:widowControl w:val="off"/>
    </w:pPr>
    <w:tblPr>
      <w:tblCellMar>
        <w:left w:w="0" w:type="dxa"/>
        <w:top w:w="0" w:type="dxa"/>
        <w:right w:w="0" w:type="dxa"/>
        <w:bottom w:w="0" w:type="dxa"/>
      </w:tblCellMar>
    </w:tblPr>
  </w:style>
  <w:style w:type="paragraph" w:styleId="948" w:customStyle="1">
    <w:name w:val="Char Char Char Char Char Char Char Char Char Char Char Char Char"/>
    <w:basedOn w:val="689"/>
    <w:uiPriority w:val="0"/>
    <w:unhideWhenUsed/>
    <w:qFormat/>
    <w:pPr>
      <w:ind w:firstLine="480"/>
      <w:spacing w:line="360" w:lineRule="auto"/>
    </w:pPr>
    <w:rPr>
      <w:rFonts w:ascii="Times New Roman" w:hAnsi="宋体"/>
      <w:color w:val="000000"/>
      <w:sz w:val="18"/>
      <w:szCs w:val="18"/>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D2E58-5ACC-444B-B25D-D45668D9F8A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向多</cp:lastModifiedBy>
  <cp:revision>19</cp:revision>
  <dcterms:created xsi:type="dcterms:W3CDTF">2026-05-06T08:17:00Z</dcterms:created>
  <dcterms:modified xsi:type="dcterms:W3CDTF">2026-05-09T06:24:59Z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eyJoZGlkIjoiNDYxZjU1YjIzM2IxZTI1MmZjN2M3YWIyMTRmNWY2NjkiLCJ1c2VySWQiOiI1NDU2NzQ5MjYifQ==</vt:lpwstr>
  </property>
  <property fmtid="{D5CDD505-2E9C-101B-9397-08002B2CF9AE}" pid="3" name="KSOProductBuildVer">
    <vt:lpwstr>2052-12.1.0.25865</vt:lpwstr>
  </property>
  <property fmtid="{D5CDD505-2E9C-101B-9397-08002B2CF9AE}" pid="4" name="ICV">
    <vt:lpwstr>DE5668AC69214B469E0A4974381F50D3_13</vt:lpwstr>
  </property>
</Properties>
</file>