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淮安市高标准农田工程质量验证检测项目</w:t>
      </w: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项目编号:JSZC-320800-JZCG-G2026-0017 </w:t>
      </w:r>
      <w:r>
        <w:rPr>
          <w:rFonts w:hint="eastAsia" w:ascii="黑体" w:hAnsi="黑体" w:eastAsia="黑体"/>
          <w:b/>
          <w:sz w:val="36"/>
        </w:rPr>
      </w:r>
      <w:r/>
    </w:p>
    <w:p>
      <w:pPr>
        <w:pStyle w:val="67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7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五</w:t>
      </w:r>
      <w:r>
        <w:rPr>
          <w:rFonts w:hint="eastAsia" w:ascii="黑体" w:hAnsi="黑体" w:eastAsia="黑体"/>
          <w:b/>
          <w:sz w:val="36"/>
          <w:szCs w:val="36"/>
        </w:rPr>
        <w:t xml:space="preserve">月</w:t>
      </w:r>
      <w:r>
        <w:rPr>
          <w:rFonts w:hint="eastAsia" w:ascii="黑体" w:hAnsi="黑体" w:eastAsia="黑体"/>
          <w:b/>
          <w:sz w:val="36"/>
          <w:szCs w:val="36"/>
        </w:rPr>
        <w:t xml:space="preserve">十二</w:t>
      </w:r>
      <w:r>
        <w:rPr>
          <w:rFonts w:hint="eastAsia" w:ascii="黑体" w:hAnsi="黑体" w:eastAsia="黑体"/>
          <w:b/>
          <w:sz w:val="36"/>
          <w:szCs w:val="36"/>
        </w:rPr>
        <w:t xml:space="preserve">日</w:t>
      </w:r>
      <w:r>
        <w:rPr>
          <w:rFonts w:hint="eastAsia" w:ascii="宋体" w:hAnsi="宋体"/>
          <w:sz w:val="24"/>
        </w:rPr>
      </w:r>
      <w:r/>
    </w:p>
    <w:p>
      <w:pPr>
        <w:pStyle w:val="67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7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受淮安市农业农村局的委托，淮安市政府采购中心就淮安市高标准农田工程质量验证检测项目政府采购项目进行公开招标采购，现邀请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7419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74190"/>
                        </a:xfrm>
                        <a:prstGeom prst="rect">
                          <a:avLst/>
                        </a:prstGeom>
                        <a:solidFill>
                          <a:srgbClr val="FFFFFF"/>
                        </a:solidFill>
                        <a:ln>
                          <a:solidFill>
                            <a:srgbClr val="000000"/>
                          </a:solidFill>
                        </a:ln>
                      </wps:spPr>
                      <wps:txbx>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淮安市高标准农田工程质量验证检测</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9.7pt;mso-wrap-distance-left:9.0pt;mso-wrap-distance-top:0.0pt;mso-wrap-distance-right:9.0pt;mso-wrap-distance-bottom:0.0pt;visibility:visible;" fillcolor="#FFFFFF" strokecolor="#000000">
                <v:textbox inset="0,0,0,0">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淮安市高标准农田工程质量验证检测</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cs="Times New Roman"/>
          <w:sz w:val="28"/>
        </w:rPr>
        <w:outlineLvl w:val="9"/>
      </w:pPr>
      <w:r>
        <w:rPr>
          <w:rFonts w:hint="eastAsia" w:ascii="仿宋" w:hAnsi="仿宋" w:eastAsia="仿宋"/>
          <w:sz w:val="28"/>
          <w:szCs w:val="28"/>
        </w:rPr>
        <w:t xml:space="preserve">（一）</w:t>
      </w:r>
      <w:r>
        <w:rPr>
          <w:rFonts w:hint="eastAsia" w:ascii="仿宋" w:hAnsi="仿宋" w:eastAsia="仿宋" w:cs="Times New Roman"/>
          <w:sz w:val="28"/>
        </w:rPr>
        <w:t xml:space="preserve">项目编号:JSZC-320800-JZCG-G2026-0017</w:t>
      </w:r>
      <w:r>
        <w:rPr>
          <w:rFonts w:hint="eastAsia" w:ascii="仿宋" w:hAnsi="仿宋" w:eastAsia="仿宋" w:cs="Times New Roman"/>
          <w:sz w:val="28"/>
        </w:rPr>
      </w:r>
      <w:r/>
    </w:p>
    <w:p>
      <w:pPr>
        <w:pStyle w:val="678"/>
        <w:ind w:left="1" w:firstLine="537"/>
        <w:keepLines w:val="0"/>
        <w:keepNext w:val="0"/>
        <w:pageBreakBefore w:val="0"/>
        <w:spacing w:line="500" w:lineRule="exact"/>
        <w:rPr>
          <w:rFonts w:hint="eastAsia" w:ascii="仿宋" w:hAnsi="仿宋" w:eastAsia="仿宋" w:cs="Times New Roman"/>
          <w:sz w:val="28"/>
        </w:rPr>
        <w:outlineLvl w:val="9"/>
      </w:pPr>
      <w:r>
        <w:rPr>
          <w:rFonts w:hint="eastAsia" w:ascii="仿宋" w:hAnsi="仿宋" w:eastAsia="仿宋" w:cs="Times New Roman"/>
          <w:sz w:val="28"/>
        </w:rPr>
        <w:t xml:space="preserve">（二）项目名称:淮安市高标准农田工程质量验证检测项目 </w:t>
      </w:r>
      <w:r>
        <w:rPr>
          <w:rFonts w:hint="eastAsia" w:ascii="仿宋" w:hAnsi="仿宋" w:eastAsia="仿宋" w:cs="Times New Roman"/>
          <w:sz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350</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350</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（五）采购需求:淮安市高标准农田工程质量验证检测项目</w:t>
      </w:r>
      <w:r>
        <w:rPr>
          <w:rFonts w:hint="eastAsia" w:ascii="仿宋" w:hAnsi="仿宋" w:eastAsia="仿宋"/>
          <w:sz w:val="28"/>
          <w:szCs w:val="28"/>
          <w:lang w:val="en-US" w:eastAsia="zh-CN"/>
        </w:rPr>
        <w:t xml:space="preserve">,详见第五章采购需求。</w:t>
      </w:r>
      <w:r>
        <w:rPr>
          <w:rFonts w:hint="eastAsia" w:ascii="仿宋" w:hAnsi="仿宋" w:eastAsia="仿宋"/>
          <w:sz w:val="28"/>
          <w:szCs w:val="28"/>
          <w:lang w:val="en-US" w:eastAsia="zh-CN"/>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w:t>
      </w:r>
      <w:r>
        <w:rPr>
          <w:rFonts w:hint="eastAsia" w:ascii="仿宋" w:hAnsi="仿宋" w:eastAsia="仿宋"/>
          <w:sz w:val="28"/>
          <w:szCs w:val="28"/>
          <w:highlight w:val="none"/>
        </w:rPr>
        <w:t xml:space="preserve">合同履行期限:</w:t>
      </w:r>
      <w:r>
        <w:rPr>
          <w:rFonts w:hint="eastAsia" w:ascii="仿宋" w:hAnsi="仿宋" w:eastAsia="仿宋"/>
          <w:sz w:val="28"/>
          <w:szCs w:val="28"/>
        </w:rPr>
        <w:t xml:space="preserve"> </w:t>
      </w:r>
      <w:r>
        <w:rPr>
          <w:rFonts w:hint="eastAsia" w:ascii="仿宋" w:hAnsi="仿宋" w:eastAsia="仿宋"/>
          <w:sz w:val="28"/>
          <w:szCs w:val="28"/>
          <w:lang w:eastAsia="zh-CN"/>
        </w:rPr>
        <w:t xml:space="preserve">一年</w:t>
      </w:r>
      <w:r>
        <w:rPr>
          <w:rFonts w:hint="eastAsia" w:ascii="仿宋" w:hAnsi="仿宋" w:eastAsia="仿宋"/>
          <w:sz w:val="28"/>
          <w:szCs w:val="28"/>
        </w:rPr>
        <w:t xml:space="preserve">   </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highlight w:val="none"/>
          <w:u w:val="single"/>
        </w:rPr>
        <w:t xml:space="preserve">其他未列明行业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lang w:val="zh-CN"/>
        </w:rPr>
        <w:t xml:space="preserve">种方式落</w:t>
      </w:r>
      <w:r>
        <w:rPr>
          <w:rFonts w:hint="eastAsia" w:ascii="仿宋" w:hAnsi="仿宋" w:eastAsia="仿宋"/>
          <w:sz w:val="28"/>
          <w:szCs w:val="28"/>
          <w:lang w:val="zh-CN"/>
        </w:rPr>
        <w:t xml:space="preserve">实政府采购促进中小企业发展的要求：</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78"/>
        <w:ind w:firstLine="562"/>
        <w:keepLines w:val="0"/>
        <w:keepNext w:val="0"/>
        <w:pageBreakBefore w:val="0"/>
        <w:spacing w:line="520" w:lineRule="exact"/>
        <w:rPr>
          <w:rFonts w:hint="eastAsia" w:ascii="仿宋" w:hAnsi="仿宋" w:eastAsia="仿宋"/>
          <w:b/>
          <w:bCs/>
          <w:color w:val="000000"/>
          <w:sz w:val="28"/>
          <w:szCs w:val="28"/>
          <w:lang w:val="zh-CN" w:eastAsia="zh-CN"/>
        </w:rPr>
        <w:outlineLvl w:val="9"/>
      </w:pPr>
      <w:r>
        <w:rPr>
          <w:rFonts w:hint="eastAsia" w:ascii="仿宋" w:hAnsi="仿宋" w:eastAsia="仿宋"/>
          <w:b/>
          <w:bCs/>
          <w:sz w:val="28"/>
          <w:szCs w:val="28"/>
        </w:rPr>
        <w:t xml:space="preserve">（三）本项目的特定资格要求:投标人持有有效期内检验检测机构资质认定证书</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无吊销/暂停）</w:t>
      </w:r>
      <w:r>
        <w:rPr>
          <w:rFonts w:hint="eastAsia" w:ascii="仿宋" w:hAnsi="仿宋" w:eastAsia="仿宋"/>
          <w:b/>
          <w:bCs/>
          <w:sz w:val="28"/>
          <w:szCs w:val="28"/>
          <w:lang w:eastAsia="zh-CN"/>
        </w:rPr>
        <w:t xml:space="preserve">。</w:t>
      </w:r>
      <w:r>
        <w:rPr>
          <w:rFonts w:hint="eastAsia" w:ascii="仿宋" w:hAnsi="仿宋" w:eastAsia="仿宋"/>
          <w:b/>
          <w:bCs/>
          <w:color w:val="000000"/>
          <w:sz w:val="28"/>
          <w:szCs w:val="28"/>
          <w:lang w:val="zh-CN" w:eastAsia="zh-CN"/>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7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9:30</w:t>
      </w:r>
      <w:r>
        <w:rPr>
          <w:rFonts w:ascii="仿宋" w:hAnsi="仿宋" w:eastAsia="仿宋"/>
          <w:sz w:val="28"/>
          <w:szCs w:val="28"/>
          <w:lang w:val="en-US" w:eastAsia="zh-CN"/>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名称:淮安市农业农村局</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地址:淮安市翔宇南道1号</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联系方式:王宇扬 0517-83646892</w:t>
      </w:r>
      <w:r>
        <w:rPr>
          <w:rFonts w:ascii="仿宋" w:hAnsi="仿宋" w:eastAsia="仿宋"/>
          <w:sz w:val="28"/>
          <w:szCs w:val="28"/>
          <w:highlight w:val="none"/>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rPr>
          <w:rFonts w:ascii="仿宋" w:hAnsi="仿宋" w:eastAsia="仿宋"/>
          <w:sz w:val="28"/>
          <w:szCs w:val="28"/>
          <w:lang w:val="en-US" w:eastAsia="zh-CN"/>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0" w:name="_Toc513029214"/>
      <w:r/>
      <w:bookmarkStart w:id="1" w:name="_Toc462564073"/>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78"/>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678"/>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78"/>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513029234"/>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16938551"/>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cs="Times New Roman"/>
          <w:sz w:val="28"/>
          <w:szCs w:val="28"/>
          <w:highlight w:val="none"/>
          <w:lang w:eastAsia="zh-CN"/>
        </w:rPr>
        <w:outlineLvl w:val="9"/>
      </w:pPr>
      <w:r>
        <w:rPr>
          <w:rFonts w:hint="eastAsia" w:ascii="仿宋" w:hAnsi="仿宋" w:eastAsia="仿宋"/>
          <w:sz w:val="28"/>
          <w:szCs w:val="28"/>
          <w:highlight w:val="none"/>
          <w:lang w:val="en-US" w:eastAsia="zh-CN"/>
        </w:rPr>
        <w:t xml:space="preserve">26.1.13投标人未按照第</w:t>
      </w:r>
      <w:r>
        <w:rPr>
          <w:rFonts w:hint="eastAsia" w:ascii="仿宋" w:hAnsi="仿宋" w:eastAsia="仿宋" w:cs="Times New Roman"/>
          <w:sz w:val="28"/>
          <w:szCs w:val="28"/>
          <w:highlight w:val="none"/>
          <w:lang w:val="en-US" w:eastAsia="zh-CN"/>
        </w:rPr>
        <w:t xml:space="preserve">五章“</w:t>
      </w:r>
      <w:r>
        <w:rPr>
          <w:rFonts w:hint="eastAsia" w:ascii="仿宋" w:hAnsi="仿宋" w:eastAsia="仿宋" w:cs="Times New Roman"/>
          <w:sz w:val="28"/>
          <w:szCs w:val="28"/>
          <w:highlight w:val="none"/>
        </w:rPr>
        <w:t xml:space="preserve">二、人员配置</w:t>
      </w:r>
      <w:r>
        <w:rPr>
          <w:rFonts w:hint="eastAsia" w:ascii="仿宋" w:hAnsi="仿宋" w:eastAsia="仿宋" w:cs="Times New Roman"/>
          <w:sz w:val="28"/>
          <w:szCs w:val="28"/>
          <w:highlight w:val="none"/>
          <w:lang w:eastAsia="zh-CN"/>
        </w:rPr>
        <w:t xml:space="preserve">”及“四、服务内容及要求—（二）验证式检测工作原则”的要求提供承诺函的；</w:t>
      </w:r>
      <w:r>
        <w:rPr>
          <w:rFonts w:hint="eastAsia" w:ascii="仿宋" w:hAnsi="仿宋" w:eastAsia="仿宋" w:cs="Times New Roman"/>
          <w:sz w:val="28"/>
          <w:szCs w:val="28"/>
          <w:highlight w:val="none"/>
          <w:lang w:eastAsia="zh-CN"/>
        </w:rPr>
      </w:r>
      <w:r/>
    </w:p>
    <w:p>
      <w:pPr>
        <w:pStyle w:val="678"/>
        <w:ind w:firstLine="560"/>
        <w:keepLines w:val="0"/>
        <w:keepNext w:val="0"/>
        <w:pageBreakBefore w:val="0"/>
        <w:spacing w:line="520" w:lineRule="exact"/>
        <w:rPr>
          <w:rFonts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26.1.14投标人未按照第五章“二、人员配置”的要求提供证明材料的；</w:t>
      </w:r>
      <w:r>
        <w:rPr>
          <w:rFonts w:ascii="仿宋" w:hAnsi="仿宋" w:eastAsia="仿宋" w:cs="Times New Roman"/>
          <w:sz w:val="28"/>
          <w:szCs w:val="28"/>
          <w:highlight w:val="none"/>
          <w:lang w:val="en-US" w:eastAsia="zh-CN"/>
        </w:rPr>
      </w:r>
      <w:r/>
    </w:p>
    <w:p>
      <w:pPr>
        <w:pStyle w:val="678"/>
        <w:ind w:firstLine="560"/>
        <w:keepLines w:val="0"/>
        <w:keepNext w:val="0"/>
        <w:pageBreakBefore w:val="0"/>
        <w:spacing w:line="520" w:lineRule="exact"/>
        <w:rPr>
          <w:rFonts w:ascii="仿宋" w:hAnsi="仿宋" w:eastAsia="仿宋" w:cs="Times New Roman"/>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 </w:t>
      </w:r>
      <w:r>
        <w:rPr>
          <w:rFonts w:hint="eastAsia" w:ascii="仿宋" w:hAnsi="仿宋" w:eastAsia="仿宋" w:cs="Times New Roman"/>
          <w:sz w:val="28"/>
          <w:szCs w:val="28"/>
          <w:highlight w:val="none"/>
          <w:lang w:val="en-US" w:eastAsia="zh-CN"/>
        </w:rPr>
        <w:t xml:space="preserve">投标人未按照第六章“</w:t>
      </w:r>
      <w:r>
        <w:rPr>
          <w:rFonts w:hint="eastAsia" w:ascii="仿宋" w:hAnsi="仿宋" w:eastAsia="仿宋"/>
          <w:sz w:val="28"/>
          <w:szCs w:val="28"/>
          <w:highlight w:val="none"/>
          <w:lang w:val="en-US" w:eastAsia="zh-CN"/>
        </w:rPr>
        <w:t xml:space="preserve">三、投标报价明细表</w:t>
      </w:r>
      <w:r>
        <w:rPr>
          <w:rFonts w:hint="eastAsia" w:ascii="仿宋" w:hAnsi="仿宋" w:eastAsia="仿宋" w:cs="Times New Roman"/>
          <w:sz w:val="28"/>
          <w:szCs w:val="28"/>
          <w:highlight w:val="none"/>
          <w:lang w:val="en-US" w:eastAsia="zh-CN"/>
        </w:rPr>
        <w:t xml:space="preserve">”的要求提供投标报价明细表的；</w:t>
      </w:r>
      <w:r>
        <w:rPr>
          <w:rFonts w:ascii="仿宋" w:hAnsi="仿宋" w:eastAsia="仿宋" w:cs="Times New Roman"/>
          <w:sz w:val="28"/>
          <w:szCs w:val="28"/>
          <w:highlight w:val="none"/>
          <w:lang w:val="en-US" w:eastAsia="zh-CN"/>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7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7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7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699"/>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699"/>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6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6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678"/>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67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本项目</w:t>
      </w:r>
      <w:r>
        <w:rPr>
          <w:rFonts w:hint="eastAsia" w:ascii="仿宋" w:hAnsi="仿宋" w:eastAsia="仿宋"/>
          <w:sz w:val="28"/>
          <w:szCs w:val="28"/>
          <w:u w:val="single"/>
        </w:rPr>
        <w:t xml:space="preserve"> </w:t>
      </w:r>
      <w:r>
        <w:rPr>
          <w:rFonts w:hint="eastAsia" w:ascii="仿宋" w:hAnsi="仿宋" w:eastAsia="仿宋"/>
          <w:sz w:val="28"/>
          <w:szCs w:val="28"/>
          <w:highlight w:val="none"/>
          <w:u w:val="single"/>
        </w:rPr>
        <w:t xml:space="preserve">(采购产品)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w:t>
      </w:r>
      <w:r>
        <w:rPr>
          <w:rFonts w:hint="eastAsia" w:ascii="仿宋" w:hAnsi="仿宋" w:eastAsia="仿宋"/>
          <w:sz w:val="28"/>
          <w:szCs w:val="28"/>
        </w:rPr>
        <w:t xml:space="preserve">列入“环境标志产品品目清单”的，实行优先采购。</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7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7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1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eastAsia="zh-CN"/>
        </w:rPr>
        <w:t xml:space="preserve">（本项目不涉及）</w:t>
      </w:r>
      <w:r>
        <w:rPr>
          <w:rFonts w:hint="eastAsia" w:ascii="仿宋" w:hAnsi="仿宋" w:eastAsia="仿宋"/>
          <w:color w:val="000000"/>
          <w:sz w:val="28"/>
          <w:szCs w:val="28"/>
          <w:lang w:val="en-US" w:eastAsia="zh-CN"/>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1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7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40</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sz w:val="28"/>
          <w:szCs w:val="28"/>
          <w:lang w:val="en-US" w:eastAsia="zh-CN"/>
        </w:rPr>
        <w:t xml:space="preserve">(1)</w:t>
      </w:r>
      <w:r>
        <w:rPr>
          <w:rFonts w:hint="eastAsia" w:ascii="仿宋" w:hAnsi="仿宋" w:eastAsia="仿宋" w:cs="Times New Roman"/>
          <w:sz w:val="28"/>
          <w:szCs w:val="28"/>
        </w:rPr>
        <w:t xml:space="preserve">针对本项目的实施方案（1</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 ①工程质量检测工作及分析报告编制方案（6分）；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投标人需针对本项目提供工程质量检测工作及分析报告编制方案，方案至少包括以项目为单位，描述检测项目总体情况、工程概况、检</w:t>
      </w:r>
      <w:r>
        <w:rPr>
          <w:rFonts w:hint="eastAsia" w:ascii="仿宋" w:hAnsi="仿宋" w:eastAsia="仿宋" w:cs="Times New Roman"/>
          <w:sz w:val="28"/>
          <w:szCs w:val="28"/>
          <w:lang w:val="en-US" w:eastAsia="zh-CN"/>
        </w:rPr>
        <w:t xml:space="preserve">测内容与方法、检测结果分析与评价、存在问题及整改建议等。方案内容齐全且翔实、检测程序和规范科学合理、检测方法先进、检测内容齐全、检测实施科学合理、检测及试验结果分析准确并提出切实可行的针对性建议的、报告内容全面且关键点清晰优于采购需求的，得6分；内容齐全、检测程序和规范合理、检测方法可行、检测内容全面、检测及试验结果分析准确、报告内容无缺失的，完全满足采购需求的得4分；方案内容细节有缺失、检测程序和规范合理、检测方法可行、检测内容基本全面、检测及试验结果分析合理、报告内容无缺失的，基本满足采购需求的得2分；</w:t>
      </w:r>
      <w:r>
        <w:rPr>
          <w:rFonts w:hint="eastAsia" w:ascii="仿宋" w:hAnsi="仿宋" w:eastAsia="仿宋" w:cs="Times New Roman"/>
          <w:sz w:val="28"/>
          <w:szCs w:val="28"/>
          <w:lang w:val="en-US" w:eastAsia="zh-CN"/>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②质量验证报告编制实施方案；（4分）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投标人需针对本项目提供质量验证报告编制实施方案，方案至少包括以县区为单位，描述工程质量合格、缺陷及重大问题的分类原则、数量结果；工程质量缺陷研判程序、判别依据及原因分析；工程重大质量问题研判程序、判别依据、进一步溯源的程序、分析结果，提出存在问题及整改建议等。         </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方案内容齐全且翔实，能运用数据化、信息化手段支撑判断，研判程序规范科学合理、研判方法先进、内容齐全、工程质量缺陷研判分类结果科学合理、原因分析准确并提出切实可行的针对性建议的、报告内容全面且关键点清晰优于采购需求的得4分；内容齐全、程序规范合理、方法可行、工程质量缺陷研判分类结果分析准确、报告内容无缺失的，完全满足采购需求得2分；方案内容细节有缺失、程序和规范合理、分类方法可行、内容基本全面、结果分析合理、报告内容无缺失的，基本满足采购需求得1分；</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③鉴定意见书编制实施方案；（4分）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投标人需针对本项目提供鉴定意见书编制实施方案，方案至少包括 </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以施工方为单位，描述涉及工程重大质量问题项目的工程概况、鉴定内容、鉴定用途、鉴定材料、鉴定结论、修复方案及费用评估等。        </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方案内容齐全且翔实，背景摘要客观中立，鉴定程序规范合法，鉴定方法科学先进，鉴定内容客观、完整，鉴定过程可追溯、结论可验证，质量控制和风险防控有力，报告内容全面且关键点清晰的，优于采购需求得4分；内容齐全、鉴定程序规范合法，鉴定方法可行、鉴定内容全面、鉴定过程及试验结果分析准确、报告内容无缺失的，完全满足采购需求得2分；方案内容细节有缺失、鉴定程序规范合理、鉴定方法可行、鉴定内容基本全面、鉴定结果分析合理、报告内容无缺失的，基本满足采购需求得1分；</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2.针对本项目的重点、难点分析（12分）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①项目重点问题分析及应对措施（6分）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投标人需针对本项目提供项目重点问题分析及应对措施，方案至少包括 工作目标、内容、步骤、技术路线、进度安排、进度测算和人员分工等。</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方案内容齐全且翔实、提出的重点切实科学、对重点的解析合理精准、重点的应急处理方案科学合理、应急预案切实可行，优于项目需求得6分；方案内容齐全、提出的重点切实合理、对重点的解析合理、重点的应急处理方案合理可行、应急预案可行，完全满足采购需求得4分；方案内容细节缺失、提出的重点合理、对重点的解析合理、重点的应急处理方案可行、应急预案无错，基本满足采购需求得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②项目难点问题分析及应对措施（6分）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投标人需针对本项目提供项目难点问题分析及应对措施，方案至少包括 项目需求分析、工作机制建立、工作流程分析、内业资料收集、外业任务分配、数据确认与复核等。</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方案内容齐全且翔实、提出的难点切实科学、对难点的解析合理精准、难点的应急处理方案科学合理、应急预案切实可行，优于项目需求得6分；方案内容齐全、提出的难点切实合理、对难点的解析合理、难点的应急处理方案合理可行、应急预案可行，完全满足项目需求得4分；方案内容细节缺失、提出的难点合理、对难点的解析合理、难点的应急处理方案可行、应急预案无错，基本满足项目需求得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3、针对本项目的质量保障措施（6分）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投标人需针对本项目提供质量保障措施，方案至少包括 现场技术支持方案、工作成果质量内控机制、组织架构、工作流程、控制重点、控制关键节点、控制措施等。</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现场技术支持方案内容齐全且翔实、针对各建筑物构筑物检测配置设备全面、校准方案科学切实、各专业的检测配置设备全面、常用主要设备操作规程科学合理、设备操作人员专业，取样和检测的方法、数量、部位有明确标准依据；工作成果质量内控机制流程清晰、组织架构合理、控制重点及关键点切实可行，控制措施能在具体工作中全面执行，优于项目需求得6分；现场技术支持</w:t>
      </w:r>
      <w:r>
        <w:rPr>
          <w:rFonts w:hint="eastAsia" w:ascii="仿宋" w:hAnsi="仿宋" w:eastAsia="仿宋" w:cs="Times New Roman"/>
          <w:sz w:val="28"/>
          <w:szCs w:val="28"/>
        </w:rPr>
        <w:t xml:space="preserve">方案内容齐全、针对各建筑物构筑物检测配置设备基本齐全、校准方案切实可行、各专业的检测配置设备基本齐全、常用主要设备操作规程可行、设备操作人员齐全；工作成果质量内控机制流程清晰、组织架构合理、控制重点及关键点较为合理，控制措施能在具体工作中执行，完全满足项目需求得4分；现场技术支持方案内容齐全、针对各建筑物构筑物检测配置设备基本齐全、校准方案切实可行、各专业的检测配置设备基本齐全、常用主要设备操作规程合理可行、设备操作人员齐全，工作成果有质量控制机制、组织架构、控制重点及关键点等内容，满足项目基本需求得2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4、进度安排及保障措施（4分）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投标人需针对本项目提供进度安排及保障措施，方案至少包括 2023-2024年度高标准农田建设项目检测计划，2019-2022年度项目检测计划，2025年度项目检测计划，检测报告出具计划，质量验证报告出具计划，检测报告出具计划等内容。</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投标人的进度计划完全满足招标文件要求、进度保障措施方案优于项目需求的得4分；投标人的进度计划较为满足招标文件要求、进度保障措施方案简单合理，完全满足项目需求的得2分；投标人的进度计划满足招标文件要求、进度保障措施方案可执行，基本满足项目需求的得1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5.后续服务保障措施（4分）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投标人需针对本项目提供后续服务保障措施，方案至少包括后勤保障团队、售后服务内容、现场安全管理、项目验收整改等内容。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方案内容齐全且翔实、后勤团队分工明确合理、项目档案管理及时、科学、有序，安全管理科学可行，验收整改承诺真实、细致、可执行，具有线上及时咨询服务能力，保证在履约期间持续改进与沟通，</w:t>
      </w:r>
      <w:r>
        <w:rPr>
          <w:rFonts w:hint="eastAsia" w:ascii="仿宋" w:hAnsi="仿宋" w:eastAsia="仿宋"/>
          <w:sz w:val="28"/>
          <w:szCs w:val="28"/>
          <w:lang w:eastAsia="zh-CN"/>
        </w:rPr>
        <w:t xml:space="preserve">优于项目需求</w:t>
      </w:r>
      <w:r>
        <w:rPr>
          <w:rFonts w:hint="eastAsia" w:ascii="仿宋" w:hAnsi="仿宋" w:eastAsia="仿宋"/>
          <w:sz w:val="28"/>
          <w:szCs w:val="28"/>
        </w:rPr>
        <w:t xml:space="preserve">得4分；方案内容齐全，后勤团队分工合理，项目档案管理科学，安全管理机制科学，验收整改承诺真实、可执行，具有线上咨询服务能力，保证在履约期间持续改进与沟通，</w:t>
      </w:r>
      <w:r>
        <w:rPr>
          <w:rFonts w:hint="eastAsia" w:ascii="仿宋" w:hAnsi="仿宋" w:eastAsia="仿宋"/>
          <w:sz w:val="28"/>
          <w:szCs w:val="28"/>
          <w:lang w:eastAsia="zh-CN"/>
        </w:rPr>
        <w:t xml:space="preserve">完全满足项目需求</w:t>
      </w:r>
      <w:r>
        <w:rPr>
          <w:rFonts w:hint="eastAsia" w:ascii="仿宋" w:hAnsi="仿宋" w:eastAsia="仿宋"/>
          <w:sz w:val="28"/>
          <w:szCs w:val="28"/>
        </w:rPr>
        <w:t xml:space="preserve">得2分；方案内容齐全，后勤团队有分工，有项目档案机制，有安全管理机制，有验收整改承诺，具有线上咨询服务能力，保证在履约期间持续改进与沟通，</w:t>
      </w:r>
      <w:r>
        <w:rPr>
          <w:rFonts w:hint="eastAsia" w:ascii="仿宋" w:hAnsi="仿宋" w:eastAsia="仿宋"/>
          <w:sz w:val="28"/>
          <w:szCs w:val="28"/>
          <w:lang w:eastAsia="zh-CN"/>
        </w:rPr>
        <w:t xml:space="preserve">基本满足项目需求</w:t>
      </w:r>
      <w:r>
        <w:rPr>
          <w:rFonts w:hint="eastAsia" w:ascii="仿宋" w:hAnsi="仿宋" w:eastAsia="仿宋"/>
          <w:sz w:val="28"/>
          <w:szCs w:val="28"/>
        </w:rPr>
        <w:t xml:space="preserve">得1分；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注：本项目的方案部分采用暗标方式进行评审，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rPr>
        <w:t xml:space="preserve">条的要求编制方案，未按要求编制的本项不得分。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50</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（1）业绩（12分）：投标人提供2022年1月1日至今签署的类似</w:t>
      </w:r>
      <w:r>
        <w:rPr>
          <w:rFonts w:hint="eastAsia" w:ascii="仿宋" w:hAnsi="仿宋" w:eastAsia="仿宋"/>
          <w:sz w:val="28"/>
          <w:szCs w:val="28"/>
          <w:lang w:eastAsia="zh-CN"/>
        </w:rPr>
        <w:t xml:space="preserve">本项目</w:t>
      </w:r>
      <w:r>
        <w:rPr>
          <w:rFonts w:hint="eastAsia" w:ascii="仿宋" w:hAnsi="仿宋" w:eastAsia="仿宋"/>
          <w:sz w:val="28"/>
          <w:szCs w:val="28"/>
          <w:highlight w:val="none"/>
        </w:rPr>
        <w:t xml:space="preserve">（高标准农田建设或水利建设类项目工程</w:t>
      </w:r>
      <w:r>
        <w:rPr>
          <w:rFonts w:hint="eastAsia" w:ascii="仿宋" w:hAnsi="仿宋" w:eastAsia="仿宋"/>
          <w:sz w:val="28"/>
          <w:szCs w:val="28"/>
          <w:highlight w:val="none"/>
          <w:lang w:eastAsia="zh-CN"/>
        </w:rPr>
        <w:t xml:space="preserve">质量</w:t>
      </w:r>
      <w:r>
        <w:rPr>
          <w:rFonts w:hint="eastAsia" w:ascii="仿宋" w:hAnsi="仿宋" w:eastAsia="仿宋"/>
          <w:sz w:val="28"/>
          <w:szCs w:val="28"/>
          <w:highlight w:val="none"/>
        </w:rPr>
        <w:t xml:space="preserve">检测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业绩</w:t>
      </w:r>
      <w:r>
        <w:rPr>
          <w:rFonts w:hint="eastAsia" w:ascii="仿宋" w:hAnsi="仿宋" w:eastAsia="仿宋"/>
          <w:sz w:val="28"/>
          <w:szCs w:val="28"/>
          <w:highlight w:val="none"/>
          <w:lang w:eastAsia="zh-CN"/>
        </w:rPr>
        <w:t xml:space="preserve">的，</w:t>
      </w:r>
      <w:r>
        <w:rPr>
          <w:rFonts w:hint="eastAsia" w:ascii="仿宋" w:hAnsi="仿宋" w:eastAsia="仿宋"/>
          <w:sz w:val="28"/>
          <w:szCs w:val="28"/>
        </w:rPr>
        <w:t xml:space="preserve">每提供1个得2分，最多得12分，未提供不得分。（</w:t>
      </w:r>
      <w:r>
        <w:rPr>
          <w:rFonts w:hint="eastAsia" w:ascii="仿宋" w:hAnsi="仿宋" w:eastAsia="仿宋"/>
          <w:sz w:val="28"/>
          <w:szCs w:val="28"/>
          <w:lang w:eastAsia="zh-CN"/>
        </w:rPr>
        <w:t xml:space="preserve">需</w:t>
      </w:r>
      <w:r>
        <w:rPr>
          <w:rFonts w:hint="eastAsia" w:ascii="仿宋" w:hAnsi="仿宋" w:eastAsia="仿宋"/>
          <w:sz w:val="28"/>
          <w:szCs w:val="28"/>
        </w:rPr>
        <w:t xml:space="preserve">提供合同或司法委托鉴定书彩色扫描件，合同或委托书中须体现出签订时间，双方签字盖章页，业绩服务内容及金额</w:t>
      </w:r>
      <w:r>
        <w:rPr>
          <w:rFonts w:hint="eastAsia" w:ascii="仿宋" w:hAnsi="仿宋" w:eastAsia="仿宋"/>
          <w:sz w:val="28"/>
          <w:szCs w:val="28"/>
          <w:lang w:eastAsia="zh-CN"/>
        </w:rPr>
        <w:t xml:space="preserve">，</w:t>
      </w:r>
      <w:r>
        <w:rPr>
          <w:rFonts w:hint="eastAsia" w:ascii="仿宋" w:hAnsi="仿宋" w:eastAsia="仿宋"/>
          <w:sz w:val="28"/>
          <w:szCs w:val="28"/>
        </w:rPr>
        <w:t xml:space="preserve">日期以合同签订的日期</w:t>
      </w:r>
      <w:r>
        <w:rPr>
          <w:rFonts w:hint="eastAsia" w:ascii="仿宋" w:hAnsi="仿宋" w:eastAsia="仿宋"/>
          <w:sz w:val="28"/>
          <w:szCs w:val="28"/>
          <w:lang w:eastAsia="zh-CN"/>
        </w:rPr>
        <w:t xml:space="preserve">或</w:t>
      </w:r>
      <w:r>
        <w:rPr>
          <w:rFonts w:hint="eastAsia" w:ascii="仿宋" w:hAnsi="仿宋" w:eastAsia="仿宋"/>
          <w:sz w:val="28"/>
          <w:szCs w:val="28"/>
        </w:rPr>
        <w:t xml:space="preserve">司法委托</w:t>
      </w:r>
      <w:r>
        <w:rPr>
          <w:rFonts w:hint="eastAsia" w:ascii="仿宋" w:hAnsi="仿宋" w:eastAsia="仿宋"/>
          <w:sz w:val="28"/>
          <w:szCs w:val="28"/>
          <w:lang w:eastAsia="zh-CN"/>
        </w:rPr>
        <w:t xml:space="preserve">时间为准，需</w:t>
      </w:r>
      <w:r>
        <w:rPr>
          <w:rFonts w:hint="eastAsia" w:ascii="仿宋" w:hAnsi="仿宋" w:eastAsia="仿宋"/>
          <w:sz w:val="28"/>
          <w:szCs w:val="28"/>
        </w:rPr>
        <w:t xml:space="preserve">现同类业务内容，不提供或提供不全的不得分）；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（2）认证体系（9分）：投标人具有有效的质量管理体系认证证书、职业健康安全管理体系认证证书、环境管理体系认证证书的，每个证书得3分，本项最高得9分。</w:t>
      </w:r>
      <w:r>
        <w:rPr>
          <w:rFonts w:hint="eastAsia" w:ascii="仿宋" w:hAnsi="仿宋" w:eastAsia="仿宋"/>
          <w:sz w:val="28"/>
          <w:szCs w:val="28"/>
          <w:highlight w:val="none"/>
        </w:rPr>
        <w:t xml:space="preserve">（投标文件中提供有效期内的认证证书彩色扫描件不提供不得分。）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（3）项目负责人（5分）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投标人针对本项目拟派的项目负责人</w:t>
      </w:r>
      <w:r>
        <w:rPr>
          <w:rFonts w:hint="eastAsia" w:ascii="仿宋" w:hAnsi="仿宋" w:eastAsia="仿宋"/>
          <w:sz w:val="28"/>
          <w:szCs w:val="28"/>
        </w:rPr>
        <w:t xml:space="preserve">具有水利工程类中级职称的得2分，具有水利工程类高级技术职称的得4分，具有水利工程类</w:t>
      </w:r>
      <w:r>
        <w:rPr>
          <w:rFonts w:hint="eastAsia" w:ascii="仿宋" w:hAnsi="仿宋" w:eastAsia="仿宋"/>
          <w:sz w:val="28"/>
          <w:szCs w:val="28"/>
          <w:lang w:eastAsia="zh-CN"/>
        </w:rPr>
        <w:t xml:space="preserve">正</w:t>
      </w:r>
      <w:r>
        <w:rPr>
          <w:rFonts w:hint="eastAsia" w:ascii="仿宋" w:hAnsi="仿宋" w:eastAsia="仿宋"/>
          <w:sz w:val="28"/>
          <w:szCs w:val="28"/>
        </w:rPr>
        <w:t xml:space="preserve">高级技术职称的得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rPr>
          <w:rFonts w:hint="eastAsia" w:ascii="仿宋" w:hAnsi="仿宋" w:eastAsia="仿宋"/>
          <w:sz w:val="28"/>
          <w:szCs w:val="28"/>
          <w:lang w:eastAsia="zh-CN"/>
        </w:rPr>
        <w:t xml:space="preserve">，没有不得分</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（注：投标时需提供</w:t>
      </w:r>
      <w:r>
        <w:rPr>
          <w:rFonts w:hint="eastAsia" w:ascii="仿宋" w:hAnsi="仿宋" w:eastAsia="仿宋"/>
          <w:sz w:val="28"/>
          <w:szCs w:val="28"/>
          <w:lang w:eastAsia="zh-CN"/>
        </w:rPr>
        <w:t xml:space="preserve">职称</w:t>
      </w:r>
      <w:r>
        <w:rPr>
          <w:rFonts w:hint="eastAsia" w:ascii="仿宋" w:hAnsi="仿宋" w:eastAsia="仿宋"/>
          <w:sz w:val="28"/>
          <w:szCs w:val="28"/>
        </w:rPr>
        <w:t xml:space="preserve">证书彩色扫描件并加盖投标人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章，且能反映专业类别，职称证书若不能反映专业类别的，需同时提供毕业证书</w:t>
      </w:r>
      <w:r>
        <w:rPr>
          <w:rFonts w:hint="eastAsia" w:ascii="仿宋" w:hAnsi="仿宋" w:eastAsia="仿宋"/>
          <w:sz w:val="28"/>
          <w:szCs w:val="28"/>
          <w:lang w:eastAsia="zh-CN"/>
        </w:rPr>
        <w:t xml:space="preserve">彩色</w:t>
      </w:r>
      <w:r>
        <w:rPr>
          <w:rFonts w:hint="eastAsia" w:ascii="仿宋" w:hAnsi="仿宋" w:eastAsia="仿宋"/>
          <w:sz w:val="28"/>
          <w:szCs w:val="28"/>
        </w:rPr>
        <w:t xml:space="preserve">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章，未提供或提供的不符合要求的不得分）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（4）项目组成员（不含项目负责人）（24分）</w:t>
      </w:r>
      <w:r>
        <w:rPr>
          <w:rFonts w:hint="eastAsia" w:ascii="仿宋" w:hAnsi="仿宋" w:eastAsia="仿宋"/>
          <w:sz w:val="28"/>
          <w:szCs w:val="28"/>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lang w:eastAsia="zh-CN"/>
        </w:rPr>
        <w:t xml:space="preserve">投标人针对本项目拟派的</w:t>
      </w:r>
      <w:r>
        <w:rPr>
          <w:rFonts w:hint="eastAsia" w:ascii="仿宋" w:hAnsi="仿宋" w:eastAsia="仿宋"/>
          <w:sz w:val="28"/>
          <w:szCs w:val="28"/>
        </w:rPr>
        <w:t xml:space="preserve">项目组成员（不含项目负责人）</w:t>
      </w:r>
      <w:r>
        <w:rPr>
          <w:rFonts w:hint="eastAsia" w:ascii="仿宋" w:hAnsi="仿宋" w:eastAsia="仿宋"/>
          <w:sz w:val="28"/>
          <w:szCs w:val="28"/>
          <w:lang w:eastAsia="zh-CN"/>
        </w:rPr>
        <w:t xml:space="preserve">中</w:t>
      </w:r>
      <w:r>
        <w:rPr>
          <w:rFonts w:hint="eastAsia" w:ascii="仿宋" w:hAnsi="仿宋" w:eastAsia="仿宋"/>
          <w:sz w:val="28"/>
          <w:szCs w:val="28"/>
        </w:rPr>
        <w:t xml:space="preserve">具有水利工程质量检测员资格证书</w:t>
      </w:r>
      <w:r>
        <w:rPr>
          <w:rFonts w:hint="eastAsia" w:ascii="仿宋" w:hAnsi="仿宋" w:eastAsia="仿宋"/>
          <w:sz w:val="28"/>
          <w:szCs w:val="28"/>
          <w:lang w:eastAsia="zh-CN"/>
        </w:rPr>
        <w:t xml:space="preserve">：</w:t>
      </w:r>
      <w:r>
        <w:rPr>
          <w:rFonts w:hint="eastAsia" w:ascii="仿宋" w:hAnsi="仿宋" w:eastAsia="仿宋"/>
          <w:sz w:val="28"/>
          <w:szCs w:val="28"/>
        </w:rPr>
        <w:t xml:space="preserve">岩土工程、混凝土工程、金属结构、机械电气、量测类</w:t>
      </w:r>
      <w:r>
        <w:rPr>
          <w:rFonts w:hint="eastAsia" w:ascii="仿宋" w:hAnsi="仿宋" w:eastAsia="仿宋"/>
          <w:sz w:val="28"/>
          <w:szCs w:val="28"/>
          <w:lang w:val="en-US" w:eastAsia="zh-CN"/>
        </w:rPr>
        <w:t xml:space="preserve">5个</w:t>
      </w:r>
      <w:r>
        <w:rPr>
          <w:rFonts w:hint="eastAsia" w:ascii="仿宋" w:hAnsi="仿宋" w:eastAsia="仿宋"/>
          <w:sz w:val="28"/>
          <w:szCs w:val="28"/>
        </w:rPr>
        <w:t xml:space="preserve">专业，每个专业得2分（专业按照检测资质证书证明上注明专业），</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最高得10分（注：投标时需提供水利工程质量检测员证书彩色扫描件并加盖投标人</w:t>
      </w:r>
      <w:r>
        <w:rPr>
          <w:rFonts w:hint="eastAsia" w:ascii="仿宋" w:hAnsi="仿宋" w:eastAsia="仿宋"/>
          <w:sz w:val="28"/>
          <w:szCs w:val="28"/>
          <w:lang w:eastAsia="zh-CN"/>
        </w:rPr>
        <w:t xml:space="preserve">电子签</w:t>
      </w:r>
      <w:r>
        <w:rPr>
          <w:rFonts w:hint="eastAsia" w:ascii="仿宋" w:hAnsi="仿宋" w:eastAsia="仿宋"/>
          <w:sz w:val="28"/>
          <w:szCs w:val="28"/>
        </w:rPr>
        <w:t xml:space="preserve">章</w:t>
      </w:r>
      <w:r>
        <w:rPr>
          <w:rFonts w:hint="eastAsia" w:ascii="仿宋" w:hAnsi="仿宋" w:eastAsia="仿宋"/>
          <w:sz w:val="28"/>
          <w:szCs w:val="28"/>
          <w:lang w:eastAsia="zh-CN"/>
        </w:rPr>
        <w:t xml:space="preserve">及</w:t>
      </w:r>
      <w:r>
        <w:rPr>
          <w:rFonts w:hint="eastAsia" w:ascii="仿宋" w:hAnsi="仿宋" w:eastAsia="仿宋"/>
          <w:sz w:val="28"/>
          <w:szCs w:val="28"/>
          <w:highlight w:val="none"/>
        </w:rPr>
        <w:t xml:space="preserve">“全国水利建设市场监管平台”查询结果截图并加盖投标人</w:t>
      </w:r>
      <w:r>
        <w:rPr>
          <w:rFonts w:hint="eastAsia" w:ascii="仿宋" w:hAnsi="仿宋" w:eastAsia="仿宋"/>
          <w:sz w:val="28"/>
          <w:szCs w:val="28"/>
          <w:highlight w:val="none"/>
          <w:lang w:eastAsia="zh-CN"/>
        </w:rPr>
        <w:t xml:space="preserve">电子签</w:t>
      </w:r>
      <w:r>
        <w:rPr>
          <w:rFonts w:hint="eastAsia" w:ascii="仿宋" w:hAnsi="仿宋" w:eastAsia="仿宋"/>
          <w:sz w:val="28"/>
          <w:szCs w:val="28"/>
          <w:highlight w:val="none"/>
        </w:rPr>
        <w:t xml:space="preserve">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未提供或提供的不符合要求的不得分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同一专业不重复累计</w:t>
      </w:r>
      <w:r>
        <w:rPr>
          <w:rFonts w:hint="eastAsia" w:ascii="仿宋" w:hAnsi="仿宋" w:eastAsia="仿宋"/>
          <w:sz w:val="28"/>
          <w:szCs w:val="28"/>
          <w:highlight w:val="none"/>
          <w:lang w:eastAsia="zh-CN"/>
        </w:rPr>
        <w:t xml:space="preserve">得分</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numPr>
          <w:ilvl w:val="0"/>
          <w:numId w:val="5"/>
        </w:numPr>
        <w:ind w:left="0"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sz w:val="28"/>
          <w:szCs w:val="28"/>
          <w:highlight w:val="none"/>
          <w:lang w:val="en-US" w:eastAsia="zh-CN"/>
        </w:rPr>
        <w:t xml:space="preserve">投标人针对本项目拟派的项目组成员</w:t>
      </w:r>
      <w:r>
        <w:rPr>
          <w:rFonts w:hint="eastAsia" w:ascii="仿宋" w:hAnsi="仿宋" w:eastAsia="仿宋"/>
          <w:sz w:val="28"/>
          <w:szCs w:val="28"/>
          <w:highlight w:val="none"/>
        </w:rPr>
        <w:t xml:space="preserve">（不含项目负责人）</w:t>
      </w:r>
      <w:r>
        <w:rPr>
          <w:rFonts w:hint="eastAsia" w:ascii="仿宋" w:hAnsi="仿宋" w:eastAsia="仿宋"/>
          <w:sz w:val="28"/>
          <w:szCs w:val="28"/>
          <w:highlight w:val="none"/>
          <w:lang w:val="en-US" w:eastAsia="zh-CN"/>
        </w:rPr>
        <w:t xml:space="preserve">中</w:t>
      </w:r>
      <w:r>
        <w:rPr>
          <w:rFonts w:hint="eastAsia" w:ascii="仿宋" w:hAnsi="仿宋" w:eastAsia="仿宋"/>
          <w:sz w:val="28"/>
          <w:szCs w:val="28"/>
          <w:highlight w:val="none"/>
          <w:lang w:eastAsia="zh-CN"/>
        </w:rPr>
        <w:t xml:space="preserve">具有</w:t>
      </w:r>
      <w:r>
        <w:rPr>
          <w:rFonts w:hint="eastAsia" w:ascii="仿宋" w:hAnsi="仿宋" w:eastAsia="仿宋"/>
          <w:sz w:val="28"/>
          <w:szCs w:val="28"/>
          <w:highlight w:val="none"/>
        </w:rPr>
        <w:t xml:space="preserve">造价工程师（水利工程）</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得2分，</w:t>
      </w:r>
      <w:r>
        <w:rPr>
          <w:rFonts w:hint="eastAsia" w:ascii="仿宋" w:hAnsi="仿宋" w:eastAsia="仿宋"/>
          <w:sz w:val="28"/>
          <w:szCs w:val="28"/>
          <w:highlight w:val="none"/>
          <w:lang w:eastAsia="zh-CN"/>
        </w:rPr>
        <w:t xml:space="preserve">本项最高</w:t>
      </w:r>
      <w:r>
        <w:rPr>
          <w:rFonts w:hint="eastAsia" w:ascii="仿宋" w:hAnsi="仿宋" w:eastAsia="仿宋"/>
          <w:sz w:val="28"/>
          <w:szCs w:val="28"/>
          <w:highlight w:val="none"/>
        </w:rPr>
        <w:t xml:space="preserve">得2分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（注：投标时需提供证书彩色扫描件并加盖投标人公章</w:t>
      </w:r>
      <w:r>
        <w:rPr>
          <w:rFonts w:hint="eastAsia" w:ascii="仿宋" w:hAnsi="仿宋" w:eastAsia="仿宋"/>
          <w:sz w:val="28"/>
          <w:szCs w:val="28"/>
          <w:highlight w:val="none"/>
          <w:lang w:eastAsia="zh-CN"/>
        </w:rPr>
        <w:t xml:space="preserve">及</w:t>
      </w:r>
      <w:r>
        <w:rPr>
          <w:rFonts w:hint="eastAsia" w:ascii="仿宋" w:hAnsi="仿宋" w:eastAsia="仿宋"/>
          <w:sz w:val="28"/>
          <w:szCs w:val="28"/>
          <w:highlight w:val="none"/>
        </w:rPr>
        <w:t xml:space="preserve">“全国水利建设市场监管平台”查询结果截图并加盖投标人</w:t>
      </w:r>
      <w:r>
        <w:rPr>
          <w:rFonts w:hint="eastAsia" w:ascii="仿宋" w:hAnsi="仿宋" w:eastAsia="仿宋"/>
          <w:sz w:val="28"/>
          <w:szCs w:val="28"/>
          <w:highlight w:val="none"/>
          <w:lang w:eastAsia="zh-CN"/>
        </w:rPr>
        <w:t xml:space="preserve">电子签</w:t>
      </w:r>
      <w:r>
        <w:rPr>
          <w:rFonts w:hint="eastAsia" w:ascii="仿宋" w:hAnsi="仿宋" w:eastAsia="仿宋"/>
          <w:sz w:val="28"/>
          <w:szCs w:val="28"/>
          <w:highlight w:val="none"/>
        </w:rPr>
        <w:t xml:space="preserve">章），未提供或提供的不符合要求的不得</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szCs w:val="28"/>
          <w:highlight w:val="none"/>
          <w:lang w:val="en-US" w:eastAsia="zh-CN"/>
        </w:rPr>
        <w:t xml:space="preserve">投标人针对本项目拟派的项目组成员</w:t>
      </w:r>
      <w:r>
        <w:rPr>
          <w:rFonts w:hint="eastAsia" w:ascii="仿宋" w:hAnsi="仿宋" w:eastAsia="仿宋" w:cs="Times New Roman"/>
          <w:sz w:val="28"/>
          <w:szCs w:val="28"/>
          <w:highlight w:val="none"/>
        </w:rPr>
        <w:t xml:space="preserve">（不含项目负责人）</w:t>
      </w:r>
      <w:r>
        <w:rPr>
          <w:rFonts w:hint="eastAsia" w:ascii="仿宋" w:hAnsi="仿宋" w:eastAsia="仿宋" w:cs="Times New Roman"/>
          <w:sz w:val="28"/>
          <w:szCs w:val="28"/>
          <w:highlight w:val="none"/>
          <w:lang w:val="en-US" w:eastAsia="zh-CN"/>
        </w:rPr>
        <w:t xml:space="preserve">中具有</w:t>
      </w:r>
      <w:r>
        <w:rPr>
          <w:rFonts w:hint="eastAsia" w:ascii="仿宋" w:hAnsi="仿宋" w:eastAsia="仿宋"/>
          <w:sz w:val="28"/>
          <w:szCs w:val="28"/>
          <w:highlight w:val="none"/>
        </w:rPr>
        <w:t xml:space="preserve">监理工程师（水利工程）</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得2分，</w:t>
      </w:r>
      <w:r>
        <w:rPr>
          <w:rFonts w:hint="eastAsia" w:ascii="仿宋" w:hAnsi="仿宋" w:eastAsia="仿宋"/>
          <w:sz w:val="28"/>
          <w:szCs w:val="28"/>
          <w:highlight w:val="none"/>
          <w:lang w:eastAsia="zh-CN"/>
        </w:rPr>
        <w:t xml:space="preserve">本项</w:t>
      </w:r>
      <w:r>
        <w:rPr>
          <w:rFonts w:hint="eastAsia" w:ascii="仿宋" w:hAnsi="仿宋" w:eastAsia="仿宋"/>
          <w:sz w:val="28"/>
          <w:szCs w:val="28"/>
          <w:highlight w:val="none"/>
        </w:rPr>
        <w:t xml:space="preserve">最高得2分；（注：投标时需提供证书彩色扫描件并加盖投标人</w:t>
      </w:r>
      <w:r>
        <w:rPr>
          <w:rFonts w:hint="eastAsia" w:ascii="仿宋" w:hAnsi="仿宋" w:eastAsia="仿宋"/>
          <w:sz w:val="28"/>
          <w:szCs w:val="28"/>
          <w:highlight w:val="none"/>
          <w:lang w:eastAsia="zh-CN"/>
        </w:rPr>
        <w:t xml:space="preserve">电子签</w:t>
      </w:r>
      <w:r>
        <w:rPr>
          <w:rFonts w:hint="eastAsia" w:ascii="仿宋" w:hAnsi="仿宋" w:eastAsia="仿宋"/>
          <w:sz w:val="28"/>
          <w:szCs w:val="28"/>
          <w:highlight w:val="none"/>
        </w:rPr>
        <w:t xml:space="preserve">章</w:t>
      </w:r>
      <w:r>
        <w:rPr>
          <w:rFonts w:hint="eastAsia" w:ascii="仿宋" w:hAnsi="仿宋" w:eastAsia="仿宋"/>
          <w:sz w:val="28"/>
          <w:szCs w:val="28"/>
          <w:highlight w:val="none"/>
          <w:lang w:eastAsia="zh-CN"/>
        </w:rPr>
        <w:t xml:space="preserve">及</w:t>
      </w:r>
      <w:r>
        <w:rPr>
          <w:rFonts w:hint="eastAsia" w:ascii="仿宋" w:hAnsi="仿宋" w:eastAsia="仿宋"/>
          <w:sz w:val="28"/>
          <w:szCs w:val="28"/>
          <w:highlight w:val="none"/>
        </w:rPr>
        <w:t xml:space="preserve">“全国水利建设市场监管平台”查询结果截图并加盖投标人</w:t>
      </w:r>
      <w:r>
        <w:rPr>
          <w:rFonts w:hint="eastAsia" w:ascii="仿宋" w:hAnsi="仿宋" w:eastAsia="仿宋"/>
          <w:sz w:val="28"/>
          <w:szCs w:val="28"/>
          <w:highlight w:val="none"/>
          <w:lang w:eastAsia="zh-CN"/>
        </w:rPr>
        <w:t xml:space="preserve">电子签</w:t>
      </w:r>
      <w:r>
        <w:rPr>
          <w:rFonts w:hint="eastAsia" w:ascii="仿宋" w:hAnsi="仿宋" w:eastAsia="仿宋"/>
          <w:sz w:val="28"/>
          <w:szCs w:val="28"/>
          <w:highlight w:val="none"/>
        </w:rPr>
        <w:t xml:space="preserve">章）</w:t>
      </w:r>
      <w:r>
        <w:rPr>
          <w:rFonts w:hint="eastAsia" w:ascii="仿宋" w:hAnsi="仿宋" w:eastAsia="仿宋"/>
          <w:sz w:val="28"/>
          <w:szCs w:val="28"/>
        </w:rPr>
        <w:t xml:space="preserve">，未提供或提供的不符合要求的不得分</w:t>
      </w:r>
      <w:r>
        <w:rPr>
          <w:rFonts w:hint="eastAsia" w:ascii="仿宋" w:hAnsi="仿宋" w:eastAsia="仿宋"/>
          <w:sz w:val="28"/>
          <w:szCs w:val="28"/>
          <w:lang w:val="en-US" w:eastAsia="zh-CN"/>
        </w:rPr>
        <w:t xml:space="preserve">;</w:t>
      </w:r>
      <w:r>
        <w:rPr>
          <w:rFonts w:hint="eastAsia" w:ascii="仿宋" w:hAnsi="仿宋" w:eastAsia="仿宋"/>
          <w:sz w:val="28"/>
          <w:szCs w:val="28"/>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lang w:val="en-US" w:eastAsia="zh-CN"/>
        </w:rPr>
        <w:t xml:space="preserve">投标人针对本项目拟派的项目组成员</w:t>
      </w:r>
      <w:r>
        <w:rPr>
          <w:rFonts w:hint="eastAsia" w:ascii="仿宋" w:hAnsi="仿宋" w:eastAsia="仿宋"/>
          <w:sz w:val="28"/>
          <w:szCs w:val="28"/>
        </w:rPr>
        <w:t xml:space="preserve">（不含项目负责人）</w:t>
      </w:r>
      <w:r>
        <w:rPr>
          <w:rFonts w:hint="eastAsia" w:ascii="仿宋" w:hAnsi="仿宋" w:eastAsia="仿宋"/>
          <w:sz w:val="28"/>
          <w:szCs w:val="28"/>
          <w:lang w:val="en-US" w:eastAsia="zh-CN"/>
        </w:rPr>
        <w:t xml:space="preserve">中</w:t>
      </w:r>
      <w:r>
        <w:rPr>
          <w:rFonts w:hint="eastAsia" w:ascii="仿宋" w:hAnsi="仿宋" w:eastAsia="仿宋"/>
          <w:sz w:val="28"/>
          <w:szCs w:val="28"/>
        </w:rPr>
        <w:t xml:space="preserve">，每有一个水利水电工</w:t>
      </w:r>
      <w:r>
        <w:rPr>
          <w:rFonts w:hint="eastAsia" w:ascii="仿宋" w:hAnsi="仿宋" w:eastAsia="仿宋" w:cs="Times New Roman"/>
          <w:sz w:val="28"/>
          <w:szCs w:val="28"/>
        </w:rPr>
        <w:t xml:space="preserve">程及相关专业</w:t>
      </w:r>
      <w:r>
        <w:rPr>
          <w:rFonts w:hint="eastAsia" w:ascii="仿宋" w:hAnsi="仿宋" w:eastAsia="仿宋" w:cs="Times New Roman"/>
          <w:sz w:val="28"/>
          <w:szCs w:val="28"/>
          <w:highlight w:val="none"/>
          <w:lang w:eastAsia="zh-CN"/>
        </w:rPr>
        <w:t xml:space="preserve">（水利施工建设、水利生产运行</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中级</w:t>
      </w:r>
      <w:r>
        <w:rPr>
          <w:rFonts w:hint="eastAsia" w:ascii="仿宋" w:hAnsi="仿宋" w:eastAsia="仿宋"/>
          <w:sz w:val="28"/>
          <w:szCs w:val="28"/>
        </w:rPr>
        <w:t xml:space="preserve">职称的得2分，</w:t>
      </w:r>
      <w:r>
        <w:rPr>
          <w:rFonts w:hint="eastAsia" w:ascii="仿宋" w:hAnsi="仿宋" w:eastAsia="仿宋"/>
          <w:sz w:val="28"/>
          <w:szCs w:val="28"/>
          <w:highlight w:val="none"/>
          <w:lang w:eastAsia="zh-CN"/>
        </w:rPr>
        <w:t xml:space="preserve">本项最高得</w:t>
      </w:r>
      <w:r>
        <w:rPr>
          <w:rFonts w:hint="eastAsia" w:ascii="仿宋" w:hAnsi="仿宋" w:eastAsia="仿宋"/>
          <w:sz w:val="28"/>
          <w:szCs w:val="28"/>
          <w:highlight w:val="none"/>
          <w:lang w:val="en-US" w:eastAsia="zh-CN"/>
        </w:rPr>
        <w:t xml:space="preserve">2分，</w:t>
      </w:r>
      <w:r>
        <w:rPr>
          <w:rFonts w:hint="eastAsia" w:ascii="仿宋" w:hAnsi="仿宋" w:eastAsia="仿宋"/>
          <w:sz w:val="28"/>
          <w:szCs w:val="28"/>
          <w:highlight w:val="none"/>
          <w:lang w:eastAsia="zh-CN"/>
        </w:rPr>
        <w:t xml:space="preserve">没有不得分</w:t>
      </w:r>
      <w:r>
        <w:rPr>
          <w:rFonts w:hint="eastAsia" w:ascii="仿宋" w:hAnsi="仿宋" w:eastAsia="仿宋"/>
          <w:sz w:val="28"/>
          <w:szCs w:val="28"/>
          <w:highlight w:val="none"/>
        </w:rPr>
        <w:t xml:space="preserve">（注：投标时需提供上述人员相应的职称证书、资格证书）</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en-US" w:eastAsia="zh-CN"/>
        </w:rPr>
      </w:r>
      <w:r/>
    </w:p>
    <w:p>
      <w:pPr>
        <w:pStyle w:val="678"/>
        <w:numPr>
          <w:ilvl w:val="0"/>
          <w:numId w:val="5"/>
        </w:numPr>
        <w:ind w:left="0"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lang w:val="en-US" w:eastAsia="zh-CN"/>
        </w:rPr>
        <w:t xml:space="preserve">投标人针对本项目拟派的项目组成员</w:t>
      </w:r>
      <w:r>
        <w:rPr>
          <w:rFonts w:hint="eastAsia" w:ascii="仿宋" w:hAnsi="仿宋" w:eastAsia="仿宋"/>
          <w:sz w:val="28"/>
          <w:szCs w:val="28"/>
          <w:highlight w:val="none"/>
        </w:rPr>
        <w:t xml:space="preserve">（不含项目负责人）</w:t>
      </w:r>
      <w:r>
        <w:rPr>
          <w:rFonts w:hint="eastAsia" w:ascii="仿宋" w:hAnsi="仿宋" w:eastAsia="仿宋"/>
          <w:sz w:val="28"/>
          <w:szCs w:val="28"/>
          <w:highlight w:val="none"/>
          <w:lang w:val="en-US" w:eastAsia="zh-CN"/>
        </w:rPr>
        <w:t xml:space="preserve">中</w:t>
      </w:r>
      <w:r>
        <w:rPr>
          <w:rFonts w:hint="eastAsia" w:ascii="仿宋" w:hAnsi="仿宋" w:eastAsia="仿宋"/>
          <w:sz w:val="28"/>
          <w:szCs w:val="28"/>
          <w:highlight w:val="none"/>
        </w:rPr>
        <w:t xml:space="preserve">每有一个水利水电工程及相关专业</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t xml:space="preserve">水利施工建设、水利生产运行）</w:t>
      </w:r>
      <w:r>
        <w:rPr>
          <w:rFonts w:hint="eastAsia" w:ascii="仿宋" w:hAnsi="仿宋" w:eastAsia="仿宋"/>
          <w:sz w:val="28"/>
          <w:szCs w:val="28"/>
          <w:highlight w:val="none"/>
        </w:rPr>
        <w:t xml:space="preserve">高级及以上职称的得4分，本项最高得</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，没有不得分</w:t>
      </w:r>
      <w:r>
        <w:rPr>
          <w:rFonts w:hint="eastAsia" w:ascii="仿宋" w:hAnsi="仿宋" w:eastAsia="仿宋"/>
          <w:sz w:val="28"/>
          <w:szCs w:val="28"/>
          <w:highlight w:val="none"/>
        </w:rPr>
        <w:t xml:space="preserve">（</w:t>
      </w:r>
      <w:r>
        <w:rPr>
          <w:rFonts w:hint="eastAsia" w:ascii="仿宋" w:hAnsi="仿宋" w:eastAsia="仿宋"/>
          <w:sz w:val="28"/>
          <w:szCs w:val="28"/>
        </w:rPr>
        <w:t xml:space="preserve">注：投标时需提供上述人员相应的职称证书、资格证书）</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sz w:val="28"/>
          <w:szCs w:val="28"/>
          <w:lang w:eastAsia="zh-CN"/>
        </w:rPr>
        <w:t xml:space="preserve">注：上述“</w:t>
      </w:r>
      <w:r>
        <w:rPr>
          <w:rFonts w:hint="eastAsia" w:ascii="仿宋" w:hAnsi="仿宋" w:eastAsia="仿宋"/>
          <w:sz w:val="28"/>
          <w:szCs w:val="28"/>
        </w:rPr>
        <w:t xml:space="preserve">（3）项目负责人</w:t>
      </w:r>
      <w:r>
        <w:rPr>
          <w:rFonts w:hint="eastAsia" w:ascii="仿宋" w:hAnsi="仿宋" w:eastAsia="仿宋"/>
          <w:sz w:val="28"/>
          <w:szCs w:val="28"/>
          <w:lang w:eastAsia="zh-CN"/>
        </w:rPr>
        <w:t xml:space="preserve">”、“</w:t>
      </w:r>
      <w:r>
        <w:rPr>
          <w:rFonts w:hint="eastAsia" w:ascii="仿宋" w:hAnsi="仿宋" w:eastAsia="仿宋"/>
          <w:sz w:val="28"/>
          <w:szCs w:val="28"/>
        </w:rPr>
        <w:t xml:space="preserve">（4）项目组成员</w:t>
      </w:r>
      <w:r>
        <w:rPr>
          <w:rFonts w:hint="eastAsia" w:ascii="仿宋" w:hAnsi="仿宋" w:eastAsia="仿宋"/>
          <w:sz w:val="28"/>
          <w:szCs w:val="28"/>
          <w:lang w:eastAsia="zh-CN"/>
        </w:rPr>
        <w:t xml:space="preserve">”需提供投标人为其缴纳的自</w:t>
      </w:r>
      <w:r>
        <w:rPr>
          <w:rFonts w:hint="eastAsia" w:ascii="仿宋" w:hAnsi="仿宋" w:eastAsia="仿宋"/>
          <w:sz w:val="28"/>
          <w:szCs w:val="28"/>
          <w:lang w:val="en-US" w:eastAsia="zh-CN"/>
        </w:rPr>
        <w:t xml:space="preserve">2025年6月以来</w:t>
      </w:r>
      <w:r>
        <w:rPr>
          <w:rFonts w:hint="eastAsia" w:ascii="仿宋" w:hAnsi="仿宋" w:eastAsia="仿宋"/>
          <w:sz w:val="28"/>
          <w:szCs w:val="28"/>
        </w:rPr>
        <w:t xml:space="preserve">任意一个月</w:t>
      </w:r>
      <w:r>
        <w:rPr>
          <w:rFonts w:hint="eastAsia" w:ascii="仿宋" w:hAnsi="仿宋" w:eastAsia="仿宋"/>
          <w:sz w:val="28"/>
          <w:szCs w:val="28"/>
          <w:lang w:eastAsia="zh-CN"/>
        </w:rPr>
        <w:t xml:space="preserve">的社保证明（扫描件加盖投标人电子签章）；</w:t>
      </w:r>
      <w:r>
        <w:rPr>
          <w:rFonts w:hint="eastAsia" w:ascii="仿宋" w:hAnsi="仿宋" w:eastAsia="仿宋" w:cs="仿宋"/>
          <w:sz w:val="32"/>
          <w:szCs w:val="32"/>
          <w:lang w:eastAsia="zh-CN"/>
        </w:rPr>
        <w:t xml:space="preserve">“</w:t>
      </w:r>
      <w:r>
        <w:rPr>
          <w:rFonts w:hint="eastAsia" w:ascii="仿宋" w:hAnsi="仿宋" w:eastAsia="仿宋" w:cs="仿宋"/>
          <w:sz w:val="32"/>
          <w:szCs w:val="32"/>
          <w:lang w:eastAsia="zh-CN"/>
        </w:rPr>
        <w:fldChar w:fldCharType="begin"/>
      </w:r>
      <w:r>
        <w:rPr>
          <w:rFonts w:hint="eastAsia" w:ascii="仿宋" w:hAnsi="仿宋" w:eastAsia="仿宋" w:cs="仿宋"/>
          <w:sz w:val="32"/>
          <w:szCs w:val="32"/>
          <w:lang w:eastAsia="zh-CN"/>
        </w:rPr>
        <w:instrText xml:space="preserve"> = 4 \* GB3 \* MERGEFORMAT </w:instrText>
      </w:r>
      <w:r>
        <w:rPr>
          <w:rFonts w:hint="eastAsia" w:ascii="仿宋" w:hAnsi="仿宋" w:eastAsia="仿宋" w:cs="仿宋"/>
          <w:sz w:val="32"/>
          <w:szCs w:val="32"/>
          <w:lang w:eastAsia="zh-CN"/>
        </w:rPr>
        <w:fldChar w:fldCharType="separate"/>
      </w:r>
      <w:r>
        <w:rPr>
          <w:rFonts w:hint="eastAsia" w:ascii="仿宋" w:hAnsi="仿宋" w:eastAsia="仿宋" w:cs="仿宋"/>
          <w:sz w:val="32"/>
          <w:szCs w:val="32"/>
        </w:rPr>
        <w:t xml:space="preserve">④</w:t>
      </w:r>
      <w:r>
        <w:rPr>
          <w:rFonts w:hint="eastAsia" w:ascii="仿宋" w:hAnsi="仿宋" w:eastAsia="仿宋" w:cs="仿宋"/>
          <w:sz w:val="32"/>
          <w:szCs w:val="32"/>
          <w:lang w:eastAsia="zh-CN"/>
        </w:rPr>
        <w:fldChar w:fldCharType="end"/>
      </w:r>
      <w:r>
        <w:rPr>
          <w:rFonts w:hint="eastAsia" w:ascii="仿宋" w:hAnsi="仿宋" w:eastAsia="仿宋" w:cs="仿宋"/>
          <w:sz w:val="32"/>
          <w:szCs w:val="32"/>
          <w:lang w:eastAsia="zh-CN"/>
        </w:rPr>
        <w:t xml:space="preserve">、</w:t>
      </w:r>
      <w:r>
        <w:rPr>
          <w:rFonts w:hint="eastAsia" w:ascii="仿宋" w:hAnsi="仿宋" w:eastAsia="仿宋" w:cs="仿宋"/>
          <w:sz w:val="32"/>
          <w:szCs w:val="32"/>
          <w:lang w:eastAsia="zh-CN"/>
        </w:rPr>
        <w:fldChar w:fldCharType="begin"/>
      </w:r>
      <w:r>
        <w:rPr>
          <w:rFonts w:hint="eastAsia" w:ascii="仿宋" w:hAnsi="仿宋" w:eastAsia="仿宋" w:cs="仿宋"/>
          <w:sz w:val="32"/>
          <w:szCs w:val="32"/>
          <w:lang w:eastAsia="zh-CN"/>
        </w:rPr>
        <w:instrText xml:space="preserve"> = 5 \* GB3 \* MERGEFORMAT </w:instrText>
      </w:r>
      <w:r>
        <w:rPr>
          <w:rFonts w:hint="eastAsia" w:ascii="仿宋" w:hAnsi="仿宋" w:eastAsia="仿宋" w:cs="仿宋"/>
          <w:sz w:val="32"/>
          <w:szCs w:val="32"/>
          <w:lang w:eastAsia="zh-CN"/>
        </w:rPr>
        <w:fldChar w:fldCharType="separate"/>
      </w:r>
      <w:r>
        <w:rPr>
          <w:rFonts w:hint="eastAsia" w:ascii="仿宋" w:hAnsi="仿宋" w:eastAsia="仿宋" w:cs="仿宋"/>
          <w:sz w:val="32"/>
          <w:szCs w:val="32"/>
        </w:rPr>
        <w:t xml:space="preserve">⑤</w:t>
      </w:r>
      <w:r>
        <w:rPr>
          <w:rFonts w:hint="eastAsia" w:ascii="仿宋" w:hAnsi="仿宋" w:eastAsia="仿宋" w:cs="仿宋"/>
          <w:sz w:val="32"/>
          <w:szCs w:val="32"/>
          <w:lang w:eastAsia="zh-CN"/>
        </w:rPr>
        <w:fldChar w:fldCharType="end"/>
      </w:r>
      <w:r>
        <w:rPr>
          <w:rFonts w:hint="eastAsia" w:ascii="仿宋" w:hAnsi="仿宋" w:eastAsia="仿宋" w:cs="仿宋"/>
          <w:sz w:val="32"/>
          <w:szCs w:val="32"/>
          <w:lang w:eastAsia="zh-CN"/>
        </w:rPr>
        <w:t xml:space="preserve">”中</w:t>
      </w:r>
      <w:r>
        <w:rPr>
          <w:rFonts w:hint="eastAsia" w:ascii="仿宋" w:hAnsi="仿宋" w:eastAsia="仿宋"/>
          <w:sz w:val="28"/>
          <w:szCs w:val="28"/>
        </w:rPr>
        <w:t xml:space="preserve">同一人员职称按最高职称计取得分，不累计得分</w:t>
      </w:r>
      <w:r>
        <w:rPr>
          <w:rFonts w:hint="eastAsia" w:ascii="仿宋" w:hAnsi="仿宋" w:eastAsia="仿宋"/>
          <w:sz w:val="28"/>
          <w:szCs w:val="28"/>
          <w:lang w:eastAsia="zh-CN"/>
        </w:rPr>
        <w:t xml:space="preserve">。</w:t>
      </w:r>
      <w:r>
        <w:rPr>
          <w:rFonts w:hint="eastAsia" w:ascii="仿宋" w:hAnsi="仿宋" w:eastAsia="仿宋" w:cs="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7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9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69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69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rPr>
          <w:rFonts w:hint="eastAsia" w:ascii="仿宋" w:hAnsi="仿宋" w:eastAsia="仿宋"/>
          <w:sz w:val="28"/>
          <w:szCs w:val="28"/>
          <w:lang w:eastAsia="zh-CN"/>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78"/>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7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7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4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699"/>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一、采购清单</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2019-2025年度高标准农田建设项目工程质量验证检测，以项目为单位出具工程质量检测报告。根据质量检测结果，研判每个项目中沟以上工程质量，疑似有重大质量问题的，延伸检查施工原材料（钢筋、水泥、骨料等）、构配件及设备的合格证、检验记录等，溯源问题原因，补强证据，满足司法委托鉴定条件，形成鉴定意见书（应与待证事实比如质量缺陷、造价争议等直接关联，达到人民法院对鉴定材料的审查标准）。</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★二、人员配置</w:t>
      </w:r>
      <w:r>
        <w:rPr>
          <w:rFonts w:hint="eastAsia" w:ascii="仿宋" w:hAnsi="仿宋" w:eastAsia="仿宋" w:cs="Times New Roman"/>
          <w:bCs/>
          <w:sz w:val="28"/>
          <w:szCs w:val="28"/>
          <w:lang w:eastAsia="zh-CN"/>
        </w:rPr>
        <w:t xml:space="preserve">（投标人须按照以下要求逐项提供书面承诺函并加盖投标人电子签章，不提供作无效投标处理）。</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投标人拟投入本项目的项目组成员应不少于5人（其中一人为项目负责人，须有水利工程质量检测员资格，投标人参加投标时须提供项目负责人的工程质量检测员资格证书及</w:t>
      </w:r>
      <w:r>
        <w:rPr>
          <w:rFonts w:hint="eastAsia" w:ascii="仿宋" w:hAnsi="仿宋" w:eastAsia="仿宋" w:cs="Times New Roman"/>
          <w:bCs/>
          <w:sz w:val="28"/>
          <w:szCs w:val="28"/>
          <w:highlight w:val="none"/>
          <w:lang w:eastAsia="zh-CN"/>
        </w:rPr>
        <w:t xml:space="preserve">“全国水利建设市场监管平台”</w:t>
      </w:r>
      <w:r>
        <w:rPr>
          <w:rFonts w:hint="eastAsia" w:ascii="仿宋" w:hAnsi="仿宋" w:eastAsia="仿宋" w:cs="Times New Roman"/>
          <w:bCs/>
          <w:sz w:val="28"/>
          <w:szCs w:val="28"/>
          <w:lang w:eastAsia="zh-CN"/>
        </w:rPr>
        <w:t xml:space="preserve">查询截图扫描件加盖投标人电子签章，不提供作无效投标处理），现场取样和检测人员应具备混凝土工程、金属结构、机电、管道等专业检测资质要求，最终编制团队人员应熟悉水利工程质量检测、工程质量纠纷民事诉讼等工作</w:t>
      </w:r>
      <w:r>
        <w:rPr>
          <w:rFonts w:hint="eastAsia" w:ascii="仿宋" w:hAnsi="仿宋" w:eastAsia="仿宋" w:cs="Times New Roman"/>
          <w:bCs/>
          <w:sz w:val="28"/>
          <w:szCs w:val="28"/>
          <w:highlight w:val="none"/>
          <w:lang w:eastAsia="zh-CN"/>
        </w:rPr>
        <w:t xml:space="preserve">，受理过人民法院司法委托鉴定水利工程质量纠纷等相应方面的具体工作。</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本项目要求项目实施阶段所有人员不得变更，如变动须报采购人批准，变更后人员的技术级别和数量不得低于变更前人员的级别和数量。</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cs="Times New Roman"/>
          <w:bCs/>
          <w:sz w:val="28"/>
          <w:szCs w:val="28"/>
          <w:lang w:eastAsia="zh-CN"/>
        </w:rPr>
        <w:t xml:space="preserve">所有技术团队人员，合同履约期内如需变更，须采购人同意并履行相应变更手续，累计变更调整人员幅度不得超过20%，且新变更人员不得低于被变更人员投标响应时的技术资质和水平。当采购人需要现场服务时，项目相关服务人员须在24小时之内到位。</w:t>
      </w: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三、技术要求</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1.投标人应根据采购需求提供相应技术方案，包括但不限于编制工作实施方案、技术路线等。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2.拟投入的技术力量、人员配置及设施设备情况。要求投标人具有相应履约能力，具备开展项目实施和技术能力，包括技术团队人员及设施设备配置情况及服务规划。</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四、服务内容及要求</w:t>
      </w: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（一）验证内容和范围</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 验证检测工作分三阶段进行，确保覆盖所有项目。第一阶段：7月底前，综合运用2023、2024年度市级质量抽检成果，对各县区2023-2024年度150个高标准农田建设项目开展检测，进行补充验证，以项目为单位出具工程质量检测报告；第二阶段：9月底前，继续对2019—2022年度275个高标准农田项目开展验证检测，第三阶段：10月底前，对2025年度64个高标准农田项目开展验证检测。重点围绕以下几个方面：</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1.泵站（机井）、渡槽、涵洞和水闸等中沟级以上单体工程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钢筋保护层厚度等是否达到设计要求。涉及金属结构的，还需验证检测闸门制造安装质量、材质是否符合设计要求；涉及机电设备的，还需验证检测主机组安装质量、防雷与接地、泵管和拦污栅等是否符合设计要求，检测比例为每项目4项工程每类最低各1个（其中2023-2025年度每个项目4项工程每类最低各2个，如项目安排的该项工程数量小于2个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2.渠道工程（明渠、暗渠、生态护坡）</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渠道厚度（取芯法）等是否符合设计要求，是否能够正常通水。每个工程每200米在渠壁两侧中部钻孔取芯，单项工程总长低于200米的取1个点位，不足的另行补充同一强度等级、同一批次、同一结构部位的渠道，总数不低于3个点位。检测比例为每项目最低各1条（其中2023-2025年度每个项目最低2条，如项目安排的该项工程数量小于2条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3.机耕桥工程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构筑物混凝土强度（取芯法）、构筑物混凝土钢筋保护层厚度等是否符合设计要求。检测比例为每项目最低各1座（其中2023-2025年度每个项目最低2座，如项目安排的该项工程数量小于2座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4.机耕路工程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主要验证检测：混凝土厚度与强度（取芯法）。混凝土路面每400米内在对角线方向等距离抽3个点位钻孔取芯，取芯直径不小于15厘米。检测比例为每个项目最低各1条（其中2023-2025年度每个项目最低3条，如项目安排的该项工程数量小于3条时，按实际数量全部检测）。</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单个项目总投资在4000万元以内，总检测量按上述要求进行；4000万—8000万元以内，总检测量乘以2倍；8000万—12000万元以内，总检测量乘以3倍；12000万元以上，总检测量乘以4倍。</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当随机抽取的泵站等中沟以上单体建筑物仅为维修工程时，仅验证检测该单体构筑物相应维修工程质量，并另行随机抽取同项目同类工程，对相应未检测项进行工程质量验证式检测。如抽到原省、市已抽检并反馈的工程，则需另行随机抽取同项目同类工程进行抽检。如该项目已无其他待测同类工程，则在合同履约时，从总价中扣除相应检测项的分项报价。</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钻芯后‌</w:t>
      </w:r>
      <w:r>
        <w:rPr>
          <w:rFonts w:ascii="仿宋" w:hAnsi="仿宋" w:eastAsia="仿宋" w:cs="Times New Roman"/>
          <w:bCs/>
          <w:sz w:val="28"/>
          <w:szCs w:val="28"/>
          <w:lang w:eastAsia="zh-CN"/>
        </w:rPr>
        <w:t xml:space="preserve">必须及时修补‌，用‌同类型材料‌回填钻孔并压实</w:t>
      </w:r>
      <w:r>
        <w:rPr>
          <w:rFonts w:hint="eastAsia" w:ascii="仿宋" w:hAnsi="仿宋" w:eastAsia="仿宋" w:cs="Times New Roman"/>
          <w:bCs/>
          <w:sz w:val="28"/>
          <w:szCs w:val="28"/>
          <w:lang w:eastAsia="zh-CN"/>
        </w:rPr>
        <w:t xml:space="preserve">，</w:t>
      </w:r>
      <w:r>
        <w:rPr>
          <w:rFonts w:ascii="仿宋" w:hAnsi="仿宋" w:eastAsia="仿宋" w:cs="Times New Roman"/>
          <w:bCs/>
          <w:sz w:val="28"/>
          <w:szCs w:val="28"/>
          <w:lang w:eastAsia="zh-CN"/>
        </w:rPr>
        <w:t xml:space="preserve">防止雨水渗入导致结构损坏</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（二）验证式检测工作原则</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
          <w:bCs w:val="0"/>
          <w:sz w:val="28"/>
          <w:szCs w:val="28"/>
          <w:lang w:eastAsia="zh-CN"/>
        </w:rPr>
      </w:pPr>
      <w:r>
        <w:rPr>
          <w:rFonts w:hint="eastAsia" w:ascii="仿宋" w:hAnsi="仿宋" w:eastAsia="仿宋" w:cs="Times New Roman"/>
          <w:bCs/>
          <w:sz w:val="28"/>
          <w:szCs w:val="28"/>
          <w:lang w:eastAsia="zh-CN"/>
        </w:rPr>
        <w:t xml:space="preserve">★1.主体资质合规</w:t>
      </w:r>
      <w:r>
        <w:rPr>
          <w:rFonts w:hint="eastAsia" w:ascii="仿宋" w:hAnsi="仿宋" w:eastAsia="仿宋" w:cs="Times New Roman"/>
          <w:b/>
          <w:bCs w:val="0"/>
          <w:sz w:val="28"/>
          <w:szCs w:val="28"/>
          <w:lang w:eastAsia="zh-CN"/>
        </w:rPr>
        <w:t xml:space="preserve">（投标人须按照以下要求逐项提供书面承诺函并加盖投标人电子签章，不提供作无效投标处理）</w:t>
      </w:r>
      <w:r>
        <w:rPr>
          <w:rFonts w:hint="eastAsia" w:ascii="仿宋" w:hAnsi="仿宋" w:eastAsia="仿宋" w:cs="Times New Roman"/>
          <w:b/>
          <w:bCs w:val="0"/>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val="en-US" w:eastAsia="zh-CN"/>
        </w:rPr>
        <w:t xml:space="preserve">1</w:t>
      </w:r>
      <w:r>
        <w:rPr>
          <w:rFonts w:hint="eastAsia" w:ascii="仿宋" w:hAnsi="仿宋" w:eastAsia="仿宋" w:cs="Times New Roman"/>
          <w:bCs/>
          <w:sz w:val="28"/>
          <w:szCs w:val="28"/>
          <w:lang w:eastAsia="zh-CN"/>
        </w:rPr>
        <w:t xml:space="preserve">）投标人承诺本次检测项目在资质核定的检测范围内，无超资质检测（提供承诺函，格式由投标人自定，不提供作无效投标处理）；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lang w:val="en-US" w:eastAsia="zh-CN"/>
        </w:rPr>
        <w:t xml:space="preserve">2</w:t>
      </w:r>
      <w:r>
        <w:rPr>
          <w:rFonts w:hint="eastAsia" w:ascii="仿宋" w:hAnsi="仿宋" w:eastAsia="仿宋" w:cs="Times New Roman"/>
          <w:bCs/>
          <w:sz w:val="28"/>
          <w:szCs w:val="28"/>
          <w:lang w:eastAsia="zh-CN"/>
        </w:rPr>
        <w:t xml:space="preserve">）本项目最终提交的</w:t>
      </w:r>
      <w:r>
        <w:rPr>
          <w:rFonts w:hint="eastAsia" w:ascii="仿宋" w:hAnsi="仿宋" w:eastAsia="仿宋" w:cs="Times New Roman"/>
          <w:bCs/>
          <w:sz w:val="28"/>
          <w:szCs w:val="28"/>
          <w:highlight w:val="none"/>
          <w:lang w:eastAsia="zh-CN"/>
        </w:rPr>
        <w:t xml:space="preserve">检测报告必须加盖资质印章+机构鲜章（双章齐全，印章清晰无涂改）；</w:t>
      </w:r>
      <w:r>
        <w:rPr>
          <w:rFonts w:hint="eastAsia" w:ascii="仿宋" w:hAnsi="仿宋" w:eastAsia="仿宋" w:cs="Times New Roman"/>
          <w:bCs/>
          <w:sz w:val="28"/>
          <w:szCs w:val="28"/>
          <w:highlight w:val="none"/>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3</w:t>
      </w:r>
      <w:r>
        <w:rPr>
          <w:rFonts w:hint="eastAsia" w:ascii="仿宋" w:hAnsi="仿宋" w:eastAsia="仿宋" w:cs="Times New Roman"/>
          <w:bCs/>
          <w:sz w:val="28"/>
          <w:szCs w:val="28"/>
          <w:highlight w:val="none"/>
          <w:lang w:eastAsia="zh-CN"/>
        </w:rPr>
        <w:t xml:space="preserve">）检测人员具备对应执业资格，且在资质授权签字人名录内；检测人员亲笔签字（无代签、漏签，签字人身份可核实）；</w:t>
      </w:r>
      <w:r>
        <w:rPr>
          <w:rFonts w:hint="eastAsia" w:ascii="仿宋" w:hAnsi="仿宋" w:eastAsia="仿宋" w:cs="Times New Roman"/>
          <w:bCs/>
          <w:sz w:val="28"/>
          <w:szCs w:val="28"/>
          <w:highlight w:val="none"/>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4</w:t>
      </w:r>
      <w:r>
        <w:rPr>
          <w:rFonts w:hint="eastAsia" w:ascii="仿宋" w:hAnsi="仿宋" w:eastAsia="仿宋" w:cs="Times New Roman"/>
          <w:bCs/>
          <w:sz w:val="28"/>
          <w:szCs w:val="28"/>
          <w:highlight w:val="none"/>
          <w:lang w:eastAsia="zh-CN"/>
        </w:rPr>
        <w:t xml:space="preserve">）检测机构/检测人员与待检测工程施工单位当事人无利害关系，或已书面披露利害关系。</w:t>
      </w:r>
      <w:r>
        <w:rPr>
          <w:rFonts w:hint="eastAsia" w:ascii="仿宋" w:hAnsi="仿宋" w:eastAsia="仿宋" w:cs="Times New Roman"/>
          <w:bCs/>
          <w:sz w:val="28"/>
          <w:szCs w:val="28"/>
          <w:highlight w:val="none"/>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2.材料依据环节的程序与过程合规</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每个项目启动取样前，由市农业农村部门相关业务处室随机抽取具体检测的单项工程编号，由市农业农村局机关党委、县区农业农村局农田建设科三方见证，投标人依据抽取结果，与受检测县区农业农村局对接获取真实有效的基础材料，编制相应检测工作方案，报市县共同确认后执行。</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（2）单方委托所依据材料来源合法、真实（有原件/有效复印件佐证，无伪造），或检测所依据的基础材料（图纸、合同、工程资料等）经双方质证（达到通过司法委托审查条件）。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3.检测取样环节的程序与过程合规</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（1）取样方法、数量、部位符合现行国家/行业标准（有明确标准依据）；</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（2）取样有完整书面记录（含取样时间、地点、人员、见证人员、部位描述），市县农业农村部门人员应现场见证取样，确保工程检测的真实性、代表性；</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单方委托已提前书面/电子通知对方当事人参与取样（保留通知记录，如快递、聊天记录、短信等），对方无正当理由未到场的有书面说明；或司法委托/双方共同委托，取样有双方当事人/法院工作人员见证并签字确认。</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（4）取样样品有唯一标识，取样后封存、运输流程符合规范（有记录可追溯）。</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4.检测实施环节的程序与过程合规</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（1）检测依据为现行有效的国家/行业/地方标准（标注标准编号、名称，无作废标准）；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（2）检测方法、仪器设备符合对应标准要求；</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（3）检测仪器设备已定期校准/检定（有校准证书，在有效期内）；</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（4）检测原始数据完整、真实（无涂改、缺页，原始记录与报告数据一致）；</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（5）检测过程有可追溯记录（如实验录像、操作日志、数据台账）。</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5.报告内容与待证事实关联性强</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（1）报告委托事项与案件争议焦点一致（如质量缺陷、造价争议、修复范围等）；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（2）报告检测结论直接指向待证事实（如无模糊表述，如避免 “可能存在”“疑似缺陷”）；</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（3）结论有数据/检测结果支撑，分析过程与结论逻辑一致（如无依据不足的推断）；</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（4）如有因果分析类检测，明确区分检测结果与分析结论，分析依据科学合理；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（5）报告内容与工程现场实际、其他证据（图纸、验收记录、勘查笔录）无矛盾。</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6.报告形式完备性强</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（1）报告要素齐全：含委托方、检测机构、检测项目、样品信息、检测依据、方法、数据、结论、签字盖章、报告编号、出具日期；</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（2）报告为原件（或有原件核对的有效复印件，复印件由机构盖章确认）；</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（3）无涂改、拼接痕迹，页码连续、内容完整（无缺页、漏项）；</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（4）若有附件（原始记录、校准证书、照片等），附件与报告编号关联、内容对应；</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（5）报告落款日期在纠纷发生后、现场未遭破坏前（无事后补做、现场已变动的情形）。</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（三）质量验证成果要求及形式</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1.项目交付成果主要包括：</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（1）以项目为单位及时出具工程质量检测报告，包括检测项目总体情况、工程概况、检测内容与方法、检测结果分析与评价、存在问题及整改建议等；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每个项目中沟以上工程质量验证式检测情况报告，附相应表格；分析研判不合格工程质量问题原因，及时分类报告市级各类问题，因管护等原因导致目前工程达不到设计效果的，存在质量缺陷但经专家论证不影响工程主体功能发挥的，及时反馈市级交办县区修缮；对存在较严重工程问题的，由市级督促县级按有关程序，对施工、监理等单位进行追责问责和处罚等。</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疑似有重大质量问题的，延伸检查施工原材料（钢筋、水泥、骨料等）、构配件及设备的合格证、检验记录等，溯源问题原因，补强证据，满足司法委托鉴定条件，形成鉴定意见书（应与待证事实比如质量缺陷、造价争议等直接关联，达到人民法院对鉴定材料的审查标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2.技术服务质量要求：编制成果要达到国家、省市有关文件规定的要求，并通过专家论证和履约验收。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3.技术服务成果：向采购人提供最终成果（具体份数根据采购人实际需求），并提供全套电子文件各一份（格式不限于WORD、JPEG、PPT、PDF等）。</w:t>
      </w: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t xml:space="preserve">六、商务部分</w:t>
      </w:r>
      <w:r>
        <w:rPr>
          <w:rFonts w:hint="eastAsia" w:ascii="仿宋" w:hAnsi="仿宋" w:eastAsia="仿宋"/>
          <w:b/>
          <w:bCs w:val="0"/>
          <w:sz w:val="28"/>
          <w:szCs w:val="28"/>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（一）服务时间：合同签订之日起至全面完成验证式检测全部工作成果为止（2026年12月底前）。</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（二）服务地点：由采购人指定。</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（三）付款方式：采用分期付款方式，具体为：</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乙方按照招标文件和合同的要求提供服务，经甲方分期验收合格后，分2期支付。通过政府采购第1期履约验收合格后，采购人支付合同价的35%；完成全部工作，通过政府采购第2期履约验收合格后，采购人一次性付清尾款。</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（四）项目验收：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1、甲方在履行合同期间，有权依照招标文件相关要求对乙方提供的服务或交付的工作成果按照招标文件相关要求进行分期验收和总体验收。</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2、本项目履约验收采用分期（分段）验收方式开展履约验收，共分2期，分别为2023-2024年度项目检测结果阶段验收及2019-2022和2025年度项目检测结果履约验收。验收组织形式采用验收小组验收方式进行，甲方组织成立验收小组，邀请相关领域专业技术人员等作为验收小组成员参与验收。每期由甲乙双方共同制定分期验收工作实施方案，明确分期验收工作的验收时间、验收地点、验收范围、验收内容，由分期验收小组成员按招标文件和工作方案相关要求进行逐一核对、验收。分期履约验收工作结束后，应书</w:t>
      </w:r>
      <w:r>
        <w:rPr>
          <w:rFonts w:hint="eastAsia" w:ascii="仿宋" w:hAnsi="仿宋" w:eastAsia="仿宋" w:cs="Times New Roman"/>
          <w:bCs/>
          <w:sz w:val="28"/>
          <w:szCs w:val="28"/>
          <w:lang w:eastAsia="zh-CN"/>
        </w:rPr>
        <w:t xml:space="preserve">面出具阶段性验收意见，由验收小组所有成员在书面验收意见上签字，验收意见中应当列明各项标准的验收情况，并报送采购人。验收小组成员意见不一致时，按照少数服从多数的原则作出验收意见，并将不一致意见如实记录。如验收小组因技术复杂或专业性不足等原因无法给出阶段性验收结果，可以由甲方邀请有资质的第三方专业机构参加验收并出具专业意见。双方应根据阶段性验收意见，最终形成总验收意见。采购人、中标人应当对验收小组出具的验收意见进行确认，并形成政府采购履约验收书。根据乙方投标文件承诺，上述分阶段验收涉及相关费用全部由乙方承担。 </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3、乙方承担验收费用、以及相应重复质检整改费用，承担合格成果提交延误造成的后果。</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4、当政府采购合同约定的分阶段履约验收条件达到时，乙方应主动联系采购人启动履约验收工作。乙方应当配合采购人或其委托的采购代理机构做好项目验收，在收到甲方书面发出的《政府采购履约验收通知书》的5个工作日内，提供与验收相关的生产、技术、服务、数量、质量、安全等资料，根据实际需要做好技术说明、分析等工作，并对所提供资料和材料的真实性负责。当乙方根据实际使用量提供的产品和服务，显著低于采购文件的服务要求时，合同最终结算金额以验收小组出具的验收意见为准。</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t xml:space="preserve">5.项目验收不合格的，甲方有权停止支付采购资金，并按照政府采购合同约定追究乙方违约责任。</w:t>
      </w:r>
      <w:r>
        <w:rPr>
          <w:rFonts w:hint="eastAsia" w:ascii="仿宋" w:hAnsi="仿宋" w:eastAsia="仿宋" w:cs="Times New Roman"/>
          <w:bCs/>
          <w:sz w:val="28"/>
          <w:szCs w:val="28"/>
          <w:lang w:eastAsia="zh-CN"/>
        </w:rPr>
      </w:r>
      <w:r/>
    </w:p>
    <w:p>
      <w:pPr>
        <w:pStyle w:val="770"/>
        <w:ind w:firstLine="560"/>
        <w:keepLines w:val="0"/>
        <w:keepNext w:val="0"/>
        <w:pageBreakBefore w:val="0"/>
        <w:spacing w:line="520" w:lineRule="exact"/>
        <w:widowControl w:val="off"/>
        <w:rPr>
          <w:rFonts w:hint="eastAsia" w:ascii="仿宋" w:hAnsi="仿宋" w:eastAsia="仿宋" w:cs="Times New Roman"/>
          <w:bCs/>
          <w:sz w:val="28"/>
          <w:szCs w:val="28"/>
          <w:lang w:eastAsia="zh-CN"/>
        </w:rPr>
      </w:pPr>
      <w:r>
        <w:rPr>
          <w:rFonts w:hint="eastAsia" w:ascii="仿宋" w:hAnsi="仿宋" w:eastAsia="仿宋" w:cs="Times New Roman"/>
          <w:bCs/>
          <w:sz w:val="28"/>
          <w:szCs w:val="28"/>
          <w:lang w:eastAsia="zh-CN"/>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770"/>
        <w:ind w:firstLine="562"/>
        <w:keepLines w:val="0"/>
        <w:keepNext w:val="0"/>
        <w:pageBreakBefore w:val="0"/>
        <w:spacing w:line="520" w:lineRule="exact"/>
        <w:widowControl w:val="off"/>
        <w:rPr>
          <w:rFonts w:hint="eastAsia" w:ascii="仿宋" w:hAnsi="仿宋" w:eastAsia="仿宋"/>
          <w:b/>
          <w:bCs w:val="0"/>
          <w:sz w:val="28"/>
          <w:szCs w:val="28"/>
        </w:rPr>
      </w:pPr>
      <w:r>
        <w:rPr>
          <w:rFonts w:hint="eastAsia" w:ascii="仿宋" w:hAnsi="仿宋" w:eastAsia="仿宋"/>
          <w:b/>
          <w:bCs w:val="0"/>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99"/>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r>
      <w:r/>
    </w:p>
    <w:p>
      <w:pPr>
        <w:pStyle w:val="678"/>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69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69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9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2"/>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7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7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2"/>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2"/>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2"/>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7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9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78"/>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eastAsia="zh-CN"/>
              </w:rPr>
            </w:r>
            <w:r/>
          </w:p>
        </w:tc>
        <w:tc>
          <w:tcPr>
            <w:tcW w:w="6759" w:type="dxa"/>
            <w:vAlign w:val="center"/>
            <w:textDirection w:val="lrTb"/>
            <w:noWrap w:val="false"/>
          </w:tcPr>
          <w:p>
            <w:pPr>
              <w:pStyle w:val="67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699"/>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69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699"/>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报价单位：人民币元</w:t>
      </w:r>
      <w:r>
        <w:rPr>
          <w:rFonts w:hint="eastAsia" w:ascii="仿宋" w:hAnsi="仿宋" w:eastAsia="仿宋" w:cs="Times New Roman"/>
          <w:sz w:val="28"/>
          <w:szCs w:val="28"/>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序号</w:t>
            </w:r>
            <w:r>
              <w:rPr>
                <w:rFonts w:hint="eastAsia" w:ascii="仿宋" w:hAnsi="仿宋" w:eastAsia="仿宋" w:cs="Times New Roman"/>
                <w:sz w:val="28"/>
                <w:szCs w:val="28"/>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分项名称</w:t>
            </w:r>
            <w:r>
              <w:rPr>
                <w:rFonts w:hint="eastAsia" w:ascii="仿宋" w:hAnsi="仿宋" w:eastAsia="仿宋" w:cs="Times New Roman"/>
                <w:sz w:val="28"/>
                <w:szCs w:val="28"/>
              </w:rPr>
            </w:r>
            <w:r/>
          </w:p>
        </w:tc>
        <w:tc>
          <w:tcPr>
            <w:tcW w:w="253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服务内容</w:t>
            </w:r>
            <w:r>
              <w:rPr>
                <w:rFonts w:hint="eastAsia" w:ascii="仿宋" w:hAnsi="仿宋" w:eastAsia="仿宋" w:cs="Times New Roman"/>
                <w:sz w:val="28"/>
                <w:szCs w:val="28"/>
              </w:rPr>
            </w:r>
            <w:r/>
          </w:p>
        </w:tc>
        <w:tc>
          <w:tcPr>
            <w:tcW w:w="1042"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单体工程</w:t>
            </w:r>
            <w:r>
              <w:rPr>
                <w:rFonts w:hint="eastAsia" w:ascii="仿宋" w:hAnsi="仿宋" w:eastAsia="仿宋" w:cs="Times New Roman"/>
                <w:sz w:val="28"/>
                <w:szCs w:val="28"/>
              </w:rPr>
              <w:t xml:space="preserve">数量</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（个）</w:t>
            </w:r>
            <w:r>
              <w:rPr>
                <w:rFonts w:hint="eastAsia" w:ascii="仿宋" w:hAnsi="仿宋" w:eastAsia="仿宋" w:cs="Times New Roman"/>
                <w:sz w:val="28"/>
                <w:szCs w:val="28"/>
                <w:lang w:eastAsia="zh-CN"/>
              </w:rPr>
            </w:r>
            <w:r/>
          </w:p>
        </w:tc>
        <w:tc>
          <w:tcPr>
            <w:tcW w:w="992"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取芯或测点数（个）</w:t>
            </w:r>
            <w:r>
              <w:rPr>
                <w:rFonts w:hint="eastAsia" w:ascii="仿宋" w:hAnsi="仿宋" w:eastAsia="仿宋" w:cs="Times New Roman"/>
                <w:sz w:val="28"/>
                <w:szCs w:val="28"/>
                <w:lang w:eastAsia="zh-CN"/>
              </w:rPr>
            </w:r>
            <w:r/>
          </w:p>
        </w:tc>
        <w:tc>
          <w:tcPr>
            <w:gridSpan w:val="2"/>
            <w:tcW w:w="1991"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响应价格</w:t>
            </w:r>
            <w:r>
              <w:rPr>
                <w:rFonts w:hint="eastAsia" w:ascii="仿宋" w:hAnsi="仿宋" w:eastAsia="仿宋" w:cs="Times New Roman"/>
                <w:sz w:val="28"/>
                <w:szCs w:val="28"/>
              </w:rPr>
            </w:r>
            <w:r/>
          </w:p>
        </w:tc>
      </w:tr>
      <w:tr>
        <w:trPr>
          <w:cantSplit/>
          <w:trHeight w:val="285"/>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42"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92"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单价</w:t>
            </w: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合价</w:t>
            </w: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泵站检测</w:t>
            </w:r>
            <w:r>
              <w:rPr>
                <w:rFonts w:hint="eastAsia" w:ascii="仿宋" w:hAnsi="仿宋" w:eastAsia="仿宋" w:cs="Times New Roman"/>
                <w:sz w:val="28"/>
                <w:szCs w:val="28"/>
                <w:lang w:eastAsia="zh-CN"/>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lang w:eastAsia="zh-CN"/>
              </w:rPr>
            </w:r>
            <w:r/>
          </w:p>
        </w:tc>
        <w:tc>
          <w:tcPr>
            <w:tcW w:w="104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593</w:t>
            </w:r>
            <w:r>
              <w:rPr>
                <w:rFonts w:hint="eastAsia" w:ascii="仿宋" w:hAnsi="仿宋" w:eastAsia="仿宋" w:cs="Times New Roman"/>
                <w:sz w:val="28"/>
                <w:szCs w:val="28"/>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130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安装和安全防护是否规范到位、材料是否符合设计要求</w:t>
            </w:r>
            <w:r>
              <w:rPr>
                <w:rFonts w:hint="eastAsia" w:ascii="仿宋" w:hAnsi="仿宋" w:eastAsia="仿宋" w:cs="Times New Roman"/>
                <w:sz w:val="28"/>
                <w:szCs w:val="28"/>
                <w:lang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593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渡槽</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3130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涵洞和水闸</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闸门、启闭机</w:t>
            </w:r>
            <w:r>
              <w:rPr>
                <w:rFonts w:hint="eastAsia" w:ascii="仿宋" w:hAnsi="仿宋" w:eastAsia="仿宋" w:cs="Times New Roman"/>
                <w:sz w:val="28"/>
                <w:szCs w:val="28"/>
                <w:lang w:eastAsia="zh-CN"/>
              </w:rPr>
              <w:t xml:space="preserve">安装和运行是否规范到位，材料是否符合设计要求</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733</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lang w:eastAsia="zh-CN"/>
              </w:rPr>
              <w:t xml:space="preserve">农桥检测</w:t>
            </w:r>
            <w:r>
              <w:rPr>
                <w:rFonts w:hint="eastAsia" w:ascii="仿宋" w:hAnsi="仿宋" w:eastAsia="仿宋" w:cs="Times New Roman"/>
                <w:sz w:val="28"/>
                <w:szCs w:val="28"/>
                <w:lang w:eastAsia="zh-CN"/>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钢筋保护层厚度</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6090</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eastAsia="zh-CN"/>
              </w:rPr>
              <w:outlineLvl w:val="9"/>
            </w:pPr>
            <w:r>
              <w:rPr>
                <w:rFonts w:hint="eastAsia" w:ascii="仿宋" w:hAnsi="仿宋" w:eastAsia="仿宋" w:cs="Times New Roman"/>
                <w:sz w:val="28"/>
                <w:szCs w:val="28"/>
              </w:rPr>
              <w:t xml:space="preserve">渠道</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lang w:eastAsia="zh-CN"/>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667</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2001</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eastAsia="zh-CN"/>
              </w:rPr>
              <w:t xml:space="preserve">混凝土厚度（钻芯法）</w:t>
            </w: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667</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2001</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lang w:val="en-US" w:eastAsia="zh-CN"/>
              </w:rPr>
            </w:r>
            <w:r/>
          </w:p>
        </w:tc>
        <w:tc>
          <w:tcPr>
            <w:tcW w:w="1423" w:type="dxa"/>
            <w:vAlign w:val="center"/>
            <w:vMerge w:val="restart"/>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机耕路</w:t>
            </w:r>
            <w:r>
              <w:rPr>
                <w:rFonts w:hint="eastAsia" w:ascii="仿宋" w:hAnsi="仿宋" w:eastAsia="仿宋" w:cs="Times New Roman"/>
                <w:sz w:val="28"/>
                <w:szCs w:val="28"/>
                <w:lang w:eastAsia="zh-CN"/>
              </w:rPr>
              <w:t xml:space="preserve">检测</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混凝土强度（钻芯法）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955</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2865</w:t>
            </w:r>
            <w:r>
              <w:rPr>
                <w:rFonts w:ascii="仿宋" w:hAnsi="仿宋" w:eastAsia="仿宋" w:cs="Times New Roman"/>
                <w:sz w:val="28"/>
                <w:szCs w:val="28"/>
                <w:lang w:val="en-US" w:eastAsia="zh-CN"/>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vMerge w:val="continue"/>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eastAsia="zh-CN"/>
              </w:rPr>
              <w:t xml:space="preserve">混凝土厚度（钻芯法）</w:t>
            </w:r>
            <w:r>
              <w:rPr>
                <w:rFonts w:hint="eastAsia" w:ascii="仿宋" w:hAnsi="仿宋" w:eastAsia="仿宋" w:cs="Times New Roman"/>
                <w:sz w:val="28"/>
                <w:szCs w:val="28"/>
                <w:lang w:val="en-US" w:eastAsia="zh-CN"/>
              </w:rPr>
            </w:r>
            <w:r/>
          </w:p>
        </w:tc>
        <w:tc>
          <w:tcPr>
            <w:tcW w:w="1042" w:type="dxa"/>
            <w:vAlign w:val="center"/>
            <w:textDirection w:val="lrTb"/>
            <w:noWrap w:val="false"/>
          </w:tcPr>
          <w:p>
            <w:pPr>
              <w:pStyle w:val="678"/>
              <w:keepLines w:val="0"/>
              <w:keepNext w:val="0"/>
              <w:pageBreakBefore w:val="0"/>
              <w:spacing w:line="720" w:lineRule="exact"/>
              <w:rPr>
                <w:rFonts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955</w:t>
            </w:r>
            <w:r>
              <w:rPr>
                <w:rFonts w:ascii="仿宋" w:hAnsi="仿宋" w:eastAsia="仿宋" w:cs="Times New Roman"/>
                <w:sz w:val="28"/>
                <w:szCs w:val="28"/>
                <w:lang w:val="en-US" w:eastAsia="zh-CN"/>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en-US" w:eastAsia="zh-CN"/>
              </w:rPr>
              <w:t xml:space="preserve">2865</w:t>
            </w:r>
            <w:r>
              <w:rPr>
                <w:rFonts w:hint="eastAsia" w:ascii="仿宋" w:hAnsi="仿宋" w:eastAsia="仿宋" w:cs="Times New Roman"/>
                <w:sz w:val="28"/>
                <w:szCs w:val="28"/>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tcW w:w="66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42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w:t>
            </w:r>
            <w:r>
              <w:rPr>
                <w:rFonts w:hint="eastAsia" w:ascii="仿宋" w:hAnsi="仿宋" w:eastAsia="仿宋" w:cs="Times New Roman"/>
                <w:sz w:val="28"/>
                <w:szCs w:val="28"/>
              </w:rPr>
            </w:r>
            <w:r/>
          </w:p>
        </w:tc>
        <w:tc>
          <w:tcPr>
            <w:tcW w:w="2533"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4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9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919"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c>
          <w:tcPr>
            <w:tcW w:w="1072"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r>
        <w:trPr>
          <w:trHeight w:val="480"/>
        </w:trPr>
        <w:tc>
          <w:tcPr>
            <w:gridSpan w:val="3"/>
            <w:tcW w:w="4625"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总价</w:t>
            </w:r>
            <w:r>
              <w:rPr>
                <w:rFonts w:hint="eastAsia" w:ascii="仿宋" w:hAnsi="仿宋" w:eastAsia="仿宋" w:cs="Times New Roman"/>
                <w:sz w:val="28"/>
                <w:szCs w:val="28"/>
              </w:rPr>
            </w:r>
            <w:r/>
          </w:p>
        </w:tc>
        <w:tc>
          <w:tcPr>
            <w:gridSpan w:val="4"/>
            <w:tcW w:w="4025" w:type="dxa"/>
            <w:vAlign w:val="center"/>
            <w:textDirection w:val="lrTb"/>
            <w:noWrap w:val="false"/>
          </w:tcPr>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tc>
      </w:tr>
    </w:tbl>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注：1.本表应按包分别填写。</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rPr>
        <w:t xml:space="preserve">2.如果不提供分项报价将视为没有实质性响应</w:t>
      </w:r>
      <w:r>
        <w:rPr>
          <w:rFonts w:hint="eastAsia" w:ascii="仿宋" w:hAnsi="仿宋" w:eastAsia="仿宋" w:cs="Times New Roman"/>
          <w:sz w:val="28"/>
          <w:szCs w:val="28"/>
          <w:highlight w:val="none"/>
          <w:lang w:eastAsia="zh-CN"/>
        </w:rPr>
        <w:t xml:space="preserve">投标</w:t>
      </w:r>
      <w:r>
        <w:rPr>
          <w:rFonts w:hint="eastAsia" w:ascii="仿宋" w:hAnsi="仿宋" w:eastAsia="仿宋" w:cs="Times New Roman"/>
          <w:sz w:val="28"/>
          <w:szCs w:val="28"/>
          <w:highlight w:val="none"/>
        </w:rPr>
        <w:t xml:space="preserve">文件</w:t>
      </w:r>
      <w:r>
        <w:rPr>
          <w:rFonts w:hint="eastAsia" w:ascii="仿宋" w:hAnsi="仿宋" w:eastAsia="仿宋" w:cs="Times New Roman"/>
          <w:sz w:val="28"/>
          <w:szCs w:val="28"/>
          <w:highlight w:val="none"/>
          <w:lang w:eastAsia="zh-CN"/>
        </w:rPr>
        <w:t xml:space="preserve">，将作为无效投标处理。</w:t>
      </w:r>
      <w:r>
        <w:rPr>
          <w:rFonts w:hint="eastAsia" w:ascii="仿宋" w:hAnsi="仿宋" w:eastAsia="仿宋" w:cs="Times New Roman"/>
          <w:sz w:val="28"/>
          <w:szCs w:val="28"/>
          <w:highlight w:val="none"/>
          <w:lang w:eastAsia="zh-CN"/>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3.本表行数可以按照项目分项情况增加。</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4.上述各项的服务内容如表格中填写不下的，可以逐项另页描述。</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                  </w:t>
      </w:r>
      <w:r>
        <w:rPr>
          <w:rFonts w:hint="eastAsia" w:ascii="仿宋" w:hAnsi="仿宋" w:eastAsia="仿宋" w:cs="Times New Roman"/>
          <w:sz w:val="28"/>
          <w:szCs w:val="28"/>
          <w:lang w:val="zh-CN"/>
        </w:rPr>
      </w:r>
      <w:r/>
    </w:p>
    <w:p>
      <w:pPr>
        <w:pStyle w:val="678"/>
        <w:keepLines w:val="0"/>
        <w:keepNext w:val="0"/>
        <w:pageBreakBefore w:val="0"/>
        <w:spacing w:line="720" w:lineRule="exact"/>
        <w:rPr>
          <w:rFonts w:hint="eastAsia" w:ascii="仿宋" w:hAnsi="仿宋" w:eastAsia="仿宋" w:cs="Times New Roman"/>
          <w:sz w:val="28"/>
          <w:szCs w:val="28"/>
        </w:rPr>
        <w:outlineLvl w:val="9"/>
      </w:pPr>
      <w:r>
        <w:rPr>
          <w:rFonts w:hint="eastAsia" w:ascii="仿宋" w:hAnsi="仿宋" w:eastAsia="仿宋" w:cs="Times New Roman"/>
          <w:sz w:val="28"/>
          <w:szCs w:val="28"/>
          <w:lang w:val="zh-CN"/>
        </w:rPr>
        <w:t xml:space="preserve">        </w:t>
      </w:r>
      <w:r>
        <w:rPr>
          <w:rFonts w:hint="eastAsia" w:ascii="仿宋" w:hAnsi="仿宋" w:eastAsia="仿宋" w:cs="Times New Roman"/>
          <w:sz w:val="28"/>
          <w:szCs w:val="28"/>
        </w:rPr>
      </w:r>
      <w:r/>
    </w:p>
    <w:p>
      <w:pPr>
        <w:pStyle w:val="678"/>
        <w:keepLines w:val="0"/>
        <w:keepNext w:val="0"/>
        <w:pageBreakBefore w:val="0"/>
        <w:spacing w:line="7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名称（加盖公章）</w:t>
      </w:r>
      <w:r>
        <w:rPr>
          <w:rFonts w:hint="eastAsia" w:ascii="仿宋" w:hAnsi="仿宋" w:eastAsia="仿宋" w:cs="Times New Roman"/>
          <w:sz w:val="28"/>
          <w:szCs w:val="28"/>
          <w:lang w:val="zh-CN"/>
        </w:rPr>
        <w:t xml:space="preserve">：____________</w:t>
      </w:r>
      <w:r>
        <w:rPr>
          <w:rFonts w:hint="eastAsia" w:ascii="仿宋" w:hAnsi="仿宋" w:eastAsia="仿宋" w:cs="Times New Roman"/>
          <w:sz w:val="28"/>
          <w:szCs w:val="28"/>
          <w:lang w:val="zh-CN"/>
        </w:rPr>
      </w:r>
      <w:r/>
    </w:p>
    <w:p>
      <w:pPr>
        <w:pStyle w:val="678"/>
        <w:keepLines w:val="0"/>
        <w:keepNext w:val="0"/>
        <w:pageBreakBefore w:val="0"/>
        <w:spacing w:line="720" w:lineRule="exact"/>
        <w:rPr>
          <w:rFonts w:hint="eastAsia" w:ascii="宋体" w:hAnsi="宋体"/>
          <w:sz w:val="24"/>
          <w:szCs w:val="20"/>
        </w:rPr>
        <w:outlineLvl w:val="9"/>
      </w:pPr>
      <w:r>
        <w:rPr>
          <w:rFonts w:hint="eastAsia" w:ascii="仿宋" w:hAnsi="仿宋" w:eastAsia="仿宋" w:cs="Times New Roman"/>
          <w:sz w:val="28"/>
          <w:szCs w:val="28"/>
        </w:rPr>
        <w:t xml:space="preserve">日期：_____年______月______日   </w:t>
      </w:r>
      <w:r>
        <w:rPr>
          <w:rFonts w:hint="eastAsia" w:ascii="宋体" w:hAnsi="宋体"/>
          <w:sz w:val="24"/>
          <w:szCs w:val="20"/>
        </w:rPr>
      </w:r>
      <w:r/>
    </w:p>
    <w:p>
      <w:pPr>
        <w:pStyle w:val="678"/>
        <w:spacing w:before="25" w:after="25" w:line="360" w:lineRule="auto"/>
        <w:rPr>
          <w:rFonts w:hint="eastAsia" w:ascii="宋体" w:hAnsi="宋体"/>
          <w:sz w:val="24"/>
          <w:szCs w:val="20"/>
        </w:rPr>
      </w:pPr>
      <w:r>
        <w:rPr>
          <w:rFonts w:hint="eastAsia" w:ascii="宋体" w:hAnsi="宋体"/>
          <w:sz w:val="24"/>
          <w:szCs w:val="20"/>
        </w:rPr>
      </w:r>
      <w:r/>
    </w:p>
    <w:p>
      <w:pPr>
        <w:pStyle w:val="678"/>
        <w:spacing w:before="25" w:after="25" w:line="360" w:lineRule="auto"/>
        <w:rPr>
          <w:rFonts w:hint="eastAsia" w:ascii="宋体" w:hAnsi="宋体"/>
          <w:sz w:val="24"/>
          <w:szCs w:val="20"/>
        </w:rPr>
      </w:pPr>
      <w:r>
        <w:rPr>
          <w:rFonts w:hint="eastAsia" w:ascii="宋体" w:hAnsi="宋体"/>
          <w:sz w:val="24"/>
          <w:szCs w:val="20"/>
        </w:rPr>
      </w:r>
      <w:r/>
    </w:p>
    <w:p>
      <w:pPr>
        <w:pStyle w:val="678"/>
        <w:spacing w:before="25" w:after="25" w:line="360" w:lineRule="auto"/>
        <w:rPr>
          <w:rFonts w:ascii="宋体" w:hAnsi="宋体"/>
          <w:sz w:val="24"/>
          <w:szCs w:val="20"/>
        </w:rPr>
      </w:pPr>
      <w:r>
        <w:rPr>
          <w:rFonts w:ascii="宋体" w:hAnsi="宋体"/>
          <w:sz w:val="24"/>
          <w:szCs w:val="20"/>
        </w:rPr>
      </w:r>
      <w:r/>
    </w:p>
    <w:p>
      <w:pPr>
        <w:pStyle w:val="699"/>
        <w:numPr>
          <w:ilvl w:val="0"/>
          <w:numId w:val="0"/>
        </w:numPr>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r>
      <w:r/>
    </w:p>
    <w:p>
      <w:pPr>
        <w:pStyle w:val="69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及相应技术参数描述</w:t>
            </w:r>
            <w:r>
              <w:rPr>
                <w:rFonts w:hint="eastAsia" w:ascii="仿宋" w:hAnsi="仿宋" w:eastAsia="仿宋" w:cs="Arial"/>
                <w:sz w:val="24"/>
              </w:rPr>
            </w:r>
            <w:r/>
          </w:p>
        </w:tc>
        <w:tc>
          <w:tcPr>
            <w:tcW w:w="1080" w:type="dxa"/>
            <w:vAlign w:val="center"/>
            <w:textDirection w:val="lrTb"/>
            <w:noWrap w:val="false"/>
          </w:tcPr>
          <w:p>
            <w:pPr>
              <w:pStyle w:val="67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7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699"/>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tbl>
      <w:tblPr>
        <w:tblW w:w="82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85"/>
        <w:gridCol w:w="1775"/>
        <w:gridCol w:w="1562"/>
        <w:gridCol w:w="2137"/>
      </w:tblGrid>
      <w:tr>
        <w:trPr>
          <w:trHeight w:val="480"/>
        </w:trPr>
        <w:tc>
          <w:tcPr>
            <w:tcW w:w="1271" w:type="dxa"/>
            <w:vAlign w:val="center"/>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1485" w:type="dxa"/>
            <w:vAlign w:val="top"/>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1775" w:type="dxa"/>
            <w:vAlign w:val="center"/>
            <w:textDirection w:val="lrTb"/>
            <w:noWrap w:val="false"/>
          </w:tcPr>
          <w:p>
            <w:pPr>
              <w:pStyle w:val="678"/>
              <w:jc w:val="center"/>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专业</w:t>
            </w:r>
            <w:r>
              <w:rPr>
                <w:rFonts w:hint="eastAsia" w:ascii="仿宋" w:hAnsi="仿宋" w:eastAsia="仿宋" w:cs="仿宋"/>
                <w:sz w:val="28"/>
                <w:szCs w:val="28"/>
                <w:lang w:eastAsia="zh-CN"/>
              </w:rPr>
            </w:r>
            <w:r/>
          </w:p>
        </w:tc>
        <w:tc>
          <w:tcPr>
            <w:tcW w:w="1562" w:type="dxa"/>
            <w:vAlign w:val="center"/>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2137" w:type="dxa"/>
            <w:vAlign w:val="center"/>
            <w:textDirection w:val="lrTb"/>
            <w:noWrap w:val="false"/>
          </w:tcPr>
          <w:p>
            <w:pPr>
              <w:pStyle w:val="678"/>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1271"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48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775"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1562"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c>
          <w:tcPr>
            <w:tcW w:w="2137" w:type="dxa"/>
            <w:vAlign w:val="top"/>
            <w:textDirection w:val="lrTb"/>
            <w:noWrap w:val="false"/>
          </w:tcPr>
          <w:p>
            <w:pPr>
              <w:pStyle w:val="678"/>
              <w:spacing w:line="520" w:lineRule="exact"/>
              <w:rPr>
                <w:rFonts w:ascii="仿宋" w:hAnsi="仿宋" w:eastAsia="仿宋" w:cs="仿宋"/>
                <w:sz w:val="28"/>
                <w:szCs w:val="28"/>
              </w:rPr>
            </w:pPr>
            <w:r>
              <w:rPr>
                <w:rFonts w:ascii="仿宋" w:hAnsi="仿宋" w:eastAsia="仿宋" w:cs="仿宋"/>
                <w:sz w:val="28"/>
                <w:szCs w:val="28"/>
              </w:rPr>
            </w:r>
            <w:r/>
          </w:p>
        </w:tc>
      </w:tr>
    </w:tbl>
    <w:p>
      <w:pPr>
        <w:pStyle w:val="678"/>
        <w:ind w:firstLine="3357"/>
        <w:spacing w:line="440" w:lineRule="exact"/>
        <w:rPr>
          <w:rFonts w:ascii="仿宋" w:hAnsi="仿宋" w:eastAsia="仿宋"/>
          <w:b/>
          <w:bCs/>
          <w:sz w:val="32"/>
          <w:szCs w:val="32"/>
        </w:rPr>
      </w:pPr>
      <w:r>
        <w:rPr>
          <w:rFonts w:ascii="仿宋" w:hAnsi="仿宋" w:eastAsia="仿宋"/>
          <w:b/>
          <w:bCs/>
          <w:sz w:val="32"/>
          <w:szCs w:val="32"/>
        </w:rPr>
      </w:r>
      <w:r/>
    </w:p>
    <w:p>
      <w:pPr>
        <w:pStyle w:val="678"/>
        <w:ind w:firstLine="3357"/>
        <w:spacing w:line="440" w:lineRule="exact"/>
        <w:rPr>
          <w:rFonts w:ascii="仿宋" w:hAnsi="仿宋" w:eastAsia="仿宋"/>
          <w:b/>
          <w:bCs/>
          <w:sz w:val="32"/>
          <w:szCs w:val="32"/>
        </w:rPr>
      </w:pPr>
      <w:r>
        <w:rPr>
          <w:rFonts w:ascii="仿宋" w:hAnsi="仿宋" w:eastAsia="仿宋"/>
          <w:b/>
          <w:bCs/>
          <w:sz w:val="32"/>
          <w:szCs w:val="32"/>
        </w:rPr>
      </w:r>
      <w:r/>
    </w:p>
    <w:p>
      <w:pPr>
        <w:pStyle w:val="678"/>
        <w:spacing w:line="440" w:lineRule="exact"/>
        <w:rPr>
          <w:rFonts w:ascii="仿宋" w:hAnsi="仿宋" w:eastAsia="仿宋"/>
          <w:sz w:val="28"/>
          <w:szCs w:val="28"/>
          <w:u w:val="single"/>
        </w:rPr>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678"/>
        <w:spacing w:line="440" w:lineRule="exact"/>
        <w:rPr>
          <w:rFonts w:ascii="仿宋" w:hAnsi="仿宋" w:eastAsia="仿宋"/>
          <w:sz w:val="28"/>
          <w:szCs w:val="28"/>
        </w:rPr>
      </w:pPr>
      <w:r>
        <w:rPr>
          <w:rFonts w:ascii="仿宋" w:hAnsi="仿宋" w:eastAsia="仿宋"/>
          <w:sz w:val="28"/>
          <w:szCs w:val="28"/>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9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7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w:t>
      </w:r>
      <w:r>
        <w:rPr>
          <w:rFonts w:hint="eastAsia" w:ascii="仿宋" w:hAnsi="仿宋" w:eastAsia="仿宋"/>
          <w:color w:val="000000"/>
          <w:sz w:val="28"/>
          <w:szCs w:val="28"/>
          <w:lang w:eastAsia="zh-CN"/>
        </w:rPr>
        <w:t xml:space="preserve">提供</w:t>
      </w:r>
      <w:r>
        <w:rPr>
          <w:rFonts w:hint="eastAsia" w:ascii="仿宋" w:hAnsi="仿宋" w:eastAsia="仿宋"/>
          <w:color w:val="000000"/>
          <w:sz w:val="28"/>
          <w:szCs w:val="28"/>
        </w:rPr>
        <w:t xml:space="preserve">有效期内检验检测机构资质认定证书</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（无吊销/暂停）。</w:t>
      </w:r>
      <w:r>
        <w:rPr>
          <w:rFonts w:hint="eastAsia" w:ascii="仿宋" w:hAnsi="仿宋" w:eastAsia="仿宋"/>
          <w:color w:val="000000"/>
          <w:sz w:val="28"/>
          <w:szCs w:val="28"/>
        </w:rPr>
      </w:r>
      <w:r/>
    </w:p>
    <w:p>
      <w:pPr>
        <w:pStyle w:val="678"/>
        <w:ind w:firstLine="723"/>
        <w:jc w:val="both"/>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67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7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78"/>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78"/>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78"/>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78"/>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2"/>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7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7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7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7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7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7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8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7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7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7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7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78"/>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8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68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8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86"/>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68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68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19"/>
      </w:rPr>
      <w:framePr w:wrap="around" w:vAnchor="text" w:hAnchor="margin" w:xAlign="center" w:y="1"/>
    </w:pPr>
    <w:r>
      <w:fldChar w:fldCharType="begin"/>
    </w:r>
    <w:r>
      <w:rPr>
        <w:rStyle w:val="719"/>
      </w:rPr>
      <w:instrText xml:space="preserve">PAGE  </w:instrText>
    </w:r>
    <w:r>
      <w:fldChar w:fldCharType="end"/>
    </w:r>
    <w:r>
      <w:rPr>
        <w:rStyle w:val="719"/>
      </w:rPr>
    </w:r>
    <w:r/>
  </w:p>
  <w:p>
    <w:pPr>
      <w:pStyle w:val="7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67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63"/>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2"/>
      <w:numFmt w:val="decimal"/>
      <w:isLgl w:val="false"/>
      <w:suff w:val="nothing"/>
      <w:lvlText w:val="%1、"/>
      <w:lvlJc w:val="left"/>
      <w:pPr>
        <w:pStyle w:val="678"/>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53"/>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5">
    <w:multiLevelType w:val="hybridMultilevel"/>
    <w:lvl w:ilvl="0">
      <w:start w:val="2"/>
      <w:numFmt w:val="chineseCountingThousand"/>
      <w:pStyle w:val="759"/>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6"/>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8"/>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89"/>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正文缩进"/>
    <w:basedOn w:val="678"/>
    <w:next w:val="686"/>
    <w:link w:val="687"/>
    <w:pPr>
      <w:ind w:firstLine="420"/>
    </w:pPr>
    <w:rPr>
      <w:szCs w:val="20"/>
    </w:rPr>
  </w:style>
  <w:style w:type="character" w:styleId="687">
    <w:name w:val="正文缩进 Char"/>
    <w:next w:val="687"/>
    <w:link w:val="686"/>
    <w:rPr>
      <w:sz w:val="21"/>
    </w:rPr>
  </w:style>
  <w:style w:type="character" w:styleId="688">
    <w:name w:val="标题 4 Char"/>
    <w:next w:val="688"/>
    <w:link w:val="682"/>
    <w:uiPriority w:val="9"/>
    <w:rPr>
      <w:rFonts w:ascii="Cambria" w:hAnsi="Cambria"/>
      <w:b/>
      <w:bCs/>
      <w:sz w:val="28"/>
      <w:szCs w:val="28"/>
    </w:rPr>
  </w:style>
  <w:style w:type="character" w:styleId="689">
    <w:name w:val="标题 5 Char"/>
    <w:next w:val="689"/>
    <w:link w:val="683"/>
    <w:uiPriority w:val="9"/>
    <w:rPr>
      <w:b/>
      <w:bCs/>
      <w:sz w:val="28"/>
      <w:szCs w:val="28"/>
    </w:rPr>
  </w:style>
  <w:style w:type="paragraph" w:styleId="690">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1">
    <w:name w:val="文档结构图"/>
    <w:basedOn w:val="678"/>
    <w:next w:val="691"/>
    <w:link w:val="678"/>
    <w:semiHidden/>
    <w:pPr>
      <w:shd w:val="clear" w:color="auto" w:fill="000080"/>
    </w:pPr>
  </w:style>
  <w:style w:type="paragraph" w:styleId="692">
    <w:name w:val="批注文字"/>
    <w:basedOn w:val="678"/>
    <w:next w:val="692"/>
    <w:link w:val="693"/>
    <w:uiPriority w:val="99"/>
    <w:unhideWhenUsed/>
    <w:pPr>
      <w:jc w:val="left"/>
    </w:pPr>
  </w:style>
  <w:style w:type="character" w:styleId="693">
    <w:name w:val="批注文字 Char"/>
    <w:next w:val="693"/>
    <w:link w:val="692"/>
    <w:uiPriority w:val="99"/>
    <w:rPr>
      <w:sz w:val="21"/>
      <w:szCs w:val="24"/>
    </w:rPr>
  </w:style>
  <w:style w:type="paragraph" w:styleId="694">
    <w:name w:val="正文文本 3"/>
    <w:basedOn w:val="678"/>
    <w:next w:val="694"/>
    <w:link w:val="678"/>
    <w:rPr>
      <w:rFonts w:ascii="楷体_GB2312" w:hAnsi="Arial" w:eastAsia="楷体_GB2312" w:cs="Arial"/>
      <w:b/>
      <w:bCs/>
      <w:color w:val="000000"/>
      <w:sz w:val="24"/>
    </w:rPr>
  </w:style>
  <w:style w:type="paragraph" w:styleId="695">
    <w:name w:val="正文文本"/>
    <w:basedOn w:val="678"/>
    <w:next w:val="695"/>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正文文本缩进"/>
    <w:basedOn w:val="678"/>
    <w:next w:val="696"/>
    <w:link w:val="678"/>
    <w:pPr>
      <w:ind w:firstLine="630"/>
    </w:pPr>
    <w:rPr>
      <w:rFonts w:ascii="楷体_GB2312" w:eastAsia="楷体_GB2312"/>
      <w:sz w:val="32"/>
      <w:szCs w:val="20"/>
    </w:rPr>
  </w:style>
  <w:style w:type="paragraph" w:styleId="697">
    <w:name w:val="文本块"/>
    <w:basedOn w:val="678"/>
    <w:next w:val="697"/>
    <w:link w:val="678"/>
    <w:pPr>
      <w:ind w:left="420" w:right="33"/>
      <w:jc w:val="left"/>
    </w:pPr>
    <w:rPr>
      <w:sz w:val="24"/>
      <w:szCs w:val="20"/>
    </w:rPr>
  </w:style>
  <w:style w:type="paragraph" w:styleId="698">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699">
    <w:name w:val="纯文本"/>
    <w:basedOn w:val="678"/>
    <w:next w:val="699"/>
    <w:link w:val="700"/>
    <w:rPr>
      <w:rFonts w:ascii="宋体" w:hAnsi="Courier New"/>
      <w:szCs w:val="20"/>
    </w:rPr>
  </w:style>
  <w:style w:type="character" w:styleId="700">
    <w:name w:val="纯文本 Char"/>
    <w:next w:val="700"/>
    <w:link w:val="699"/>
    <w:rPr>
      <w:rFonts w:ascii="宋体" w:hAnsi="Courier New" w:eastAsia="宋体"/>
      <w:sz w:val="21"/>
      <w:lang w:val="en-US" w:eastAsia="zh-CN" w:bidi="ar-SA"/>
    </w:rPr>
  </w:style>
  <w:style w:type="paragraph" w:styleId="701">
    <w:name w:val="正文文本缩进 2"/>
    <w:basedOn w:val="678"/>
    <w:next w:val="701"/>
    <w:link w:val="678"/>
    <w:pPr>
      <w:ind w:left="420"/>
      <w:spacing w:after="120" w:line="480" w:lineRule="auto"/>
    </w:pPr>
  </w:style>
  <w:style w:type="paragraph" w:styleId="702">
    <w:name w:val="批注框文本"/>
    <w:basedOn w:val="678"/>
    <w:next w:val="702"/>
    <w:link w:val="703"/>
    <w:rPr>
      <w:sz w:val="18"/>
      <w:szCs w:val="18"/>
    </w:rPr>
  </w:style>
  <w:style w:type="character" w:styleId="703">
    <w:name w:val="批注框文本 Char"/>
    <w:next w:val="703"/>
    <w:link w:val="702"/>
    <w:rPr>
      <w:sz w:val="18"/>
      <w:szCs w:val="18"/>
    </w:rPr>
  </w:style>
  <w:style w:type="paragraph" w:styleId="704">
    <w:name w:val="页脚"/>
    <w:basedOn w:val="678"/>
    <w:next w:val="704"/>
    <w:link w:val="705"/>
    <w:pPr>
      <w:jc w:val="left"/>
      <w:tabs>
        <w:tab w:val="center" w:pos="4153" w:leader="none"/>
        <w:tab w:val="right" w:pos="8306" w:leader="none"/>
      </w:tabs>
    </w:pPr>
    <w:rPr>
      <w:sz w:val="18"/>
      <w:szCs w:val="18"/>
    </w:rPr>
  </w:style>
  <w:style w:type="character" w:styleId="705">
    <w:name w:val="页脚 Char"/>
    <w:next w:val="705"/>
    <w:link w:val="704"/>
    <w:rPr>
      <w:sz w:val="18"/>
      <w:szCs w:val="18"/>
    </w:rPr>
  </w:style>
  <w:style w:type="paragraph" w:styleId="706">
    <w:name w:val="页眉"/>
    <w:basedOn w:val="678"/>
    <w:next w:val="706"/>
    <w:link w:val="707"/>
    <w:pPr>
      <w:jc w:val="center"/>
      <w:tabs>
        <w:tab w:val="center" w:pos="4153" w:leader="none"/>
        <w:tab w:val="right" w:pos="8306" w:leader="none"/>
      </w:tabs>
      <w:pBdr>
        <w:bottom w:val="single" w:color="000000" w:sz="6" w:space="1"/>
      </w:pBdr>
    </w:pPr>
    <w:rPr>
      <w:sz w:val="18"/>
      <w:szCs w:val="18"/>
    </w:rPr>
  </w:style>
  <w:style w:type="character" w:styleId="707">
    <w:name w:val="页眉 Char"/>
    <w:next w:val="707"/>
    <w:link w:val="706"/>
    <w:rPr>
      <w:sz w:val="18"/>
      <w:szCs w:val="18"/>
    </w:rPr>
  </w:style>
  <w:style w:type="paragraph" w:styleId="708">
    <w:name w:val="目录 1"/>
    <w:basedOn w:val="678"/>
    <w:next w:val="678"/>
    <w:link w:val="678"/>
    <w:semiHidden/>
  </w:style>
  <w:style w:type="paragraph" w:styleId="709">
    <w:name w:val="正文文本缩进 3"/>
    <w:basedOn w:val="678"/>
    <w:next w:val="709"/>
    <w:link w:val="678"/>
    <w:uiPriority w:val="99"/>
    <w:pPr>
      <w:ind w:firstLine="420"/>
    </w:pPr>
    <w:rPr>
      <w:rFonts w:eastAsia="楷体_GB2312"/>
    </w:rPr>
  </w:style>
  <w:style w:type="paragraph" w:styleId="710">
    <w:name w:val="目录 2"/>
    <w:basedOn w:val="678"/>
    <w:next w:val="678"/>
    <w:link w:val="678"/>
    <w:semiHidden/>
    <w:pPr>
      <w:ind w:left="420"/>
    </w:pPr>
    <w:rPr>
      <w:szCs w:val="20"/>
    </w:rPr>
  </w:style>
  <w:style w:type="paragraph" w:styleId="711">
    <w:name w:val="正文文本 2"/>
    <w:basedOn w:val="678"/>
    <w:next w:val="711"/>
    <w:link w:val="712"/>
    <w:pPr>
      <w:spacing w:line="440" w:lineRule="exact"/>
    </w:pPr>
    <w:rPr>
      <w:rFonts w:ascii="楷体_GB2312" w:eastAsia="楷体_GB2312"/>
      <w:sz w:val="28"/>
    </w:rPr>
  </w:style>
  <w:style w:type="character" w:styleId="712">
    <w:name w:val="正文文本 2 Char"/>
    <w:next w:val="712"/>
    <w:link w:val="711"/>
    <w:rPr>
      <w:rFonts w:ascii="楷体_GB2312" w:eastAsia="楷体_GB2312"/>
      <w:sz w:val="28"/>
      <w:szCs w:val="24"/>
    </w:rPr>
  </w:style>
  <w:style w:type="paragraph" w:styleId="713">
    <w:name w:val="批注主题"/>
    <w:basedOn w:val="692"/>
    <w:next w:val="692"/>
    <w:link w:val="714"/>
    <w:rPr>
      <w:b/>
      <w:bCs/>
    </w:rPr>
  </w:style>
  <w:style w:type="character" w:styleId="714">
    <w:name w:val="批注主题 Char"/>
    <w:next w:val="714"/>
    <w:link w:val="713"/>
    <w:rPr>
      <w:b/>
      <w:bCs/>
      <w:sz w:val="21"/>
      <w:szCs w:val="24"/>
    </w:rPr>
  </w:style>
  <w:style w:type="paragraph" w:styleId="715">
    <w:name w:val="正文首行缩进"/>
    <w:basedOn w:val="695"/>
    <w:next w:val="715"/>
    <w:link w:val="678"/>
    <w:qFormat/>
    <w:pPr>
      <w:ind w:right="-24" w:firstLine="425"/>
      <w:spacing w:line="360" w:lineRule="auto"/>
      <w:tabs>
        <w:tab w:val="left" w:pos="2020" w:leader="none"/>
        <w:tab w:val="center" w:pos="4535" w:leader="none"/>
      </w:tabs>
    </w:pPr>
    <w:rPr>
      <w:rFonts w:ascii="Arial" w:hAnsi="Arial" w:eastAsia="仿宋_GB2312" w:cs="Arial"/>
      <w:sz w:val="24"/>
      <w:szCs w:val="32"/>
    </w:rPr>
  </w:style>
  <w:style w:type="paragraph" w:styleId="716">
    <w:name w:val="正文首行缩进 2"/>
    <w:basedOn w:val="696"/>
    <w:next w:val="716"/>
    <w:link w:val="678"/>
    <w:pPr>
      <w:ind w:left="420" w:firstLine="420"/>
      <w:spacing w:after="120"/>
      <w:widowControl/>
    </w:pPr>
    <w:rPr>
      <w:rFonts w:ascii="仿宋_GB2312" w:eastAsia="仿宋_GB2312"/>
      <w:color w:val="ff6600"/>
      <w:sz w:val="21"/>
    </w:rPr>
  </w:style>
  <w:style w:type="table" w:styleId="717">
    <w:name w:val="网格型"/>
    <w:basedOn w:val="685"/>
    <w:next w:val="717"/>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8">
    <w:name w:val="要点"/>
    <w:next w:val="718"/>
    <w:link w:val="678"/>
    <w:qFormat/>
    <w:rPr>
      <w:b w:val="0"/>
      <w:i w:val="0"/>
    </w:rPr>
  </w:style>
  <w:style w:type="character" w:styleId="719">
    <w:name w:val="页码"/>
    <w:next w:val="719"/>
    <w:link w:val="678"/>
  </w:style>
  <w:style w:type="character" w:styleId="720">
    <w:name w:val="已访问的超链接"/>
    <w:next w:val="720"/>
    <w:link w:val="678"/>
    <w:rPr>
      <w:color w:val="800080"/>
      <w:u w:val="none"/>
    </w:rPr>
  </w:style>
  <w:style w:type="character" w:styleId="721">
    <w:name w:val="强调"/>
    <w:next w:val="721"/>
    <w:link w:val="678"/>
    <w:qFormat/>
    <w:rPr>
      <w:b w:val="0"/>
      <w:i w:val="0"/>
    </w:rPr>
  </w:style>
  <w:style w:type="character" w:styleId="722">
    <w:name w:val="HTML 定义"/>
    <w:next w:val="722"/>
    <w:link w:val="678"/>
    <w:rPr>
      <w:b w:val="0"/>
      <w:i w:val="0"/>
    </w:rPr>
  </w:style>
  <w:style w:type="character" w:styleId="723">
    <w:name w:val="HTML 打字机"/>
    <w:next w:val="723"/>
    <w:link w:val="678"/>
    <w:rPr>
      <w:rFonts w:ascii="monospace" w:hAnsi="monospace" w:eastAsia="monospace" w:cs="monospace"/>
      <w:sz w:val="20"/>
    </w:rPr>
  </w:style>
  <w:style w:type="character" w:styleId="724">
    <w:name w:val="HTML 缩写"/>
    <w:next w:val="724"/>
    <w:link w:val="678"/>
  </w:style>
  <w:style w:type="character" w:styleId="725">
    <w:name w:val="HTML 变量"/>
    <w:next w:val="725"/>
    <w:link w:val="678"/>
    <w:rPr>
      <w:b w:val="0"/>
      <w:i w:val="0"/>
    </w:rPr>
  </w:style>
  <w:style w:type="character" w:styleId="726">
    <w:name w:val="超链接"/>
    <w:next w:val="726"/>
    <w:link w:val="678"/>
    <w:rPr>
      <w:color w:val="0000ff"/>
      <w:u w:val="none"/>
    </w:rPr>
  </w:style>
  <w:style w:type="character" w:styleId="727">
    <w:name w:val="HTML 代码"/>
    <w:next w:val="727"/>
    <w:link w:val="678"/>
    <w:rPr>
      <w:rFonts w:ascii="monospace" w:hAnsi="monospace" w:eastAsia="monospace" w:cs="monospace"/>
      <w:b w:val="0"/>
      <w:i w:val="0"/>
      <w:sz w:val="20"/>
    </w:rPr>
  </w:style>
  <w:style w:type="character" w:styleId="728">
    <w:name w:val="批注引用"/>
    <w:next w:val="728"/>
    <w:link w:val="678"/>
    <w:rPr>
      <w:sz w:val="21"/>
      <w:szCs w:val="21"/>
    </w:rPr>
  </w:style>
  <w:style w:type="character" w:styleId="729">
    <w:name w:val="HTML 引文"/>
    <w:next w:val="729"/>
    <w:link w:val="678"/>
    <w:rPr>
      <w:b w:val="0"/>
      <w:i w:val="0"/>
    </w:rPr>
  </w:style>
  <w:style w:type="character" w:styleId="730">
    <w:name w:val="HTML 键盘"/>
    <w:next w:val="730"/>
    <w:link w:val="678"/>
    <w:rPr>
      <w:rFonts w:ascii="monospace" w:hAnsi="monospace" w:eastAsia="monospace" w:cs="monospace"/>
      <w:sz w:val="20"/>
    </w:rPr>
  </w:style>
  <w:style w:type="character" w:styleId="731">
    <w:name w:val="HTML 样本"/>
    <w:next w:val="731"/>
    <w:link w:val="678"/>
    <w:rPr>
      <w:rFonts w:ascii="monospace" w:hAnsi="monospace" w:eastAsia="monospace" w:cs="monospace"/>
    </w:rPr>
  </w:style>
  <w:style w:type="character" w:styleId="732">
    <w:name w:val="页码1"/>
    <w:next w:val="732"/>
    <w:link w:val="678"/>
    <w:qFormat/>
    <w:rPr>
      <w:sz w:val="21"/>
      <w:szCs w:val="24"/>
      <w:lang w:val="en-US" w:eastAsia="zh-CN" w:bidi="ar-SA"/>
    </w:rPr>
  </w:style>
  <w:style w:type="character" w:styleId="733">
    <w:name w:val="Font Style30"/>
    <w:next w:val="733"/>
    <w:link w:val="678"/>
    <w:rPr>
      <w:rFonts w:ascii="宋体" w:eastAsia="宋体" w:cs="宋体"/>
      <w:sz w:val="14"/>
      <w:szCs w:val="14"/>
    </w:rPr>
  </w:style>
  <w:style w:type="character" w:styleId="734">
    <w:name w:val="glyphicon"/>
    <w:next w:val="734"/>
    <w:link w:val="678"/>
  </w:style>
  <w:style w:type="character" w:styleId="735">
    <w:name w:val="Font Style36"/>
    <w:next w:val="735"/>
    <w:link w:val="678"/>
    <w:rPr>
      <w:rFonts w:ascii="宋体" w:eastAsia="宋体" w:cs="宋体"/>
      <w:sz w:val="16"/>
      <w:szCs w:val="16"/>
    </w:rPr>
  </w:style>
  <w:style w:type="character" w:styleId="736">
    <w:name w:val="hour_am"/>
    <w:next w:val="736"/>
    <w:link w:val="678"/>
  </w:style>
  <w:style w:type="character" w:styleId="737">
    <w:name w:val="old"/>
    <w:next w:val="737"/>
    <w:link w:val="678"/>
    <w:rPr>
      <w:color w:val="999999"/>
    </w:rPr>
  </w:style>
  <w:style w:type="character" w:styleId="738">
    <w:name w:val="标题 2 Char,节 Char,Heading 2 Hidden Char,Heading 2 CCBS Char,H2 Char,sect 1.2 Char,H21 Char,sect 1.21 Char,H22 Char,sect 1.22 Char,H211 Char,sect 1.211 Char,H23 Char,sect 1.23 Char,H212 Char,sect 1.212 Char,2nd level Char,h2 Char,2 Char,Header 2 Char"/>
    <w:next w:val="738"/>
    <w:link w:val="678"/>
    <w:rPr>
      <w:rFonts w:ascii="Arial" w:hAnsi="Arial" w:eastAsia="黑体"/>
      <w:b/>
      <w:sz w:val="32"/>
      <w:lang w:val="en-US" w:eastAsia="zh-CN"/>
    </w:rPr>
  </w:style>
  <w:style w:type="character" w:styleId="739">
    <w:name w:val="hover"/>
    <w:next w:val="739"/>
    <w:link w:val="678"/>
    <w:rPr>
      <w:shd w:val="clear" w:color="auto" w:fill="eeeeee"/>
    </w:rPr>
  </w:style>
  <w:style w:type="character" w:styleId="740">
    <w:name w:val="hour_pm"/>
    <w:next w:val="740"/>
    <w:link w:val="678"/>
  </w:style>
  <w:style w:type="character" w:styleId="741">
    <w:name w:val="Font Style28"/>
    <w:next w:val="741"/>
    <w:link w:val="678"/>
    <w:rPr>
      <w:rFonts w:ascii="Constantia" w:hAnsi="Constantia" w:cs="Constantia"/>
      <w:sz w:val="28"/>
      <w:szCs w:val="28"/>
    </w:rPr>
  </w:style>
  <w:style w:type="character" w:styleId="742">
    <w:name w:val="Font Style29"/>
    <w:next w:val="742"/>
    <w:link w:val="678"/>
    <w:rPr>
      <w:rFonts w:ascii="Arial" w:hAnsi="Arial" w:cs="Arial"/>
      <w:sz w:val="14"/>
      <w:szCs w:val="14"/>
    </w:rPr>
  </w:style>
  <w:style w:type="character" w:styleId="743">
    <w:name w:val="Font Style37"/>
    <w:next w:val="743"/>
    <w:link w:val="678"/>
    <w:rPr>
      <w:rFonts w:ascii="Arial" w:hAnsi="Arial" w:cs="Arial"/>
      <w:sz w:val="16"/>
      <w:szCs w:val="16"/>
    </w:rPr>
  </w:style>
  <w:style w:type="character" w:styleId="744">
    <w:name w:val="Plain Text Char"/>
    <w:next w:val="744"/>
    <w:link w:val="678"/>
    <w:rPr>
      <w:rFonts w:ascii="宋体" w:hAnsi="Courier New" w:eastAsia="宋体"/>
      <w:sz w:val="21"/>
      <w:lang w:val="en-US" w:eastAsia="zh-CN" w:bidi="ar-SA"/>
    </w:rPr>
  </w:style>
  <w:style w:type="paragraph" w:styleId="745">
    <w:name w:val="Default"/>
    <w:next w:val="745"/>
    <w:link w:val="678"/>
    <w:pPr>
      <w:widowControl w:val="off"/>
    </w:pPr>
    <w:rPr>
      <w:rFonts w:ascii="仿宋" w:eastAsia="仿宋" w:cs="仿宋"/>
      <w:color w:val="000000"/>
      <w:sz w:val="24"/>
      <w:szCs w:val="24"/>
      <w:lang w:val="en-US" w:eastAsia="zh-CN" w:bidi="ar-SA"/>
    </w:rPr>
  </w:style>
  <w:style w:type="paragraph" w:styleId="746">
    <w:name w:val="默认段落字体 Para Char Char Char Char Char Char Char Char Char1 Char Char Char Char Char Char Char"/>
    <w:basedOn w:val="691"/>
    <w:next w:val="746"/>
    <w:link w:val="678"/>
    <w:rPr>
      <w:rFonts w:ascii="Tahoma" w:hAnsi="Tahoma"/>
      <w:sz w:val="24"/>
    </w:rPr>
  </w:style>
  <w:style w:type="paragraph" w:styleId="747">
    <w:name w:val="Style9"/>
    <w:basedOn w:val="678"/>
    <w:next w:val="747"/>
    <w:link w:val="678"/>
    <w:pPr>
      <w:jc w:val="left"/>
    </w:pPr>
    <w:rPr>
      <w:rFonts w:ascii="宋体"/>
      <w:sz w:val="24"/>
    </w:rPr>
  </w:style>
  <w:style w:type="paragraph" w:styleId="748">
    <w:name w:val="Char"/>
    <w:basedOn w:val="678"/>
    <w:next w:val="748"/>
    <w:link w:val="678"/>
    <w:pPr>
      <w:tabs>
        <w:tab w:val="left" w:pos="360" w:leader="none"/>
      </w:tabs>
    </w:pPr>
    <w:rPr>
      <w:sz w:val="24"/>
    </w:rPr>
  </w:style>
  <w:style w:type="paragraph" w:styleId="749">
    <w:name w:val=" Char Char Char1 Char Char Char Char"/>
    <w:basedOn w:val="678"/>
    <w:next w:val="749"/>
    <w:link w:val="678"/>
    <w:pPr>
      <w:jc w:val="left"/>
      <w:spacing w:after="160" w:line="240" w:lineRule="exact"/>
      <w:widowControl/>
    </w:pPr>
    <w:rPr>
      <w:rFonts w:ascii="宋体" w:hAnsi="宋体"/>
      <w:b/>
      <w:sz w:val="28"/>
      <w:szCs w:val="28"/>
    </w:rPr>
  </w:style>
  <w:style w:type="paragraph" w:styleId="750">
    <w:name w:val="Style10"/>
    <w:basedOn w:val="678"/>
    <w:next w:val="750"/>
    <w:link w:val="678"/>
    <w:pPr>
      <w:jc w:val="left"/>
    </w:pPr>
    <w:rPr>
      <w:rFonts w:ascii="宋体"/>
      <w:sz w:val="24"/>
    </w:rPr>
  </w:style>
  <w:style w:type="paragraph" w:styleId="751">
    <w:name w:val="首行缩进"/>
    <w:basedOn w:val="678"/>
    <w:next w:val="751"/>
    <w:link w:val="678"/>
    <w:qFormat/>
    <w:pPr>
      <w:ind w:firstLine="420"/>
      <w:spacing w:line="360" w:lineRule="auto"/>
    </w:pPr>
    <w:rPr>
      <w:sz w:val="20"/>
    </w:rPr>
  </w:style>
  <w:style w:type="paragraph" w:styleId="752">
    <w:name w:val="普通正文"/>
    <w:basedOn w:val="678"/>
    <w:next w:val="752"/>
    <w:link w:val="678"/>
    <w:pPr>
      <w:ind w:firstLine="480"/>
      <w:jc w:val="left"/>
      <w:spacing w:before="120" w:after="120" w:line="360" w:lineRule="auto"/>
    </w:pPr>
    <w:rPr>
      <w:rFonts w:ascii="Arial" w:hAnsi="Arial"/>
      <w:sz w:val="24"/>
    </w:rPr>
  </w:style>
  <w:style w:type="paragraph" w:styleId="753">
    <w:name w:val="要点标题"/>
    <w:basedOn w:val="678"/>
    <w:next w:val="753"/>
    <w:link w:val="678"/>
    <w:pPr>
      <w:numPr>
        <w:ilvl w:val="0"/>
        <w:numId w:val="1"/>
      </w:numPr>
      <w:jc w:val="left"/>
      <w:tabs>
        <w:tab w:val="left" w:pos="420" w:leader="none"/>
      </w:tabs>
    </w:pPr>
    <w:rPr>
      <w:rFonts w:ascii="宋体" w:hAnsi="宋体"/>
      <w:b/>
      <w:sz w:val="24"/>
    </w:rPr>
  </w:style>
  <w:style w:type="paragraph" w:styleId="754">
    <w:name w:val="文档正文"/>
    <w:basedOn w:val="678"/>
    <w:next w:val="754"/>
    <w:link w:val="678"/>
    <w:pPr>
      <w:ind w:firstLine="567"/>
      <w:spacing w:line="480" w:lineRule="atLeast"/>
    </w:pPr>
    <w:rPr>
      <w:rFonts w:ascii="仿宋_GB2312"/>
      <w:szCs w:val="20"/>
    </w:rPr>
  </w:style>
  <w:style w:type="paragraph" w:styleId="755">
    <w:name w:val="Char Char Char Char"/>
    <w:basedOn w:val="691"/>
    <w:next w:val="755"/>
    <w:link w:val="678"/>
    <w:pPr>
      <w:spacing w:line="360" w:lineRule="auto"/>
    </w:pPr>
    <w:rPr>
      <w:rFonts w:ascii="Tahoma" w:hAnsi="Tahoma"/>
      <w:sz w:val="24"/>
    </w:rPr>
  </w:style>
  <w:style w:type="paragraph" w:styleId="756">
    <w:name w:val=" Char"/>
    <w:basedOn w:val="678"/>
    <w:next w:val="756"/>
    <w:link w:val="678"/>
    <w:pPr>
      <w:ind w:left="420" w:hanging="420"/>
      <w:jc w:val="left"/>
      <w:tabs>
        <w:tab w:val="left" w:pos="420" w:leader="none"/>
      </w:tabs>
    </w:pPr>
    <w:rPr>
      <w:szCs w:val="20"/>
    </w:rPr>
  </w:style>
  <w:style w:type="paragraph" w:styleId="757">
    <w:name w:val="正文（无缩进）"/>
    <w:basedOn w:val="678"/>
    <w:next w:val="757"/>
    <w:link w:val="678"/>
    <w:qFormat/>
    <w:pPr>
      <w:spacing w:line="360" w:lineRule="auto"/>
    </w:pPr>
    <w:rPr>
      <w:rFonts w:ascii="Calibri" w:hAnsi="Calibri"/>
      <w:sz w:val="24"/>
      <w:szCs w:val="21"/>
    </w:rPr>
  </w:style>
  <w:style w:type="paragraph" w:styleId="758">
    <w:name w:val="Style11"/>
    <w:basedOn w:val="678"/>
    <w:next w:val="758"/>
    <w:link w:val="678"/>
    <w:pPr>
      <w:jc w:val="left"/>
      <w:spacing w:line="446" w:lineRule="exact"/>
    </w:pPr>
    <w:rPr>
      <w:rFonts w:ascii="宋体"/>
      <w:sz w:val="24"/>
    </w:rPr>
  </w:style>
  <w:style w:type="paragraph" w:styleId="759">
    <w:name w:val="样式1"/>
    <w:basedOn w:val="678"/>
    <w:next w:val="759"/>
    <w:link w:val="678"/>
    <w:pPr>
      <w:numPr>
        <w:ilvl w:val="0"/>
        <w:numId w:val="2"/>
      </w:numPr>
      <w:tabs>
        <w:tab w:val="left" w:pos="1110" w:leader="none"/>
      </w:tabs>
    </w:pPr>
    <w:rPr>
      <w:rFonts w:ascii="宋体" w:hAnsi="宋体"/>
      <w:szCs w:val="21"/>
    </w:rPr>
  </w:style>
  <w:style w:type="paragraph" w:styleId="760">
    <w:name w:val="_Style 56"/>
    <w:basedOn w:val="691"/>
    <w:next w:val="760"/>
    <w:link w:val="678"/>
    <w:pPr>
      <w:spacing w:line="436" w:lineRule="exact"/>
    </w:pPr>
    <w:rPr>
      <w:szCs w:val="20"/>
    </w:rPr>
  </w:style>
  <w:style w:type="paragraph" w:styleId="761">
    <w:name w:val="Char Char1 Char Char Char Char Char Char"/>
    <w:basedOn w:val="678"/>
    <w:next w:val="761"/>
    <w:link w:val="678"/>
    <w:pPr>
      <w:jc w:val="center"/>
      <w:widowControl/>
    </w:pPr>
    <w:rPr>
      <w:rFonts w:ascii="宋体" w:hAnsi="宋体"/>
      <w:b/>
      <w:sz w:val="24"/>
      <w:lang w:eastAsia="en-US"/>
    </w:rPr>
  </w:style>
  <w:style w:type="paragraph" w:styleId="762">
    <w:name w:val="Char1"/>
    <w:basedOn w:val="678"/>
    <w:next w:val="762"/>
    <w:link w:val="678"/>
    <w:pPr>
      <w:ind w:left="840" w:hanging="420"/>
      <w:tabs>
        <w:tab w:val="left" w:pos="840" w:leader="none"/>
      </w:tabs>
    </w:pPr>
    <w:rPr>
      <w:sz w:val="24"/>
    </w:rPr>
  </w:style>
  <w:style w:type="paragraph" w:styleId="763">
    <w:name w:val="我的样式"/>
    <w:basedOn w:val="679"/>
    <w:next w:val="678"/>
    <w:link w:val="678"/>
    <w:pPr>
      <w:numPr>
        <w:ilvl w:val="0"/>
        <w:numId w:val="3"/>
      </w:numPr>
      <w:spacing w:line="360" w:lineRule="auto"/>
    </w:pPr>
    <w:rPr>
      <w:rFonts w:ascii="仿宋_GB2312" w:eastAsia="仿宋_GB2312"/>
      <w:sz w:val="32"/>
      <w:szCs w:val="30"/>
    </w:rPr>
  </w:style>
  <w:style w:type="paragraph" w:styleId="764">
    <w:name w:val="表格正文"/>
    <w:next w:val="764"/>
    <w:link w:val="678"/>
    <w:pPr>
      <w:spacing w:line="0" w:lineRule="atLeast"/>
    </w:pPr>
    <w:rPr>
      <w:sz w:val="24"/>
      <w:szCs w:val="24"/>
      <w:lang w:val="en-US" w:eastAsia="zh-CN" w:bidi="he-IL"/>
    </w:rPr>
  </w:style>
  <w:style w:type="paragraph" w:styleId="765">
    <w:name w:val=" Char Char Char Char Char Char Char Char Char Char Char Char Char"/>
    <w:basedOn w:val="678"/>
    <w:next w:val="765"/>
    <w:link w:val="678"/>
    <w:pPr>
      <w:jc w:val="left"/>
      <w:spacing w:after="160" w:line="240" w:lineRule="exact"/>
      <w:widowControl/>
    </w:pPr>
    <w:rPr>
      <w:rFonts w:ascii="Verdana" w:hAnsi="Verdana"/>
      <w:sz w:val="20"/>
      <w:szCs w:val="20"/>
      <w:lang w:eastAsia="en-US"/>
    </w:rPr>
  </w:style>
  <w:style w:type="paragraph" w:styleId="766">
    <w:name w:val="标题1"/>
    <w:basedOn w:val="679"/>
    <w:next w:val="678"/>
    <w:link w:val="678"/>
    <w:pPr>
      <w:numPr>
        <w:ilvl w:val="0"/>
        <w:numId w:val="2"/>
      </w:numPr>
      <w:jc w:val="left"/>
      <w:spacing w:line="578" w:lineRule="atLeast"/>
    </w:pPr>
  </w:style>
  <w:style w:type="paragraph" w:styleId="767">
    <w:name w:val="正文（缩进） Char1"/>
    <w:basedOn w:val="678"/>
    <w:next w:val="767"/>
    <w:link w:val="678"/>
    <w:pPr>
      <w:ind w:firstLine="480"/>
      <w:spacing w:before="156" w:after="156" w:line="360" w:lineRule="auto"/>
    </w:pPr>
    <w:rPr>
      <w:sz w:val="24"/>
    </w:rPr>
  </w:style>
  <w:style w:type="paragraph" w:styleId="768">
    <w:name w:val="修订"/>
    <w:next w:val="768"/>
    <w:link w:val="678"/>
    <w:uiPriority w:val="99"/>
    <w:semiHidden/>
    <w:rPr>
      <w:sz w:val="21"/>
      <w:szCs w:val="24"/>
      <w:lang w:val="en-US" w:eastAsia="zh-CN" w:bidi="ar-SA"/>
    </w:rPr>
  </w:style>
  <w:style w:type="paragraph" w:styleId="769">
    <w:name w:val="Style12"/>
    <w:basedOn w:val="678"/>
    <w:next w:val="769"/>
    <w:link w:val="678"/>
    <w:pPr>
      <w:jc w:val="left"/>
    </w:pPr>
    <w:rPr>
      <w:rFonts w:ascii="宋体"/>
      <w:sz w:val="24"/>
    </w:rPr>
  </w:style>
  <w:style w:type="paragraph" w:styleId="770">
    <w:name w:val="纯文本1"/>
    <w:basedOn w:val="678"/>
    <w:next w:val="770"/>
    <w:link w:val="678"/>
    <w:qFormat/>
    <w:rPr>
      <w:rFonts w:ascii="宋体" w:hAnsi="Courier New"/>
      <w:szCs w:val="20"/>
    </w:rPr>
  </w:style>
  <w:style w:type="paragraph" w:styleId="771">
    <w:name w:val="纯文本2"/>
    <w:basedOn w:val="678"/>
    <w:next w:val="745"/>
    <w:link w:val="678"/>
    <w:qFormat/>
    <w:rPr>
      <w:rFonts w:ascii="宋体" w:hAnsi="Courier New"/>
      <w:szCs w:val="20"/>
    </w:rPr>
  </w:style>
  <w:style w:type="paragraph" w:styleId="772">
    <w:name w:val="页眉1"/>
    <w:basedOn w:val="678"/>
    <w:next w:val="772"/>
    <w:link w:val="678"/>
    <w:qFormat/>
    <w:pPr>
      <w:jc w:val="center"/>
      <w:tabs>
        <w:tab w:val="center" w:pos="4153" w:leader="none"/>
        <w:tab w:val="right" w:pos="8306" w:leader="none"/>
      </w:tabs>
      <w:pBdr>
        <w:bottom w:val="single" w:color="000000" w:sz="6" w:space="1"/>
      </w:pBdr>
    </w:pPr>
    <w:rPr>
      <w:sz w:val="18"/>
      <w:szCs w:val="18"/>
    </w:rPr>
  </w:style>
  <w:style w:type="paragraph" w:styleId="773">
    <w:name w:val="页脚1"/>
    <w:basedOn w:val="678"/>
    <w:next w:val="773"/>
    <w:link w:val="678"/>
    <w:qFormat/>
    <w:pPr>
      <w:jc w:val="left"/>
      <w:tabs>
        <w:tab w:val="center" w:pos="4153" w:leader="none"/>
        <w:tab w:val="right" w:pos="8306" w:leader="none"/>
      </w:tabs>
    </w:pPr>
    <w:rPr>
      <w:sz w:val="18"/>
      <w:szCs w:val="18"/>
    </w:rPr>
  </w:style>
  <w:style w:type="character" w:styleId="8576" w:default="1">
    <w:name w:val="Default Paragraph Font"/>
    <w:uiPriority w:val="1"/>
    <w:semiHidden/>
    <w:unhideWhenUsed/>
  </w:style>
  <w:style w:type="numbering" w:styleId="8577" w:default="1">
    <w:name w:val="No List"/>
    <w:uiPriority w:val="99"/>
    <w:semiHidden/>
    <w:unhideWhenUsed/>
  </w:style>
  <w:style w:type="table" w:styleId="85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3</cp:revision>
  <dcterms:created xsi:type="dcterms:W3CDTF">2024-01-08T08:47:00Z</dcterms:created>
  <dcterms:modified xsi:type="dcterms:W3CDTF">2026-05-12T06:25:17Z</dcterms:modified>
</cp:coreProperties>
</file>